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ac"/>
        <w:tblW w:w="9923" w:type="dxa"/>
        <w:tblInd w:w="-147" w:type="dxa"/>
        <w:tblLook w:val="04A0" w:firstRow="1" w:lastRow="0" w:firstColumn="1" w:lastColumn="0" w:noHBand="0" w:noVBand="1"/>
      </w:tblPr>
      <w:tblGrid>
        <w:gridCol w:w="993"/>
        <w:gridCol w:w="8930"/>
      </w:tblGrid>
      <w:tr w:rsidR="00631172" w:rsidRPr="00475A1E" w14:paraId="04B22B1D" w14:textId="77777777" w:rsidTr="00C1125D">
        <w:trPr>
          <w:ins w:id="0" w:author="만든 이"/>
        </w:trPr>
        <w:tc>
          <w:tcPr>
            <w:tcW w:w="993" w:type="dxa"/>
          </w:tcPr>
          <w:p w14:paraId="36AF5F5A" w14:textId="77777777" w:rsidR="00631172" w:rsidRPr="00C1125D" w:rsidRDefault="00631172" w:rsidP="006D1220">
            <w:pPr>
              <w:outlineLvl w:val="0"/>
              <w:rPr>
                <w:ins w:id="1" w:author="만든 이"/>
                <w:rFonts w:ascii="Times New Roman" w:hAnsi="Times New Roman" w:cs="Times New Roman"/>
              </w:rPr>
            </w:pPr>
            <w:ins w:id="2" w:author="만든 이">
              <w:r w:rsidRPr="00C1125D">
                <w:rPr>
                  <w:rFonts w:ascii="Times New Roman" w:hAnsi="Times New Roman" w:cs="Times New Roman"/>
                </w:rPr>
                <w:t>SL</w:t>
              </w:r>
            </w:ins>
          </w:p>
        </w:tc>
        <w:tc>
          <w:tcPr>
            <w:tcW w:w="8930" w:type="dxa"/>
          </w:tcPr>
          <w:p w14:paraId="00E9D245" w14:textId="471D0AB2" w:rsidR="00631172" w:rsidRPr="00C1125D" w:rsidRDefault="00631172" w:rsidP="006D1220">
            <w:pPr>
              <w:rPr>
                <w:ins w:id="3" w:author="만든 이"/>
                <w:rFonts w:ascii="Times New Roman" w:eastAsia="맑은 고딕" w:hAnsi="Times New Roman" w:cs="Times New Roman"/>
                <w:lang w:eastAsia="ko-KR"/>
              </w:rPr>
            </w:pPr>
            <w:ins w:id="4" w:author="만든 이">
              <w:r w:rsidRPr="00C1125D">
                <w:rPr>
                  <w:rFonts w:ascii="Times New Roman" w:hAnsi="Times New Roman" w:cs="Times New Roman"/>
                  <w:lang w:val="sl-SI"/>
                </w:rPr>
                <w:t>Ta d</w:t>
              </w:r>
              <w:r w:rsidRPr="00C1125D">
                <w:rPr>
                  <w:rFonts w:ascii="Times New Roman" w:hAnsi="Times New Roman" w:cs="Times New Roman"/>
                </w:rPr>
                <w:t xml:space="preserve">okument vsebuje odobrene informacije o zdravilu </w:t>
              </w:r>
              <w:r w:rsidRPr="00C1125D">
                <w:rPr>
                  <w:rFonts w:ascii="Times New Roman" w:hAnsi="Times New Roman" w:cs="Times New Roman"/>
                  <w:lang w:eastAsia="ko-KR"/>
                </w:rPr>
                <w:t>Yuflyma</w:t>
              </w:r>
              <w:r w:rsidRPr="00C1125D">
                <w:rPr>
                  <w:rFonts w:ascii="Times New Roman" w:hAnsi="Times New Roman" w:cs="Times New Roman"/>
                </w:rPr>
                <w:t xml:space="preserve"> z označenimi spremembami v primerjavi s prejšnjim postopkom, ki </w:t>
              </w:r>
              <w:r w:rsidRPr="00C1125D">
                <w:rPr>
                  <w:rFonts w:ascii="Times New Roman" w:hAnsi="Times New Roman" w:cs="Times New Roman"/>
                  <w:lang w:val="sl-SI"/>
                </w:rPr>
                <w:t>je</w:t>
              </w:r>
              <w:r w:rsidRPr="00C1125D">
                <w:rPr>
                  <w:rFonts w:ascii="Times New Roman" w:hAnsi="Times New Roman" w:cs="Times New Roman"/>
                </w:rPr>
                <w:t xml:space="preserve"> vplival na informacije o zdravilu </w:t>
              </w:r>
              <w:r w:rsidRPr="00C1125D">
                <w:rPr>
                  <w:rFonts w:ascii="Times New Roman" w:eastAsia="맑은 고딕" w:hAnsi="Times New Roman" w:cs="Times New Roman"/>
                  <w:lang w:eastAsia="ko-KR"/>
                </w:rPr>
                <w:t>(</w:t>
              </w:r>
              <w:r w:rsidR="0043693B" w:rsidRPr="00C1125D">
                <w:rPr>
                  <w:rFonts w:ascii="Times New Roman" w:eastAsia="맑은 고딕" w:hAnsi="Times New Roman" w:cs="Times New Roman"/>
                  <w:lang w:eastAsia="ko-KR"/>
                </w:rPr>
                <w:t>VR/0000255330</w:t>
              </w:r>
              <w:r w:rsidRPr="00C1125D">
                <w:rPr>
                  <w:rFonts w:ascii="Times New Roman" w:hAnsi="Times New Roman" w:cs="Times New Roman"/>
                </w:rPr>
                <w:t>)</w:t>
              </w:r>
              <w:r w:rsidRPr="00C1125D">
                <w:rPr>
                  <w:rFonts w:ascii="Times New Roman" w:eastAsia="맑은 고딕" w:hAnsi="Times New Roman" w:cs="Times New Roman"/>
                  <w:lang w:eastAsia="ko-KR"/>
                </w:rPr>
                <w:t>.</w:t>
              </w:r>
            </w:ins>
          </w:p>
          <w:p w14:paraId="25345AFD" w14:textId="77777777" w:rsidR="00631172" w:rsidRPr="00C1125D" w:rsidRDefault="00631172" w:rsidP="006D1220">
            <w:pPr>
              <w:rPr>
                <w:ins w:id="5" w:author="만든 이"/>
                <w:rFonts w:ascii="Times New Roman" w:hAnsi="Times New Roman" w:cs="Times New Roman"/>
              </w:rPr>
            </w:pPr>
          </w:p>
          <w:p w14:paraId="64935F0C" w14:textId="44FA909D" w:rsidR="00631172" w:rsidRPr="0043693B" w:rsidRDefault="00631172" w:rsidP="006D1220">
            <w:pPr>
              <w:pStyle w:val="Style1"/>
              <w:pBdr>
                <w:top w:val="none" w:sz="0" w:space="0" w:color="auto"/>
                <w:left w:val="none" w:sz="0" w:space="0" w:color="auto"/>
                <w:bottom w:val="none" w:sz="0" w:space="0" w:color="auto"/>
                <w:right w:val="none" w:sz="0" w:space="0" w:color="auto"/>
              </w:pBdr>
              <w:rPr>
                <w:ins w:id="6" w:author="만든 이"/>
                <w:rFonts w:eastAsia="맑은 고딕"/>
                <w:lang w:eastAsia="ko-KR"/>
              </w:rPr>
            </w:pPr>
            <w:ins w:id="7" w:author="만든 이">
              <w:r w:rsidRPr="0043693B">
                <w:t xml:space="preserve">Več informacij je na voljo na spletni strani Evropske agencije za zdravila: </w:t>
              </w:r>
              <w:r w:rsidRPr="0043693B">
                <w:fldChar w:fldCharType="begin"/>
              </w:r>
              <w:r w:rsidRPr="0043693B">
                <w:instrText>HYPERLINK "https://www.ema.europa.eu/en/medicines/human/EPAR/yuflyma"</w:instrText>
              </w:r>
              <w:r w:rsidRPr="0043693B">
                <w:fldChar w:fldCharType="separate"/>
              </w:r>
              <w:r w:rsidRPr="0043693B">
                <w:rPr>
                  <w:rStyle w:val="ad"/>
                  <w:rFonts w:eastAsia="맑은 고딕"/>
                  <w:lang w:eastAsia="ko-KR"/>
                </w:rPr>
                <w:t>https://www.ema.europa.eu/en/medicines/human/EPAR/yuflyma</w:t>
              </w:r>
              <w:r w:rsidRPr="0043693B">
                <w:rPr>
                  <w:rStyle w:val="ad"/>
                  <w:rFonts w:eastAsia="맑은 고딕"/>
                  <w:lang w:eastAsia="ko-KR"/>
                </w:rPr>
                <w:fldChar w:fldCharType="end"/>
              </w:r>
            </w:ins>
          </w:p>
        </w:tc>
      </w:tr>
    </w:tbl>
    <w:p w14:paraId="34B444FB" w14:textId="77777777" w:rsidR="00E04C8A" w:rsidRDefault="00E04C8A">
      <w:pPr>
        <w:spacing w:line="200" w:lineRule="exact"/>
        <w:rPr>
          <w:sz w:val="20"/>
          <w:szCs w:val="20"/>
          <w:lang w:val="sl-SI"/>
        </w:rPr>
      </w:pPr>
    </w:p>
    <w:p w14:paraId="02C73358" w14:textId="77777777" w:rsidR="00E04C8A" w:rsidRDefault="00E04C8A">
      <w:pPr>
        <w:spacing w:line="200" w:lineRule="exact"/>
        <w:rPr>
          <w:sz w:val="20"/>
          <w:szCs w:val="20"/>
          <w:lang w:val="sl-SI"/>
        </w:rPr>
      </w:pPr>
    </w:p>
    <w:p w14:paraId="2F09687F" w14:textId="77777777" w:rsidR="00E04C8A" w:rsidRDefault="00E04C8A">
      <w:pPr>
        <w:spacing w:line="200" w:lineRule="exact"/>
        <w:rPr>
          <w:sz w:val="20"/>
          <w:szCs w:val="20"/>
          <w:lang w:val="sl-SI"/>
        </w:rPr>
      </w:pPr>
    </w:p>
    <w:p w14:paraId="16FAAC74" w14:textId="77777777" w:rsidR="00E04C8A" w:rsidRDefault="00E04C8A">
      <w:pPr>
        <w:spacing w:line="200" w:lineRule="exact"/>
        <w:rPr>
          <w:sz w:val="20"/>
          <w:szCs w:val="20"/>
          <w:lang w:val="sl-SI"/>
        </w:rPr>
      </w:pPr>
    </w:p>
    <w:p w14:paraId="29B6A03B" w14:textId="77777777" w:rsidR="00E04C8A" w:rsidRDefault="00E04C8A">
      <w:pPr>
        <w:spacing w:line="200" w:lineRule="exact"/>
        <w:rPr>
          <w:sz w:val="20"/>
          <w:szCs w:val="20"/>
          <w:lang w:val="sl-SI"/>
        </w:rPr>
      </w:pPr>
    </w:p>
    <w:p w14:paraId="5E2DB2DA" w14:textId="77777777" w:rsidR="00E04C8A" w:rsidRDefault="00E04C8A">
      <w:pPr>
        <w:spacing w:line="200" w:lineRule="exact"/>
        <w:rPr>
          <w:sz w:val="20"/>
          <w:szCs w:val="20"/>
          <w:lang w:val="sl-SI"/>
        </w:rPr>
      </w:pPr>
    </w:p>
    <w:p w14:paraId="1A33309C" w14:textId="77777777" w:rsidR="00E04C8A" w:rsidRDefault="00E04C8A">
      <w:pPr>
        <w:spacing w:line="200" w:lineRule="exact"/>
        <w:rPr>
          <w:sz w:val="20"/>
          <w:szCs w:val="20"/>
          <w:lang w:val="sl-SI"/>
        </w:rPr>
      </w:pPr>
    </w:p>
    <w:p w14:paraId="38DC9B3A" w14:textId="77777777" w:rsidR="00E04C8A" w:rsidRDefault="00E04C8A">
      <w:pPr>
        <w:spacing w:line="200" w:lineRule="exact"/>
        <w:rPr>
          <w:sz w:val="20"/>
          <w:szCs w:val="20"/>
          <w:lang w:val="sl-SI"/>
        </w:rPr>
      </w:pPr>
    </w:p>
    <w:p w14:paraId="023BCFA6" w14:textId="77777777" w:rsidR="00E04C8A" w:rsidRDefault="00E04C8A">
      <w:pPr>
        <w:spacing w:line="200" w:lineRule="exact"/>
        <w:rPr>
          <w:sz w:val="20"/>
          <w:szCs w:val="20"/>
          <w:lang w:val="sl-SI"/>
        </w:rPr>
      </w:pPr>
    </w:p>
    <w:p w14:paraId="4B99C309" w14:textId="77777777" w:rsidR="00E04C8A" w:rsidRDefault="00E04C8A">
      <w:pPr>
        <w:spacing w:line="200" w:lineRule="exact"/>
        <w:rPr>
          <w:sz w:val="20"/>
          <w:szCs w:val="20"/>
          <w:lang w:val="sl-SI"/>
        </w:rPr>
      </w:pPr>
    </w:p>
    <w:p w14:paraId="64DBFECB" w14:textId="77777777" w:rsidR="00E04C8A" w:rsidRDefault="00E04C8A">
      <w:pPr>
        <w:spacing w:line="200" w:lineRule="exact"/>
        <w:rPr>
          <w:sz w:val="20"/>
          <w:szCs w:val="20"/>
          <w:lang w:val="sl-SI"/>
        </w:rPr>
      </w:pPr>
    </w:p>
    <w:p w14:paraId="66CAB05F" w14:textId="77777777" w:rsidR="00E04C8A" w:rsidRDefault="00E04C8A">
      <w:pPr>
        <w:spacing w:line="200" w:lineRule="exact"/>
        <w:rPr>
          <w:sz w:val="20"/>
          <w:szCs w:val="20"/>
          <w:lang w:val="sl-SI"/>
        </w:rPr>
      </w:pPr>
    </w:p>
    <w:p w14:paraId="08DD2BAB" w14:textId="77777777" w:rsidR="00E04C8A" w:rsidRDefault="00E04C8A">
      <w:pPr>
        <w:spacing w:line="200" w:lineRule="exact"/>
        <w:rPr>
          <w:sz w:val="20"/>
          <w:szCs w:val="20"/>
          <w:lang w:val="sl-SI"/>
        </w:rPr>
      </w:pPr>
    </w:p>
    <w:p w14:paraId="27E0FBF7" w14:textId="77777777" w:rsidR="00E04C8A" w:rsidRDefault="00E04C8A">
      <w:pPr>
        <w:spacing w:line="200" w:lineRule="exact"/>
        <w:rPr>
          <w:sz w:val="20"/>
          <w:szCs w:val="20"/>
          <w:lang w:val="sl-SI" w:eastAsia="ko-KR"/>
        </w:rPr>
      </w:pPr>
    </w:p>
    <w:p w14:paraId="7D2EF916" w14:textId="77777777" w:rsidR="00E04C8A" w:rsidRDefault="00E04C8A">
      <w:pPr>
        <w:spacing w:line="200" w:lineRule="exact"/>
        <w:rPr>
          <w:sz w:val="20"/>
          <w:szCs w:val="20"/>
          <w:lang w:val="sl-SI" w:eastAsia="ko-KR"/>
        </w:rPr>
      </w:pPr>
    </w:p>
    <w:p w14:paraId="0E16B057" w14:textId="77777777" w:rsidR="00E04C8A" w:rsidRDefault="00E04C8A">
      <w:pPr>
        <w:spacing w:line="200" w:lineRule="exact"/>
        <w:rPr>
          <w:sz w:val="20"/>
          <w:szCs w:val="20"/>
          <w:lang w:val="sl-SI" w:eastAsia="ko-KR"/>
        </w:rPr>
      </w:pPr>
    </w:p>
    <w:p w14:paraId="1777AA16" w14:textId="77777777" w:rsidR="00E04C8A" w:rsidRDefault="00E04C8A">
      <w:pPr>
        <w:spacing w:line="200" w:lineRule="exact"/>
        <w:rPr>
          <w:sz w:val="20"/>
          <w:szCs w:val="20"/>
          <w:lang w:val="sl-SI" w:eastAsia="ko-KR"/>
        </w:rPr>
      </w:pPr>
    </w:p>
    <w:p w14:paraId="64C4D579" w14:textId="77777777" w:rsidR="00E04C8A" w:rsidRDefault="00E04C8A">
      <w:pPr>
        <w:spacing w:line="200" w:lineRule="exact"/>
        <w:rPr>
          <w:sz w:val="20"/>
          <w:szCs w:val="20"/>
          <w:lang w:val="sl-SI" w:eastAsia="ko-KR"/>
        </w:rPr>
      </w:pPr>
    </w:p>
    <w:p w14:paraId="6E3E67BC" w14:textId="77777777" w:rsidR="00E04C8A" w:rsidRDefault="00E04C8A">
      <w:pPr>
        <w:spacing w:line="200" w:lineRule="exact"/>
        <w:rPr>
          <w:sz w:val="20"/>
          <w:szCs w:val="20"/>
          <w:lang w:val="sl-SI" w:eastAsia="ko-KR"/>
        </w:rPr>
      </w:pPr>
    </w:p>
    <w:p w14:paraId="6B1E7CE6" w14:textId="77777777" w:rsidR="00E04C8A" w:rsidRDefault="00E04C8A">
      <w:pPr>
        <w:spacing w:line="200" w:lineRule="exact"/>
        <w:rPr>
          <w:sz w:val="20"/>
          <w:szCs w:val="20"/>
          <w:lang w:val="sl-SI" w:eastAsia="ko-KR"/>
        </w:rPr>
      </w:pPr>
    </w:p>
    <w:p w14:paraId="0BAA6916" w14:textId="77777777" w:rsidR="00E04C8A" w:rsidRDefault="00E04C8A">
      <w:pPr>
        <w:spacing w:line="200" w:lineRule="exact"/>
        <w:rPr>
          <w:sz w:val="20"/>
          <w:szCs w:val="20"/>
          <w:lang w:val="sl-SI" w:eastAsia="ko-KR"/>
        </w:rPr>
      </w:pPr>
    </w:p>
    <w:p w14:paraId="238E2944" w14:textId="77777777" w:rsidR="00E04C8A" w:rsidRDefault="00E04C8A">
      <w:pPr>
        <w:spacing w:line="200" w:lineRule="exact"/>
        <w:rPr>
          <w:sz w:val="20"/>
          <w:szCs w:val="20"/>
          <w:lang w:val="sl-SI" w:eastAsia="ko-KR"/>
        </w:rPr>
      </w:pPr>
    </w:p>
    <w:p w14:paraId="166DBEEC" w14:textId="77777777" w:rsidR="00E04C8A" w:rsidRDefault="00E04C8A">
      <w:pPr>
        <w:spacing w:line="200" w:lineRule="exact"/>
        <w:rPr>
          <w:sz w:val="20"/>
          <w:szCs w:val="20"/>
          <w:lang w:val="sl-SI" w:eastAsia="ko-KR"/>
        </w:rPr>
      </w:pPr>
    </w:p>
    <w:p w14:paraId="0B423449" w14:textId="77777777" w:rsidR="00E04C8A" w:rsidRDefault="00E04C8A">
      <w:pPr>
        <w:spacing w:line="200" w:lineRule="exact"/>
        <w:rPr>
          <w:sz w:val="20"/>
          <w:szCs w:val="20"/>
          <w:lang w:val="sl-SI" w:eastAsia="ko-KR"/>
        </w:rPr>
      </w:pPr>
    </w:p>
    <w:p w14:paraId="05DC921D" w14:textId="77777777" w:rsidR="00E04C8A" w:rsidRDefault="00E04C8A">
      <w:pPr>
        <w:spacing w:line="200" w:lineRule="exact"/>
        <w:rPr>
          <w:sz w:val="20"/>
          <w:szCs w:val="20"/>
          <w:lang w:val="sl-SI" w:eastAsia="ko-KR"/>
        </w:rPr>
      </w:pPr>
    </w:p>
    <w:p w14:paraId="79DE21D9" w14:textId="77777777" w:rsidR="00E04C8A" w:rsidRDefault="00E04C8A">
      <w:pPr>
        <w:spacing w:line="200" w:lineRule="exact"/>
        <w:rPr>
          <w:sz w:val="20"/>
          <w:szCs w:val="20"/>
          <w:lang w:val="sl-SI" w:eastAsia="ko-KR"/>
        </w:rPr>
      </w:pPr>
    </w:p>
    <w:p w14:paraId="59C56E54" w14:textId="77777777" w:rsidR="00E04C8A" w:rsidRDefault="00E04C8A">
      <w:pPr>
        <w:spacing w:line="200" w:lineRule="exact"/>
        <w:rPr>
          <w:sz w:val="20"/>
          <w:szCs w:val="20"/>
          <w:lang w:val="sl-SI" w:eastAsia="ko-KR"/>
        </w:rPr>
      </w:pPr>
    </w:p>
    <w:p w14:paraId="062666F5" w14:textId="77777777" w:rsidR="00E04C8A" w:rsidRDefault="00E04C8A">
      <w:pPr>
        <w:spacing w:before="4" w:line="200" w:lineRule="exact"/>
        <w:jc w:val="center"/>
        <w:rPr>
          <w:sz w:val="20"/>
          <w:szCs w:val="20"/>
          <w:lang w:val="sl-SI" w:eastAsia="ko-KR"/>
        </w:rPr>
      </w:pPr>
    </w:p>
    <w:p w14:paraId="0A4881B3" w14:textId="77777777" w:rsidR="00E04C8A" w:rsidRDefault="008E1817">
      <w:pPr>
        <w:pStyle w:val="TableParagraph"/>
        <w:jc w:val="center"/>
        <w:rPr>
          <w:rFonts w:ascii="Times New Roman" w:hAnsi="Times New Roman" w:cs="Times New Roman"/>
          <w:b/>
          <w:lang w:val="sl-SI"/>
        </w:rPr>
      </w:pPr>
      <w:r>
        <w:rPr>
          <w:rFonts w:ascii="Times New Roman" w:eastAsia="Times New Roman" w:hAnsi="Times New Roman" w:cs="Times New Roman"/>
          <w:b/>
          <w:bCs/>
          <w:lang w:val="sl-SI"/>
        </w:rPr>
        <w:t>PRILOGA I</w:t>
      </w:r>
    </w:p>
    <w:p w14:paraId="1AA46873" w14:textId="77777777" w:rsidR="00E04C8A" w:rsidRPr="00FA6851" w:rsidRDefault="00E04C8A" w:rsidP="00337BB0">
      <w:pPr>
        <w:rPr>
          <w:lang w:val="sl-SI"/>
        </w:rPr>
      </w:pPr>
    </w:p>
    <w:p w14:paraId="3047D500" w14:textId="77777777" w:rsidR="00E04C8A" w:rsidRDefault="008E1817">
      <w:pPr>
        <w:pStyle w:val="1"/>
        <w:spacing w:before="72"/>
        <w:ind w:left="0" w:right="5"/>
        <w:jc w:val="center"/>
        <w:rPr>
          <w:spacing w:val="-1"/>
          <w:lang w:val="sl-SI"/>
        </w:rPr>
      </w:pPr>
      <w:r>
        <w:rPr>
          <w:rFonts w:cs="Arial"/>
          <w:spacing w:val="-1"/>
          <w:lang w:val="sl-SI"/>
        </w:rPr>
        <w:t>POVZETEK GLAVNIH ZNAČILNOSTI ZDRAVILA</w:t>
      </w:r>
    </w:p>
    <w:p w14:paraId="4EC336F1" w14:textId="77777777" w:rsidR="00E04C8A" w:rsidRDefault="008E1817">
      <w:pPr>
        <w:rPr>
          <w:rFonts w:ascii="Times New Roman" w:eastAsia="맑은 고딕" w:hAnsi="Times New Roman" w:cs="Times New Roman"/>
          <w:lang w:val="sl-SI" w:eastAsia="ko-KR"/>
        </w:rPr>
      </w:pPr>
      <w:r>
        <w:rPr>
          <w:rFonts w:ascii="Times New Roman" w:eastAsia="Times New Roman" w:hAnsi="Times New Roman" w:cs="Times New Roman"/>
          <w:lang w:val="sl-SI"/>
        </w:rPr>
        <w:br w:type="page"/>
      </w:r>
      <w:r>
        <w:rPr>
          <w:rFonts w:ascii="Times New Roman" w:hAnsi="Times New Roman" w:cs="Times New Roman"/>
          <w:noProof/>
          <w:lang w:eastAsia="ko-KR"/>
        </w:rPr>
        <w:lastRenderedPageBreak/>
        <w:drawing>
          <wp:inline distT="0" distB="0" distL="0" distR="0" wp14:anchorId="1AB6247D" wp14:editId="58A297DD">
            <wp:extent cx="203200" cy="169545"/>
            <wp:effectExtent l="0" t="0" r="6350" b="1905"/>
            <wp:docPr id="3" name="그림 3"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41359"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sl-SI"/>
        </w:rPr>
        <w:t>Za to zdravilo se izvaja dodatno spremljanje varnosti. Tako bodo hitreje na voljo nove informacije o njegovi varnosti. Zdravstvene delavce naprošamo, da poročajo o katerem koli domnevnem neželenem učinku zdravila. Glejte poglavje 4.8, kako poročati o neželenih učinkih.</w:t>
      </w:r>
    </w:p>
    <w:p w14:paraId="321FA281" w14:textId="77777777" w:rsidR="00E04C8A" w:rsidRDefault="00E04C8A">
      <w:pPr>
        <w:widowControl/>
        <w:tabs>
          <w:tab w:val="left" w:pos="567"/>
        </w:tabs>
        <w:rPr>
          <w:rFonts w:ascii="Times New Roman" w:eastAsia="Times New Roman" w:hAnsi="Times New Roman" w:cs="Times New Roman"/>
          <w:lang w:val="sl-SI"/>
        </w:rPr>
      </w:pPr>
    </w:p>
    <w:p w14:paraId="02A9F85F" w14:textId="77777777" w:rsidR="00E04C8A" w:rsidRDefault="00E04C8A">
      <w:pPr>
        <w:widowControl/>
        <w:tabs>
          <w:tab w:val="left" w:pos="567"/>
        </w:tabs>
        <w:rPr>
          <w:rFonts w:ascii="Times New Roman" w:eastAsia="Times New Roman" w:hAnsi="Times New Roman" w:cs="Times New Roman"/>
          <w:lang w:val="sl-SI"/>
        </w:rPr>
      </w:pPr>
    </w:p>
    <w:p w14:paraId="4DAA0F41" w14:textId="77777777" w:rsidR="00E04C8A" w:rsidRDefault="008E1817">
      <w:pPr>
        <w:widowControl/>
        <w:numPr>
          <w:ilvl w:val="0"/>
          <w:numId w:val="26"/>
        </w:numPr>
        <w:tabs>
          <w:tab w:val="left" w:pos="567"/>
        </w:tabs>
        <w:spacing w:line="260" w:lineRule="exact"/>
        <w:ind w:left="0" w:firstLine="0"/>
        <w:rPr>
          <w:rFonts w:ascii="Times New Roman" w:hAnsi="Times New Roman" w:cs="Times New Roman"/>
          <w:noProof/>
          <w:lang w:val="sl-SI"/>
        </w:rPr>
      </w:pPr>
      <w:r>
        <w:rPr>
          <w:rFonts w:ascii="Times New Roman" w:eastAsia="Times New Roman" w:hAnsi="Times New Roman" w:cs="Times New Roman"/>
          <w:b/>
          <w:bCs/>
          <w:noProof/>
          <w:lang w:val="sl-SI"/>
        </w:rPr>
        <w:t>IME ZDRAVILA</w:t>
      </w:r>
    </w:p>
    <w:p w14:paraId="10181A0B" w14:textId="77777777" w:rsidR="00E04C8A" w:rsidRDefault="00E04C8A">
      <w:pPr>
        <w:spacing w:line="240" w:lineRule="exact"/>
        <w:rPr>
          <w:rFonts w:ascii="Times New Roman" w:hAnsi="Times New Roman" w:cs="Times New Roman"/>
          <w:lang w:val="sl-SI"/>
        </w:rPr>
      </w:pPr>
    </w:p>
    <w:p w14:paraId="07ABD1EB" w14:textId="77777777" w:rsidR="00E04C8A" w:rsidRDefault="008E1817">
      <w:pPr>
        <w:widowControl/>
        <w:tabs>
          <w:tab w:val="left" w:pos="567"/>
        </w:tabs>
        <w:rPr>
          <w:rFonts w:ascii="Times New Roman" w:eastAsia="Times New Roman" w:hAnsi="Times New Roman" w:cs="Times New Roman"/>
          <w:lang w:val="sl-SI"/>
        </w:rPr>
      </w:pPr>
      <w:r>
        <w:rPr>
          <w:rFonts w:ascii="Times New Roman" w:eastAsia="Times New Roman" w:hAnsi="Times New Roman" w:cs="Times New Roman"/>
          <w:lang w:val="sl-SI"/>
        </w:rPr>
        <w:t>Yuflyma 40 mg raztopina za injiciranje v napolnjeni injekcijski brizgi</w:t>
      </w:r>
    </w:p>
    <w:p w14:paraId="65A0E781" w14:textId="77777777" w:rsidR="00E04C8A" w:rsidRDefault="00E04C8A">
      <w:pPr>
        <w:widowControl/>
        <w:tabs>
          <w:tab w:val="left" w:pos="567"/>
        </w:tabs>
        <w:rPr>
          <w:rFonts w:ascii="Times New Roman" w:eastAsia="Times New Roman" w:hAnsi="Times New Roman" w:cs="Times New Roman"/>
          <w:lang w:val="sl-SI"/>
        </w:rPr>
      </w:pPr>
    </w:p>
    <w:p w14:paraId="68DE3679" w14:textId="77777777" w:rsidR="00E04C8A" w:rsidRDefault="008E1817">
      <w:pPr>
        <w:widowControl/>
        <w:tabs>
          <w:tab w:val="left" w:pos="567"/>
        </w:tabs>
        <w:rPr>
          <w:rFonts w:ascii="Times New Roman" w:eastAsia="Times New Roman" w:hAnsi="Times New Roman" w:cs="Times New Roman"/>
          <w:lang w:val="sl-SI"/>
        </w:rPr>
      </w:pPr>
      <w:r>
        <w:rPr>
          <w:rFonts w:ascii="Times New Roman" w:eastAsia="Times New Roman" w:hAnsi="Times New Roman" w:cs="Times New Roman"/>
          <w:lang w:val="sl-SI"/>
        </w:rPr>
        <w:t>Yuflyma 40 mg raztopina za injiciranje v napolnjenem injekcijskem peresniku</w:t>
      </w:r>
    </w:p>
    <w:p w14:paraId="2FDCAE67" w14:textId="77777777" w:rsidR="00E04C8A" w:rsidRDefault="00E04C8A">
      <w:pPr>
        <w:spacing w:line="200" w:lineRule="exact"/>
        <w:rPr>
          <w:rFonts w:ascii="Times New Roman" w:hAnsi="Times New Roman" w:cs="Times New Roman"/>
          <w:lang w:val="sl-SI"/>
        </w:rPr>
      </w:pPr>
    </w:p>
    <w:p w14:paraId="401B7538" w14:textId="77777777" w:rsidR="00E04C8A" w:rsidRPr="006E6F5B" w:rsidRDefault="00E04C8A">
      <w:pPr>
        <w:widowControl/>
        <w:tabs>
          <w:tab w:val="left" w:pos="567"/>
        </w:tabs>
        <w:spacing w:line="260" w:lineRule="exact"/>
        <w:rPr>
          <w:rFonts w:ascii="Times New Roman" w:eastAsia="Times New Roman" w:hAnsi="Times New Roman" w:cs="Times New Roman"/>
          <w:b/>
          <w:noProof/>
          <w:lang w:val="sl-SI"/>
        </w:rPr>
      </w:pPr>
    </w:p>
    <w:p w14:paraId="786CA9FA" w14:textId="77777777" w:rsidR="00E04C8A" w:rsidRDefault="008E1817">
      <w:pPr>
        <w:widowControl/>
        <w:numPr>
          <w:ilvl w:val="0"/>
          <w:numId w:val="26"/>
        </w:numPr>
        <w:tabs>
          <w:tab w:val="left" w:pos="567"/>
        </w:tabs>
        <w:spacing w:line="260" w:lineRule="exact"/>
        <w:ind w:left="0" w:firstLine="0"/>
        <w:rPr>
          <w:rFonts w:ascii="Times New Roman" w:hAnsi="Times New Roman" w:cs="Times New Roman"/>
          <w:b/>
          <w:bCs/>
          <w:spacing w:val="-1"/>
          <w:lang w:val="sl-SI"/>
        </w:rPr>
      </w:pPr>
      <w:r>
        <w:rPr>
          <w:rFonts w:ascii="Times New Roman" w:eastAsia="Times New Roman" w:hAnsi="Times New Roman" w:cs="Times New Roman"/>
          <w:b/>
          <w:bCs/>
          <w:noProof/>
          <w:lang w:val="sl-SI"/>
        </w:rPr>
        <w:t>KAKOVOSTNA IN KOLIČINSKA SESTAVA</w:t>
      </w:r>
    </w:p>
    <w:p w14:paraId="7BC1C458" w14:textId="77777777" w:rsidR="00E04C8A" w:rsidRDefault="00E04C8A">
      <w:pPr>
        <w:widowControl/>
        <w:tabs>
          <w:tab w:val="left" w:pos="567"/>
        </w:tabs>
        <w:rPr>
          <w:rFonts w:ascii="Times New Roman" w:eastAsia="Times New Roman" w:hAnsi="Times New Roman" w:cs="Times New Roman"/>
          <w:u w:val="single"/>
          <w:lang w:val="sl-SI"/>
        </w:rPr>
      </w:pPr>
    </w:p>
    <w:p w14:paraId="53964CCB" w14:textId="77777777" w:rsidR="00E04C8A" w:rsidRDefault="008E1817">
      <w:pPr>
        <w:widowControl/>
        <w:tabs>
          <w:tab w:val="left" w:pos="567"/>
        </w:tabs>
        <w:rPr>
          <w:rFonts w:ascii="Times New Roman" w:eastAsia="Times New Roman" w:hAnsi="Times New Roman" w:cs="Times New Roman"/>
          <w:u w:val="single"/>
          <w:lang w:val="sl-SI"/>
        </w:rPr>
      </w:pPr>
      <w:r>
        <w:rPr>
          <w:rFonts w:ascii="Times New Roman" w:eastAsia="Times New Roman" w:hAnsi="Times New Roman" w:cs="Times New Roman"/>
          <w:u w:val="single"/>
          <w:lang w:val="sl-SI"/>
        </w:rPr>
        <w:t>Yuflyma 40 mg raztopina za injiciranje v napolnjeni injekcijski brizgi</w:t>
      </w:r>
    </w:p>
    <w:p w14:paraId="480CE615" w14:textId="77777777" w:rsidR="00E04C8A" w:rsidRDefault="00E04C8A">
      <w:pPr>
        <w:widowControl/>
        <w:tabs>
          <w:tab w:val="left" w:pos="567"/>
        </w:tabs>
        <w:adjustRightInd w:val="0"/>
        <w:rPr>
          <w:rFonts w:ascii="Times New Roman" w:eastAsia="Times New Roman" w:hAnsi="Times New Roman" w:cs="Times New Roman"/>
          <w:lang w:val="sl-SI"/>
        </w:rPr>
      </w:pPr>
    </w:p>
    <w:p w14:paraId="31E38168" w14:textId="77777777" w:rsidR="00E04C8A" w:rsidRDefault="008E1817">
      <w:pPr>
        <w:widowControl/>
        <w:tabs>
          <w:tab w:val="left" w:pos="567"/>
        </w:tabs>
        <w:adjustRightInd w:val="0"/>
        <w:rPr>
          <w:rFonts w:ascii="Times New Roman" w:hAnsi="Times New Roman" w:cs="Times New Roman"/>
          <w:lang w:val="sl-SI"/>
        </w:rPr>
      </w:pPr>
      <w:r>
        <w:rPr>
          <w:rFonts w:ascii="Times New Roman" w:eastAsia="Times New Roman" w:hAnsi="Times New Roman" w:cs="Times New Roman"/>
          <w:lang w:val="sl-SI"/>
        </w:rPr>
        <w:t>Ena 0,4-mililitrska napolnjena injekcijska brizga z enkratnim odmerkom vsebuje 40 mg adalimumaba.</w:t>
      </w:r>
    </w:p>
    <w:p w14:paraId="7FE83B15" w14:textId="77777777" w:rsidR="00E04C8A" w:rsidRDefault="00E04C8A">
      <w:pPr>
        <w:spacing w:line="240" w:lineRule="exact"/>
        <w:rPr>
          <w:rFonts w:ascii="Times New Roman" w:hAnsi="Times New Roman" w:cs="Times New Roman"/>
          <w:lang w:val="sl-SI"/>
        </w:rPr>
      </w:pPr>
    </w:p>
    <w:p w14:paraId="0B2F9FB3" w14:textId="77777777" w:rsidR="00E04C8A" w:rsidRDefault="008E1817">
      <w:pPr>
        <w:widowControl/>
        <w:tabs>
          <w:tab w:val="left" w:pos="567"/>
        </w:tabs>
        <w:rPr>
          <w:rFonts w:ascii="Times New Roman" w:eastAsia="Times New Roman" w:hAnsi="Times New Roman" w:cs="Times New Roman"/>
          <w:u w:val="single"/>
          <w:lang w:val="sl-SI"/>
        </w:rPr>
      </w:pPr>
      <w:r>
        <w:rPr>
          <w:rFonts w:ascii="Times New Roman" w:eastAsia="Times New Roman" w:hAnsi="Times New Roman" w:cs="Times New Roman"/>
          <w:u w:val="single"/>
          <w:lang w:val="sl-SI"/>
        </w:rPr>
        <w:t>Yuflyma 40 mg raztopina za injiciranje v napolnjenem injekcijskem peresniku</w:t>
      </w:r>
    </w:p>
    <w:p w14:paraId="3D0E4E4D" w14:textId="77777777" w:rsidR="00E04C8A" w:rsidRDefault="00E04C8A">
      <w:pPr>
        <w:widowControl/>
        <w:tabs>
          <w:tab w:val="left" w:pos="567"/>
        </w:tabs>
        <w:rPr>
          <w:rFonts w:ascii="Times New Roman" w:hAnsi="Times New Roman" w:cs="Times New Roman"/>
          <w:lang w:val="sl-SI"/>
        </w:rPr>
      </w:pPr>
    </w:p>
    <w:p w14:paraId="68DEA342" w14:textId="77777777" w:rsidR="00E04C8A" w:rsidRDefault="008E1817">
      <w:pPr>
        <w:widowControl/>
        <w:tabs>
          <w:tab w:val="left" w:pos="567"/>
        </w:tabs>
        <w:adjustRightInd w:val="0"/>
        <w:rPr>
          <w:rFonts w:ascii="Times New Roman" w:eastAsia="Times New Roman" w:hAnsi="Times New Roman" w:cs="Times New Roman"/>
          <w:lang w:val="sl-SI"/>
        </w:rPr>
      </w:pPr>
      <w:r>
        <w:rPr>
          <w:rFonts w:ascii="Times New Roman" w:eastAsia="Times New Roman" w:hAnsi="Times New Roman" w:cs="Times New Roman"/>
          <w:lang w:val="sl-SI"/>
        </w:rPr>
        <w:t>En 0,4-ml napolnjen injekcijski peresnik z enkratnim odmerkom vsebuje 40 mg adalimumaba.</w:t>
      </w:r>
    </w:p>
    <w:p w14:paraId="4029F929" w14:textId="77777777" w:rsidR="00E04C8A" w:rsidRDefault="00E04C8A">
      <w:pPr>
        <w:spacing w:line="240" w:lineRule="exact"/>
        <w:rPr>
          <w:rFonts w:ascii="Times New Roman" w:hAnsi="Times New Roman" w:cs="Times New Roman"/>
          <w:lang w:val="sl-SI"/>
        </w:rPr>
      </w:pPr>
    </w:p>
    <w:p w14:paraId="25488019" w14:textId="655F999F" w:rsidR="00E04C8A" w:rsidRDefault="008E1817">
      <w:pPr>
        <w:widowControl/>
        <w:tabs>
          <w:tab w:val="left" w:pos="567"/>
        </w:tabs>
        <w:adjustRightInd w:val="0"/>
        <w:rPr>
          <w:rFonts w:ascii="Times New Roman" w:eastAsia="Times New Roman" w:hAnsi="Times New Roman" w:cs="Times New Roman"/>
          <w:lang w:val="sl-SI"/>
        </w:rPr>
      </w:pPr>
      <w:r>
        <w:rPr>
          <w:rFonts w:ascii="Times New Roman" w:eastAsia="Times New Roman" w:hAnsi="Times New Roman" w:cs="Times New Roman"/>
          <w:lang w:val="sl-SI"/>
        </w:rPr>
        <w:t>Adalimumab je rekombinantno humano monoklonsko protitelo, pridobljeno v celicah jajčnika kitajskega hrčka.</w:t>
      </w:r>
    </w:p>
    <w:p w14:paraId="69670FA1" w14:textId="77777777" w:rsidR="00E04C8A" w:rsidRDefault="00E04C8A">
      <w:pPr>
        <w:widowControl/>
        <w:tabs>
          <w:tab w:val="left" w:pos="567"/>
        </w:tabs>
        <w:adjustRightInd w:val="0"/>
        <w:rPr>
          <w:rFonts w:ascii="Times New Roman" w:eastAsia="Times New Roman" w:hAnsi="Times New Roman" w:cs="Times New Roman"/>
          <w:lang w:val="sl-SI"/>
        </w:rPr>
      </w:pPr>
    </w:p>
    <w:p w14:paraId="31CF7772" w14:textId="77777777" w:rsidR="00E04C8A" w:rsidRDefault="008E1817">
      <w:pPr>
        <w:widowControl/>
        <w:tabs>
          <w:tab w:val="left" w:pos="567"/>
        </w:tabs>
        <w:adjustRightInd w:val="0"/>
        <w:rPr>
          <w:rFonts w:ascii="Times New Roman" w:eastAsia="Times New Roman" w:hAnsi="Times New Roman" w:cs="Times New Roman"/>
          <w:lang w:val="sl-SI"/>
        </w:rPr>
      </w:pPr>
      <w:r>
        <w:rPr>
          <w:rFonts w:ascii="Times New Roman" w:eastAsia="Times New Roman" w:hAnsi="Times New Roman" w:cs="Times New Roman"/>
          <w:lang w:val="sl-SI"/>
        </w:rPr>
        <w:t>Za celoten seznam pomožnih snovi glejte poglavje 6.1.</w:t>
      </w:r>
    </w:p>
    <w:p w14:paraId="7F260FBA" w14:textId="77777777" w:rsidR="00E04C8A" w:rsidRDefault="00E04C8A">
      <w:pPr>
        <w:spacing w:line="260" w:lineRule="exact"/>
        <w:rPr>
          <w:rFonts w:ascii="Times New Roman" w:hAnsi="Times New Roman" w:cs="Times New Roman"/>
          <w:lang w:val="sl-SI"/>
        </w:rPr>
      </w:pPr>
    </w:p>
    <w:p w14:paraId="72363F10" w14:textId="77777777" w:rsidR="00E04C8A" w:rsidRDefault="00E04C8A">
      <w:pPr>
        <w:spacing w:line="260" w:lineRule="exact"/>
        <w:rPr>
          <w:rFonts w:ascii="Times New Roman" w:hAnsi="Times New Roman" w:cs="Times New Roman"/>
          <w:lang w:val="sl-SI"/>
        </w:rPr>
      </w:pPr>
    </w:p>
    <w:p w14:paraId="261E499E" w14:textId="77777777" w:rsidR="00E04C8A" w:rsidRDefault="008E1817">
      <w:pPr>
        <w:widowControl/>
        <w:numPr>
          <w:ilvl w:val="0"/>
          <w:numId w:val="26"/>
        </w:numPr>
        <w:tabs>
          <w:tab w:val="left" w:pos="567"/>
        </w:tabs>
        <w:spacing w:line="260" w:lineRule="exact"/>
        <w:ind w:left="0" w:firstLine="0"/>
        <w:rPr>
          <w:rFonts w:ascii="Times New Roman" w:hAnsi="Times New Roman" w:cs="Times New Roman"/>
          <w:b/>
          <w:spacing w:val="-1"/>
          <w:lang w:val="sl-SI"/>
        </w:rPr>
      </w:pPr>
      <w:r>
        <w:rPr>
          <w:rFonts w:ascii="Times New Roman" w:eastAsia="Times New Roman" w:hAnsi="Times New Roman" w:cs="Times New Roman"/>
          <w:b/>
          <w:bCs/>
          <w:noProof/>
          <w:lang w:val="sl-SI"/>
        </w:rPr>
        <w:t>FARMACEVTSKA OBLIKA</w:t>
      </w:r>
    </w:p>
    <w:p w14:paraId="72FAEF2A" w14:textId="77777777" w:rsidR="00E04C8A" w:rsidRDefault="00E04C8A">
      <w:pPr>
        <w:spacing w:line="240" w:lineRule="exact"/>
        <w:rPr>
          <w:rFonts w:ascii="Times New Roman" w:hAnsi="Times New Roman" w:cs="Times New Roman"/>
          <w:lang w:val="sl-SI"/>
        </w:rPr>
      </w:pPr>
    </w:p>
    <w:p w14:paraId="1FB60403" w14:textId="77777777" w:rsidR="00E04C8A" w:rsidRDefault="008E1817">
      <w:pPr>
        <w:widowControl/>
        <w:tabs>
          <w:tab w:val="left" w:pos="567"/>
        </w:tabs>
        <w:adjustRightInd w:val="0"/>
        <w:rPr>
          <w:rFonts w:ascii="Times New Roman" w:eastAsia="Times New Roman" w:hAnsi="Times New Roman" w:cs="Times New Roman"/>
          <w:lang w:val="sl-SI"/>
        </w:rPr>
      </w:pPr>
      <w:r>
        <w:rPr>
          <w:rFonts w:ascii="Times New Roman" w:eastAsia="Times New Roman" w:hAnsi="Times New Roman" w:cs="Times New Roman"/>
          <w:lang w:val="sl-SI"/>
        </w:rPr>
        <w:t xml:space="preserve">raztopina za injiciranje (injekcija) </w:t>
      </w:r>
    </w:p>
    <w:p w14:paraId="24C4B458" w14:textId="77777777" w:rsidR="00E04C8A" w:rsidRDefault="00E04C8A">
      <w:pPr>
        <w:widowControl/>
        <w:tabs>
          <w:tab w:val="left" w:pos="567"/>
        </w:tabs>
        <w:adjustRightInd w:val="0"/>
        <w:rPr>
          <w:rFonts w:ascii="Times New Roman" w:eastAsia="Times New Roman" w:hAnsi="Times New Roman" w:cs="Times New Roman"/>
          <w:lang w:val="sl-SI"/>
        </w:rPr>
      </w:pPr>
    </w:p>
    <w:p w14:paraId="294751DC" w14:textId="77777777" w:rsidR="00E04C8A" w:rsidRDefault="008E1817">
      <w:pPr>
        <w:widowControl/>
        <w:tabs>
          <w:tab w:val="left" w:pos="567"/>
        </w:tabs>
        <w:adjustRightInd w:val="0"/>
        <w:rPr>
          <w:rFonts w:ascii="Times New Roman" w:eastAsia="Times New Roman" w:hAnsi="Times New Roman" w:cs="Times New Roman"/>
          <w:lang w:val="sl-SI"/>
        </w:rPr>
      </w:pPr>
      <w:r>
        <w:rPr>
          <w:rFonts w:ascii="Times New Roman" w:eastAsia="Times New Roman" w:hAnsi="Times New Roman" w:cs="Times New Roman"/>
          <w:lang w:val="sl-SI"/>
        </w:rPr>
        <w:t>Bistra do rahlo motna, brezbarvna do bledo rjavkasta raztopina.</w:t>
      </w:r>
    </w:p>
    <w:p w14:paraId="301C401C" w14:textId="77777777" w:rsidR="00E04C8A" w:rsidRDefault="00E04C8A">
      <w:pPr>
        <w:spacing w:line="260" w:lineRule="exact"/>
        <w:rPr>
          <w:rFonts w:ascii="Times New Roman" w:hAnsi="Times New Roman" w:cs="Times New Roman"/>
          <w:lang w:val="sl-SI"/>
        </w:rPr>
      </w:pPr>
    </w:p>
    <w:p w14:paraId="46D44E2F" w14:textId="77777777" w:rsidR="00E04C8A" w:rsidRDefault="00E04C8A">
      <w:pPr>
        <w:spacing w:line="260" w:lineRule="exact"/>
        <w:rPr>
          <w:rFonts w:ascii="Times New Roman" w:hAnsi="Times New Roman" w:cs="Times New Roman"/>
          <w:lang w:val="sl-SI"/>
        </w:rPr>
      </w:pPr>
    </w:p>
    <w:p w14:paraId="59C83D03" w14:textId="77777777" w:rsidR="00E04C8A" w:rsidRDefault="008E1817">
      <w:pPr>
        <w:widowControl/>
        <w:numPr>
          <w:ilvl w:val="0"/>
          <w:numId w:val="26"/>
        </w:numPr>
        <w:tabs>
          <w:tab w:val="left" w:pos="567"/>
        </w:tabs>
        <w:spacing w:line="260" w:lineRule="exact"/>
        <w:ind w:left="0" w:firstLine="0"/>
        <w:rPr>
          <w:rFonts w:ascii="Times New Roman" w:hAnsi="Times New Roman" w:cs="Times New Roman"/>
          <w:b/>
          <w:spacing w:val="-1"/>
          <w:lang w:val="sl-SI"/>
        </w:rPr>
      </w:pPr>
      <w:r>
        <w:rPr>
          <w:rFonts w:ascii="Times New Roman" w:eastAsia="Times New Roman" w:hAnsi="Times New Roman" w:cs="Times New Roman"/>
          <w:b/>
          <w:bCs/>
          <w:noProof/>
          <w:lang w:val="sl-SI"/>
        </w:rPr>
        <w:t>KLINIČNI PODATKI</w:t>
      </w:r>
    </w:p>
    <w:p w14:paraId="71D9710E" w14:textId="77777777" w:rsidR="00E04C8A" w:rsidRDefault="00E04C8A">
      <w:pPr>
        <w:pStyle w:val="a4"/>
        <w:tabs>
          <w:tab w:val="left" w:pos="672"/>
        </w:tabs>
        <w:rPr>
          <w:rFonts w:ascii="Times New Roman" w:eastAsia="Times New Roman" w:hAnsi="Times New Roman" w:cs="Times New Roman"/>
          <w:b/>
          <w:noProof/>
          <w:lang w:val="sl-SI"/>
        </w:rPr>
      </w:pPr>
    </w:p>
    <w:p w14:paraId="3DD3258A" w14:textId="77777777" w:rsidR="00E04C8A" w:rsidRDefault="008E1817">
      <w:pPr>
        <w:widowControl/>
        <w:numPr>
          <w:ilvl w:val="1"/>
          <w:numId w:val="14"/>
        </w:numPr>
        <w:tabs>
          <w:tab w:val="left" w:pos="567"/>
        </w:tabs>
        <w:spacing w:line="260" w:lineRule="exact"/>
        <w:ind w:firstLine="0"/>
        <w:rPr>
          <w:rFonts w:ascii="Times New Roman" w:eastAsia="Times New Roman" w:hAnsi="Times New Roman" w:cs="Times New Roman"/>
          <w:lang w:val="sl-SI"/>
        </w:rPr>
      </w:pPr>
      <w:r>
        <w:rPr>
          <w:rFonts w:ascii="Times New Roman" w:eastAsia="Times New Roman" w:hAnsi="Times New Roman" w:cs="Times New Roman"/>
          <w:b/>
          <w:bCs/>
          <w:noProof/>
          <w:lang w:val="sl-SI"/>
        </w:rPr>
        <w:t>Terapevtske indikacije</w:t>
      </w:r>
    </w:p>
    <w:p w14:paraId="6853F7EC" w14:textId="77777777" w:rsidR="00E04C8A" w:rsidRDefault="00E04C8A">
      <w:pPr>
        <w:spacing w:line="240" w:lineRule="exact"/>
        <w:rPr>
          <w:rFonts w:ascii="Times New Roman" w:hAnsi="Times New Roman" w:cs="Times New Roman"/>
          <w:lang w:val="sl-SI"/>
        </w:rPr>
      </w:pPr>
    </w:p>
    <w:p w14:paraId="785AFBF0" w14:textId="77777777" w:rsidR="00E04C8A" w:rsidRDefault="008E1817">
      <w:pPr>
        <w:pStyle w:val="a3"/>
        <w:rPr>
          <w:u w:val="single"/>
          <w:lang w:val="sl-SI"/>
        </w:rPr>
      </w:pPr>
      <w:r>
        <w:rPr>
          <w:rFonts w:eastAsia="Times New Roman"/>
          <w:u w:val="single" w:color="000000"/>
          <w:lang w:val="sl-SI"/>
        </w:rPr>
        <w:t>Revmatoidni artritis</w:t>
      </w:r>
    </w:p>
    <w:p w14:paraId="558012E8" w14:textId="77777777" w:rsidR="00E04C8A" w:rsidRDefault="00E04C8A">
      <w:pPr>
        <w:spacing w:line="170" w:lineRule="exact"/>
        <w:rPr>
          <w:rFonts w:ascii="Times New Roman" w:hAnsi="Times New Roman" w:cs="Times New Roman"/>
          <w:lang w:val="sl-SI"/>
        </w:rPr>
      </w:pPr>
    </w:p>
    <w:p w14:paraId="2D623DB3" w14:textId="77777777" w:rsidR="00E04C8A" w:rsidRDefault="008E1817">
      <w:pPr>
        <w:pStyle w:val="a3"/>
        <w:rPr>
          <w:lang w:val="sl-SI"/>
        </w:rPr>
      </w:pPr>
      <w:r>
        <w:rPr>
          <w:rFonts w:eastAsia="Times New Roman"/>
          <w:lang w:val="sl-SI"/>
        </w:rPr>
        <w:t>Zdravilo Yuflyma v kombinaciji z metotreksatom je indicirano za:</w:t>
      </w:r>
    </w:p>
    <w:p w14:paraId="2CE5D9B0" w14:textId="77777777" w:rsidR="00E04C8A" w:rsidRDefault="00E04C8A">
      <w:pPr>
        <w:spacing w:line="240" w:lineRule="exact"/>
        <w:rPr>
          <w:rFonts w:ascii="Times New Roman" w:hAnsi="Times New Roman" w:cs="Times New Roman"/>
          <w:lang w:val="sl-SI"/>
        </w:rPr>
      </w:pPr>
    </w:p>
    <w:p w14:paraId="08DD10BA" w14:textId="77777777" w:rsidR="00E04C8A" w:rsidRDefault="008E1817">
      <w:pPr>
        <w:pStyle w:val="a3"/>
        <w:numPr>
          <w:ilvl w:val="0"/>
          <w:numId w:val="15"/>
        </w:numPr>
        <w:ind w:left="660" w:hanging="660"/>
        <w:rPr>
          <w:lang w:val="sl-SI"/>
        </w:rPr>
      </w:pPr>
      <w:r>
        <w:rPr>
          <w:rFonts w:eastAsia="Times New Roman"/>
          <w:lang w:val="sl-SI"/>
        </w:rPr>
        <w:t>zdravljenje zmernega do hudega, aktivnega revmatoidnega artritisa pri odraslih bolnikih, če je bil odziv na imunomodulirajoča protirevmatična zdravila, vključno z metotreksatom, neustrezen.</w:t>
      </w:r>
    </w:p>
    <w:p w14:paraId="23D7769B" w14:textId="77777777" w:rsidR="00E04C8A" w:rsidRDefault="008E1817">
      <w:pPr>
        <w:pStyle w:val="a3"/>
        <w:numPr>
          <w:ilvl w:val="0"/>
          <w:numId w:val="15"/>
        </w:numPr>
        <w:ind w:left="660" w:hanging="660"/>
        <w:rPr>
          <w:lang w:val="sl-SI"/>
        </w:rPr>
      </w:pPr>
      <w:r>
        <w:rPr>
          <w:rFonts w:eastAsia="Times New Roman"/>
          <w:lang w:val="sl-SI"/>
        </w:rPr>
        <w:t>zdravljenje hudega, aktivnega in progresivnega revmatoidnega artritisa pri odraslih, ki predhodno niso bili zdravljeni z metotreksatom.</w:t>
      </w:r>
    </w:p>
    <w:p w14:paraId="1BEDD348" w14:textId="77777777" w:rsidR="00E04C8A" w:rsidRDefault="00E04C8A">
      <w:pPr>
        <w:spacing w:line="240" w:lineRule="exact"/>
        <w:rPr>
          <w:rFonts w:ascii="Times New Roman" w:hAnsi="Times New Roman" w:cs="Times New Roman"/>
          <w:lang w:val="sl-SI"/>
        </w:rPr>
      </w:pPr>
    </w:p>
    <w:p w14:paraId="0DCF22C3" w14:textId="77777777" w:rsidR="00E04C8A" w:rsidRDefault="008E1817">
      <w:pPr>
        <w:pStyle w:val="a3"/>
        <w:rPr>
          <w:lang w:val="sl-SI"/>
        </w:rPr>
      </w:pPr>
      <w:r>
        <w:rPr>
          <w:rFonts w:eastAsia="Times New Roman"/>
          <w:lang w:val="sl-SI"/>
        </w:rPr>
        <w:t>Zdravilo Yuflyma se lahko daje kot monoterapija v primeru intolerance za metotreksat ali kadar je nadaljnje zdravljenje z metotreksatom neprimerno.</w:t>
      </w:r>
    </w:p>
    <w:p w14:paraId="5E754FC1" w14:textId="77777777" w:rsidR="00E04C8A" w:rsidRDefault="00E04C8A">
      <w:pPr>
        <w:spacing w:line="240" w:lineRule="exact"/>
        <w:rPr>
          <w:rFonts w:ascii="Times New Roman" w:hAnsi="Times New Roman" w:cs="Times New Roman"/>
          <w:lang w:val="sl-SI"/>
        </w:rPr>
      </w:pPr>
    </w:p>
    <w:p w14:paraId="558192CD" w14:textId="7A1C7207" w:rsidR="00E04C8A" w:rsidRDefault="008E1817">
      <w:pPr>
        <w:pStyle w:val="a3"/>
        <w:rPr>
          <w:lang w:val="sl-SI"/>
        </w:rPr>
      </w:pPr>
      <w:r>
        <w:rPr>
          <w:rFonts w:eastAsia="Times New Roman"/>
          <w:lang w:val="sl-SI" w:eastAsia="ko-KR"/>
        </w:rPr>
        <w:t xml:space="preserve">Dokazano je bilo, da adalimumab </w:t>
      </w:r>
      <w:r w:rsidR="004176E6">
        <w:rPr>
          <w:rFonts w:eastAsia="Times New Roman"/>
          <w:lang w:val="sl-SI" w:eastAsia="ko-KR"/>
        </w:rPr>
        <w:t>upočasni hitrost</w:t>
      </w:r>
      <w:r>
        <w:rPr>
          <w:rFonts w:eastAsia="Times New Roman"/>
          <w:lang w:val="sl-SI" w:eastAsia="ko-KR"/>
        </w:rPr>
        <w:t xml:space="preserve"> napredovanja </w:t>
      </w:r>
      <w:r w:rsidR="009B437A">
        <w:rPr>
          <w:rFonts w:eastAsia="Times New Roman"/>
          <w:lang w:val="sl-SI" w:eastAsia="ko-KR"/>
        </w:rPr>
        <w:t>prizadetosti</w:t>
      </w:r>
      <w:r>
        <w:rPr>
          <w:rFonts w:eastAsia="Times New Roman"/>
          <w:lang w:val="sl-SI" w:eastAsia="ko-KR"/>
        </w:rPr>
        <w:t xml:space="preserve"> sklepov, kot je bilo izmerjeno z rentgenskim posnetkom, in izboljša telesno funkcijo, kadar se daje v kombinaciji z metotreksatom.</w:t>
      </w:r>
    </w:p>
    <w:p w14:paraId="66E9ADB1" w14:textId="77777777" w:rsidR="00E04C8A" w:rsidRDefault="00E04C8A">
      <w:pPr>
        <w:pStyle w:val="a3"/>
        <w:rPr>
          <w:u w:color="000000"/>
          <w:lang w:val="sl-SI"/>
        </w:rPr>
      </w:pPr>
    </w:p>
    <w:p w14:paraId="2DB95CBB" w14:textId="77777777" w:rsidR="00E04C8A" w:rsidRDefault="008E1817">
      <w:pPr>
        <w:pStyle w:val="a3"/>
        <w:rPr>
          <w:u w:val="single" w:color="000000"/>
          <w:lang w:val="sl-SI"/>
        </w:rPr>
      </w:pPr>
      <w:r>
        <w:rPr>
          <w:rFonts w:eastAsia="Times New Roman"/>
          <w:u w:val="single" w:color="000000"/>
          <w:lang w:val="sl-SI"/>
        </w:rPr>
        <w:t>Juvenilni idiopatski artritis</w:t>
      </w:r>
    </w:p>
    <w:p w14:paraId="3B274E52" w14:textId="77777777" w:rsidR="00E04C8A" w:rsidRDefault="00E04C8A">
      <w:pPr>
        <w:spacing w:line="180" w:lineRule="exact"/>
        <w:rPr>
          <w:rFonts w:ascii="Times New Roman" w:hAnsi="Times New Roman" w:cs="Times New Roman"/>
          <w:lang w:val="sl-SI"/>
        </w:rPr>
      </w:pPr>
    </w:p>
    <w:p w14:paraId="6DF47834" w14:textId="77777777" w:rsidR="00E04C8A" w:rsidRDefault="008E1817">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Poliartikularni juvenilni idiopatski artritis</w:t>
      </w:r>
    </w:p>
    <w:p w14:paraId="56B4499E" w14:textId="77777777" w:rsidR="00E04C8A" w:rsidRDefault="00E04C8A">
      <w:pPr>
        <w:spacing w:line="240" w:lineRule="exact"/>
        <w:rPr>
          <w:rFonts w:ascii="Times New Roman" w:hAnsi="Times New Roman" w:cs="Times New Roman"/>
          <w:lang w:val="sl-SI"/>
        </w:rPr>
      </w:pPr>
    </w:p>
    <w:p w14:paraId="5D790D6F" w14:textId="03DBD295" w:rsidR="00E04C8A" w:rsidRDefault="008E1817">
      <w:pPr>
        <w:pStyle w:val="a3"/>
        <w:rPr>
          <w:lang w:val="sl-SI"/>
        </w:rPr>
      </w:pPr>
      <w:r>
        <w:rPr>
          <w:rFonts w:eastAsia="Times New Roman"/>
          <w:lang w:val="sl-SI"/>
        </w:rPr>
        <w:t>Zdravilo Yuflyma je v kombinaciji z metotreksatom indicirano za zdravljenje aktivnega poliartikularnega juvenilnega idiopatskega artritisa pri bolnikih, starih 2 leti ali več, ki se ne odzovejo ustrezno na eno ali več imunomodulirajočih antirevmatičnih zdravil (DMARDs – disease-modifying anti-rheumatic drugs). Zdravilo Yuflyma se lahko daje kot monoterapija v primeru intolerance za metotreksat ali kadar je nadaljnje zdravljenje z metotreksatom neprimerno (za učinkovitost monoterapije glejte poglavje 5.1). Študije z adalimumabom pri bolnikih</w:t>
      </w:r>
      <w:r w:rsidR="00C55486">
        <w:rPr>
          <w:rFonts w:eastAsia="Times New Roman"/>
          <w:lang w:val="sl-SI"/>
        </w:rPr>
        <w:t>,</w:t>
      </w:r>
      <w:r>
        <w:rPr>
          <w:rFonts w:eastAsia="Times New Roman"/>
          <w:lang w:val="sl-SI"/>
        </w:rPr>
        <w:t xml:space="preserve"> mlajših od 2 let</w:t>
      </w:r>
      <w:r w:rsidR="00C55486">
        <w:rPr>
          <w:rFonts w:eastAsia="Times New Roman"/>
          <w:lang w:val="sl-SI"/>
        </w:rPr>
        <w:t>,</w:t>
      </w:r>
      <w:r>
        <w:rPr>
          <w:rFonts w:eastAsia="Times New Roman"/>
          <w:lang w:val="sl-SI"/>
        </w:rPr>
        <w:t xml:space="preserve"> niso bile izvedene.</w:t>
      </w:r>
    </w:p>
    <w:p w14:paraId="08054FC4" w14:textId="77777777" w:rsidR="00E04C8A" w:rsidRPr="00C55486" w:rsidRDefault="00E04C8A">
      <w:pPr>
        <w:spacing w:line="240" w:lineRule="exact"/>
        <w:rPr>
          <w:rFonts w:ascii="Times New Roman" w:hAnsi="Times New Roman" w:cs="Times New Roman"/>
          <w:lang w:val="sl-SI"/>
        </w:rPr>
      </w:pPr>
    </w:p>
    <w:p w14:paraId="4ED1D005" w14:textId="77777777" w:rsidR="00E04C8A" w:rsidRDefault="008E1817">
      <w:pPr>
        <w:rPr>
          <w:rFonts w:ascii="Times New Roman" w:eastAsia="Times New Roman" w:hAnsi="Times New Roman" w:cs="Times New Roman"/>
          <w:lang w:val="sl-SI"/>
        </w:rPr>
      </w:pPr>
      <w:r>
        <w:rPr>
          <w:rFonts w:ascii="Times New Roman" w:eastAsia="Times New Roman" w:hAnsi="Times New Roman" w:cs="Times New Roman"/>
          <w:i/>
          <w:iCs/>
          <w:lang w:val="sl-SI"/>
        </w:rPr>
        <w:t>Artritis, povezan z entezitisom</w:t>
      </w:r>
    </w:p>
    <w:p w14:paraId="62262409" w14:textId="77777777" w:rsidR="00E04C8A" w:rsidRDefault="00E04C8A">
      <w:pPr>
        <w:spacing w:line="240" w:lineRule="exact"/>
        <w:rPr>
          <w:rFonts w:ascii="Times New Roman" w:hAnsi="Times New Roman" w:cs="Times New Roman"/>
          <w:lang w:val="sl-SI"/>
        </w:rPr>
      </w:pPr>
    </w:p>
    <w:p w14:paraId="6C414D66" w14:textId="77777777" w:rsidR="00E04C8A" w:rsidRDefault="008E1817">
      <w:pPr>
        <w:pStyle w:val="a3"/>
        <w:rPr>
          <w:lang w:val="sl-SI"/>
        </w:rPr>
      </w:pPr>
      <w:r>
        <w:rPr>
          <w:rFonts w:eastAsia="Times New Roman"/>
          <w:lang w:val="sl-SI"/>
        </w:rPr>
        <w:t>Zdravilo Yuflyma je indicirano za zdravljenje aktivnega artritisa, povezanega z entezitisom, pri bolnikih, starih 6 let in več, ki so se neustrezno odzvali ali so intolerantni za običajno zdravljenje (glejte poglavje 5.1).</w:t>
      </w:r>
    </w:p>
    <w:p w14:paraId="204343FC" w14:textId="77777777" w:rsidR="00E04C8A" w:rsidRDefault="00E04C8A">
      <w:pPr>
        <w:spacing w:line="240" w:lineRule="exact"/>
        <w:rPr>
          <w:rFonts w:ascii="Times New Roman" w:hAnsi="Times New Roman" w:cs="Times New Roman"/>
          <w:lang w:val="sl-SI"/>
        </w:rPr>
      </w:pPr>
    </w:p>
    <w:p w14:paraId="4F93CCD3" w14:textId="77777777" w:rsidR="00E04C8A" w:rsidRDefault="008E1817">
      <w:pPr>
        <w:pStyle w:val="a3"/>
        <w:rPr>
          <w:u w:val="single" w:color="000000"/>
          <w:lang w:val="sl-SI"/>
        </w:rPr>
      </w:pPr>
      <w:r>
        <w:rPr>
          <w:rFonts w:eastAsia="Times New Roman"/>
          <w:u w:val="single" w:color="000000"/>
          <w:lang w:val="sl-SI"/>
        </w:rPr>
        <w:t>Aksialni spondiloartritis</w:t>
      </w:r>
    </w:p>
    <w:p w14:paraId="74258FEB" w14:textId="77777777" w:rsidR="00E04C8A" w:rsidRDefault="00E04C8A">
      <w:pPr>
        <w:spacing w:line="180" w:lineRule="exact"/>
        <w:rPr>
          <w:rFonts w:ascii="Times New Roman" w:hAnsi="Times New Roman" w:cs="Times New Roman"/>
          <w:lang w:val="sl-SI"/>
        </w:rPr>
      </w:pPr>
    </w:p>
    <w:p w14:paraId="600F1F55" w14:textId="77777777" w:rsidR="00E04C8A" w:rsidRDefault="008E1817">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Ankilozirajoči spondilitis (AS)</w:t>
      </w:r>
    </w:p>
    <w:p w14:paraId="3F31EE8C" w14:textId="77777777" w:rsidR="00E04C8A" w:rsidRDefault="00E04C8A">
      <w:pPr>
        <w:spacing w:line="240" w:lineRule="exact"/>
        <w:rPr>
          <w:rFonts w:ascii="Times New Roman" w:hAnsi="Times New Roman" w:cs="Times New Roman"/>
          <w:lang w:val="sl-SI"/>
        </w:rPr>
      </w:pPr>
    </w:p>
    <w:p w14:paraId="7999558F" w14:textId="77777777" w:rsidR="00E04C8A" w:rsidRDefault="008E1817">
      <w:pPr>
        <w:pStyle w:val="a3"/>
        <w:rPr>
          <w:lang w:val="sl-SI"/>
        </w:rPr>
      </w:pPr>
      <w:r>
        <w:rPr>
          <w:rFonts w:eastAsia="Times New Roman"/>
          <w:lang w:val="sl-SI"/>
        </w:rPr>
        <w:t>Zdravilo Yuflyma je indicirano za zdravljenje hudega aktivnega ankilozirajočega spondilitisa pri odraslih, ki se na običajno zdravljenje ne odzivajo ustrezno.</w:t>
      </w:r>
    </w:p>
    <w:p w14:paraId="0A7453F3" w14:textId="77777777" w:rsidR="00E04C8A" w:rsidRDefault="00E04C8A">
      <w:pPr>
        <w:spacing w:line="240" w:lineRule="exact"/>
        <w:rPr>
          <w:rFonts w:ascii="Times New Roman" w:hAnsi="Times New Roman" w:cs="Times New Roman"/>
          <w:lang w:val="sl-SI"/>
        </w:rPr>
      </w:pPr>
    </w:p>
    <w:p w14:paraId="2BC554A4" w14:textId="77777777" w:rsidR="00E04C8A" w:rsidRDefault="008E1817">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Aksialni spondiloartritis brez radiografskega dokaza za AS</w:t>
      </w:r>
    </w:p>
    <w:p w14:paraId="4C4CD65E" w14:textId="77777777" w:rsidR="00E04C8A" w:rsidRDefault="00E04C8A">
      <w:pPr>
        <w:spacing w:line="240" w:lineRule="exact"/>
        <w:rPr>
          <w:rFonts w:ascii="Times New Roman" w:hAnsi="Times New Roman" w:cs="Times New Roman"/>
          <w:lang w:val="sl-SI"/>
        </w:rPr>
      </w:pPr>
    </w:p>
    <w:p w14:paraId="3AC8B63B" w14:textId="77777777" w:rsidR="00E04C8A" w:rsidRDefault="008E1817">
      <w:pPr>
        <w:pStyle w:val="a3"/>
        <w:rPr>
          <w:lang w:val="sl-SI"/>
        </w:rPr>
      </w:pPr>
      <w:r>
        <w:rPr>
          <w:rFonts w:eastAsia="Times New Roman"/>
          <w:lang w:val="sl-SI"/>
        </w:rPr>
        <w:t>Zdravilo Yuflyma je indicirano za zdravljenje odraslih s hudim aksialnim spondiloartritisom brez radiografskega dokaza za AS, vendar z objektivnimi znaki vnetja s povišanimi vrednostmi CRP in/ali MRI, ki se na nesteroidna protivnetna zdravila (NSAID – non-steroidal anti-inflammatory drugs) niso ustrezno odzvali ali pa jih ne prenašajo.</w:t>
      </w:r>
    </w:p>
    <w:p w14:paraId="4103C65B" w14:textId="77777777" w:rsidR="00E04C8A" w:rsidRDefault="00E04C8A">
      <w:pPr>
        <w:spacing w:line="240" w:lineRule="exact"/>
        <w:rPr>
          <w:rFonts w:ascii="Times New Roman" w:hAnsi="Times New Roman" w:cs="Times New Roman"/>
          <w:lang w:val="sl-SI"/>
        </w:rPr>
      </w:pPr>
    </w:p>
    <w:p w14:paraId="48DD717E" w14:textId="77777777" w:rsidR="00E04C8A" w:rsidRDefault="008E1817">
      <w:pPr>
        <w:pStyle w:val="a3"/>
        <w:rPr>
          <w:u w:val="single" w:color="000000"/>
          <w:lang w:val="sl-SI"/>
        </w:rPr>
      </w:pPr>
      <w:r>
        <w:rPr>
          <w:rFonts w:eastAsia="Times New Roman"/>
          <w:u w:val="single" w:color="000000"/>
          <w:lang w:val="sl-SI"/>
        </w:rPr>
        <w:t>Psoriatični artritis</w:t>
      </w:r>
    </w:p>
    <w:p w14:paraId="7257BFD8" w14:textId="77777777" w:rsidR="00E04C8A" w:rsidRDefault="00E04C8A">
      <w:pPr>
        <w:spacing w:line="180" w:lineRule="exact"/>
        <w:rPr>
          <w:rFonts w:ascii="Times New Roman" w:hAnsi="Times New Roman" w:cs="Times New Roman"/>
          <w:lang w:val="sl-SI"/>
        </w:rPr>
      </w:pPr>
    </w:p>
    <w:p w14:paraId="2B67AFD7" w14:textId="77777777" w:rsidR="00E04C8A" w:rsidRDefault="008E1817">
      <w:pPr>
        <w:pStyle w:val="a3"/>
        <w:rPr>
          <w:lang w:val="sl-SI"/>
        </w:rPr>
      </w:pPr>
      <w:r>
        <w:rPr>
          <w:rFonts w:eastAsia="Times New Roman"/>
          <w:lang w:val="sl-SI"/>
        </w:rPr>
        <w:t>Zdravilo Yuflyma je indicirano za zdravljenje aktivnega in napredujočega psoriatičnega artritisa pri odraslih, če odziv na predhodno zdravljenje z imunomodulirajočimi antirevmatiki ni bil ustrezen.</w:t>
      </w:r>
    </w:p>
    <w:p w14:paraId="43D19403" w14:textId="77777777" w:rsidR="00E04C8A" w:rsidRDefault="00E04C8A">
      <w:pPr>
        <w:pStyle w:val="a3"/>
        <w:rPr>
          <w:lang w:val="sl-SI"/>
        </w:rPr>
      </w:pPr>
    </w:p>
    <w:p w14:paraId="5A2806D0" w14:textId="77777777" w:rsidR="00E04C8A" w:rsidRDefault="008E1817">
      <w:pPr>
        <w:pStyle w:val="a3"/>
        <w:rPr>
          <w:lang w:val="sl-SI"/>
        </w:rPr>
      </w:pPr>
      <w:r>
        <w:rPr>
          <w:rFonts w:eastAsia="Times New Roman"/>
          <w:lang w:val="sl-SI"/>
        </w:rPr>
        <w:t>Z rentgenskim slikanjem je bilo dokazano, da adalimumab upočasni hitrost napredovanja prizadetosti perifernih sklepov pri bolnikih s poliartikularnimi simetričnimi podtipi bolezni (glejte poglavje 5.1) in izboljša telesno funkcijo.</w:t>
      </w:r>
    </w:p>
    <w:p w14:paraId="4C9A3D97" w14:textId="77777777" w:rsidR="00E04C8A" w:rsidRDefault="00E04C8A">
      <w:pPr>
        <w:spacing w:line="240" w:lineRule="exact"/>
        <w:rPr>
          <w:rFonts w:ascii="Times New Roman" w:hAnsi="Times New Roman" w:cs="Times New Roman"/>
          <w:lang w:val="sl-SI"/>
        </w:rPr>
      </w:pPr>
    </w:p>
    <w:p w14:paraId="5439B680" w14:textId="77777777" w:rsidR="00E04C8A" w:rsidRDefault="008E1817">
      <w:pPr>
        <w:pStyle w:val="a3"/>
        <w:rPr>
          <w:u w:val="single"/>
          <w:lang w:val="sl-SI"/>
        </w:rPr>
      </w:pPr>
      <w:r>
        <w:rPr>
          <w:rFonts w:eastAsia="Times New Roman"/>
          <w:u w:val="single" w:color="000000"/>
          <w:lang w:val="sl-SI"/>
        </w:rPr>
        <w:t>Psoriaza</w:t>
      </w:r>
    </w:p>
    <w:p w14:paraId="451B34E0" w14:textId="77777777" w:rsidR="00E04C8A" w:rsidRDefault="00E04C8A">
      <w:pPr>
        <w:spacing w:line="180" w:lineRule="exact"/>
        <w:rPr>
          <w:rFonts w:ascii="Times New Roman" w:hAnsi="Times New Roman" w:cs="Times New Roman"/>
          <w:lang w:val="sl-SI"/>
        </w:rPr>
      </w:pPr>
    </w:p>
    <w:p w14:paraId="3FC85030" w14:textId="77777777" w:rsidR="00E04C8A" w:rsidRDefault="008E1817">
      <w:pPr>
        <w:pStyle w:val="a3"/>
        <w:rPr>
          <w:lang w:val="sl-SI"/>
        </w:rPr>
      </w:pPr>
      <w:r>
        <w:rPr>
          <w:rFonts w:eastAsia="Times New Roman"/>
          <w:lang w:val="sl-SI"/>
        </w:rPr>
        <w:t>Zdravilo Yuflyma je indicirano za zdravljenje zmerne do hude kronične psoriaze v plakih pri odraslih bolnikih, ki so kandidati za sistemsko zdravljenje.</w:t>
      </w:r>
    </w:p>
    <w:p w14:paraId="02B920FA" w14:textId="77777777" w:rsidR="00E04C8A" w:rsidRDefault="00E04C8A">
      <w:pPr>
        <w:spacing w:line="240" w:lineRule="exact"/>
        <w:rPr>
          <w:rFonts w:ascii="Times New Roman" w:hAnsi="Times New Roman" w:cs="Times New Roman"/>
          <w:lang w:val="sl-SI"/>
        </w:rPr>
      </w:pPr>
    </w:p>
    <w:p w14:paraId="1332BAA4" w14:textId="77777777" w:rsidR="00E04C8A" w:rsidRDefault="008E1817">
      <w:pPr>
        <w:pStyle w:val="a3"/>
        <w:rPr>
          <w:u w:val="single"/>
          <w:lang w:val="sl-SI"/>
        </w:rPr>
      </w:pPr>
      <w:r>
        <w:rPr>
          <w:rFonts w:eastAsia="Times New Roman"/>
          <w:u w:val="single" w:color="000000"/>
          <w:lang w:val="sl-SI"/>
        </w:rPr>
        <w:t>Psoriaza v plakih pri pediatričnih bolnikih</w:t>
      </w:r>
    </w:p>
    <w:p w14:paraId="1C2ED251" w14:textId="77777777" w:rsidR="00E04C8A" w:rsidRDefault="00E04C8A">
      <w:pPr>
        <w:spacing w:line="180" w:lineRule="exact"/>
        <w:rPr>
          <w:rFonts w:ascii="Times New Roman" w:hAnsi="Times New Roman" w:cs="Times New Roman"/>
          <w:lang w:val="sl-SI"/>
        </w:rPr>
      </w:pPr>
    </w:p>
    <w:p w14:paraId="4B472266" w14:textId="26AE5479" w:rsidR="00E04C8A" w:rsidRDefault="008E1817">
      <w:pPr>
        <w:pStyle w:val="a3"/>
        <w:rPr>
          <w:lang w:val="sl-SI"/>
        </w:rPr>
      </w:pPr>
      <w:r>
        <w:rPr>
          <w:rFonts w:eastAsia="Times New Roman"/>
          <w:lang w:val="sl-SI"/>
        </w:rPr>
        <w:t xml:space="preserve">Zdravilo Yuflyma je indicirano za zdravljenje hude kronične psoriaze v plakih pri otrocih in mladostnikih, starih 4 leta in več, ki </w:t>
      </w:r>
      <w:r w:rsidR="0068336D">
        <w:rPr>
          <w:rFonts w:eastAsia="Times New Roman"/>
          <w:lang w:val="sl-SI"/>
        </w:rPr>
        <w:t xml:space="preserve">so </w:t>
      </w:r>
      <w:r>
        <w:rPr>
          <w:rFonts w:eastAsia="Times New Roman"/>
          <w:lang w:val="sl-SI"/>
        </w:rPr>
        <w:t xml:space="preserve">se </w:t>
      </w:r>
      <w:r w:rsidR="0068336D">
        <w:rPr>
          <w:rFonts w:eastAsia="Times New Roman"/>
          <w:lang w:val="sl-SI"/>
        </w:rPr>
        <w:t>ne</w:t>
      </w:r>
      <w:r>
        <w:rPr>
          <w:rFonts w:eastAsia="Times New Roman"/>
          <w:lang w:val="sl-SI"/>
        </w:rPr>
        <w:t xml:space="preserve">ustrezno odzvali na </w:t>
      </w:r>
      <w:r w:rsidR="0068336D">
        <w:rPr>
          <w:rFonts w:eastAsia="Times New Roman"/>
          <w:lang w:val="sl-SI"/>
        </w:rPr>
        <w:t>ali niso ustrezni kandidati za topikalno</w:t>
      </w:r>
      <w:r>
        <w:rPr>
          <w:rFonts w:eastAsia="Times New Roman"/>
          <w:lang w:val="sl-SI"/>
        </w:rPr>
        <w:t xml:space="preserve"> zdravljenje in fototerapije.</w:t>
      </w:r>
    </w:p>
    <w:p w14:paraId="02FF8D02" w14:textId="77777777" w:rsidR="00E04C8A" w:rsidRDefault="00E04C8A">
      <w:pPr>
        <w:spacing w:line="240" w:lineRule="exact"/>
        <w:rPr>
          <w:rFonts w:ascii="Times New Roman" w:hAnsi="Times New Roman" w:cs="Times New Roman"/>
          <w:lang w:val="sl-SI"/>
        </w:rPr>
      </w:pPr>
    </w:p>
    <w:p w14:paraId="20D1330F" w14:textId="77777777" w:rsidR="00E04C8A" w:rsidRDefault="008E1817">
      <w:pPr>
        <w:pStyle w:val="a3"/>
        <w:rPr>
          <w:u w:val="single"/>
          <w:lang w:val="sl-SI"/>
        </w:rPr>
      </w:pPr>
      <w:r>
        <w:rPr>
          <w:rFonts w:eastAsia="Times New Roman"/>
          <w:u w:val="single" w:color="000000"/>
          <w:lang w:val="sl-SI"/>
        </w:rPr>
        <w:t>Hidradenitis suppurativa (HS)</w:t>
      </w:r>
    </w:p>
    <w:p w14:paraId="14A09C2C" w14:textId="77777777" w:rsidR="00E04C8A" w:rsidRDefault="00E04C8A">
      <w:pPr>
        <w:spacing w:line="180" w:lineRule="exact"/>
        <w:rPr>
          <w:rFonts w:ascii="Times New Roman" w:hAnsi="Times New Roman" w:cs="Times New Roman"/>
          <w:lang w:val="sl-SI"/>
        </w:rPr>
      </w:pPr>
    </w:p>
    <w:p w14:paraId="709406AB" w14:textId="08EB7C34" w:rsidR="00E04C8A" w:rsidRDefault="008E1817">
      <w:pPr>
        <w:pStyle w:val="a3"/>
        <w:rPr>
          <w:lang w:val="sl-SI"/>
        </w:rPr>
      </w:pPr>
      <w:r>
        <w:rPr>
          <w:rFonts w:eastAsia="Times New Roman"/>
          <w:lang w:val="sl-SI"/>
        </w:rPr>
        <w:t xml:space="preserve">Zdravilo </w:t>
      </w:r>
      <w:r w:rsidR="007F6B22">
        <w:rPr>
          <w:rFonts w:eastAsia="Times New Roman"/>
          <w:lang w:val="sl-SI"/>
        </w:rPr>
        <w:t>Yuflyma</w:t>
      </w:r>
      <w:r>
        <w:rPr>
          <w:rFonts w:eastAsia="Times New Roman"/>
          <w:lang w:val="sl-SI"/>
        </w:rPr>
        <w:t xml:space="preserve"> je indicirano za zdravljenje aktivne, zmerne do hude oblike hidradenitis suppurativa (acne inversa) pri odraslih in mladostnikih, starejših od 12 let, ki se ne odzovejo zadovoljivo na konvencionalno sistemsko zdravljenje HS (glejte poglavji 5.1 in 5.2).</w:t>
      </w:r>
    </w:p>
    <w:p w14:paraId="79D0C148" w14:textId="77777777" w:rsidR="00E04C8A" w:rsidRDefault="00E04C8A">
      <w:pPr>
        <w:pStyle w:val="a3"/>
        <w:rPr>
          <w:u w:color="000000"/>
          <w:lang w:val="sl-SI"/>
        </w:rPr>
      </w:pPr>
    </w:p>
    <w:p w14:paraId="5893EE67" w14:textId="77777777" w:rsidR="00E04C8A" w:rsidRDefault="008E1817">
      <w:pPr>
        <w:pStyle w:val="a3"/>
        <w:rPr>
          <w:u w:val="single"/>
          <w:lang w:val="sl-SI"/>
        </w:rPr>
      </w:pPr>
      <w:r>
        <w:rPr>
          <w:rFonts w:eastAsia="Times New Roman"/>
          <w:u w:val="single" w:color="000000"/>
          <w:lang w:val="sl-SI"/>
        </w:rPr>
        <w:t>Crohnova bolezen</w:t>
      </w:r>
    </w:p>
    <w:p w14:paraId="3E2DBA03" w14:textId="77777777" w:rsidR="00E04C8A" w:rsidRDefault="00E04C8A">
      <w:pPr>
        <w:spacing w:line="180" w:lineRule="exact"/>
        <w:rPr>
          <w:rFonts w:ascii="Times New Roman" w:hAnsi="Times New Roman" w:cs="Times New Roman"/>
          <w:lang w:val="sl-SI"/>
        </w:rPr>
      </w:pPr>
    </w:p>
    <w:p w14:paraId="7B45E1B3" w14:textId="77777777" w:rsidR="00E04C8A" w:rsidRDefault="008E1817">
      <w:pPr>
        <w:pStyle w:val="a3"/>
        <w:rPr>
          <w:lang w:val="sl-SI"/>
        </w:rPr>
      </w:pPr>
      <w:r>
        <w:rPr>
          <w:rFonts w:eastAsia="Times New Roman"/>
          <w:lang w:val="sl-SI"/>
        </w:rPr>
        <w:lastRenderedPageBreak/>
        <w:t xml:space="preserve">Zdravilo Yuflyma je indicirano za zdravljenje zmerno do hudo aktivne Crohnove bolezni pri odraslih bolnikih, </w:t>
      </w:r>
      <w:r w:rsidRPr="0047220F">
        <w:rPr>
          <w:rFonts w:eastAsia="Times New Roman"/>
          <w:lang w:val="sl-SI"/>
        </w:rPr>
        <w:t>ki se niso odzvali na popolnemu in ustrezen cikel zdravljenja s kortikosteroidi in/ali imunosupresivom, ali pa ne prenašajo ali imajo medicinske kontraindikacije za takšna zdravljenja.</w:t>
      </w:r>
    </w:p>
    <w:p w14:paraId="42F07D59" w14:textId="77777777" w:rsidR="00E04C8A" w:rsidRDefault="00E04C8A">
      <w:pPr>
        <w:spacing w:line="240" w:lineRule="exact"/>
        <w:rPr>
          <w:rFonts w:ascii="Times New Roman" w:hAnsi="Times New Roman" w:cs="Times New Roman"/>
          <w:lang w:val="sl-SI"/>
        </w:rPr>
      </w:pPr>
    </w:p>
    <w:p w14:paraId="1F0599C6" w14:textId="77777777" w:rsidR="00E04C8A" w:rsidRDefault="008E1817">
      <w:pPr>
        <w:pStyle w:val="a3"/>
        <w:rPr>
          <w:u w:val="single"/>
          <w:lang w:val="sl-SI"/>
        </w:rPr>
      </w:pPr>
      <w:r>
        <w:rPr>
          <w:rFonts w:eastAsia="Times New Roman"/>
          <w:u w:val="single" w:color="000000"/>
          <w:lang w:val="sl-SI"/>
        </w:rPr>
        <w:t>Crohnova bolezen pri pediatričnih bolnikih</w:t>
      </w:r>
    </w:p>
    <w:p w14:paraId="34E8FD9F" w14:textId="77777777" w:rsidR="00E04C8A" w:rsidRDefault="00E04C8A">
      <w:pPr>
        <w:spacing w:line="170" w:lineRule="exact"/>
        <w:rPr>
          <w:rFonts w:ascii="Times New Roman" w:hAnsi="Times New Roman" w:cs="Times New Roman"/>
          <w:lang w:val="sl-SI"/>
        </w:rPr>
      </w:pPr>
    </w:p>
    <w:p w14:paraId="69569B8B" w14:textId="77777777" w:rsidR="00E04C8A" w:rsidRDefault="008E1817">
      <w:pPr>
        <w:pStyle w:val="a3"/>
        <w:rPr>
          <w:lang w:val="sl-SI"/>
        </w:rPr>
      </w:pPr>
      <w:r>
        <w:rPr>
          <w:rFonts w:eastAsia="Times New Roman"/>
          <w:lang w:val="sl-SI"/>
        </w:rPr>
        <w:t>Zdravilo Yuflyma je indicirano za zdravljenje zmerno do hudo aktivne Crohnove bolezni pri pediatričnih bolnikih (od 6. leta naprej), ki so se na običajno zdravljenje odzvali nezadostno, vključno s primarnim prehranskim zdravljenjem, kortikosteroidi in/ali imunomodulatorjem, ali ki takšnih zdravljenj ne prenašajo ali imajo kontraindikacije zanj.</w:t>
      </w:r>
    </w:p>
    <w:p w14:paraId="3A9A1B15" w14:textId="77777777" w:rsidR="00E04C8A" w:rsidRDefault="00E04C8A">
      <w:pPr>
        <w:spacing w:line="240" w:lineRule="exact"/>
        <w:rPr>
          <w:rFonts w:ascii="Times New Roman" w:hAnsi="Times New Roman" w:cs="Times New Roman"/>
          <w:lang w:val="sl-SI"/>
        </w:rPr>
      </w:pPr>
    </w:p>
    <w:p w14:paraId="450DCA92" w14:textId="77777777" w:rsidR="00E04C8A" w:rsidRDefault="008E1817">
      <w:pPr>
        <w:pStyle w:val="a3"/>
        <w:rPr>
          <w:u w:val="single"/>
          <w:lang w:val="sl-SI"/>
        </w:rPr>
      </w:pPr>
      <w:r>
        <w:rPr>
          <w:rFonts w:eastAsia="Times New Roman"/>
          <w:u w:val="single" w:color="000000"/>
          <w:lang w:val="sl-SI"/>
        </w:rPr>
        <w:t>Ulcerozni kolitis</w:t>
      </w:r>
    </w:p>
    <w:p w14:paraId="3D2129FE" w14:textId="77777777" w:rsidR="00E04C8A" w:rsidRDefault="00E04C8A">
      <w:pPr>
        <w:spacing w:line="180" w:lineRule="exact"/>
        <w:rPr>
          <w:rFonts w:ascii="Times New Roman" w:hAnsi="Times New Roman" w:cs="Times New Roman"/>
          <w:lang w:val="sl-SI"/>
        </w:rPr>
      </w:pPr>
    </w:p>
    <w:p w14:paraId="3C54BEC7" w14:textId="448913E9" w:rsidR="00E04C8A" w:rsidRPr="00CF282E" w:rsidRDefault="008E1817">
      <w:pPr>
        <w:pStyle w:val="a3"/>
        <w:rPr>
          <w:rFonts w:eastAsia="Times New Roman"/>
          <w:lang w:val="sl-SI"/>
        </w:rPr>
      </w:pPr>
      <w:r>
        <w:rPr>
          <w:rFonts w:eastAsia="Times New Roman"/>
          <w:lang w:val="sl-SI"/>
        </w:rPr>
        <w:t>Zdravilo Yuflym</w:t>
      </w:r>
      <w:r w:rsidRPr="00C55486">
        <w:rPr>
          <w:rFonts w:eastAsia="Times New Roman"/>
          <w:lang w:val="sl-SI"/>
        </w:rPr>
        <w:t>a je indicirano za zdravljenje zmerno do hudo aktivnega ulceroznega kolitisa pri odraslih bolnikih, ki se na običajno zdravljenje ne odzivajo ustrezno, vključno s kortikosteroidi in 6-merkaptopurinom (6 MP) ali azatioprinom (AZA), ali ki takšnih zdravljenj ne prenašajo ali imajo medicinske kontraindikacije zanj.</w:t>
      </w:r>
    </w:p>
    <w:p w14:paraId="59CDBC0B" w14:textId="77777777" w:rsidR="00C55486" w:rsidRPr="00CF282E" w:rsidRDefault="00C55486">
      <w:pPr>
        <w:pStyle w:val="a3"/>
        <w:rPr>
          <w:lang w:val="sl-SI"/>
        </w:rPr>
      </w:pPr>
    </w:p>
    <w:p w14:paraId="0E285083" w14:textId="77777777" w:rsidR="00C55486" w:rsidRPr="00797234" w:rsidRDefault="00C55486" w:rsidP="00C55486">
      <w:pPr>
        <w:rPr>
          <w:rFonts w:ascii="Times New Roman" w:hAnsi="Times New Roman" w:cs="Times New Roman"/>
          <w:u w:val="single"/>
          <w:lang w:val="sl-SI"/>
        </w:rPr>
      </w:pPr>
      <w:r w:rsidRPr="00797234">
        <w:rPr>
          <w:rFonts w:ascii="Times New Roman" w:hAnsi="Times New Roman" w:cs="Times New Roman"/>
          <w:u w:val="single"/>
          <w:lang w:val="sl-SI"/>
        </w:rPr>
        <w:t>Ulcerozni kolitis pri pediatričnih bolnikih</w:t>
      </w:r>
    </w:p>
    <w:p w14:paraId="3BA56B5C" w14:textId="77777777" w:rsidR="00C55486" w:rsidRPr="00797234" w:rsidRDefault="00C55486" w:rsidP="00C55486">
      <w:pPr>
        <w:rPr>
          <w:rFonts w:ascii="Times New Roman" w:hAnsi="Times New Roman" w:cs="Times New Roman"/>
          <w:lang w:val="sl-SI"/>
        </w:rPr>
      </w:pPr>
    </w:p>
    <w:p w14:paraId="541483FC" w14:textId="0A2C6491" w:rsidR="00C55486" w:rsidRPr="00797234" w:rsidRDefault="00C55486" w:rsidP="00C55486">
      <w:pPr>
        <w:rPr>
          <w:rFonts w:ascii="Times New Roman" w:hAnsi="Times New Roman" w:cs="Times New Roman"/>
          <w:lang w:val="sl-SI"/>
        </w:rPr>
      </w:pPr>
      <w:r w:rsidRPr="00797234">
        <w:rPr>
          <w:rFonts w:ascii="Times New Roman" w:hAnsi="Times New Roman" w:cs="Times New Roman"/>
          <w:lang w:val="sl-SI"/>
        </w:rPr>
        <w:t xml:space="preserve">Zdravilo </w:t>
      </w:r>
      <w:r>
        <w:rPr>
          <w:rFonts w:ascii="Times New Roman" w:hAnsi="Times New Roman" w:cs="Times New Roman"/>
          <w:lang w:val="sl-SI"/>
        </w:rPr>
        <w:t>Yuflyma</w:t>
      </w:r>
      <w:r w:rsidRPr="00797234">
        <w:rPr>
          <w:rFonts w:ascii="Times New Roman" w:hAnsi="Times New Roman" w:cs="Times New Roman"/>
          <w:lang w:val="sl-SI"/>
        </w:rPr>
        <w:t xml:space="preserve"> je indicirano za zdravljenje zmerneo do hudo aktivnega ulceroznega kolitisa pri pediatričnih bolnikih (od 6. leta starosti), ki se ne odzovejo zadovoljivo na konvencionalno zdravljenje, vključno s kortikosteroidi in/ali 6</w:t>
      </w:r>
      <w:r w:rsidRPr="00797234">
        <w:rPr>
          <w:rFonts w:ascii="Times New Roman" w:hAnsi="Times New Roman" w:cs="Times New Roman"/>
          <w:lang w:val="sl-SI"/>
        </w:rPr>
        <w:noBreakHyphen/>
        <w:t>merkaptopurinom (6</w:t>
      </w:r>
      <w:r w:rsidRPr="00797234">
        <w:rPr>
          <w:rFonts w:ascii="Times New Roman" w:hAnsi="Times New Roman" w:cs="Times New Roman"/>
          <w:lang w:val="sl-SI"/>
        </w:rPr>
        <w:noBreakHyphen/>
        <w:t>MP) ali azatioprinom (AZA), ali pri tistih, ki imajo intoleranco ali medicinske kontraindikacije za tako zdravljenje.</w:t>
      </w:r>
    </w:p>
    <w:p w14:paraId="1A27B967" w14:textId="77777777" w:rsidR="00E04C8A" w:rsidRPr="00C55486" w:rsidRDefault="00E04C8A">
      <w:pPr>
        <w:spacing w:line="240" w:lineRule="exact"/>
        <w:rPr>
          <w:rFonts w:ascii="Times New Roman" w:hAnsi="Times New Roman" w:cs="Times New Roman"/>
          <w:lang w:val="sl-SI"/>
        </w:rPr>
      </w:pPr>
    </w:p>
    <w:p w14:paraId="0100677C" w14:textId="77777777" w:rsidR="00E04C8A" w:rsidRDefault="008E1817">
      <w:pPr>
        <w:pStyle w:val="a3"/>
        <w:rPr>
          <w:u w:val="single"/>
          <w:lang w:val="sl-SI"/>
        </w:rPr>
      </w:pPr>
      <w:r>
        <w:rPr>
          <w:rFonts w:eastAsia="Times New Roman"/>
          <w:u w:val="single" w:color="000000"/>
          <w:lang w:val="sl-SI"/>
        </w:rPr>
        <w:t>Uveitis</w:t>
      </w:r>
    </w:p>
    <w:p w14:paraId="078EA2F8" w14:textId="77777777" w:rsidR="00E04C8A" w:rsidRDefault="00E04C8A">
      <w:pPr>
        <w:spacing w:line="180" w:lineRule="exact"/>
        <w:rPr>
          <w:rFonts w:ascii="Times New Roman" w:hAnsi="Times New Roman" w:cs="Times New Roman"/>
          <w:lang w:val="sl-SI"/>
        </w:rPr>
      </w:pPr>
    </w:p>
    <w:p w14:paraId="060EA9F0" w14:textId="77777777" w:rsidR="00E04C8A" w:rsidRDefault="008E1817">
      <w:pPr>
        <w:pStyle w:val="a3"/>
        <w:rPr>
          <w:lang w:val="sl-SI"/>
        </w:rPr>
      </w:pPr>
      <w:r>
        <w:rPr>
          <w:rFonts w:eastAsia="Times New Roman"/>
          <w:lang w:val="sl-SI"/>
        </w:rPr>
        <w:t>Zdravilo Yuflyma je indicirano za zdravljenje neinfekcijskega intermediarnega, posteriornega uveitisa in panuveitisa pri odraslih bolnikih, ki se niso ustrezno odzivali na zdravljenje s kortikosteroidi, pri bolnikih, pri katerih je treba uporabo kortikosteroidov zmanjšati, ali pri bolnikih, pri katerih zdravljenje s kortikosteroidi ni primerno.</w:t>
      </w:r>
    </w:p>
    <w:p w14:paraId="7B9A10BF" w14:textId="77777777" w:rsidR="00E04C8A" w:rsidRDefault="00E04C8A">
      <w:pPr>
        <w:spacing w:line="240" w:lineRule="exact"/>
        <w:rPr>
          <w:rFonts w:ascii="Times New Roman" w:hAnsi="Times New Roman" w:cs="Times New Roman"/>
          <w:lang w:val="sl-SI"/>
        </w:rPr>
      </w:pPr>
    </w:p>
    <w:p w14:paraId="60816C8E" w14:textId="77777777" w:rsidR="00E04C8A" w:rsidRDefault="008E1817">
      <w:pPr>
        <w:pStyle w:val="a3"/>
        <w:rPr>
          <w:u w:val="single"/>
          <w:lang w:val="sl-SI"/>
        </w:rPr>
      </w:pPr>
      <w:r>
        <w:rPr>
          <w:rFonts w:eastAsia="Times New Roman"/>
          <w:u w:val="single" w:color="000000"/>
          <w:lang w:val="sl-SI"/>
        </w:rPr>
        <w:t>Uveitis pri pediatričnih bolnikih</w:t>
      </w:r>
    </w:p>
    <w:p w14:paraId="602E5AE0" w14:textId="77777777" w:rsidR="00E04C8A" w:rsidRDefault="00E04C8A">
      <w:pPr>
        <w:spacing w:line="180" w:lineRule="exact"/>
        <w:rPr>
          <w:rFonts w:ascii="Times New Roman" w:hAnsi="Times New Roman" w:cs="Times New Roman"/>
          <w:lang w:val="sl-SI"/>
        </w:rPr>
      </w:pPr>
    </w:p>
    <w:p w14:paraId="6D6134AA" w14:textId="77777777" w:rsidR="00E04C8A" w:rsidRDefault="008E1817">
      <w:pPr>
        <w:pStyle w:val="a3"/>
        <w:rPr>
          <w:lang w:val="sl-SI"/>
        </w:rPr>
      </w:pPr>
      <w:r>
        <w:rPr>
          <w:rFonts w:eastAsia="Times New Roman"/>
          <w:lang w:val="sl-SI"/>
        </w:rPr>
        <w:t>Zdravilo Yuflyma je indicirano za zdravljenje pediatričnega kroničnega neinfekcijskega anteriornega uveitisa pri bolnikih, starih 2 leti ali več, ki se na običajno zdravljenje ne odzivajo ustrezno ali ga ne prenašajo ali pri katerih običajno zdravljenje ni primerno.</w:t>
      </w:r>
    </w:p>
    <w:p w14:paraId="452E502C" w14:textId="77777777" w:rsidR="00E04C8A" w:rsidRDefault="00E04C8A">
      <w:pPr>
        <w:spacing w:before="15" w:line="240" w:lineRule="exact"/>
        <w:rPr>
          <w:rFonts w:ascii="Times New Roman" w:hAnsi="Times New Roman" w:cs="Times New Roman"/>
          <w:lang w:val="sl-SI"/>
        </w:rPr>
      </w:pPr>
    </w:p>
    <w:p w14:paraId="1CC68FEA" w14:textId="77777777" w:rsidR="00E04C8A" w:rsidRDefault="008E1817">
      <w:pPr>
        <w:widowControl/>
        <w:numPr>
          <w:ilvl w:val="1"/>
          <w:numId w:val="14"/>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Odmerjanje in način uporabe</w:t>
      </w:r>
    </w:p>
    <w:p w14:paraId="088BB504" w14:textId="77777777" w:rsidR="00E04C8A" w:rsidRDefault="00E04C8A">
      <w:pPr>
        <w:spacing w:before="9" w:line="240" w:lineRule="exact"/>
        <w:rPr>
          <w:rFonts w:ascii="Times New Roman" w:hAnsi="Times New Roman" w:cs="Times New Roman"/>
          <w:lang w:val="sl-SI"/>
        </w:rPr>
      </w:pPr>
    </w:p>
    <w:p w14:paraId="72AC05FC" w14:textId="77777777" w:rsidR="00E04C8A" w:rsidRDefault="008E1817">
      <w:pPr>
        <w:pStyle w:val="a3"/>
        <w:rPr>
          <w:lang w:val="sl-SI"/>
        </w:rPr>
      </w:pPr>
      <w:r>
        <w:rPr>
          <w:rFonts w:eastAsia="Times New Roman"/>
          <w:lang w:val="sl-SI"/>
        </w:rPr>
        <w:t>Zdravljenje z zdravilom Yuflyma mora uvesti in nadzorovati zdravnik specialist, ki ima izkušnje z diagnosticiranjem in zdravljenjem bolezni, za katere je zdravilo Yuflyma indicirano. Oftalmologom svetujemo, da se pred začetkom zdravljenja z zdravilom Yuflyma posvetujejo z ustreznim specialistom (glejte poglavje 4.4). Bolnikom, ki se zdravijo z zdravilom Yuflyma, morajo dobiti opozorilno kartico za bolnika.</w:t>
      </w:r>
    </w:p>
    <w:p w14:paraId="4C6E82D7" w14:textId="77777777" w:rsidR="00E04C8A" w:rsidRDefault="00E04C8A">
      <w:pPr>
        <w:spacing w:line="240" w:lineRule="exact"/>
        <w:rPr>
          <w:rFonts w:ascii="Times New Roman" w:hAnsi="Times New Roman" w:cs="Times New Roman"/>
          <w:lang w:val="sl-SI"/>
        </w:rPr>
      </w:pPr>
    </w:p>
    <w:p w14:paraId="469E5A55" w14:textId="77777777" w:rsidR="00E04C8A" w:rsidRDefault="008E1817">
      <w:pPr>
        <w:pStyle w:val="a3"/>
        <w:rPr>
          <w:lang w:val="sl-SI"/>
        </w:rPr>
      </w:pPr>
      <w:r>
        <w:rPr>
          <w:rFonts w:eastAsia="Times New Roman"/>
          <w:lang w:val="sl-SI"/>
        </w:rPr>
        <w:t>Po ustreznem usposabljanju v tehniki injiciranja si lahko bolniki zdravilo Yuflyma injicirajo sami, če njihov zdravnik presodi, da je to primerno, in je zagotovljeno ustrezno zdravstveno spremljanje, če je potrebno.</w:t>
      </w:r>
    </w:p>
    <w:p w14:paraId="43FC3BC1" w14:textId="77777777" w:rsidR="00E04C8A" w:rsidRDefault="00E04C8A">
      <w:pPr>
        <w:spacing w:line="240" w:lineRule="exact"/>
        <w:rPr>
          <w:rFonts w:ascii="Times New Roman" w:hAnsi="Times New Roman" w:cs="Times New Roman"/>
          <w:lang w:val="sl-SI"/>
        </w:rPr>
      </w:pPr>
    </w:p>
    <w:p w14:paraId="3E8D42E4" w14:textId="77777777" w:rsidR="00E04C8A" w:rsidRDefault="008E1817">
      <w:pPr>
        <w:pStyle w:val="a3"/>
        <w:rPr>
          <w:lang w:val="sl-SI"/>
        </w:rPr>
      </w:pPr>
      <w:r>
        <w:rPr>
          <w:rFonts w:eastAsia="Times New Roman"/>
          <w:lang w:val="sl-SI"/>
        </w:rPr>
        <w:t>Med zdravljenjem z zdravilom Yuflyma je treba optimizirati druga sočasna zdravljenja (npr. kortikosteroide in/ali imunomodulacijske učinkovine).</w:t>
      </w:r>
    </w:p>
    <w:p w14:paraId="4B473089" w14:textId="77777777" w:rsidR="00E04C8A" w:rsidRDefault="00E04C8A">
      <w:pPr>
        <w:spacing w:line="240" w:lineRule="exact"/>
        <w:rPr>
          <w:rFonts w:ascii="Times New Roman" w:hAnsi="Times New Roman" w:cs="Times New Roman"/>
          <w:lang w:val="sl-SI"/>
        </w:rPr>
      </w:pPr>
    </w:p>
    <w:p w14:paraId="051DC77F" w14:textId="77777777" w:rsidR="00E04C8A" w:rsidRDefault="008E1817">
      <w:pPr>
        <w:pStyle w:val="a3"/>
        <w:rPr>
          <w:u w:val="single"/>
          <w:lang w:val="sl-SI"/>
        </w:rPr>
      </w:pPr>
      <w:r>
        <w:rPr>
          <w:rFonts w:eastAsia="Times New Roman"/>
          <w:u w:val="single" w:color="000000"/>
          <w:lang w:val="sl-SI"/>
        </w:rPr>
        <w:t>Odmerjanje</w:t>
      </w:r>
    </w:p>
    <w:p w14:paraId="627B10CD" w14:textId="77777777" w:rsidR="00E04C8A" w:rsidRDefault="00E04C8A">
      <w:pPr>
        <w:spacing w:line="170" w:lineRule="exact"/>
        <w:rPr>
          <w:rFonts w:ascii="Times New Roman" w:hAnsi="Times New Roman" w:cs="Times New Roman"/>
          <w:lang w:val="sl-SI"/>
        </w:rPr>
      </w:pPr>
    </w:p>
    <w:p w14:paraId="2640751F" w14:textId="77777777" w:rsidR="00E04C8A" w:rsidRDefault="008E1817">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Revmatoidni artritis</w:t>
      </w:r>
    </w:p>
    <w:p w14:paraId="11D9E847" w14:textId="77777777" w:rsidR="00E04C8A" w:rsidRDefault="00E04C8A">
      <w:pPr>
        <w:spacing w:line="240" w:lineRule="exact"/>
        <w:rPr>
          <w:rFonts w:ascii="Times New Roman" w:hAnsi="Times New Roman" w:cs="Times New Roman"/>
          <w:lang w:val="sl-SI"/>
        </w:rPr>
      </w:pPr>
    </w:p>
    <w:p w14:paraId="6FB0A03D" w14:textId="77777777" w:rsidR="00E04C8A" w:rsidRDefault="008E1817">
      <w:pPr>
        <w:pStyle w:val="a3"/>
        <w:rPr>
          <w:lang w:val="sl-SI"/>
        </w:rPr>
      </w:pPr>
      <w:r>
        <w:rPr>
          <w:rFonts w:eastAsia="Times New Roman"/>
          <w:lang w:val="sl-SI"/>
        </w:rPr>
        <w:lastRenderedPageBreak/>
        <w:t>Priporočeni odmerek zdravila Yuflyma za odrasle bolnike z revmatoidnim artritisom je 40 mg adalimumaba, apliciranega vsak drugi teden v obliki enkratnega odmerka s subkutano injekcijo. Med zdravljenjem z zdravilom Yuflyma je treba zdravljenje z metotreksatom nadaljevati.</w:t>
      </w:r>
    </w:p>
    <w:p w14:paraId="66004A0E" w14:textId="77777777" w:rsidR="00E04C8A" w:rsidRDefault="00E04C8A">
      <w:pPr>
        <w:pStyle w:val="a3"/>
        <w:rPr>
          <w:lang w:val="sl-SI"/>
        </w:rPr>
      </w:pPr>
    </w:p>
    <w:p w14:paraId="3425EBB4" w14:textId="77777777" w:rsidR="00E04C8A" w:rsidRDefault="008E1817">
      <w:pPr>
        <w:pStyle w:val="a3"/>
        <w:rPr>
          <w:lang w:val="sl-SI"/>
        </w:rPr>
      </w:pPr>
      <w:r>
        <w:rPr>
          <w:rFonts w:eastAsia="Times New Roman"/>
          <w:lang w:val="sl-SI"/>
        </w:rPr>
        <w:t>Med zdravljenjem z zdravilom Yuflyma se lahko nadaljuje uporaba glukokortikoidov, salicilatov, nesteroidnih protivnetnih zdravil ali analgetikov. Za kombinirano uporabo z drugimi imunomodulirajočimi antirevmatičnimi zdravili razen metotreksata glejte poglavji 4.4 in 5.1.</w:t>
      </w:r>
    </w:p>
    <w:p w14:paraId="2DD03275" w14:textId="77777777" w:rsidR="00E04C8A" w:rsidRDefault="00E04C8A">
      <w:pPr>
        <w:spacing w:line="240" w:lineRule="exact"/>
        <w:rPr>
          <w:rFonts w:ascii="Times New Roman" w:hAnsi="Times New Roman" w:cs="Times New Roman"/>
          <w:lang w:val="sl-SI"/>
        </w:rPr>
      </w:pPr>
    </w:p>
    <w:p w14:paraId="272C72B8" w14:textId="36FE0429" w:rsidR="00E04C8A" w:rsidRDefault="008E1817">
      <w:pPr>
        <w:pStyle w:val="a3"/>
        <w:rPr>
          <w:lang w:val="sl-SI"/>
        </w:rPr>
      </w:pPr>
      <w:r>
        <w:rPr>
          <w:rFonts w:eastAsia="Times New Roman"/>
          <w:lang w:val="sl-SI"/>
        </w:rPr>
        <w:t>Pri monoterapiji imajo lahko nekateri bolniki, pri katerih se njihov odziv na odmere</w:t>
      </w:r>
      <w:r w:rsidR="00895581">
        <w:rPr>
          <w:rFonts w:eastAsia="Times New Roman"/>
          <w:lang w:val="sl-SI"/>
        </w:rPr>
        <w:t>h</w:t>
      </w:r>
      <w:r>
        <w:rPr>
          <w:rFonts w:eastAsia="Times New Roman"/>
          <w:lang w:val="sl-SI"/>
        </w:rPr>
        <w:t>k zdravila Yuflyma 40 mg vsak drugi teden zmanjša, korist od povečanja odmerka na 40 mg adalimumaba enkrat na teden ali 80 mg vsak drugi teden.</w:t>
      </w:r>
    </w:p>
    <w:p w14:paraId="6F39C9DE" w14:textId="77777777" w:rsidR="00E04C8A" w:rsidRDefault="00E04C8A">
      <w:pPr>
        <w:spacing w:line="240" w:lineRule="exact"/>
        <w:rPr>
          <w:rFonts w:ascii="Times New Roman" w:hAnsi="Times New Roman" w:cs="Times New Roman"/>
          <w:lang w:val="sl-SI"/>
        </w:rPr>
      </w:pPr>
    </w:p>
    <w:p w14:paraId="17023F5D" w14:textId="4D088CFD" w:rsidR="00E04C8A" w:rsidRDefault="008E1817">
      <w:pPr>
        <w:pStyle w:val="a3"/>
        <w:rPr>
          <w:lang w:val="sl-SI"/>
        </w:rPr>
      </w:pPr>
      <w:r>
        <w:rPr>
          <w:rFonts w:eastAsia="Times New Roman"/>
          <w:lang w:val="sl-SI"/>
        </w:rPr>
        <w:t>Razpoložljivi podatki kažejo, da je klinični odziv običajno dosežen v 12 tednih zdravljenja. Pri bolniku, ki se v tem časovnem obdobju ne odziv</w:t>
      </w:r>
      <w:r w:rsidR="00F174CF">
        <w:rPr>
          <w:rFonts w:eastAsia="Times New Roman"/>
          <w:lang w:val="sl-SI"/>
        </w:rPr>
        <w:t>e</w:t>
      </w:r>
      <w:r>
        <w:rPr>
          <w:rFonts w:eastAsia="Times New Roman"/>
          <w:lang w:val="sl-SI"/>
        </w:rPr>
        <w:t>, je treba ponovno razmisliti o nadaljnjem zdravljenju.</w:t>
      </w:r>
    </w:p>
    <w:p w14:paraId="4C45940C" w14:textId="77777777" w:rsidR="00E04C8A" w:rsidRDefault="00E04C8A">
      <w:pPr>
        <w:pStyle w:val="a3"/>
        <w:rPr>
          <w:lang w:val="sl-SI"/>
        </w:rPr>
      </w:pPr>
    </w:p>
    <w:p w14:paraId="244D7238" w14:textId="77777777" w:rsidR="00E04C8A" w:rsidRDefault="008E1817">
      <w:pPr>
        <w:rPr>
          <w:rFonts w:ascii="Times New Roman" w:eastAsia="Times New Roman" w:hAnsi="Times New Roman" w:cs="Times New Roman"/>
          <w:lang w:val="sl-SI"/>
        </w:rPr>
      </w:pPr>
      <w:r>
        <w:rPr>
          <w:rFonts w:ascii="Times New Roman" w:eastAsia="Times New Roman" w:hAnsi="Times New Roman" w:cs="Times New Roman"/>
          <w:i/>
          <w:iCs/>
          <w:spacing w:val="-1"/>
          <w:u w:val="single" w:color="000000"/>
          <w:lang w:val="sl-SI"/>
        </w:rPr>
        <w:t>Prekinitev uporabe</w:t>
      </w:r>
    </w:p>
    <w:p w14:paraId="4A238A5C" w14:textId="77777777" w:rsidR="00E04C8A" w:rsidRDefault="00E04C8A">
      <w:pPr>
        <w:spacing w:line="180" w:lineRule="exact"/>
        <w:rPr>
          <w:rFonts w:ascii="Times New Roman" w:hAnsi="Times New Roman" w:cs="Times New Roman"/>
          <w:lang w:val="sl-SI"/>
        </w:rPr>
      </w:pPr>
    </w:p>
    <w:p w14:paraId="507FD838" w14:textId="77777777" w:rsidR="00E04C8A" w:rsidRDefault="008E1817">
      <w:pPr>
        <w:pStyle w:val="a3"/>
        <w:rPr>
          <w:lang w:val="sl-SI"/>
        </w:rPr>
      </w:pPr>
      <w:r>
        <w:rPr>
          <w:rFonts w:eastAsia="Times New Roman"/>
          <w:lang w:val="sl-SI"/>
        </w:rPr>
        <w:t>Morda bo treba prekiniti zdravljenje, na primer pred kirurškim posegom ali če se pojavi resna okužba.</w:t>
      </w:r>
    </w:p>
    <w:p w14:paraId="5396AC4B" w14:textId="77777777" w:rsidR="00E04C8A" w:rsidRDefault="00E04C8A">
      <w:pPr>
        <w:spacing w:line="240" w:lineRule="exact"/>
        <w:rPr>
          <w:rFonts w:ascii="Times New Roman" w:hAnsi="Times New Roman" w:cs="Times New Roman"/>
          <w:lang w:val="sl-SI"/>
        </w:rPr>
      </w:pPr>
    </w:p>
    <w:p w14:paraId="565C8BD1" w14:textId="77777777" w:rsidR="00E04C8A" w:rsidRDefault="008E1817">
      <w:pPr>
        <w:pStyle w:val="a3"/>
        <w:rPr>
          <w:lang w:val="sl-SI"/>
        </w:rPr>
      </w:pPr>
      <w:r>
        <w:rPr>
          <w:rFonts w:eastAsia="Times New Roman"/>
          <w:lang w:val="sl-SI"/>
        </w:rPr>
        <w:t>Razpoložljivi podatki kažejo, da je ponovna uvedba adalimumaba po prekinitvi zdravljenja, ki je trajalo 70 dni ali več, povzročila enake stopnje kliničnega odziva in podoben varnostni profil kot pred prekinitvijo odmerka.</w:t>
      </w:r>
    </w:p>
    <w:p w14:paraId="376CB136" w14:textId="77777777" w:rsidR="00E04C8A" w:rsidRDefault="00E04C8A">
      <w:pPr>
        <w:spacing w:line="240" w:lineRule="exact"/>
        <w:rPr>
          <w:rFonts w:ascii="Times New Roman" w:hAnsi="Times New Roman" w:cs="Times New Roman"/>
          <w:lang w:val="sl-SI"/>
        </w:rPr>
      </w:pPr>
    </w:p>
    <w:p w14:paraId="5FD727C0" w14:textId="77777777" w:rsidR="00E04C8A" w:rsidRDefault="008E1817">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Ankilozirajoči spondilitis, aksialni spondiloartritis brez radiografskega dokaza za AS in psoriatičnega artritisa</w:t>
      </w:r>
    </w:p>
    <w:p w14:paraId="5C1CE75C" w14:textId="77777777" w:rsidR="00E04C8A" w:rsidRDefault="00E04C8A">
      <w:pPr>
        <w:spacing w:line="240" w:lineRule="exact"/>
        <w:rPr>
          <w:rFonts w:ascii="Times New Roman" w:hAnsi="Times New Roman" w:cs="Times New Roman"/>
          <w:lang w:val="sl-SI"/>
        </w:rPr>
      </w:pPr>
    </w:p>
    <w:p w14:paraId="5BE4A2DD" w14:textId="5C15A54B" w:rsidR="00E04C8A" w:rsidRDefault="008E1817">
      <w:pPr>
        <w:pStyle w:val="a3"/>
        <w:rPr>
          <w:lang w:val="sl-SI"/>
        </w:rPr>
      </w:pPr>
      <w:r>
        <w:rPr>
          <w:rFonts w:eastAsia="Times New Roman"/>
          <w:lang w:val="sl-SI"/>
        </w:rPr>
        <w:t>Priporočeni odmerek zdravila Yuflyma pri bolnikih z ankilozirajočim spondiloartritisom</w:t>
      </w:r>
      <w:r w:rsidR="00CA468C">
        <w:rPr>
          <w:rFonts w:eastAsia="Times New Roman"/>
          <w:lang w:val="sl-SI"/>
        </w:rPr>
        <w:t xml:space="preserve">, </w:t>
      </w:r>
      <w:r w:rsidR="00CA468C" w:rsidRPr="00337BB0">
        <w:rPr>
          <w:lang w:val="sl-SI"/>
        </w:rPr>
        <w:t>aksialnim spondiloartritisom brez radiografskega dokaza za AS</w:t>
      </w:r>
      <w:r>
        <w:rPr>
          <w:rFonts w:eastAsia="Times New Roman"/>
          <w:lang w:val="sl-SI"/>
        </w:rPr>
        <w:t xml:space="preserve"> in pri bolnikih s psoriatičnim artritisom je 40 mg adalimumaba, apliciranega vsak drugi teden v obliki enkratnega odmerka s subkutano injekcijo.</w:t>
      </w:r>
    </w:p>
    <w:p w14:paraId="6D48EE72" w14:textId="77777777" w:rsidR="00E04C8A" w:rsidRDefault="00E04C8A">
      <w:pPr>
        <w:spacing w:line="240" w:lineRule="exact"/>
        <w:rPr>
          <w:rFonts w:ascii="Times New Roman" w:hAnsi="Times New Roman" w:cs="Times New Roman"/>
          <w:lang w:val="sl-SI"/>
        </w:rPr>
      </w:pPr>
    </w:p>
    <w:p w14:paraId="21F0766A" w14:textId="77777777" w:rsidR="00E04C8A" w:rsidRDefault="008E1817">
      <w:pPr>
        <w:pStyle w:val="a3"/>
        <w:rPr>
          <w:lang w:val="sl-SI"/>
        </w:rPr>
      </w:pPr>
      <w:r>
        <w:rPr>
          <w:rFonts w:eastAsia="Times New Roman"/>
          <w:lang w:val="sl-SI"/>
        </w:rPr>
        <w:t>Razpoložljivi podatki kažejo, da je klinični odziv običajno dosežen v 12 tednih zdravljenja. Pri bolniku, ki se v tem časovnem obdobju ne odziva, je treba ponovno razmisliti o nadaljnjem zdravljenju.</w:t>
      </w:r>
    </w:p>
    <w:p w14:paraId="20FB82AC" w14:textId="77777777" w:rsidR="00E04C8A" w:rsidRDefault="00E04C8A">
      <w:pPr>
        <w:spacing w:line="240" w:lineRule="exact"/>
        <w:rPr>
          <w:rFonts w:ascii="Times New Roman" w:hAnsi="Times New Roman" w:cs="Times New Roman"/>
          <w:lang w:val="sl-SI"/>
        </w:rPr>
      </w:pPr>
    </w:p>
    <w:p w14:paraId="6BD0C2DE" w14:textId="77777777" w:rsidR="00E04C8A" w:rsidRDefault="008E1817">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Psoriaza</w:t>
      </w:r>
    </w:p>
    <w:p w14:paraId="42D0BC4E" w14:textId="77777777" w:rsidR="00E04C8A" w:rsidRDefault="00E04C8A">
      <w:pPr>
        <w:spacing w:line="240" w:lineRule="exact"/>
        <w:rPr>
          <w:rFonts w:ascii="Times New Roman" w:hAnsi="Times New Roman" w:cs="Times New Roman"/>
          <w:lang w:val="sl-SI"/>
        </w:rPr>
      </w:pPr>
    </w:p>
    <w:p w14:paraId="5CD4C756" w14:textId="77777777" w:rsidR="00E04C8A" w:rsidRDefault="008E1817">
      <w:pPr>
        <w:pStyle w:val="a3"/>
        <w:rPr>
          <w:lang w:val="sl-SI"/>
        </w:rPr>
      </w:pPr>
      <w:r>
        <w:rPr>
          <w:rFonts w:eastAsia="Times New Roman"/>
          <w:lang w:val="sl-SI"/>
        </w:rPr>
        <w:t>Priporočeni odmerek zdravila Yuflyma za odrasle bolnike je začetni odmerek 80 mg, ki ga je treba aplicirati subkutano, čemur sledi odmerek 40 mg subkutano, vsak drugi teden, z začetkom enega tedna po začetnem odmerku.</w:t>
      </w:r>
    </w:p>
    <w:p w14:paraId="69F027A0" w14:textId="77777777" w:rsidR="00E04C8A" w:rsidRDefault="00E04C8A">
      <w:pPr>
        <w:spacing w:line="240" w:lineRule="exact"/>
        <w:rPr>
          <w:rFonts w:ascii="Times New Roman" w:hAnsi="Times New Roman" w:cs="Times New Roman"/>
          <w:lang w:val="sl-SI"/>
        </w:rPr>
      </w:pPr>
    </w:p>
    <w:p w14:paraId="3D2D08DB" w14:textId="77777777" w:rsidR="00E04C8A" w:rsidRDefault="008E1817">
      <w:pPr>
        <w:pStyle w:val="a3"/>
        <w:rPr>
          <w:lang w:val="sl-SI"/>
        </w:rPr>
      </w:pPr>
      <w:r>
        <w:rPr>
          <w:rFonts w:eastAsia="Times New Roman"/>
          <w:lang w:val="sl-SI"/>
        </w:rPr>
        <w:t>Pri bolniku, ki se v tem časovnem obdobju ne odziva, je treba ponovno razmisliti o zdravljenju, ki traja več kot 16 tednov.</w:t>
      </w:r>
    </w:p>
    <w:p w14:paraId="03B98A56" w14:textId="77777777" w:rsidR="00E04C8A" w:rsidRDefault="00E04C8A">
      <w:pPr>
        <w:spacing w:line="240" w:lineRule="exact"/>
        <w:rPr>
          <w:rFonts w:ascii="Times New Roman" w:hAnsi="Times New Roman" w:cs="Times New Roman"/>
          <w:lang w:val="sl-SI"/>
        </w:rPr>
      </w:pPr>
    </w:p>
    <w:p w14:paraId="7FFCB15F" w14:textId="77777777" w:rsidR="00E04C8A" w:rsidRDefault="008E1817">
      <w:pPr>
        <w:pStyle w:val="a3"/>
        <w:rPr>
          <w:lang w:val="sl-SI"/>
        </w:rPr>
      </w:pPr>
      <w:r>
        <w:rPr>
          <w:rFonts w:eastAsia="Times New Roman"/>
          <w:lang w:val="sl-SI"/>
        </w:rPr>
        <w:t>Od 16. tedna dalje lahko bolnikom z nezadostnim odzivom na zdravilo Yuflyma 40 mg vsak drugi teden koristi povečanje odmerka na 40 mg vsak teden ali na 80 mg vsak drugi teden. Koristi in tveganja nadaljevanja zdravljenja s 40 mg enkrat na teden ali 80 mg vsak drugi teden je treba skrbno pretehtati pri bolniku z neustreznim odzivom po povečanju odmerka (glejte poglavje 5.1). Če se s 40 mg vsak teden ali 80 mg vsak drugi teden doseže ustrezen odziv, se odmerek lahko nato zmanjša na 40 mg vsak drugi teden.</w:t>
      </w:r>
    </w:p>
    <w:p w14:paraId="1C2D8931" w14:textId="77777777" w:rsidR="00E04C8A" w:rsidRDefault="00E04C8A">
      <w:pPr>
        <w:pStyle w:val="a3"/>
        <w:rPr>
          <w:lang w:val="sl-SI"/>
        </w:rPr>
      </w:pPr>
    </w:p>
    <w:p w14:paraId="19F4E40F" w14:textId="77777777" w:rsidR="00E04C8A" w:rsidRDefault="008E1817">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Hidradenitis suppurativa</w:t>
      </w:r>
    </w:p>
    <w:p w14:paraId="62DDE352" w14:textId="77777777" w:rsidR="00E04C8A" w:rsidRDefault="00E04C8A">
      <w:pPr>
        <w:spacing w:line="240" w:lineRule="exact"/>
        <w:rPr>
          <w:rFonts w:ascii="Times New Roman" w:hAnsi="Times New Roman" w:cs="Times New Roman"/>
          <w:lang w:val="sl-SI"/>
        </w:rPr>
      </w:pPr>
    </w:p>
    <w:p w14:paraId="7566B2C1" w14:textId="43C03BC1" w:rsidR="00E04C8A" w:rsidRDefault="008E1817">
      <w:pPr>
        <w:pStyle w:val="a3"/>
        <w:rPr>
          <w:lang w:val="sl-SI"/>
        </w:rPr>
      </w:pPr>
      <w:r>
        <w:rPr>
          <w:rFonts w:eastAsia="Times New Roman"/>
          <w:lang w:val="sl-SI"/>
        </w:rPr>
        <w:t xml:space="preserve">Priporočena shema odmerjanja zdravila Yuflyma pri odraslih bolnikih s hidradenitis suppurativa (HS) je 160 mg na 1. dan (apliciran v obliki štirih 40-mg injekcij v enem dnevu ali dveh 40-mg injekcij na dan dva zaporedna dneva), nato pa 80 mg dva tedna kasneje na 15. dan (apliciran v obliki dveh 40-mg injekcij v enem dnevu). Dva tedna kasneje (29. dan) nadaljujte z odmerkom 40 mg vsak teden ali 80 mg vsak drugi teden (v obliki dveh 40-mg injekcij v enem dnevu). Med zdravljenjem z zdravilom Yuflyma se zdravljenje z </w:t>
      </w:r>
      <w:r>
        <w:rPr>
          <w:rFonts w:eastAsia="Times New Roman"/>
          <w:lang w:val="sl-SI"/>
        </w:rPr>
        <w:lastRenderedPageBreak/>
        <w:t xml:space="preserve">antibiotiki lahko nadaljuje, če je potrebno. Priporočljivo je, da med zdravljenjem z zdravilom </w:t>
      </w:r>
      <w:r w:rsidR="007F6B22">
        <w:rPr>
          <w:rFonts w:eastAsia="Times New Roman"/>
          <w:lang w:val="sl-SI"/>
        </w:rPr>
        <w:t>Yuflyma</w:t>
      </w:r>
      <w:r>
        <w:rPr>
          <w:rFonts w:eastAsia="Times New Roman"/>
          <w:lang w:val="sl-SI"/>
        </w:rPr>
        <w:t xml:space="preserve"> bolnik vsak dan uporablja topikaln</w:t>
      </w:r>
      <w:r w:rsidR="00276D7D">
        <w:rPr>
          <w:rFonts w:eastAsia="Times New Roman"/>
          <w:lang w:val="sl-SI"/>
        </w:rPr>
        <w:t>i</w:t>
      </w:r>
      <w:r>
        <w:rPr>
          <w:rFonts w:eastAsia="Times New Roman"/>
          <w:lang w:val="sl-SI"/>
        </w:rPr>
        <w:t xml:space="preserve"> antisepti</w:t>
      </w:r>
      <w:r w:rsidR="00276D7D">
        <w:rPr>
          <w:rFonts w:eastAsia="Times New Roman"/>
          <w:lang w:val="sl-SI"/>
        </w:rPr>
        <w:t>k</w:t>
      </w:r>
      <w:r>
        <w:rPr>
          <w:rFonts w:eastAsia="Times New Roman"/>
          <w:lang w:val="sl-SI"/>
        </w:rPr>
        <w:t xml:space="preserve"> za </w:t>
      </w:r>
      <w:r w:rsidR="00276D7D">
        <w:rPr>
          <w:rFonts w:eastAsia="Times New Roman"/>
          <w:lang w:val="sl-SI"/>
        </w:rPr>
        <w:t>izpiranje</w:t>
      </w:r>
      <w:r>
        <w:rPr>
          <w:rFonts w:eastAsia="Times New Roman"/>
          <w:lang w:val="sl-SI"/>
        </w:rPr>
        <w:t xml:space="preserve"> lezij HS.</w:t>
      </w:r>
    </w:p>
    <w:p w14:paraId="7FE47A83" w14:textId="77777777" w:rsidR="00E04C8A" w:rsidRDefault="00E04C8A">
      <w:pPr>
        <w:spacing w:line="240" w:lineRule="exact"/>
        <w:rPr>
          <w:rFonts w:ascii="Times New Roman" w:hAnsi="Times New Roman" w:cs="Times New Roman"/>
          <w:lang w:val="sl-SI"/>
        </w:rPr>
      </w:pPr>
    </w:p>
    <w:p w14:paraId="7B3D0313" w14:textId="77777777" w:rsidR="00E04C8A" w:rsidRDefault="008E1817">
      <w:pPr>
        <w:pStyle w:val="a3"/>
        <w:rPr>
          <w:lang w:val="sl-SI"/>
        </w:rPr>
      </w:pPr>
      <w:r>
        <w:rPr>
          <w:rFonts w:eastAsia="Times New Roman"/>
          <w:lang w:val="sl-SI"/>
        </w:rPr>
        <w:t>Pri bolniku, pri katerem se v tem časovnem obdobju ne pokaže izboljšanje, je treba ponovno razmisliti o zdravljenju, ki traja več kot 12 tednov.</w:t>
      </w:r>
    </w:p>
    <w:p w14:paraId="6EABEA1C" w14:textId="77777777" w:rsidR="00E04C8A" w:rsidRDefault="00E04C8A">
      <w:pPr>
        <w:spacing w:line="240" w:lineRule="exact"/>
        <w:rPr>
          <w:rFonts w:ascii="Times New Roman" w:hAnsi="Times New Roman" w:cs="Times New Roman"/>
          <w:lang w:val="sl-SI"/>
        </w:rPr>
      </w:pPr>
    </w:p>
    <w:p w14:paraId="544117E7" w14:textId="77777777" w:rsidR="00E04C8A" w:rsidRDefault="008E1817">
      <w:pPr>
        <w:pStyle w:val="a3"/>
        <w:rPr>
          <w:lang w:val="sl-SI"/>
        </w:rPr>
      </w:pPr>
      <w:r>
        <w:rPr>
          <w:rFonts w:eastAsia="Times New Roman"/>
          <w:lang w:val="sl-SI"/>
        </w:rPr>
        <w:t>Če je treba zdravljenje prekiniti, lahko ponovno uvedemo odmerek 40 mg zdravila Yuflyma enkrat na teden ali 80 mg vsak drugi teden (glejte poglavje 5.1).</w:t>
      </w:r>
    </w:p>
    <w:p w14:paraId="603EC9C4" w14:textId="77777777" w:rsidR="00E04C8A" w:rsidRDefault="00E04C8A">
      <w:pPr>
        <w:pStyle w:val="a3"/>
        <w:rPr>
          <w:lang w:val="sl-SI"/>
        </w:rPr>
      </w:pPr>
    </w:p>
    <w:p w14:paraId="63CF3DAA" w14:textId="40C130D5" w:rsidR="00E04C8A" w:rsidRDefault="00BB0A7A">
      <w:pPr>
        <w:pStyle w:val="a3"/>
        <w:rPr>
          <w:lang w:val="sl-SI"/>
        </w:rPr>
      </w:pPr>
      <w:r w:rsidRPr="00337BB0">
        <w:rPr>
          <w:lang w:val="sl-SI"/>
        </w:rPr>
        <w:t xml:space="preserve">Tveganja in koristi neprekinjenega dolgotrajnega zdravljenja je treba periodično pretehtati </w:t>
      </w:r>
      <w:r w:rsidR="008E1817">
        <w:rPr>
          <w:rFonts w:eastAsia="Times New Roman"/>
          <w:lang w:val="sl-SI"/>
        </w:rPr>
        <w:t xml:space="preserve">(glejte poglavje 5.1). </w:t>
      </w:r>
    </w:p>
    <w:p w14:paraId="207D9E51" w14:textId="77777777" w:rsidR="00E04C8A" w:rsidRDefault="00E04C8A">
      <w:pPr>
        <w:rPr>
          <w:rFonts w:ascii="Times New Roman" w:eastAsia="Times New Roman" w:hAnsi="Times New Roman" w:cs="Times New Roman"/>
          <w:i/>
          <w:spacing w:val="-1"/>
          <w:lang w:val="sl-SI"/>
        </w:rPr>
      </w:pPr>
    </w:p>
    <w:p w14:paraId="0E2F5110" w14:textId="77777777" w:rsidR="00E04C8A" w:rsidRDefault="008E1817">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Crohnova bolezen</w:t>
      </w:r>
    </w:p>
    <w:p w14:paraId="484578CD" w14:textId="77777777" w:rsidR="00E04C8A" w:rsidRDefault="00E04C8A">
      <w:pPr>
        <w:spacing w:line="240" w:lineRule="exact"/>
        <w:rPr>
          <w:rFonts w:ascii="Times New Roman" w:hAnsi="Times New Roman" w:cs="Times New Roman"/>
          <w:lang w:val="sl-SI"/>
        </w:rPr>
      </w:pPr>
    </w:p>
    <w:p w14:paraId="2C382DD6" w14:textId="30E81818" w:rsidR="00E04C8A" w:rsidRDefault="008E1817">
      <w:pPr>
        <w:pStyle w:val="a3"/>
        <w:rPr>
          <w:lang w:val="sl-SI"/>
        </w:rPr>
      </w:pPr>
      <w:r>
        <w:rPr>
          <w:rFonts w:eastAsia="Times New Roman"/>
          <w:lang w:val="sl-SI"/>
        </w:rPr>
        <w:t xml:space="preserve">Priporočena shema odmerjanja zdravila Yuflyma med indukcijo je pri odraslih bolnikih z zmerno do hudo, aktivno Crohnovo boleznijo 80 mg v 0. tednu, čemur sledi 40 mg v 2. tednu. Če je potreben hitrejši odziv na zdravljenje, se lahko uporabi shema 160 mg v 0. tednu (v obliki štirih 40-mg injekcij na en dan ali kot dve 40-mg injekciji na dan v dveh zaporednih dneh), </w:t>
      </w:r>
      <w:r w:rsidR="00CF282E" w:rsidRPr="00CF282E">
        <w:rPr>
          <w:rFonts w:eastAsia="Times New Roman"/>
          <w:lang w:val="sl-SI"/>
        </w:rPr>
        <w:t xml:space="preserve">ki mu sledi </w:t>
      </w:r>
      <w:r>
        <w:rPr>
          <w:rFonts w:eastAsia="Times New Roman"/>
          <w:lang w:val="sl-SI"/>
        </w:rPr>
        <w:t>80 mg v 2. tednu (v obliki dveh 40-mg injekcij na en dan). Ob tem se je treba zavedati, da je tveganje za neželene učinke med indukcijo večje.</w:t>
      </w:r>
    </w:p>
    <w:p w14:paraId="02432AA9" w14:textId="77777777" w:rsidR="00E04C8A" w:rsidRDefault="00E04C8A">
      <w:pPr>
        <w:spacing w:line="240" w:lineRule="exact"/>
        <w:rPr>
          <w:rFonts w:ascii="Times New Roman" w:hAnsi="Times New Roman" w:cs="Times New Roman"/>
          <w:lang w:val="sl-SI"/>
        </w:rPr>
      </w:pPr>
    </w:p>
    <w:p w14:paraId="65C8468C" w14:textId="77777777" w:rsidR="00E04C8A" w:rsidRDefault="008E1817">
      <w:pPr>
        <w:pStyle w:val="a3"/>
        <w:rPr>
          <w:lang w:val="sl-SI"/>
        </w:rPr>
      </w:pPr>
      <w:r>
        <w:rPr>
          <w:rFonts w:eastAsia="Times New Roman"/>
          <w:lang w:val="sl-SI"/>
        </w:rPr>
        <w:t>Po indukcijskem zdravljenju je priporočen odmerek 40 mg vsak drugi teden s subkutanim injiciranjem. Če bolnik neha jemati zdravilo Yuflyma, znaki in simptomi bolezni pa se ponovijo, se lahko zdravilo Yuflyma znova uvede. Izkušenj s ponovno uporabo po več kot 8 tednih od prejšnjega odmerka je malo.</w:t>
      </w:r>
    </w:p>
    <w:p w14:paraId="4F4748B2" w14:textId="77777777" w:rsidR="00E04C8A" w:rsidRDefault="00E04C8A">
      <w:pPr>
        <w:spacing w:line="240" w:lineRule="exact"/>
        <w:rPr>
          <w:rFonts w:ascii="Times New Roman" w:hAnsi="Times New Roman" w:cs="Times New Roman"/>
          <w:lang w:val="sl-SI"/>
        </w:rPr>
      </w:pPr>
    </w:p>
    <w:p w14:paraId="7CBCAB5A" w14:textId="77777777" w:rsidR="00E04C8A" w:rsidRDefault="008E1817">
      <w:pPr>
        <w:pStyle w:val="a3"/>
        <w:rPr>
          <w:lang w:val="sl-SI"/>
        </w:rPr>
      </w:pPr>
      <w:r>
        <w:rPr>
          <w:rFonts w:eastAsia="Times New Roman"/>
          <w:lang w:val="sl-SI"/>
        </w:rPr>
        <w:t>Med vzdrževalnim zdravljenjem je mogoče odmerek kortikosteroida zmanjšati v skladu s smernicami za klinično prakso.</w:t>
      </w:r>
    </w:p>
    <w:p w14:paraId="6D06A1F7" w14:textId="77777777" w:rsidR="00E04C8A" w:rsidRDefault="00E04C8A">
      <w:pPr>
        <w:spacing w:line="240" w:lineRule="exact"/>
        <w:rPr>
          <w:rFonts w:ascii="Times New Roman" w:hAnsi="Times New Roman" w:cs="Times New Roman"/>
          <w:lang w:val="sl-SI"/>
        </w:rPr>
      </w:pPr>
    </w:p>
    <w:p w14:paraId="32806DC1" w14:textId="77777777" w:rsidR="00E04C8A" w:rsidRDefault="008E1817">
      <w:pPr>
        <w:pStyle w:val="a3"/>
        <w:rPr>
          <w:lang w:val="sl-SI"/>
        </w:rPr>
      </w:pPr>
      <w:r>
        <w:rPr>
          <w:rFonts w:eastAsia="Times New Roman"/>
          <w:lang w:val="sl-SI"/>
        </w:rPr>
        <w:t>Nekaterim bolnikom, pri katerih se odziv na odmerek zdravila Yuflyma 40 mg vsak drugi teden zmanjša, lahko koristi povečanje odmerka zdravila Yuflyma na 40 mg enkrat na teden ali 80 mg vsak drugi teden.</w:t>
      </w:r>
    </w:p>
    <w:p w14:paraId="03FF43AF" w14:textId="77777777" w:rsidR="00E04C8A" w:rsidRDefault="00E04C8A">
      <w:pPr>
        <w:spacing w:line="240" w:lineRule="exact"/>
        <w:rPr>
          <w:rFonts w:ascii="Times New Roman" w:hAnsi="Times New Roman" w:cs="Times New Roman"/>
          <w:lang w:val="sl-SI"/>
        </w:rPr>
      </w:pPr>
    </w:p>
    <w:p w14:paraId="72D43762" w14:textId="24B31E66" w:rsidR="00E04C8A" w:rsidRDefault="008E1817">
      <w:pPr>
        <w:pStyle w:val="a3"/>
        <w:rPr>
          <w:lang w:val="sl-SI"/>
        </w:rPr>
      </w:pPr>
      <w:r>
        <w:rPr>
          <w:rFonts w:eastAsia="Times New Roman"/>
          <w:lang w:val="sl-SI"/>
        </w:rPr>
        <w:t>Nekaterim bolnikom, ki se niso odzvali do 4. tedna, lahko koristi nadaljnje vzdrževalno zdravljenje do 12. tedna. Pri bolnikih, ki se v tem časovnem obdobju ne odzovejo, je treba znova razmisliti o nadaljevanju zdravljenja.</w:t>
      </w:r>
    </w:p>
    <w:p w14:paraId="525DAE40" w14:textId="77777777" w:rsidR="00E04C8A" w:rsidRDefault="00E04C8A">
      <w:pPr>
        <w:spacing w:line="240" w:lineRule="exact"/>
        <w:rPr>
          <w:rFonts w:ascii="Times New Roman" w:hAnsi="Times New Roman" w:cs="Times New Roman"/>
          <w:lang w:val="sl-SI"/>
        </w:rPr>
      </w:pPr>
    </w:p>
    <w:p w14:paraId="6EF2ACA2" w14:textId="77777777" w:rsidR="00E04C8A" w:rsidRDefault="008E1817">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Ulcerozni kolitis</w:t>
      </w:r>
    </w:p>
    <w:p w14:paraId="6ED5A574" w14:textId="77777777" w:rsidR="00E04C8A" w:rsidRDefault="00E04C8A">
      <w:pPr>
        <w:spacing w:line="240" w:lineRule="exact"/>
        <w:rPr>
          <w:rFonts w:ascii="Times New Roman" w:hAnsi="Times New Roman" w:cs="Times New Roman"/>
          <w:lang w:val="sl-SI"/>
        </w:rPr>
      </w:pPr>
    </w:p>
    <w:p w14:paraId="153954D8" w14:textId="77777777" w:rsidR="00E04C8A" w:rsidRDefault="008E1817">
      <w:pPr>
        <w:pStyle w:val="a3"/>
        <w:rPr>
          <w:lang w:val="sl-SI"/>
        </w:rPr>
      </w:pPr>
      <w:r>
        <w:rPr>
          <w:rFonts w:eastAsia="Times New Roman"/>
          <w:lang w:val="sl-SI"/>
        </w:rPr>
        <w:t>Priporočena shema odmerjanja zdravila Yuflyma med indukcijo je pri odraslih bolnikih z zmernim do hudim ulceroznim kolitisom 160 mg v 0. tednu (v obliki štirih 40-miligramskih injekcij v enem dnevu ali kot dve 40-mg injekciji na dan v dveh zaporednih dneh) in 80 mg v 2. tednu (v obliki dveh 40-mg injekcij v enem dnevu). Po indukcijskem zdravljenju je priporočen odmerek 40 mg vsak drugi teden s subkutanim injiciranjem.</w:t>
      </w:r>
    </w:p>
    <w:p w14:paraId="5378A621" w14:textId="77777777" w:rsidR="00E04C8A" w:rsidRDefault="00E04C8A">
      <w:pPr>
        <w:spacing w:line="240" w:lineRule="exact"/>
        <w:rPr>
          <w:rFonts w:ascii="Times New Roman" w:hAnsi="Times New Roman" w:cs="Times New Roman"/>
          <w:lang w:val="sl-SI"/>
        </w:rPr>
      </w:pPr>
    </w:p>
    <w:p w14:paraId="568A1AA7" w14:textId="77777777" w:rsidR="00E04C8A" w:rsidRDefault="008E1817">
      <w:pPr>
        <w:pStyle w:val="a3"/>
        <w:rPr>
          <w:lang w:val="sl-SI"/>
        </w:rPr>
      </w:pPr>
      <w:r>
        <w:rPr>
          <w:rFonts w:eastAsia="Times New Roman"/>
          <w:lang w:val="sl-SI"/>
        </w:rPr>
        <w:t>Med vzdrževalnim zdravljenjem je mogoče odmerek kortikosteroida postopno zmanjšati v skladu s smernicami za klinično prakso.</w:t>
      </w:r>
    </w:p>
    <w:p w14:paraId="0B2D4A45" w14:textId="77777777" w:rsidR="00E04C8A" w:rsidRDefault="00E04C8A">
      <w:pPr>
        <w:pStyle w:val="a3"/>
        <w:rPr>
          <w:lang w:val="sl-SI"/>
        </w:rPr>
      </w:pPr>
    </w:p>
    <w:p w14:paraId="6386E51F" w14:textId="77777777" w:rsidR="00E04C8A" w:rsidRDefault="008E1817">
      <w:pPr>
        <w:pStyle w:val="a3"/>
        <w:rPr>
          <w:lang w:val="sl-SI"/>
        </w:rPr>
      </w:pPr>
      <w:r>
        <w:rPr>
          <w:rFonts w:eastAsia="Times New Roman"/>
          <w:spacing w:val="-2"/>
          <w:lang w:val="sl-SI"/>
        </w:rPr>
        <w:t>Nekaterim bolnikom, pri katerih se odziv na odmerek zdravila Yuflyma 40 mg vsak drugi teden zmanjša, lahko koristi povečanje odmerka zdravila Yuflyma na 40 mg enkrat na teden ali 80 mg vsak drugi teden.</w:t>
      </w:r>
    </w:p>
    <w:p w14:paraId="4910CEF9" w14:textId="77777777" w:rsidR="00E04C8A" w:rsidRDefault="00E04C8A">
      <w:pPr>
        <w:spacing w:line="240" w:lineRule="exact"/>
        <w:rPr>
          <w:rFonts w:ascii="Times New Roman" w:hAnsi="Times New Roman" w:cs="Times New Roman"/>
          <w:lang w:val="sl-SI"/>
        </w:rPr>
      </w:pPr>
    </w:p>
    <w:p w14:paraId="24E0F1D6" w14:textId="77777777" w:rsidR="00E04C8A" w:rsidRDefault="008E1817">
      <w:pPr>
        <w:pStyle w:val="a3"/>
        <w:rPr>
          <w:lang w:val="sl-SI"/>
        </w:rPr>
      </w:pPr>
      <w:r>
        <w:rPr>
          <w:rFonts w:eastAsia="Times New Roman"/>
          <w:lang w:val="sl-SI"/>
        </w:rPr>
        <w:t>Razpoložljivi podatki kažejo, da je klinični odziv po navadi dosežen v 2–8 tednih zdravljenja. Pri bolnikih, ki se v tem časovnem obdobju ne odzovejo, se zdravljenje z zdravilom Yuflyma ne sme nadaljevati.</w:t>
      </w:r>
    </w:p>
    <w:p w14:paraId="64AA6E3D" w14:textId="77777777" w:rsidR="00E04C8A" w:rsidRDefault="00E04C8A">
      <w:pPr>
        <w:rPr>
          <w:rFonts w:ascii="Times New Roman" w:eastAsia="Times New Roman" w:hAnsi="Times New Roman" w:cs="Times New Roman"/>
          <w:i/>
          <w:lang w:val="sl-SI"/>
        </w:rPr>
      </w:pPr>
    </w:p>
    <w:p w14:paraId="79540FA5" w14:textId="77777777" w:rsidR="00E04C8A" w:rsidRDefault="008E1817">
      <w:pPr>
        <w:rPr>
          <w:rFonts w:ascii="Times New Roman" w:eastAsia="Times New Roman" w:hAnsi="Times New Roman" w:cs="Times New Roman"/>
          <w:lang w:val="sl-SI"/>
        </w:rPr>
      </w:pPr>
      <w:r>
        <w:rPr>
          <w:rFonts w:ascii="Times New Roman" w:eastAsia="Times New Roman" w:hAnsi="Times New Roman" w:cs="Times New Roman"/>
          <w:i/>
          <w:iCs/>
          <w:lang w:val="sl-SI"/>
        </w:rPr>
        <w:t>Uveitis</w:t>
      </w:r>
    </w:p>
    <w:p w14:paraId="28E925F4" w14:textId="77777777" w:rsidR="00E04C8A" w:rsidRDefault="00E04C8A">
      <w:pPr>
        <w:spacing w:line="240" w:lineRule="exact"/>
        <w:rPr>
          <w:rFonts w:ascii="Times New Roman" w:hAnsi="Times New Roman" w:cs="Times New Roman"/>
          <w:lang w:val="sl-SI"/>
        </w:rPr>
      </w:pPr>
    </w:p>
    <w:p w14:paraId="1361C29B" w14:textId="77777777" w:rsidR="00E04C8A" w:rsidRDefault="008E1817">
      <w:pPr>
        <w:pStyle w:val="a3"/>
        <w:rPr>
          <w:lang w:val="sl-SI"/>
        </w:rPr>
      </w:pPr>
      <w:r>
        <w:rPr>
          <w:rFonts w:eastAsia="Times New Roman"/>
          <w:lang w:val="sl-SI"/>
        </w:rPr>
        <w:t xml:space="preserve">Priporočeni odmerek zdravila Yuflyma za odrasle bolnike z uveitisom je začetni odmerek 80 mg, čemur sledi odmerek 40 mg vsak drugi teden, ki se ga začne dajati en teden po začetnem odmerku. Izkušnje z </w:t>
      </w:r>
      <w:r>
        <w:rPr>
          <w:rFonts w:eastAsia="Times New Roman"/>
          <w:lang w:val="sl-SI"/>
        </w:rPr>
        <w:lastRenderedPageBreak/>
        <w:t>uvedbo zdravljenja s samim adalimumabom so omejene. Zdravljenje z zdravilom Yuflyma je mogoče uvesti v kombinaciji s kortikosteroidi in/ali drugimi nebiološkimi imunomodulatorji. Sočasni kortikosteroidi se lahko v skladu s klinično prakso postopno zmanjšujejo, z začetkom dva tedna po začetku zdravljenja z zdravilom Yuflyma.</w:t>
      </w:r>
    </w:p>
    <w:p w14:paraId="28737A4B" w14:textId="77777777" w:rsidR="00E04C8A" w:rsidRDefault="00E04C8A">
      <w:pPr>
        <w:spacing w:line="240" w:lineRule="exact"/>
        <w:rPr>
          <w:rFonts w:ascii="Times New Roman" w:hAnsi="Times New Roman" w:cs="Times New Roman"/>
          <w:lang w:val="sl-SI"/>
        </w:rPr>
      </w:pPr>
    </w:p>
    <w:p w14:paraId="71275BBF" w14:textId="77777777" w:rsidR="00E04C8A" w:rsidRDefault="008E1817">
      <w:pPr>
        <w:pStyle w:val="a3"/>
        <w:rPr>
          <w:lang w:val="sl-SI"/>
        </w:rPr>
      </w:pPr>
      <w:r>
        <w:rPr>
          <w:rFonts w:eastAsia="Times New Roman"/>
          <w:spacing w:val="-4"/>
          <w:lang w:val="sl-SI"/>
        </w:rPr>
        <w:t>Priporočljivo je, da se vsako leto ocenijo koristi in tveganja nadaljnjega dolgotrajnega zdravljenja (glejte poglavje 5.1).</w:t>
      </w:r>
    </w:p>
    <w:p w14:paraId="0DF799B0" w14:textId="77777777" w:rsidR="00E04C8A" w:rsidRDefault="00E04C8A">
      <w:pPr>
        <w:pStyle w:val="a3"/>
        <w:rPr>
          <w:lang w:val="sl-SI"/>
        </w:rPr>
      </w:pPr>
    </w:p>
    <w:p w14:paraId="6ECFAC9B" w14:textId="77777777" w:rsidR="00E04C8A" w:rsidRDefault="008E1817">
      <w:pPr>
        <w:pStyle w:val="a3"/>
        <w:rPr>
          <w:u w:val="single"/>
          <w:lang w:val="sl-SI"/>
        </w:rPr>
      </w:pPr>
      <w:r>
        <w:rPr>
          <w:rFonts w:eastAsia="Times New Roman"/>
          <w:u w:val="single" w:color="000000"/>
          <w:lang w:val="sl-SI"/>
        </w:rPr>
        <w:t>Posebne populacije</w:t>
      </w:r>
    </w:p>
    <w:p w14:paraId="301DB4F0" w14:textId="77777777" w:rsidR="00E04C8A" w:rsidRDefault="00E04C8A">
      <w:pPr>
        <w:spacing w:line="180" w:lineRule="exact"/>
        <w:rPr>
          <w:rFonts w:ascii="Times New Roman" w:hAnsi="Times New Roman" w:cs="Times New Roman"/>
          <w:lang w:val="sl-SI"/>
        </w:rPr>
      </w:pPr>
    </w:p>
    <w:p w14:paraId="7EB33420" w14:textId="77777777" w:rsidR="00E04C8A" w:rsidRDefault="008E1817">
      <w:pPr>
        <w:pStyle w:val="a3"/>
        <w:rPr>
          <w:i/>
          <w:lang w:val="sl-SI"/>
        </w:rPr>
      </w:pPr>
      <w:r>
        <w:rPr>
          <w:rFonts w:eastAsia="Times New Roman"/>
          <w:i/>
          <w:iCs/>
          <w:lang w:val="sl-SI"/>
        </w:rPr>
        <w:t>Starejši bolniki</w:t>
      </w:r>
    </w:p>
    <w:p w14:paraId="3BE3A0C4" w14:textId="77777777" w:rsidR="00E04C8A" w:rsidRDefault="00E04C8A">
      <w:pPr>
        <w:spacing w:line="240" w:lineRule="exact"/>
        <w:rPr>
          <w:rFonts w:ascii="Times New Roman" w:hAnsi="Times New Roman" w:cs="Times New Roman"/>
          <w:lang w:val="sl-SI"/>
        </w:rPr>
      </w:pPr>
    </w:p>
    <w:p w14:paraId="269B63D5" w14:textId="77777777" w:rsidR="00E04C8A" w:rsidRDefault="008E1817">
      <w:pPr>
        <w:pStyle w:val="a3"/>
        <w:rPr>
          <w:lang w:val="sl-SI"/>
        </w:rPr>
      </w:pPr>
      <w:r>
        <w:rPr>
          <w:rFonts w:eastAsia="Times New Roman"/>
          <w:lang w:val="sl-SI"/>
        </w:rPr>
        <w:t xml:space="preserve">Prilagoditev odmerka ni potrebna. </w:t>
      </w:r>
    </w:p>
    <w:p w14:paraId="3251BA0C" w14:textId="77777777" w:rsidR="00E04C8A" w:rsidRDefault="00E04C8A">
      <w:pPr>
        <w:pStyle w:val="a3"/>
        <w:rPr>
          <w:lang w:val="sl-SI"/>
        </w:rPr>
      </w:pPr>
    </w:p>
    <w:p w14:paraId="045B25C5" w14:textId="77777777" w:rsidR="00E04C8A" w:rsidRDefault="008E1817">
      <w:pPr>
        <w:pStyle w:val="a3"/>
        <w:rPr>
          <w:i/>
          <w:lang w:val="sl-SI"/>
        </w:rPr>
      </w:pPr>
      <w:r>
        <w:rPr>
          <w:rFonts w:eastAsia="Times New Roman"/>
          <w:i/>
          <w:iCs/>
          <w:lang w:val="sl-SI"/>
        </w:rPr>
        <w:t>Okvara ledvic in/ali jeter</w:t>
      </w:r>
    </w:p>
    <w:p w14:paraId="37C4AE04" w14:textId="77777777" w:rsidR="00E04C8A" w:rsidRDefault="00E04C8A">
      <w:pPr>
        <w:pStyle w:val="a3"/>
        <w:rPr>
          <w:lang w:val="sl-SI"/>
        </w:rPr>
      </w:pPr>
    </w:p>
    <w:p w14:paraId="0F5492D1" w14:textId="77777777" w:rsidR="00E04C8A" w:rsidRDefault="008E1817">
      <w:pPr>
        <w:pStyle w:val="a3"/>
        <w:rPr>
          <w:lang w:val="sl-SI"/>
        </w:rPr>
      </w:pPr>
      <w:r>
        <w:rPr>
          <w:rFonts w:eastAsia="Times New Roman"/>
          <w:lang w:val="sl-SI"/>
        </w:rPr>
        <w:t xml:space="preserve">Uporaba adalimumaba pri tej populaciji bolnikov ni bila raziskana. Priporočil za odmerjanje ni mogoče dati. </w:t>
      </w:r>
    </w:p>
    <w:p w14:paraId="3A911AB7" w14:textId="77777777" w:rsidR="00E04C8A" w:rsidRDefault="00E04C8A">
      <w:pPr>
        <w:pStyle w:val="a3"/>
        <w:rPr>
          <w:lang w:val="sl-SI"/>
        </w:rPr>
      </w:pPr>
    </w:p>
    <w:p w14:paraId="6BBAC08F" w14:textId="77777777" w:rsidR="00E04C8A" w:rsidRPr="00721C46" w:rsidRDefault="008E1817">
      <w:pPr>
        <w:pStyle w:val="a3"/>
        <w:rPr>
          <w:u w:val="single"/>
          <w:lang w:val="sl-SI"/>
        </w:rPr>
      </w:pPr>
      <w:r w:rsidRPr="00721C46">
        <w:rPr>
          <w:rFonts w:eastAsia="Times New Roman"/>
          <w:iCs/>
          <w:u w:val="single"/>
          <w:lang w:val="sl-SI"/>
        </w:rPr>
        <w:t>Pediatrična populacija</w:t>
      </w:r>
    </w:p>
    <w:p w14:paraId="767A253B" w14:textId="77777777" w:rsidR="00E04C8A" w:rsidRPr="00816D87" w:rsidRDefault="00E04C8A">
      <w:pPr>
        <w:pStyle w:val="a3"/>
        <w:rPr>
          <w:i/>
          <w:lang w:val="sl-SI"/>
        </w:rPr>
      </w:pPr>
    </w:p>
    <w:p w14:paraId="704D321A" w14:textId="77777777" w:rsidR="00E04C8A" w:rsidRDefault="008E1817">
      <w:pPr>
        <w:spacing w:line="480" w:lineRule="auto"/>
        <w:rPr>
          <w:rFonts w:ascii="Times New Roman" w:eastAsia="Times New Roman" w:hAnsi="Times New Roman" w:cs="Times New Roman"/>
          <w:i/>
          <w:spacing w:val="-1"/>
          <w:lang w:val="sl-SI"/>
        </w:rPr>
      </w:pPr>
      <w:r>
        <w:rPr>
          <w:rFonts w:ascii="Times New Roman" w:eastAsia="Times New Roman" w:hAnsi="Times New Roman" w:cs="Times New Roman"/>
          <w:i/>
          <w:iCs/>
          <w:spacing w:val="-1"/>
          <w:lang w:val="sl-SI"/>
        </w:rPr>
        <w:t>Juvenilni idiopatski artritis</w:t>
      </w:r>
    </w:p>
    <w:p w14:paraId="5C87FAAB" w14:textId="77777777" w:rsidR="00E04C8A" w:rsidRDefault="008E1817">
      <w:pPr>
        <w:spacing w:line="480" w:lineRule="auto"/>
        <w:rPr>
          <w:rFonts w:ascii="Times New Roman" w:eastAsia="Times New Roman" w:hAnsi="Times New Roman" w:cs="Times New Roman"/>
          <w:lang w:val="sl-SI"/>
        </w:rPr>
      </w:pPr>
      <w:r>
        <w:rPr>
          <w:rFonts w:ascii="Times New Roman" w:eastAsia="Times New Roman" w:hAnsi="Times New Roman" w:cs="Times New Roman"/>
          <w:i/>
          <w:iCs/>
          <w:spacing w:val="-1"/>
          <w:u w:val="single" w:color="000000"/>
          <w:lang w:val="sl-SI"/>
        </w:rPr>
        <w:t>Poliartikularni juvenilni idiopatični artritis od 2. leta starosti</w:t>
      </w:r>
    </w:p>
    <w:p w14:paraId="67A84943" w14:textId="77777777" w:rsidR="00E04C8A" w:rsidRDefault="008E1817">
      <w:pPr>
        <w:pStyle w:val="a3"/>
        <w:rPr>
          <w:lang w:val="sl-SI"/>
        </w:rPr>
      </w:pPr>
      <w:r>
        <w:rPr>
          <w:rFonts w:eastAsia="Times New Roman"/>
          <w:lang w:val="sl-SI"/>
        </w:rPr>
        <w:t>Priporočeni odmerek zdravila Yuflyma pri bolnikih s poliartikularnim juvenilnim idiopatičnim artritisom, starih 2 leti ali več, je odvisen od telesne mase (preglednica 1). Zdravilo Yuflyma se daje vsak drugi teden s subkutanim injiciranjem.</w:t>
      </w:r>
    </w:p>
    <w:p w14:paraId="3E0F72B2" w14:textId="77777777" w:rsidR="00E04C8A" w:rsidRDefault="00E04C8A">
      <w:pPr>
        <w:pStyle w:val="a3"/>
        <w:rPr>
          <w:lang w:val="sl-SI"/>
        </w:rPr>
      </w:pPr>
    </w:p>
    <w:p w14:paraId="71AFEAF5" w14:textId="77777777" w:rsidR="00E04C8A" w:rsidRDefault="008E1817">
      <w:pPr>
        <w:pStyle w:val="a3"/>
        <w:jc w:val="center"/>
        <w:rPr>
          <w:b/>
          <w:lang w:val="sl-SI"/>
        </w:rPr>
      </w:pPr>
      <w:r>
        <w:rPr>
          <w:rFonts w:eastAsia="Times New Roman"/>
          <w:b/>
          <w:bCs/>
          <w:lang w:val="sl-SI"/>
        </w:rPr>
        <w:t>Preglednica 1. Odmerek zdravila Yuflyma pri bolnikih s poliartikularnim juvenilnim idiopatičnim artritisom</w:t>
      </w:r>
    </w:p>
    <w:p w14:paraId="04D5A01C" w14:textId="77777777" w:rsidR="00E04C8A" w:rsidRDefault="00E04C8A">
      <w:pPr>
        <w:pStyle w:val="a3"/>
        <w:rPr>
          <w:lang w:val="sl-SI"/>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1"/>
        <w:gridCol w:w="3271"/>
      </w:tblGrid>
      <w:tr w:rsidR="00E04C8A" w14:paraId="38DD4DB6" w14:textId="77777777">
        <w:trPr>
          <w:trHeight w:val="388"/>
          <w:jc w:val="center"/>
        </w:trPr>
        <w:tc>
          <w:tcPr>
            <w:tcW w:w="3271" w:type="dxa"/>
            <w:tcBorders>
              <w:top w:val="single" w:sz="4" w:space="0" w:color="auto"/>
              <w:bottom w:val="single" w:sz="4" w:space="0" w:color="auto"/>
            </w:tcBorders>
            <w:vAlign w:val="center"/>
          </w:tcPr>
          <w:p w14:paraId="126C0341" w14:textId="77777777" w:rsidR="00E04C8A" w:rsidRDefault="008E1817">
            <w:pPr>
              <w:pStyle w:val="a3"/>
              <w:jc w:val="center"/>
              <w:rPr>
                <w:b/>
                <w:lang w:val="sl-SI"/>
              </w:rPr>
            </w:pPr>
            <w:r>
              <w:rPr>
                <w:rFonts w:eastAsia="Times New Roman"/>
                <w:b/>
                <w:bCs/>
                <w:lang w:val="sl-SI"/>
              </w:rPr>
              <w:t>Telesna masa bolnika</w:t>
            </w:r>
          </w:p>
        </w:tc>
        <w:tc>
          <w:tcPr>
            <w:tcW w:w="3271" w:type="dxa"/>
            <w:tcBorders>
              <w:top w:val="single" w:sz="4" w:space="0" w:color="auto"/>
              <w:bottom w:val="single" w:sz="4" w:space="0" w:color="auto"/>
            </w:tcBorders>
            <w:vAlign w:val="center"/>
          </w:tcPr>
          <w:p w14:paraId="54C5871D" w14:textId="77777777" w:rsidR="00E04C8A" w:rsidRDefault="008E1817">
            <w:pPr>
              <w:pStyle w:val="a3"/>
              <w:jc w:val="center"/>
              <w:rPr>
                <w:b/>
                <w:lang w:val="sl-SI"/>
              </w:rPr>
            </w:pPr>
            <w:r>
              <w:rPr>
                <w:rFonts w:eastAsia="Times New Roman"/>
                <w:b/>
                <w:bCs/>
                <w:lang w:val="sl-SI"/>
              </w:rPr>
              <w:t>Shema odmerjanja</w:t>
            </w:r>
          </w:p>
        </w:tc>
      </w:tr>
      <w:tr w:rsidR="0059160E" w14:paraId="2F8EBAAE" w14:textId="77777777">
        <w:trPr>
          <w:trHeight w:val="403"/>
          <w:jc w:val="center"/>
        </w:trPr>
        <w:tc>
          <w:tcPr>
            <w:tcW w:w="3271" w:type="dxa"/>
            <w:tcBorders>
              <w:top w:val="single" w:sz="4" w:space="0" w:color="auto"/>
              <w:bottom w:val="single" w:sz="4" w:space="0" w:color="auto"/>
            </w:tcBorders>
            <w:vAlign w:val="center"/>
          </w:tcPr>
          <w:p w14:paraId="1CFB015B" w14:textId="77777777" w:rsidR="0059160E" w:rsidRDefault="0059160E" w:rsidP="0059160E">
            <w:pPr>
              <w:pStyle w:val="a3"/>
              <w:jc w:val="center"/>
              <w:rPr>
                <w:lang w:val="sl-SI"/>
              </w:rPr>
            </w:pPr>
            <w:r>
              <w:rPr>
                <w:rFonts w:eastAsia="Times New Roman"/>
                <w:lang w:val="sl-SI"/>
              </w:rPr>
              <w:t>10 kg do &lt; 30 kg</w:t>
            </w:r>
          </w:p>
        </w:tc>
        <w:tc>
          <w:tcPr>
            <w:tcW w:w="3271" w:type="dxa"/>
            <w:tcBorders>
              <w:top w:val="single" w:sz="4" w:space="0" w:color="auto"/>
              <w:bottom w:val="single" w:sz="4" w:space="0" w:color="auto"/>
            </w:tcBorders>
            <w:vAlign w:val="center"/>
          </w:tcPr>
          <w:p w14:paraId="646FC969" w14:textId="22B361AA" w:rsidR="0059160E" w:rsidRDefault="0059160E" w:rsidP="0059160E">
            <w:pPr>
              <w:pStyle w:val="a3"/>
              <w:jc w:val="center"/>
              <w:rPr>
                <w:lang w:val="sl-SI"/>
              </w:rPr>
            </w:pPr>
            <w:r>
              <w:rPr>
                <w:rFonts w:eastAsia="Times New Roman"/>
                <w:lang w:val="sl-SI"/>
              </w:rPr>
              <w:t>20 mg vsak drugi teden</w:t>
            </w:r>
          </w:p>
        </w:tc>
      </w:tr>
      <w:tr w:rsidR="0059160E" w14:paraId="2DD7A84B" w14:textId="77777777">
        <w:trPr>
          <w:trHeight w:val="388"/>
          <w:jc w:val="center"/>
        </w:trPr>
        <w:tc>
          <w:tcPr>
            <w:tcW w:w="3271" w:type="dxa"/>
            <w:tcBorders>
              <w:top w:val="single" w:sz="4" w:space="0" w:color="auto"/>
              <w:bottom w:val="single" w:sz="4" w:space="0" w:color="auto"/>
            </w:tcBorders>
            <w:vAlign w:val="center"/>
          </w:tcPr>
          <w:p w14:paraId="119C7084" w14:textId="77777777" w:rsidR="0059160E" w:rsidRDefault="0059160E" w:rsidP="0059160E">
            <w:pPr>
              <w:pStyle w:val="a3"/>
              <w:jc w:val="center"/>
              <w:rPr>
                <w:lang w:val="sl-SI"/>
              </w:rPr>
            </w:pPr>
            <w:r>
              <w:rPr>
                <w:rFonts w:eastAsia="Times New Roman"/>
                <w:lang w:val="sl-SI"/>
              </w:rPr>
              <w:t>≥ 30 kg</w:t>
            </w:r>
          </w:p>
        </w:tc>
        <w:tc>
          <w:tcPr>
            <w:tcW w:w="3271" w:type="dxa"/>
            <w:tcBorders>
              <w:top w:val="single" w:sz="4" w:space="0" w:color="auto"/>
              <w:bottom w:val="single" w:sz="4" w:space="0" w:color="auto"/>
            </w:tcBorders>
            <w:vAlign w:val="center"/>
          </w:tcPr>
          <w:p w14:paraId="3995407C" w14:textId="77777777" w:rsidR="0059160E" w:rsidRDefault="0059160E" w:rsidP="0059160E">
            <w:pPr>
              <w:pStyle w:val="a3"/>
              <w:jc w:val="center"/>
              <w:rPr>
                <w:lang w:val="sl-SI"/>
              </w:rPr>
            </w:pPr>
            <w:r>
              <w:rPr>
                <w:rFonts w:eastAsia="Times New Roman"/>
                <w:lang w:val="sl-SI"/>
              </w:rPr>
              <w:t>40 mg vsak drugi teden</w:t>
            </w:r>
          </w:p>
        </w:tc>
      </w:tr>
    </w:tbl>
    <w:p w14:paraId="12730DBB" w14:textId="77777777" w:rsidR="00E04C8A" w:rsidRDefault="00E04C8A">
      <w:pPr>
        <w:pStyle w:val="a3"/>
        <w:rPr>
          <w:lang w:val="sl-SI"/>
        </w:rPr>
      </w:pPr>
    </w:p>
    <w:p w14:paraId="62E26C30" w14:textId="77777777" w:rsidR="00E04C8A" w:rsidRDefault="008E1817">
      <w:pPr>
        <w:pStyle w:val="a3"/>
        <w:rPr>
          <w:lang w:val="sl-SI"/>
        </w:rPr>
      </w:pPr>
      <w:r>
        <w:rPr>
          <w:rFonts w:eastAsia="Times New Roman"/>
          <w:lang w:val="sl-SI"/>
        </w:rPr>
        <w:t>Razpoložljivi podatki kažejo, da je klinični odziv običajno dosežen v 12 tednih zdravljenja. Pri bolnikih, ki se v tem časovnem obdobju ne odzovejo, je treba znova razmisliti o nadaljevanju zdravljenja.</w:t>
      </w:r>
    </w:p>
    <w:p w14:paraId="235D628D" w14:textId="77777777" w:rsidR="00E04C8A" w:rsidRDefault="00E04C8A">
      <w:pPr>
        <w:pStyle w:val="a3"/>
        <w:rPr>
          <w:lang w:val="sl-SI"/>
        </w:rPr>
      </w:pPr>
    </w:p>
    <w:p w14:paraId="509A9164" w14:textId="77777777" w:rsidR="00E04C8A" w:rsidRDefault="008E1817">
      <w:pPr>
        <w:pStyle w:val="a3"/>
        <w:rPr>
          <w:lang w:val="sl-SI"/>
        </w:rPr>
      </w:pPr>
      <w:r>
        <w:rPr>
          <w:rFonts w:eastAsia="Times New Roman"/>
          <w:lang w:val="sl-SI"/>
        </w:rPr>
        <w:t>Uporaba adalimumaba pri bolnikih, mlajših od 2 let, za to indikacijo ni smiselna.</w:t>
      </w:r>
    </w:p>
    <w:p w14:paraId="54C87ED2" w14:textId="77777777" w:rsidR="00E04C8A" w:rsidRDefault="00E04C8A">
      <w:pPr>
        <w:pStyle w:val="a3"/>
        <w:ind w:right="203"/>
        <w:rPr>
          <w:lang w:val="sl-SI"/>
        </w:rPr>
      </w:pPr>
    </w:p>
    <w:p w14:paraId="2AB621CC" w14:textId="77777777" w:rsidR="00E04C8A" w:rsidRDefault="008E1817">
      <w:pPr>
        <w:rPr>
          <w:rFonts w:ascii="Times New Roman" w:eastAsia="Times New Roman" w:hAnsi="Times New Roman" w:cs="Times New Roman"/>
          <w:lang w:val="sl-SI"/>
        </w:rPr>
      </w:pPr>
      <w:r>
        <w:rPr>
          <w:rFonts w:ascii="Times New Roman" w:eastAsia="Times New Roman" w:hAnsi="Times New Roman" w:cs="Times New Roman"/>
          <w:i/>
          <w:iCs/>
          <w:u w:val="single" w:color="000000"/>
          <w:lang w:val="sl-SI"/>
        </w:rPr>
        <w:t>Artritis, povezan z entezitisom</w:t>
      </w:r>
    </w:p>
    <w:p w14:paraId="283B4AFB" w14:textId="77777777" w:rsidR="00E04C8A" w:rsidRDefault="00E04C8A">
      <w:pPr>
        <w:spacing w:before="9" w:line="170" w:lineRule="exact"/>
        <w:rPr>
          <w:sz w:val="17"/>
          <w:szCs w:val="17"/>
          <w:lang w:val="sl-SI"/>
        </w:rPr>
      </w:pPr>
    </w:p>
    <w:p w14:paraId="05B837AF" w14:textId="77777777" w:rsidR="00E04C8A" w:rsidRDefault="008E1817">
      <w:pPr>
        <w:pStyle w:val="a3"/>
        <w:rPr>
          <w:lang w:val="sl-SI"/>
        </w:rPr>
      </w:pPr>
      <w:r>
        <w:rPr>
          <w:rFonts w:eastAsia="Times New Roman"/>
          <w:lang w:val="sl-SI"/>
        </w:rPr>
        <w:t>Priporočeni odmerek zdravila Yuflyma pri bolnikih z artritisom, povezanim z entezitisom, od 6. let naprej je odvisen od telesne mase (preglednica 2). Zdravilo Yuflyma se daje vsak drugi teden s subkutanim injiciranjem.</w:t>
      </w:r>
    </w:p>
    <w:p w14:paraId="073CE668" w14:textId="77777777" w:rsidR="00E04C8A" w:rsidRDefault="00E04C8A">
      <w:pPr>
        <w:pStyle w:val="a3"/>
        <w:rPr>
          <w:lang w:val="sl-SI"/>
        </w:rPr>
      </w:pPr>
    </w:p>
    <w:p w14:paraId="465FCF3D" w14:textId="77777777" w:rsidR="00E04C8A" w:rsidRDefault="008E1817">
      <w:pPr>
        <w:pStyle w:val="a3"/>
        <w:jc w:val="center"/>
        <w:rPr>
          <w:b/>
          <w:lang w:val="sl-SI"/>
        </w:rPr>
      </w:pPr>
      <w:r>
        <w:rPr>
          <w:rFonts w:eastAsia="Times New Roman"/>
          <w:b/>
          <w:bCs/>
          <w:lang w:val="sl-SI"/>
        </w:rPr>
        <w:t>Preglednica 2. Odmerek Yuflyma pri bolnikih z artritisom, povezanim z entezitisom</w:t>
      </w:r>
    </w:p>
    <w:p w14:paraId="649E3E7C" w14:textId="77777777" w:rsidR="00E04C8A" w:rsidRDefault="00E04C8A">
      <w:pPr>
        <w:spacing w:before="7" w:line="220" w:lineRule="exact"/>
        <w:rPr>
          <w:lang w:val="sl-SI"/>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E04C8A" w14:paraId="1834951A" w14:textId="77777777">
        <w:trPr>
          <w:trHeight w:val="374"/>
          <w:jc w:val="center"/>
        </w:trPr>
        <w:tc>
          <w:tcPr>
            <w:tcW w:w="3572" w:type="dxa"/>
            <w:tcBorders>
              <w:top w:val="single" w:sz="4" w:space="0" w:color="auto"/>
              <w:bottom w:val="single" w:sz="4" w:space="0" w:color="auto"/>
            </w:tcBorders>
            <w:vAlign w:val="center"/>
          </w:tcPr>
          <w:p w14:paraId="25D00765" w14:textId="77777777" w:rsidR="00E04C8A" w:rsidRDefault="008E1817">
            <w:pPr>
              <w:pStyle w:val="a3"/>
              <w:jc w:val="center"/>
              <w:rPr>
                <w:b/>
                <w:lang w:val="sl-SI"/>
              </w:rPr>
            </w:pPr>
            <w:r>
              <w:rPr>
                <w:rFonts w:eastAsia="Times New Roman"/>
                <w:b/>
                <w:bCs/>
                <w:lang w:val="sl-SI"/>
              </w:rPr>
              <w:t>Telesna masa bolnika</w:t>
            </w:r>
          </w:p>
        </w:tc>
        <w:tc>
          <w:tcPr>
            <w:tcW w:w="3572" w:type="dxa"/>
            <w:tcBorders>
              <w:top w:val="single" w:sz="4" w:space="0" w:color="auto"/>
              <w:bottom w:val="single" w:sz="4" w:space="0" w:color="auto"/>
            </w:tcBorders>
            <w:vAlign w:val="center"/>
          </w:tcPr>
          <w:p w14:paraId="38B87A32" w14:textId="77777777" w:rsidR="00E04C8A" w:rsidRDefault="008E1817">
            <w:pPr>
              <w:pStyle w:val="a3"/>
              <w:jc w:val="center"/>
              <w:rPr>
                <w:b/>
                <w:lang w:val="sl-SI"/>
              </w:rPr>
            </w:pPr>
            <w:r>
              <w:rPr>
                <w:rFonts w:eastAsia="Times New Roman"/>
                <w:b/>
                <w:bCs/>
                <w:lang w:val="sl-SI"/>
              </w:rPr>
              <w:t>Shema odmerjanja</w:t>
            </w:r>
          </w:p>
        </w:tc>
      </w:tr>
      <w:tr w:rsidR="0059160E" w14:paraId="06ACED0D" w14:textId="77777777">
        <w:trPr>
          <w:trHeight w:val="388"/>
          <w:jc w:val="center"/>
        </w:trPr>
        <w:tc>
          <w:tcPr>
            <w:tcW w:w="3572" w:type="dxa"/>
            <w:tcBorders>
              <w:top w:val="single" w:sz="4" w:space="0" w:color="auto"/>
              <w:bottom w:val="single" w:sz="4" w:space="0" w:color="auto"/>
            </w:tcBorders>
            <w:vAlign w:val="center"/>
          </w:tcPr>
          <w:p w14:paraId="3448BE1E" w14:textId="77777777" w:rsidR="0059160E" w:rsidRDefault="0059160E" w:rsidP="0059160E">
            <w:pPr>
              <w:pStyle w:val="a3"/>
              <w:jc w:val="center"/>
              <w:rPr>
                <w:lang w:val="sl-SI"/>
              </w:rPr>
            </w:pPr>
            <w:r>
              <w:rPr>
                <w:rFonts w:eastAsia="Times New Roman"/>
                <w:lang w:val="sl-SI"/>
              </w:rPr>
              <w:t>15 kg do &lt; 30 kg</w:t>
            </w:r>
          </w:p>
        </w:tc>
        <w:tc>
          <w:tcPr>
            <w:tcW w:w="3572" w:type="dxa"/>
            <w:tcBorders>
              <w:top w:val="single" w:sz="4" w:space="0" w:color="auto"/>
              <w:bottom w:val="single" w:sz="4" w:space="0" w:color="auto"/>
            </w:tcBorders>
            <w:vAlign w:val="center"/>
          </w:tcPr>
          <w:p w14:paraId="65B25D29" w14:textId="4FCDAD26" w:rsidR="0059160E" w:rsidRDefault="0059160E" w:rsidP="0059160E">
            <w:pPr>
              <w:pStyle w:val="a3"/>
              <w:jc w:val="center"/>
              <w:rPr>
                <w:lang w:val="sl-SI"/>
              </w:rPr>
            </w:pPr>
            <w:r>
              <w:rPr>
                <w:rFonts w:eastAsia="Times New Roman"/>
                <w:lang w:val="sl-SI"/>
              </w:rPr>
              <w:t>20 mg vsak drugi teden</w:t>
            </w:r>
          </w:p>
        </w:tc>
      </w:tr>
      <w:tr w:rsidR="0059160E" w14:paraId="4E000740" w14:textId="77777777">
        <w:trPr>
          <w:trHeight w:val="374"/>
          <w:jc w:val="center"/>
        </w:trPr>
        <w:tc>
          <w:tcPr>
            <w:tcW w:w="3572" w:type="dxa"/>
            <w:tcBorders>
              <w:top w:val="single" w:sz="4" w:space="0" w:color="auto"/>
              <w:bottom w:val="single" w:sz="4" w:space="0" w:color="auto"/>
            </w:tcBorders>
            <w:vAlign w:val="center"/>
          </w:tcPr>
          <w:p w14:paraId="330EC891" w14:textId="77777777" w:rsidR="0059160E" w:rsidRDefault="0059160E" w:rsidP="0059160E">
            <w:pPr>
              <w:pStyle w:val="a3"/>
              <w:jc w:val="center"/>
              <w:rPr>
                <w:lang w:val="sl-SI"/>
              </w:rPr>
            </w:pPr>
            <w:r>
              <w:rPr>
                <w:rFonts w:eastAsia="Times New Roman"/>
                <w:lang w:val="sl-SI"/>
              </w:rPr>
              <w:t>≥ 30 kg</w:t>
            </w:r>
          </w:p>
        </w:tc>
        <w:tc>
          <w:tcPr>
            <w:tcW w:w="3572" w:type="dxa"/>
            <w:tcBorders>
              <w:top w:val="single" w:sz="4" w:space="0" w:color="auto"/>
              <w:bottom w:val="single" w:sz="4" w:space="0" w:color="auto"/>
            </w:tcBorders>
            <w:vAlign w:val="center"/>
          </w:tcPr>
          <w:p w14:paraId="59312908" w14:textId="77777777" w:rsidR="0059160E" w:rsidRDefault="0059160E" w:rsidP="0059160E">
            <w:pPr>
              <w:pStyle w:val="a3"/>
              <w:jc w:val="center"/>
              <w:rPr>
                <w:lang w:val="sl-SI"/>
              </w:rPr>
            </w:pPr>
            <w:r>
              <w:rPr>
                <w:rFonts w:eastAsia="Times New Roman"/>
                <w:lang w:val="sl-SI"/>
              </w:rPr>
              <w:t>40 mg vsak drugi teden</w:t>
            </w:r>
          </w:p>
        </w:tc>
      </w:tr>
    </w:tbl>
    <w:p w14:paraId="42B51576" w14:textId="77777777" w:rsidR="00E04C8A" w:rsidRDefault="00E04C8A">
      <w:pPr>
        <w:pStyle w:val="a3"/>
        <w:rPr>
          <w:lang w:val="sl-SI"/>
        </w:rPr>
      </w:pPr>
    </w:p>
    <w:p w14:paraId="38051686" w14:textId="77777777" w:rsidR="00E04C8A" w:rsidRDefault="008E1817">
      <w:pPr>
        <w:pStyle w:val="a3"/>
        <w:rPr>
          <w:lang w:val="sl-SI"/>
        </w:rPr>
      </w:pPr>
      <w:r>
        <w:rPr>
          <w:rFonts w:eastAsia="Times New Roman"/>
          <w:lang w:val="sl-SI"/>
        </w:rPr>
        <w:lastRenderedPageBreak/>
        <w:t>Adalimumaba niso raziskali pri bolnikih, mlajših od 6 let, z artritisom, povezanim z entezitisom.</w:t>
      </w:r>
    </w:p>
    <w:p w14:paraId="363DF789" w14:textId="33BEF950" w:rsidR="00E04C8A" w:rsidRDefault="00E04C8A">
      <w:pPr>
        <w:pStyle w:val="a3"/>
        <w:rPr>
          <w:lang w:val="sl-SI"/>
        </w:rPr>
      </w:pPr>
    </w:p>
    <w:p w14:paraId="21C129FF" w14:textId="77777777" w:rsidR="00CF282E" w:rsidRPr="00721C46" w:rsidRDefault="00CF282E" w:rsidP="00CF282E">
      <w:pPr>
        <w:rPr>
          <w:rFonts w:ascii="Times New Roman" w:eastAsia="Times New Roman" w:hAnsi="Times New Roman" w:cs="Times New Roman"/>
          <w:lang w:val="sl-SI"/>
        </w:rPr>
      </w:pPr>
      <w:r w:rsidRPr="00721C46">
        <w:rPr>
          <w:rFonts w:ascii="Times New Roman" w:eastAsia="Times New Roman" w:hAnsi="Times New Roman" w:cs="Times New Roman"/>
          <w:i/>
          <w:iCs/>
          <w:spacing w:val="-1"/>
          <w:lang w:val="sl-SI"/>
        </w:rPr>
        <w:t>Psoriatični artritis in aksialni spondiloartritis, vključno z ankilozirajočim spondilitisom</w:t>
      </w:r>
    </w:p>
    <w:p w14:paraId="0A74E140" w14:textId="77777777" w:rsidR="00CF282E" w:rsidRDefault="00CF282E" w:rsidP="00CF282E">
      <w:pPr>
        <w:spacing w:line="170" w:lineRule="exact"/>
        <w:rPr>
          <w:rFonts w:ascii="Times New Roman" w:hAnsi="Times New Roman" w:cs="Times New Roman"/>
          <w:lang w:val="sl-SI"/>
        </w:rPr>
      </w:pPr>
    </w:p>
    <w:p w14:paraId="40F1FDE9" w14:textId="77777777" w:rsidR="00CF282E" w:rsidRDefault="00CF282E" w:rsidP="00CF282E">
      <w:pPr>
        <w:pStyle w:val="a3"/>
        <w:rPr>
          <w:lang w:val="sl-SI"/>
        </w:rPr>
      </w:pPr>
      <w:r>
        <w:rPr>
          <w:rFonts w:eastAsia="Times New Roman"/>
          <w:lang w:val="sl-SI"/>
        </w:rPr>
        <w:t>Uporaba adalimumaba v pediatrični populaciji ni smiselna za indikacije za ankilozirajoči spondilitis in psoriatičnim artritisom.</w:t>
      </w:r>
    </w:p>
    <w:p w14:paraId="406F3B0B" w14:textId="77777777" w:rsidR="00CF282E" w:rsidRPr="00CF282E" w:rsidRDefault="00CF282E">
      <w:pPr>
        <w:pStyle w:val="a3"/>
        <w:rPr>
          <w:lang w:val="sl-SI"/>
        </w:rPr>
      </w:pPr>
    </w:p>
    <w:p w14:paraId="024E08FB" w14:textId="77777777" w:rsidR="00E04C8A" w:rsidRPr="00721C46" w:rsidRDefault="008E1817">
      <w:pPr>
        <w:rPr>
          <w:rFonts w:ascii="Times New Roman" w:eastAsia="Times New Roman" w:hAnsi="Times New Roman" w:cs="Times New Roman"/>
          <w:lang w:val="sl-SI"/>
        </w:rPr>
      </w:pPr>
      <w:r w:rsidRPr="00721C46">
        <w:rPr>
          <w:rFonts w:ascii="Times New Roman" w:eastAsia="Times New Roman" w:hAnsi="Times New Roman" w:cs="Times New Roman"/>
          <w:i/>
          <w:iCs/>
          <w:spacing w:val="-1"/>
          <w:lang w:val="sl-SI"/>
        </w:rPr>
        <w:t>Pediatrična psoriaza v plakih</w:t>
      </w:r>
    </w:p>
    <w:p w14:paraId="06BB403B" w14:textId="77777777" w:rsidR="00E04C8A" w:rsidRDefault="00E04C8A">
      <w:pPr>
        <w:spacing w:line="240" w:lineRule="exact"/>
        <w:rPr>
          <w:rFonts w:ascii="Times New Roman" w:hAnsi="Times New Roman" w:cs="Times New Roman"/>
          <w:sz w:val="24"/>
          <w:szCs w:val="24"/>
          <w:lang w:val="sl-SI"/>
        </w:rPr>
      </w:pPr>
    </w:p>
    <w:p w14:paraId="589BD001" w14:textId="02ED2C23" w:rsidR="00E04C8A" w:rsidRDefault="008E1817">
      <w:pPr>
        <w:pStyle w:val="a3"/>
        <w:rPr>
          <w:lang w:val="sl-SI"/>
        </w:rPr>
      </w:pPr>
      <w:r>
        <w:rPr>
          <w:rFonts w:eastAsia="Times New Roman"/>
          <w:lang w:val="sl-SI"/>
        </w:rPr>
        <w:t>Priporočeni odmerek zdravila Yuflyma pri bolnikih s psoriazo v plakih, starih od 4. do 17. let, je odvisen od telesne mase (preglednica 3). Zdravilo Yuflyma se daje v obliki subkutane injekcije.</w:t>
      </w:r>
    </w:p>
    <w:p w14:paraId="6C87AC83" w14:textId="77777777" w:rsidR="00E04C8A" w:rsidRDefault="00E04C8A">
      <w:pPr>
        <w:pStyle w:val="a3"/>
        <w:rPr>
          <w:lang w:val="sl-SI"/>
        </w:rPr>
      </w:pPr>
    </w:p>
    <w:p w14:paraId="2BF21FAB" w14:textId="77777777" w:rsidR="00E04C8A" w:rsidRDefault="008E1817">
      <w:pPr>
        <w:pStyle w:val="a3"/>
        <w:jc w:val="center"/>
        <w:rPr>
          <w:b/>
          <w:lang w:val="sl-SI"/>
        </w:rPr>
      </w:pPr>
      <w:r>
        <w:rPr>
          <w:rFonts w:eastAsia="Times New Roman"/>
          <w:b/>
          <w:bCs/>
          <w:lang w:val="sl-SI"/>
        </w:rPr>
        <w:t>Preglednica 3. Odmerek Yuflyma pri pediatričnih bolnikih s psoriazo v plakih</w:t>
      </w:r>
    </w:p>
    <w:p w14:paraId="02B5A330" w14:textId="77777777" w:rsidR="00E04C8A" w:rsidRDefault="00E04C8A">
      <w:pPr>
        <w:spacing w:before="7" w:line="220" w:lineRule="exact"/>
        <w:jc w:val="center"/>
        <w:rPr>
          <w:rFonts w:ascii="Times New Roman" w:hAnsi="Times New Roman" w:cs="Times New Roman"/>
          <w:b/>
          <w:lang w:val="sl-SI"/>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E04C8A" w14:paraId="37906DA6" w14:textId="77777777">
        <w:trPr>
          <w:trHeight w:val="374"/>
          <w:jc w:val="center"/>
        </w:trPr>
        <w:tc>
          <w:tcPr>
            <w:tcW w:w="3572" w:type="dxa"/>
            <w:tcBorders>
              <w:top w:val="single" w:sz="4" w:space="0" w:color="auto"/>
              <w:bottom w:val="single" w:sz="4" w:space="0" w:color="auto"/>
            </w:tcBorders>
            <w:vAlign w:val="center"/>
          </w:tcPr>
          <w:p w14:paraId="0D422788" w14:textId="77777777" w:rsidR="00E04C8A" w:rsidRDefault="008E1817">
            <w:pPr>
              <w:pStyle w:val="a3"/>
              <w:jc w:val="center"/>
              <w:rPr>
                <w:b/>
                <w:lang w:val="sl-SI"/>
              </w:rPr>
            </w:pPr>
            <w:r>
              <w:rPr>
                <w:rFonts w:eastAsia="Times New Roman"/>
                <w:b/>
                <w:bCs/>
                <w:lang w:val="sl-SI"/>
              </w:rPr>
              <w:t>Telesna masa bolnika</w:t>
            </w:r>
          </w:p>
        </w:tc>
        <w:tc>
          <w:tcPr>
            <w:tcW w:w="3572" w:type="dxa"/>
            <w:tcBorders>
              <w:top w:val="single" w:sz="4" w:space="0" w:color="auto"/>
              <w:bottom w:val="single" w:sz="4" w:space="0" w:color="auto"/>
            </w:tcBorders>
            <w:vAlign w:val="center"/>
          </w:tcPr>
          <w:p w14:paraId="3DF33DA3" w14:textId="77777777" w:rsidR="00E04C8A" w:rsidRDefault="008E1817">
            <w:pPr>
              <w:pStyle w:val="a3"/>
              <w:jc w:val="center"/>
              <w:rPr>
                <w:b/>
                <w:lang w:val="sl-SI"/>
              </w:rPr>
            </w:pPr>
            <w:r>
              <w:rPr>
                <w:rFonts w:eastAsia="Times New Roman"/>
                <w:b/>
                <w:bCs/>
                <w:lang w:val="sl-SI"/>
              </w:rPr>
              <w:t>Shema odmerjanja</w:t>
            </w:r>
          </w:p>
        </w:tc>
      </w:tr>
      <w:tr w:rsidR="0059160E" w:rsidRPr="00475A1E" w14:paraId="63C663A6" w14:textId="77777777">
        <w:trPr>
          <w:trHeight w:val="388"/>
          <w:jc w:val="center"/>
        </w:trPr>
        <w:tc>
          <w:tcPr>
            <w:tcW w:w="3572" w:type="dxa"/>
            <w:tcBorders>
              <w:top w:val="single" w:sz="4" w:space="0" w:color="auto"/>
              <w:bottom w:val="single" w:sz="4" w:space="0" w:color="auto"/>
            </w:tcBorders>
            <w:vAlign w:val="center"/>
          </w:tcPr>
          <w:p w14:paraId="3ACB42E3" w14:textId="77777777" w:rsidR="0059160E" w:rsidRDefault="0059160E" w:rsidP="0059160E">
            <w:pPr>
              <w:pStyle w:val="a3"/>
              <w:jc w:val="center"/>
              <w:rPr>
                <w:lang w:val="sl-SI"/>
              </w:rPr>
            </w:pPr>
            <w:r>
              <w:rPr>
                <w:rFonts w:eastAsia="Times New Roman"/>
                <w:lang w:val="sl-SI"/>
              </w:rPr>
              <w:t>15 kg do &lt; 30 kg</w:t>
            </w:r>
          </w:p>
        </w:tc>
        <w:tc>
          <w:tcPr>
            <w:tcW w:w="3572" w:type="dxa"/>
            <w:tcBorders>
              <w:top w:val="single" w:sz="4" w:space="0" w:color="auto"/>
              <w:bottom w:val="single" w:sz="4" w:space="0" w:color="auto"/>
            </w:tcBorders>
            <w:vAlign w:val="center"/>
          </w:tcPr>
          <w:p w14:paraId="22D1C02E" w14:textId="233200F2" w:rsidR="0059160E" w:rsidRDefault="0059160E" w:rsidP="0059160E">
            <w:pPr>
              <w:pStyle w:val="a3"/>
              <w:jc w:val="center"/>
              <w:rPr>
                <w:lang w:val="sl-SI"/>
              </w:rPr>
            </w:pPr>
            <w:r>
              <w:rPr>
                <w:rFonts w:eastAsia="Times New Roman"/>
                <w:lang w:val="sl-SI"/>
              </w:rPr>
              <w:t>Začetni odmerek je 20 mg, ki mu sledi odmerek 20 mg vsak drugi teden, z začetkom en teden po začetnem odmerku.</w:t>
            </w:r>
          </w:p>
        </w:tc>
      </w:tr>
      <w:tr w:rsidR="0059160E" w:rsidRPr="00475A1E" w14:paraId="261E6390" w14:textId="77777777">
        <w:trPr>
          <w:trHeight w:val="374"/>
          <w:jc w:val="center"/>
        </w:trPr>
        <w:tc>
          <w:tcPr>
            <w:tcW w:w="3572" w:type="dxa"/>
            <w:tcBorders>
              <w:top w:val="single" w:sz="4" w:space="0" w:color="auto"/>
              <w:bottom w:val="single" w:sz="4" w:space="0" w:color="auto"/>
            </w:tcBorders>
            <w:vAlign w:val="center"/>
          </w:tcPr>
          <w:p w14:paraId="4CE9C752" w14:textId="77777777" w:rsidR="0059160E" w:rsidRDefault="0059160E" w:rsidP="0059160E">
            <w:pPr>
              <w:pStyle w:val="a3"/>
              <w:jc w:val="center"/>
              <w:rPr>
                <w:lang w:val="sl-SI"/>
              </w:rPr>
            </w:pPr>
            <w:r>
              <w:rPr>
                <w:rFonts w:eastAsia="Times New Roman"/>
                <w:lang w:val="sl-SI"/>
              </w:rPr>
              <w:t>≥ 30 kg</w:t>
            </w:r>
          </w:p>
        </w:tc>
        <w:tc>
          <w:tcPr>
            <w:tcW w:w="3572" w:type="dxa"/>
            <w:tcBorders>
              <w:top w:val="single" w:sz="4" w:space="0" w:color="auto"/>
              <w:bottom w:val="single" w:sz="4" w:space="0" w:color="auto"/>
            </w:tcBorders>
            <w:vAlign w:val="center"/>
          </w:tcPr>
          <w:p w14:paraId="3F9083D5" w14:textId="77777777" w:rsidR="0059160E" w:rsidRDefault="0059160E" w:rsidP="0059160E">
            <w:pPr>
              <w:pStyle w:val="a3"/>
              <w:jc w:val="center"/>
              <w:rPr>
                <w:lang w:val="sl-SI"/>
              </w:rPr>
            </w:pPr>
            <w:r>
              <w:rPr>
                <w:rFonts w:eastAsia="Times New Roman"/>
                <w:lang w:val="sl-SI"/>
              </w:rPr>
              <w:t>Začetni odmerek je 40 mg, ki mu sledi odmerek 40 mg vsak drugi teden, z začetkom en teden po začetnem odmerku.</w:t>
            </w:r>
          </w:p>
        </w:tc>
      </w:tr>
    </w:tbl>
    <w:p w14:paraId="4A7CD621" w14:textId="77777777" w:rsidR="00E04C8A" w:rsidRDefault="00E04C8A">
      <w:pPr>
        <w:pStyle w:val="a3"/>
        <w:rPr>
          <w:lang w:val="sl-SI"/>
        </w:rPr>
      </w:pPr>
    </w:p>
    <w:p w14:paraId="322F7CA4" w14:textId="668A8477" w:rsidR="00E04C8A" w:rsidRDefault="00FF375E">
      <w:pPr>
        <w:pStyle w:val="a3"/>
        <w:rPr>
          <w:lang w:val="sl-SI"/>
        </w:rPr>
      </w:pPr>
      <w:r w:rsidRPr="00337BB0">
        <w:rPr>
          <w:lang w:val="sl-SI"/>
        </w:rPr>
        <w:t>O neprekinjenem zdravljenju po 16. tednu je treba skrbno premisliti pri bolniku, ki se v tem obdobju ni odzval na zdravljenje.</w:t>
      </w:r>
    </w:p>
    <w:p w14:paraId="62CD7272" w14:textId="77777777" w:rsidR="00E04C8A" w:rsidRDefault="00E04C8A">
      <w:pPr>
        <w:spacing w:line="240" w:lineRule="exact"/>
        <w:rPr>
          <w:rFonts w:ascii="Times New Roman" w:hAnsi="Times New Roman" w:cs="Times New Roman"/>
          <w:sz w:val="24"/>
          <w:szCs w:val="24"/>
          <w:lang w:val="sl-SI"/>
        </w:rPr>
      </w:pPr>
    </w:p>
    <w:p w14:paraId="7EAC7B91" w14:textId="77777777" w:rsidR="00E04C8A" w:rsidRDefault="008E1817">
      <w:pPr>
        <w:pStyle w:val="a3"/>
        <w:rPr>
          <w:lang w:val="sl-SI"/>
        </w:rPr>
      </w:pPr>
      <w:r>
        <w:rPr>
          <w:rFonts w:eastAsia="Times New Roman"/>
          <w:lang w:val="sl-SI"/>
        </w:rPr>
        <w:t>Če je indicirano ponovno zdravljenje z adalimumabom, je treba upoštevati zgornje smernice za odmerek in trajanje zdravljenja.</w:t>
      </w:r>
    </w:p>
    <w:p w14:paraId="3A0D690E" w14:textId="77777777" w:rsidR="00E04C8A" w:rsidRDefault="00E04C8A">
      <w:pPr>
        <w:spacing w:line="240" w:lineRule="exact"/>
        <w:rPr>
          <w:rFonts w:ascii="Times New Roman" w:hAnsi="Times New Roman" w:cs="Times New Roman"/>
          <w:sz w:val="24"/>
          <w:szCs w:val="24"/>
          <w:lang w:val="sl-SI"/>
        </w:rPr>
      </w:pPr>
    </w:p>
    <w:p w14:paraId="2F840FD6" w14:textId="77777777" w:rsidR="00E04C8A" w:rsidRDefault="008E1817">
      <w:pPr>
        <w:pStyle w:val="a3"/>
        <w:rPr>
          <w:lang w:val="sl-SI"/>
        </w:rPr>
      </w:pPr>
      <w:r>
        <w:rPr>
          <w:rFonts w:eastAsia="Times New Roman"/>
          <w:lang w:val="sl-SI"/>
        </w:rPr>
        <w:t>Varnost adalimumaba pri pediatričnih bolnikih s psoriazo v plakih je bila ocenjena v povprečju za 13 mesecev.</w:t>
      </w:r>
    </w:p>
    <w:p w14:paraId="78603EBC" w14:textId="77777777" w:rsidR="00E04C8A" w:rsidRDefault="00E04C8A">
      <w:pPr>
        <w:spacing w:line="240" w:lineRule="exact"/>
        <w:rPr>
          <w:rFonts w:ascii="Times New Roman" w:hAnsi="Times New Roman" w:cs="Times New Roman"/>
          <w:sz w:val="24"/>
          <w:szCs w:val="24"/>
          <w:lang w:val="sl-SI"/>
        </w:rPr>
      </w:pPr>
    </w:p>
    <w:p w14:paraId="1F53A2C4" w14:textId="77777777" w:rsidR="00E04C8A" w:rsidRDefault="008E1817">
      <w:pPr>
        <w:pStyle w:val="a3"/>
        <w:rPr>
          <w:lang w:val="sl-SI"/>
        </w:rPr>
      </w:pPr>
      <w:r>
        <w:rPr>
          <w:rFonts w:eastAsia="Times New Roman"/>
          <w:lang w:val="sl-SI"/>
        </w:rPr>
        <w:t>Uporaba adalimumaba pri otrocih, mlajših od 4 leta, za to indikacijo ni smiselna.</w:t>
      </w:r>
    </w:p>
    <w:p w14:paraId="66980567" w14:textId="77777777" w:rsidR="00E04C8A" w:rsidRDefault="00E04C8A">
      <w:pPr>
        <w:pStyle w:val="a3"/>
        <w:rPr>
          <w:lang w:val="sl-SI"/>
        </w:rPr>
      </w:pPr>
    </w:p>
    <w:p w14:paraId="71143634" w14:textId="77777777" w:rsidR="00E04C8A" w:rsidRPr="00721C46" w:rsidRDefault="008E1817">
      <w:pPr>
        <w:jc w:val="both"/>
        <w:rPr>
          <w:rFonts w:ascii="Times New Roman" w:eastAsia="Times New Roman" w:hAnsi="Times New Roman" w:cs="Times New Roman"/>
          <w:lang w:val="sl-SI"/>
        </w:rPr>
      </w:pPr>
      <w:r w:rsidRPr="00721C46">
        <w:rPr>
          <w:rFonts w:ascii="Times New Roman" w:eastAsia="Times New Roman" w:hAnsi="Times New Roman" w:cs="Times New Roman"/>
          <w:i/>
          <w:iCs/>
          <w:spacing w:val="-1"/>
          <w:lang w:val="sl-SI"/>
        </w:rPr>
        <w:t>Hidradenitis suppurativa pri mladostnikih (od 12. leta starosti in telesne mase vsaj 30 kg)</w:t>
      </w:r>
    </w:p>
    <w:p w14:paraId="2F705769" w14:textId="77777777" w:rsidR="00E04C8A" w:rsidRDefault="00E04C8A">
      <w:pPr>
        <w:spacing w:line="240" w:lineRule="exact"/>
        <w:rPr>
          <w:rFonts w:ascii="Times New Roman" w:hAnsi="Times New Roman" w:cs="Times New Roman"/>
          <w:sz w:val="24"/>
          <w:szCs w:val="24"/>
          <w:lang w:val="sl-SI"/>
        </w:rPr>
      </w:pPr>
    </w:p>
    <w:p w14:paraId="03D62DFE" w14:textId="77777777" w:rsidR="00E04C8A" w:rsidRDefault="008E1817">
      <w:pPr>
        <w:pStyle w:val="a3"/>
        <w:rPr>
          <w:lang w:val="sl-SI"/>
        </w:rPr>
      </w:pPr>
      <w:r>
        <w:rPr>
          <w:rFonts w:eastAsia="Times New Roman"/>
          <w:lang w:val="sl-SI"/>
        </w:rPr>
        <w:t>Kliničnih preskušanj z adalimumabom pri mladostnikih s HS niso izvedli. Odmerjanje adalimumaba pri teh bolnikih so določili na podlagi farmakokinetičnega modeliranja in simulacije (glejte poglavje 5.2).</w:t>
      </w:r>
    </w:p>
    <w:p w14:paraId="4AAF0A64" w14:textId="77777777" w:rsidR="00E04C8A" w:rsidRDefault="00E04C8A">
      <w:pPr>
        <w:spacing w:line="240" w:lineRule="exact"/>
        <w:rPr>
          <w:rFonts w:ascii="Times New Roman" w:hAnsi="Times New Roman" w:cs="Times New Roman"/>
          <w:sz w:val="24"/>
          <w:szCs w:val="24"/>
          <w:lang w:val="sl-SI"/>
        </w:rPr>
      </w:pPr>
    </w:p>
    <w:p w14:paraId="382E831C" w14:textId="77777777" w:rsidR="00E04C8A" w:rsidRDefault="008E1817">
      <w:pPr>
        <w:pStyle w:val="a3"/>
        <w:rPr>
          <w:lang w:val="sl-SI"/>
        </w:rPr>
      </w:pPr>
      <w:r>
        <w:rPr>
          <w:rFonts w:eastAsia="Times New Roman"/>
          <w:spacing w:val="1"/>
          <w:lang w:val="sl-SI"/>
        </w:rPr>
        <w:t>Priporočeni odmerek zdravila Yuflyma je 80 mg v 0. tednu, ki mu sledi 40 mg vsak drugi teden z začetkom v 1. tednu, v obliki subkutane injekcije.</w:t>
      </w:r>
    </w:p>
    <w:p w14:paraId="6B688869" w14:textId="77777777" w:rsidR="00E04C8A" w:rsidRDefault="00E04C8A">
      <w:pPr>
        <w:spacing w:line="240" w:lineRule="exact"/>
        <w:rPr>
          <w:rFonts w:ascii="Times New Roman" w:hAnsi="Times New Roman" w:cs="Times New Roman"/>
          <w:sz w:val="24"/>
          <w:szCs w:val="24"/>
          <w:lang w:val="sl-SI"/>
        </w:rPr>
      </w:pPr>
    </w:p>
    <w:p w14:paraId="244609AD" w14:textId="77777777" w:rsidR="00E04C8A" w:rsidRDefault="008E1817">
      <w:pPr>
        <w:pStyle w:val="a3"/>
        <w:rPr>
          <w:lang w:val="sl-SI"/>
        </w:rPr>
      </w:pPr>
      <w:r>
        <w:rPr>
          <w:rFonts w:eastAsia="Times New Roman"/>
          <w:lang w:val="sl-SI"/>
        </w:rPr>
        <w:t>Pri mladostnikih z nezadostnim odzivom na zdravilo Yuflyma 40 mg vsak drugi teden je možno razmisliti o povečanju odmerka na 40 mg vsak teden ali na 80 mg vsak drugi teden.</w:t>
      </w:r>
    </w:p>
    <w:p w14:paraId="2DEDEA1F" w14:textId="77777777" w:rsidR="00E04C8A" w:rsidRDefault="00E04C8A">
      <w:pPr>
        <w:spacing w:line="240" w:lineRule="exact"/>
        <w:rPr>
          <w:rFonts w:ascii="Times New Roman" w:hAnsi="Times New Roman" w:cs="Times New Roman"/>
          <w:sz w:val="24"/>
          <w:szCs w:val="24"/>
          <w:lang w:val="sl-SI"/>
        </w:rPr>
      </w:pPr>
    </w:p>
    <w:p w14:paraId="1B3B6A8D" w14:textId="4650709B" w:rsidR="00E04C8A" w:rsidRDefault="008E1817">
      <w:pPr>
        <w:pStyle w:val="a3"/>
        <w:rPr>
          <w:lang w:val="sl-SI"/>
        </w:rPr>
      </w:pPr>
      <w:r>
        <w:rPr>
          <w:rFonts w:eastAsia="Times New Roman"/>
          <w:lang w:val="sl-SI"/>
        </w:rPr>
        <w:t xml:space="preserve">Med zdravljenjem z zdravilom </w:t>
      </w:r>
      <w:r w:rsidR="007F6B22">
        <w:rPr>
          <w:rFonts w:eastAsia="Times New Roman"/>
          <w:lang w:val="sl-SI"/>
        </w:rPr>
        <w:t>Yuflyma</w:t>
      </w:r>
      <w:r>
        <w:rPr>
          <w:rFonts w:eastAsia="Times New Roman"/>
          <w:lang w:val="sl-SI"/>
        </w:rPr>
        <w:t xml:space="preserve"> lahko nadaljujete z antibiotičnim zdravljenjem, če je potrebno. Priporočljivo je, da med zdravljenjem z zdravilom </w:t>
      </w:r>
      <w:r w:rsidR="007F6B22">
        <w:rPr>
          <w:rFonts w:eastAsia="Times New Roman"/>
          <w:lang w:val="sl-SI"/>
        </w:rPr>
        <w:t>Yuflyma</w:t>
      </w:r>
      <w:r>
        <w:rPr>
          <w:rFonts w:eastAsia="Times New Roman"/>
          <w:lang w:val="sl-SI"/>
        </w:rPr>
        <w:t xml:space="preserve"> bolnik vsak dan uporablja topikalno antiseptično čistilno sredstvo za čiščenje lezij HS</w:t>
      </w:r>
    </w:p>
    <w:p w14:paraId="51735B0B" w14:textId="77777777" w:rsidR="00E04C8A" w:rsidRDefault="00E04C8A">
      <w:pPr>
        <w:spacing w:line="240" w:lineRule="exact"/>
        <w:rPr>
          <w:rFonts w:ascii="Times New Roman" w:hAnsi="Times New Roman" w:cs="Times New Roman"/>
          <w:sz w:val="24"/>
          <w:szCs w:val="24"/>
          <w:lang w:val="sl-SI"/>
        </w:rPr>
      </w:pPr>
    </w:p>
    <w:p w14:paraId="51789B33" w14:textId="77777777" w:rsidR="00E04C8A" w:rsidRDefault="008E1817">
      <w:pPr>
        <w:pStyle w:val="a3"/>
        <w:rPr>
          <w:lang w:val="sl-SI"/>
        </w:rPr>
      </w:pPr>
      <w:r>
        <w:rPr>
          <w:rFonts w:eastAsia="Times New Roman"/>
          <w:lang w:val="sl-SI"/>
        </w:rPr>
        <w:t>Po 12 tednih je treba nadaljevanje zdravljenja pri bolniku, pri katerem v tem obdobju ni prišlo do izboljšanja, vnovič skrbno pretehtati.</w:t>
      </w:r>
    </w:p>
    <w:p w14:paraId="1AE6C414" w14:textId="77777777" w:rsidR="00E04C8A" w:rsidRDefault="00E04C8A">
      <w:pPr>
        <w:spacing w:line="240" w:lineRule="exact"/>
        <w:rPr>
          <w:rFonts w:ascii="Times New Roman" w:hAnsi="Times New Roman" w:cs="Times New Roman"/>
          <w:sz w:val="24"/>
          <w:szCs w:val="24"/>
          <w:lang w:val="sl-SI"/>
        </w:rPr>
      </w:pPr>
    </w:p>
    <w:p w14:paraId="21FCF0DC" w14:textId="77777777" w:rsidR="00E04C8A" w:rsidRDefault="008E1817">
      <w:pPr>
        <w:pStyle w:val="a3"/>
        <w:rPr>
          <w:lang w:val="sl-SI"/>
        </w:rPr>
      </w:pPr>
      <w:r>
        <w:rPr>
          <w:rFonts w:eastAsia="Times New Roman"/>
          <w:lang w:val="sl-SI"/>
        </w:rPr>
        <w:t>Če je treba zdravljenje prekiniti, je možno zdravljenje z zdravilom Yuflyma znova uvesti, kakor je primerno.</w:t>
      </w:r>
    </w:p>
    <w:p w14:paraId="7FB0E73C" w14:textId="77777777" w:rsidR="00E04C8A" w:rsidRDefault="00E04C8A">
      <w:pPr>
        <w:spacing w:line="240" w:lineRule="exact"/>
        <w:rPr>
          <w:rFonts w:ascii="Times New Roman" w:hAnsi="Times New Roman" w:cs="Times New Roman"/>
          <w:sz w:val="24"/>
          <w:szCs w:val="24"/>
          <w:lang w:val="sl-SI"/>
        </w:rPr>
      </w:pPr>
    </w:p>
    <w:p w14:paraId="40A3D54B" w14:textId="77777777" w:rsidR="00E04C8A" w:rsidRDefault="008E1817">
      <w:pPr>
        <w:pStyle w:val="a3"/>
        <w:rPr>
          <w:lang w:val="sl-SI"/>
        </w:rPr>
      </w:pPr>
      <w:r>
        <w:rPr>
          <w:rFonts w:eastAsia="Times New Roman"/>
          <w:lang w:val="sl-SI"/>
        </w:rPr>
        <w:lastRenderedPageBreak/>
        <w:t>Koristi in tveganja neprekinjenega dolgotrajnega zdravljenja je treba periodično ovrednotiti (glejte podatke za odrasle bolnike v poglavju 5.1).</w:t>
      </w:r>
    </w:p>
    <w:p w14:paraId="683A78AF" w14:textId="77777777" w:rsidR="00E04C8A" w:rsidRDefault="00E04C8A">
      <w:pPr>
        <w:spacing w:line="240" w:lineRule="exact"/>
        <w:rPr>
          <w:rFonts w:ascii="Times New Roman" w:hAnsi="Times New Roman" w:cs="Times New Roman"/>
          <w:sz w:val="24"/>
          <w:szCs w:val="24"/>
          <w:lang w:val="sl-SI"/>
        </w:rPr>
      </w:pPr>
    </w:p>
    <w:p w14:paraId="2634B4A2" w14:textId="77777777" w:rsidR="00E04C8A" w:rsidRDefault="008E1817">
      <w:pPr>
        <w:pStyle w:val="a3"/>
        <w:rPr>
          <w:lang w:val="sl-SI"/>
        </w:rPr>
      </w:pPr>
      <w:r>
        <w:rPr>
          <w:rFonts w:eastAsia="Times New Roman"/>
          <w:lang w:val="sl-SI"/>
        </w:rPr>
        <w:t>Uporaba adalimumaba pri otrocih, mlajših od 12 let, za to indikacijo ni primerna.</w:t>
      </w:r>
    </w:p>
    <w:p w14:paraId="4F026346" w14:textId="77777777" w:rsidR="00E04C8A" w:rsidRDefault="00E04C8A">
      <w:pPr>
        <w:spacing w:line="240" w:lineRule="exact"/>
        <w:rPr>
          <w:rFonts w:ascii="Times New Roman" w:hAnsi="Times New Roman" w:cs="Times New Roman"/>
          <w:sz w:val="24"/>
          <w:szCs w:val="24"/>
          <w:lang w:val="sl-SI"/>
        </w:rPr>
      </w:pPr>
    </w:p>
    <w:p w14:paraId="29A745A7" w14:textId="77777777" w:rsidR="00E04C8A" w:rsidRPr="00721C46" w:rsidRDefault="008E1817">
      <w:pPr>
        <w:jc w:val="both"/>
        <w:rPr>
          <w:rFonts w:ascii="Times New Roman" w:eastAsia="Times New Roman" w:hAnsi="Times New Roman" w:cs="Times New Roman"/>
          <w:lang w:val="sl-SI"/>
        </w:rPr>
      </w:pPr>
      <w:r w:rsidRPr="00721C46">
        <w:rPr>
          <w:rFonts w:ascii="Times New Roman" w:eastAsia="Times New Roman" w:hAnsi="Times New Roman" w:cs="Times New Roman"/>
          <w:i/>
          <w:iCs/>
          <w:spacing w:val="-1"/>
          <w:lang w:val="sl-SI"/>
        </w:rPr>
        <w:t>Crohnova bolezen pri pediatričnih bolnikih</w:t>
      </w:r>
    </w:p>
    <w:p w14:paraId="1127ED9D" w14:textId="77777777" w:rsidR="00E04C8A" w:rsidRDefault="00E04C8A">
      <w:pPr>
        <w:spacing w:line="240" w:lineRule="exact"/>
        <w:rPr>
          <w:rFonts w:ascii="Times New Roman" w:hAnsi="Times New Roman" w:cs="Times New Roman"/>
          <w:sz w:val="24"/>
          <w:szCs w:val="24"/>
          <w:lang w:val="sl-SI"/>
        </w:rPr>
      </w:pPr>
    </w:p>
    <w:p w14:paraId="43D360A0" w14:textId="2A579438" w:rsidR="00E04C8A" w:rsidRDefault="008E1817">
      <w:pPr>
        <w:pStyle w:val="a3"/>
        <w:rPr>
          <w:lang w:val="sl-SI"/>
        </w:rPr>
      </w:pPr>
      <w:r>
        <w:rPr>
          <w:rFonts w:eastAsia="Times New Roman"/>
          <w:lang w:val="sl-SI"/>
        </w:rPr>
        <w:t>Priporočeni odmerek zdravila Yuflyma pri bolnikih s Crohnovo boleznijo, starih od 6. do 17. let, temelji na telesni masi (preglednica 4). Zdravilo Yuflyma se odmerja v obliki subkutane injekcije.</w:t>
      </w:r>
    </w:p>
    <w:p w14:paraId="1F2EA3A2" w14:textId="77777777" w:rsidR="00E04C8A" w:rsidRDefault="00E04C8A">
      <w:pPr>
        <w:pStyle w:val="a3"/>
        <w:rPr>
          <w:lang w:val="sl-SI"/>
        </w:rPr>
      </w:pPr>
    </w:p>
    <w:p w14:paraId="5B483898" w14:textId="77777777" w:rsidR="00E04C8A" w:rsidRDefault="008E1817">
      <w:pPr>
        <w:pStyle w:val="a3"/>
        <w:jc w:val="center"/>
        <w:rPr>
          <w:b/>
          <w:lang w:val="sl-SI"/>
        </w:rPr>
      </w:pPr>
      <w:r>
        <w:rPr>
          <w:rFonts w:eastAsia="Times New Roman"/>
          <w:b/>
          <w:bCs/>
          <w:lang w:val="sl-SI"/>
        </w:rPr>
        <w:t>Preglednica 4. Odmerek adalimumaba pri pediatričnih bolnikih s Crohnovo boleznijo</w:t>
      </w:r>
    </w:p>
    <w:p w14:paraId="7CB008A4" w14:textId="77777777" w:rsidR="00E04C8A" w:rsidRDefault="00E04C8A">
      <w:pPr>
        <w:spacing w:before="14" w:line="240" w:lineRule="exact"/>
        <w:rPr>
          <w:rFonts w:ascii="Times New Roman" w:hAnsi="Times New Roman" w:cs="Times New Roman"/>
          <w:sz w:val="24"/>
          <w:szCs w:val="24"/>
          <w:lang w:val="sl-SI"/>
        </w:rPr>
      </w:pPr>
    </w:p>
    <w:tbl>
      <w:tblPr>
        <w:tblStyle w:val="TableNormal1"/>
        <w:tblW w:w="0" w:type="auto"/>
        <w:tblInd w:w="110" w:type="dxa"/>
        <w:tblLayout w:type="fixed"/>
        <w:tblLook w:val="01E0" w:firstRow="1" w:lastRow="1" w:firstColumn="1" w:lastColumn="1" w:noHBand="0" w:noVBand="0"/>
      </w:tblPr>
      <w:tblGrid>
        <w:gridCol w:w="972"/>
        <w:gridCol w:w="6706"/>
        <w:gridCol w:w="1725"/>
      </w:tblGrid>
      <w:tr w:rsidR="00E04C8A" w:rsidRPr="00631172" w14:paraId="09CF7D7B" w14:textId="77777777">
        <w:tc>
          <w:tcPr>
            <w:tcW w:w="972" w:type="dxa"/>
            <w:tcBorders>
              <w:top w:val="single" w:sz="4" w:space="0" w:color="auto"/>
              <w:left w:val="single" w:sz="4" w:space="0" w:color="auto"/>
              <w:bottom w:val="single" w:sz="4" w:space="0" w:color="auto"/>
              <w:right w:val="single" w:sz="4" w:space="0" w:color="auto"/>
            </w:tcBorders>
            <w:vAlign w:val="center"/>
          </w:tcPr>
          <w:p w14:paraId="08486B3A" w14:textId="77777777" w:rsidR="00E04C8A" w:rsidRDefault="008E1817">
            <w:pPr>
              <w:pStyle w:val="TableParagraph"/>
              <w:spacing w:line="252" w:lineRule="exact"/>
              <w:ind w:firstLine="4"/>
              <w:jc w:val="center"/>
              <w:rPr>
                <w:rFonts w:ascii="Times New Roman" w:eastAsia="Times New Roman" w:hAnsi="Times New Roman" w:cs="Times New Roman"/>
                <w:lang w:val="sl-SI"/>
              </w:rPr>
            </w:pPr>
            <w:r>
              <w:rPr>
                <w:rFonts w:ascii="Times New Roman" w:eastAsia="Times New Roman" w:hAnsi="Times New Roman" w:cs="Times New Roman"/>
                <w:b/>
                <w:bCs/>
                <w:lang w:val="sl-SI"/>
              </w:rPr>
              <w:t>Telesna masa bolnika</w:t>
            </w:r>
          </w:p>
        </w:tc>
        <w:tc>
          <w:tcPr>
            <w:tcW w:w="6706" w:type="dxa"/>
            <w:tcBorders>
              <w:top w:val="single" w:sz="4" w:space="0" w:color="auto"/>
              <w:left w:val="single" w:sz="4" w:space="0" w:color="auto"/>
              <w:bottom w:val="single" w:sz="4" w:space="0" w:color="auto"/>
              <w:right w:val="single" w:sz="4" w:space="0" w:color="auto"/>
            </w:tcBorders>
            <w:vAlign w:val="center"/>
          </w:tcPr>
          <w:p w14:paraId="5D46360F" w14:textId="77777777" w:rsidR="00E04C8A" w:rsidRDefault="008E1817">
            <w:pPr>
              <w:pStyle w:val="TableParagraph"/>
              <w:spacing w:line="251" w:lineRule="exact"/>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Začetni odmerek</w:t>
            </w:r>
          </w:p>
        </w:tc>
        <w:tc>
          <w:tcPr>
            <w:tcW w:w="1725" w:type="dxa"/>
            <w:tcBorders>
              <w:top w:val="single" w:sz="4" w:space="0" w:color="auto"/>
              <w:left w:val="single" w:sz="4" w:space="0" w:color="auto"/>
              <w:bottom w:val="single" w:sz="4" w:space="0" w:color="auto"/>
              <w:right w:val="single" w:sz="4" w:space="0" w:color="auto"/>
            </w:tcBorders>
            <w:vAlign w:val="center"/>
          </w:tcPr>
          <w:p w14:paraId="6994BACF" w14:textId="77777777" w:rsidR="00E04C8A" w:rsidRDefault="008E1817">
            <w:pPr>
              <w:pStyle w:val="TableParagraph"/>
              <w:spacing w:line="239" w:lineRule="auto"/>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Vzdrževalni odmerek z začetkom v 4. tednu</w:t>
            </w:r>
          </w:p>
        </w:tc>
      </w:tr>
      <w:tr w:rsidR="0059160E" w14:paraId="7DA461B3" w14:textId="77777777" w:rsidTr="00721C46">
        <w:tc>
          <w:tcPr>
            <w:tcW w:w="972" w:type="dxa"/>
            <w:tcBorders>
              <w:top w:val="single" w:sz="4" w:space="0" w:color="auto"/>
              <w:left w:val="single" w:sz="7" w:space="0" w:color="000000"/>
              <w:bottom w:val="single" w:sz="7" w:space="0" w:color="000000"/>
              <w:right w:val="single" w:sz="7" w:space="0" w:color="000000"/>
            </w:tcBorders>
          </w:tcPr>
          <w:p w14:paraId="780D88D5" w14:textId="77777777" w:rsidR="0059160E" w:rsidRDefault="0059160E" w:rsidP="0059160E">
            <w:pPr>
              <w:pStyle w:val="TableParagraph"/>
              <w:spacing w:before="9"/>
              <w:ind w:left="140"/>
              <w:rPr>
                <w:rFonts w:ascii="Times New Roman" w:eastAsia="Times New Roman" w:hAnsi="Times New Roman" w:cs="Times New Roman"/>
                <w:lang w:val="sl-SI"/>
              </w:rPr>
            </w:pPr>
            <w:r>
              <w:rPr>
                <w:rFonts w:ascii="Times New Roman" w:eastAsia="Times New Roman" w:hAnsi="Times New Roman" w:cs="Times New Roman"/>
                <w:lang w:val="sl-SI"/>
              </w:rPr>
              <w:t>&lt; 40 kg</w:t>
            </w:r>
          </w:p>
        </w:tc>
        <w:tc>
          <w:tcPr>
            <w:tcW w:w="6706" w:type="dxa"/>
            <w:tcBorders>
              <w:top w:val="single" w:sz="4" w:space="0" w:color="auto"/>
              <w:left w:val="single" w:sz="7" w:space="0" w:color="000000"/>
              <w:bottom w:val="single" w:sz="7" w:space="0" w:color="000000"/>
              <w:right w:val="single" w:sz="7" w:space="0" w:color="000000"/>
            </w:tcBorders>
          </w:tcPr>
          <w:p w14:paraId="3A475993" w14:textId="485353EB" w:rsidR="0059160E" w:rsidRDefault="0059160E" w:rsidP="0059160E">
            <w:pPr>
              <w:pStyle w:val="a4"/>
              <w:numPr>
                <w:ilvl w:val="0"/>
                <w:numId w:val="13"/>
              </w:numPr>
              <w:tabs>
                <w:tab w:val="left" w:pos="315"/>
              </w:tabs>
              <w:spacing w:before="10"/>
              <w:ind w:left="315"/>
              <w:rPr>
                <w:rFonts w:ascii="Times New Roman" w:eastAsia="Times New Roman" w:hAnsi="Times New Roman" w:cs="Times New Roman"/>
                <w:lang w:val="sl-SI"/>
              </w:rPr>
            </w:pPr>
            <w:r>
              <w:rPr>
                <w:rFonts w:ascii="Times New Roman" w:eastAsia="Times New Roman" w:hAnsi="Times New Roman" w:cs="Times New Roman"/>
                <w:spacing w:val="-1"/>
                <w:lang w:val="sl-SI"/>
              </w:rPr>
              <w:t>40 mg v 0. tednu in 20 mg v 2 tednu</w:t>
            </w:r>
          </w:p>
          <w:p w14:paraId="5E444287" w14:textId="77777777" w:rsidR="0059160E" w:rsidRDefault="0059160E" w:rsidP="0059160E">
            <w:pPr>
              <w:pStyle w:val="TableParagraph"/>
              <w:spacing w:before="10" w:line="240" w:lineRule="exact"/>
              <w:rPr>
                <w:rFonts w:ascii="Times New Roman" w:hAnsi="Times New Roman" w:cs="Times New Roman"/>
                <w:sz w:val="24"/>
                <w:szCs w:val="24"/>
                <w:lang w:val="sl-SI"/>
              </w:rPr>
            </w:pPr>
          </w:p>
          <w:p w14:paraId="7BB924FC" w14:textId="77777777" w:rsidR="0059160E" w:rsidRDefault="0059160E" w:rsidP="0059160E">
            <w:pPr>
              <w:pStyle w:val="TableParagraph"/>
              <w:ind w:left="159"/>
              <w:rPr>
                <w:rFonts w:ascii="Times New Roman" w:eastAsia="Times New Roman" w:hAnsi="Times New Roman" w:cs="Times New Roman"/>
                <w:lang w:val="sl-SI"/>
              </w:rPr>
            </w:pPr>
            <w:r>
              <w:rPr>
                <w:rFonts w:ascii="Times New Roman" w:eastAsia="Times New Roman" w:hAnsi="Times New Roman" w:cs="Times New Roman"/>
                <w:spacing w:val="-1"/>
                <w:lang w:val="sl-SI"/>
              </w:rPr>
              <w:t>Če je potreben hitrejši odziv na zdravljenje in veste, da je tveganje za neželene učinke pri uporabi večjega indukcijskega odmerka lahko večje, lahko uporabite naslednji odmerek:</w:t>
            </w:r>
          </w:p>
          <w:p w14:paraId="08CCBFA0" w14:textId="1116BDDE" w:rsidR="0059160E" w:rsidRDefault="0059160E" w:rsidP="0059160E">
            <w:pPr>
              <w:pStyle w:val="a4"/>
              <w:numPr>
                <w:ilvl w:val="0"/>
                <w:numId w:val="13"/>
              </w:numPr>
              <w:tabs>
                <w:tab w:val="left" w:pos="315"/>
              </w:tabs>
              <w:spacing w:before="2"/>
              <w:ind w:left="315"/>
              <w:rPr>
                <w:rFonts w:ascii="Times New Roman" w:eastAsia="Times New Roman" w:hAnsi="Times New Roman" w:cs="Times New Roman"/>
                <w:lang w:val="sl-SI"/>
              </w:rPr>
            </w:pPr>
            <w:r>
              <w:rPr>
                <w:rFonts w:ascii="Times New Roman" w:eastAsia="Times New Roman" w:hAnsi="Times New Roman" w:cs="Times New Roman"/>
                <w:spacing w:val="-1"/>
                <w:lang w:val="sl-SI"/>
              </w:rPr>
              <w:t>80 mg v 0. tednu in 40 mg v 2 tednu</w:t>
            </w:r>
          </w:p>
        </w:tc>
        <w:tc>
          <w:tcPr>
            <w:tcW w:w="1725" w:type="dxa"/>
            <w:tcBorders>
              <w:top w:val="single" w:sz="4" w:space="0" w:color="auto"/>
              <w:left w:val="single" w:sz="7" w:space="0" w:color="000000"/>
              <w:bottom w:val="single" w:sz="7" w:space="0" w:color="000000"/>
              <w:right w:val="single" w:sz="7" w:space="0" w:color="000000"/>
            </w:tcBorders>
            <w:vAlign w:val="center"/>
          </w:tcPr>
          <w:p w14:paraId="31E01C24" w14:textId="3FC7386F" w:rsidR="0059160E" w:rsidRDefault="0059160E" w:rsidP="0059160E">
            <w:pPr>
              <w:pStyle w:val="TableParagraph"/>
              <w:spacing w:before="100" w:beforeAutospacing="1" w:line="252" w:lineRule="exact"/>
              <w:ind w:left="63" w:hanging="63"/>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20 mg vsak drugi teden</w:t>
            </w:r>
          </w:p>
        </w:tc>
      </w:tr>
      <w:tr w:rsidR="0059160E" w14:paraId="35C9A520" w14:textId="77777777">
        <w:tc>
          <w:tcPr>
            <w:tcW w:w="972" w:type="dxa"/>
            <w:tcBorders>
              <w:top w:val="single" w:sz="7" w:space="0" w:color="000000"/>
              <w:left w:val="single" w:sz="7" w:space="0" w:color="000000"/>
              <w:bottom w:val="single" w:sz="7" w:space="0" w:color="000000"/>
              <w:right w:val="single" w:sz="7" w:space="0" w:color="000000"/>
            </w:tcBorders>
          </w:tcPr>
          <w:p w14:paraId="2644FAF4" w14:textId="77777777" w:rsidR="0059160E" w:rsidRDefault="0059160E" w:rsidP="0059160E">
            <w:pPr>
              <w:pStyle w:val="TableParagraph"/>
              <w:spacing w:before="7"/>
              <w:ind w:left="143"/>
              <w:rPr>
                <w:rFonts w:ascii="Times New Roman" w:eastAsia="Times New Roman" w:hAnsi="Times New Roman" w:cs="Times New Roman"/>
                <w:lang w:val="sl-SI"/>
              </w:rPr>
            </w:pPr>
            <w:r>
              <w:rPr>
                <w:rFonts w:ascii="Times New Roman" w:eastAsia="Times New Roman" w:hAnsi="Times New Roman" w:cs="Times New Roman"/>
                <w:lang w:val="sl-SI"/>
              </w:rPr>
              <w:t>≥ 40 kg</w:t>
            </w:r>
          </w:p>
        </w:tc>
        <w:tc>
          <w:tcPr>
            <w:tcW w:w="6706" w:type="dxa"/>
            <w:tcBorders>
              <w:top w:val="single" w:sz="7" w:space="0" w:color="000000"/>
              <w:left w:val="single" w:sz="7" w:space="0" w:color="000000"/>
              <w:bottom w:val="single" w:sz="7" w:space="0" w:color="000000"/>
              <w:right w:val="single" w:sz="7" w:space="0" w:color="000000"/>
            </w:tcBorders>
          </w:tcPr>
          <w:p w14:paraId="3F5C1DE9" w14:textId="03574D0E" w:rsidR="0059160E" w:rsidRDefault="0059160E" w:rsidP="0059160E">
            <w:pPr>
              <w:pStyle w:val="a4"/>
              <w:numPr>
                <w:ilvl w:val="0"/>
                <w:numId w:val="12"/>
              </w:numPr>
              <w:tabs>
                <w:tab w:val="left" w:pos="315"/>
              </w:tabs>
              <w:spacing w:before="8"/>
              <w:ind w:left="315"/>
              <w:rPr>
                <w:rFonts w:ascii="Times New Roman" w:eastAsia="Times New Roman" w:hAnsi="Times New Roman" w:cs="Times New Roman"/>
                <w:lang w:val="sl-SI"/>
              </w:rPr>
            </w:pPr>
            <w:r>
              <w:rPr>
                <w:rFonts w:ascii="Times New Roman" w:eastAsia="Times New Roman" w:hAnsi="Times New Roman" w:cs="Times New Roman"/>
                <w:spacing w:val="-1"/>
                <w:lang w:val="sl-SI"/>
              </w:rPr>
              <w:t>80 mg v 0. tednu in 40 mg v 2 tednu</w:t>
            </w:r>
          </w:p>
          <w:p w14:paraId="4BF4411F" w14:textId="77777777" w:rsidR="0059160E" w:rsidRDefault="0059160E" w:rsidP="0059160E">
            <w:pPr>
              <w:tabs>
                <w:tab w:val="left" w:pos="315"/>
              </w:tabs>
              <w:spacing w:before="8"/>
              <w:rPr>
                <w:rFonts w:ascii="Times New Roman" w:eastAsia="Times New Roman" w:hAnsi="Times New Roman" w:cs="Times New Roman"/>
                <w:lang w:val="sl-SI"/>
              </w:rPr>
            </w:pPr>
          </w:p>
          <w:p w14:paraId="7473150E" w14:textId="77777777" w:rsidR="0059160E" w:rsidRDefault="0059160E" w:rsidP="0059160E">
            <w:pPr>
              <w:pStyle w:val="TableParagraph"/>
              <w:spacing w:before="7"/>
              <w:ind w:left="159" w:right="353"/>
              <w:rPr>
                <w:rFonts w:ascii="Times New Roman" w:eastAsia="Times New Roman" w:hAnsi="Times New Roman" w:cs="Times New Roman"/>
                <w:lang w:val="sl-SI"/>
              </w:rPr>
            </w:pPr>
            <w:r>
              <w:rPr>
                <w:rFonts w:ascii="Times New Roman" w:eastAsia="Times New Roman" w:hAnsi="Times New Roman" w:cs="Times New Roman"/>
                <w:spacing w:val="-1"/>
                <w:lang w:val="sl-SI"/>
              </w:rPr>
              <w:t>Če je potreben hitrejši odziv na zdravljenje in veste, da je tveganje za neželene učinke pri uporabi večjega indukcijskega odmerka lahko večje, lahko uporabite naslednji odmerek:</w:t>
            </w:r>
          </w:p>
          <w:p w14:paraId="7DFBAF45" w14:textId="25ADF3D3" w:rsidR="0059160E" w:rsidRDefault="0059160E" w:rsidP="0059160E">
            <w:pPr>
              <w:pStyle w:val="a4"/>
              <w:numPr>
                <w:ilvl w:val="0"/>
                <w:numId w:val="13"/>
              </w:numPr>
              <w:tabs>
                <w:tab w:val="left" w:pos="315"/>
              </w:tabs>
              <w:spacing w:before="2"/>
              <w:ind w:left="315"/>
              <w:rPr>
                <w:rFonts w:ascii="Times New Roman" w:eastAsia="Times New Roman" w:hAnsi="Times New Roman" w:cs="Times New Roman"/>
                <w:lang w:val="sl-SI"/>
              </w:rPr>
            </w:pPr>
            <w:r>
              <w:rPr>
                <w:rFonts w:ascii="Times New Roman" w:eastAsia="Times New Roman" w:hAnsi="Times New Roman" w:cs="Times New Roman"/>
                <w:spacing w:val="-1"/>
                <w:lang w:val="sl-SI"/>
              </w:rPr>
              <w:t>160 mg v 0. tednu in 80 mg v 2 tednu</w:t>
            </w:r>
          </w:p>
        </w:tc>
        <w:tc>
          <w:tcPr>
            <w:tcW w:w="1725" w:type="dxa"/>
            <w:tcBorders>
              <w:top w:val="single" w:sz="7" w:space="0" w:color="000000"/>
              <w:left w:val="single" w:sz="7" w:space="0" w:color="000000"/>
              <w:bottom w:val="single" w:sz="7" w:space="0" w:color="000000"/>
              <w:right w:val="single" w:sz="7" w:space="0" w:color="000000"/>
            </w:tcBorders>
          </w:tcPr>
          <w:p w14:paraId="3B7FED91" w14:textId="77777777" w:rsidR="0059160E" w:rsidRDefault="0059160E" w:rsidP="00721C46">
            <w:pPr>
              <w:pStyle w:val="TableParagraph"/>
              <w:spacing w:before="100" w:beforeAutospacing="1" w:line="252" w:lineRule="exact"/>
              <w:ind w:left="63" w:hanging="63"/>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40 mg vsak drugi teden</w:t>
            </w:r>
          </w:p>
        </w:tc>
      </w:tr>
    </w:tbl>
    <w:tbl>
      <w:tblPr>
        <w:tblW w:w="0" w:type="auto"/>
        <w:tblInd w:w="-108" w:type="dxa"/>
        <w:tblBorders>
          <w:top w:val="nil"/>
          <w:left w:val="nil"/>
          <w:bottom w:val="nil"/>
          <w:right w:val="nil"/>
        </w:tblBorders>
        <w:tblLayout w:type="fixed"/>
        <w:tblLook w:val="0000" w:firstRow="0" w:lastRow="0" w:firstColumn="0" w:lastColumn="0" w:noHBand="0" w:noVBand="0"/>
      </w:tblPr>
      <w:tblGrid>
        <w:gridCol w:w="9635"/>
      </w:tblGrid>
      <w:tr w:rsidR="00E04C8A" w:rsidRPr="00407F29" w14:paraId="40F5E9C3" w14:textId="77777777">
        <w:trPr>
          <w:trHeight w:val="147"/>
        </w:trPr>
        <w:tc>
          <w:tcPr>
            <w:tcW w:w="9635" w:type="dxa"/>
          </w:tcPr>
          <w:p w14:paraId="13D0811D" w14:textId="1F3972E5" w:rsidR="00E04C8A" w:rsidRDefault="00E04C8A">
            <w:pPr>
              <w:pStyle w:val="a3"/>
              <w:rPr>
                <w:color w:val="000000"/>
                <w:lang w:val="sl-SI"/>
              </w:rPr>
            </w:pPr>
          </w:p>
        </w:tc>
      </w:tr>
    </w:tbl>
    <w:p w14:paraId="0B7942B1" w14:textId="03198134" w:rsidR="00E04C8A" w:rsidRPr="00CF282E" w:rsidRDefault="008E1817" w:rsidP="00721C46">
      <w:pPr>
        <w:pStyle w:val="a3"/>
        <w:rPr>
          <w:lang w:val="sl-SI"/>
        </w:rPr>
      </w:pPr>
      <w:r>
        <w:rPr>
          <w:rFonts w:eastAsia="Times New Roman"/>
          <w:lang w:val="sl-SI"/>
        </w:rPr>
        <w:t>Bolniki, pri katerih odziv ne zadošča, imajo lahko koristi od povečanja odmerka:</w:t>
      </w:r>
    </w:p>
    <w:p w14:paraId="7E216729" w14:textId="0C7CBDD8" w:rsidR="00474DFB" w:rsidRPr="00474DFB" w:rsidRDefault="00474DFB" w:rsidP="00721C46">
      <w:pPr>
        <w:pStyle w:val="a3"/>
        <w:numPr>
          <w:ilvl w:val="0"/>
          <w:numId w:val="12"/>
        </w:numPr>
        <w:ind w:left="660" w:hanging="660"/>
        <w:rPr>
          <w:rFonts w:eastAsia="Calibri"/>
          <w:spacing w:val="-1"/>
          <w:lang w:val="sl-SI"/>
        </w:rPr>
      </w:pPr>
      <w:r w:rsidRPr="00721C46">
        <w:rPr>
          <w:rFonts w:eastAsia="Calibri"/>
          <w:spacing w:val="-1"/>
          <w:lang w:val="sl-SI"/>
        </w:rPr>
        <w:t>&lt; 40 kg: 20 mg vsak teden</w:t>
      </w:r>
    </w:p>
    <w:p w14:paraId="460028D6" w14:textId="1F2C3607" w:rsidR="00E04C8A" w:rsidRDefault="008E1817" w:rsidP="00721C46">
      <w:pPr>
        <w:pStyle w:val="a3"/>
        <w:numPr>
          <w:ilvl w:val="0"/>
          <w:numId w:val="12"/>
        </w:numPr>
        <w:ind w:left="660" w:hanging="660"/>
        <w:rPr>
          <w:rFonts w:eastAsia="Times New Roman"/>
          <w:spacing w:val="-1"/>
          <w:lang w:val="sl-SI"/>
        </w:rPr>
      </w:pPr>
      <w:r w:rsidRPr="00CF282E">
        <w:rPr>
          <w:rFonts w:eastAsia="Calibri"/>
          <w:spacing w:val="-1"/>
          <w:lang w:val="sl-SI"/>
        </w:rPr>
        <w:t xml:space="preserve">≥ 40 kg: </w:t>
      </w:r>
      <w:r w:rsidRPr="00CF282E">
        <w:rPr>
          <w:rFonts w:eastAsia="Times New Roman"/>
          <w:spacing w:val="-1"/>
          <w:lang w:val="sl-SI"/>
        </w:rPr>
        <w:t>40 mg</w:t>
      </w:r>
      <w:r>
        <w:rPr>
          <w:rFonts w:eastAsia="Times New Roman"/>
          <w:spacing w:val="-1"/>
          <w:lang w:val="sl-SI"/>
        </w:rPr>
        <w:t xml:space="preserve"> vsak teden ali 80 mg vsak drugi teden</w:t>
      </w:r>
    </w:p>
    <w:p w14:paraId="0F2B7DDA" w14:textId="77777777" w:rsidR="00E04C8A" w:rsidRDefault="00E04C8A">
      <w:pPr>
        <w:spacing w:line="240" w:lineRule="exact"/>
        <w:rPr>
          <w:rFonts w:ascii="Times New Roman" w:hAnsi="Times New Roman" w:cs="Times New Roman"/>
          <w:sz w:val="24"/>
          <w:szCs w:val="24"/>
          <w:lang w:val="sl-SI"/>
        </w:rPr>
      </w:pPr>
    </w:p>
    <w:p w14:paraId="1287BB16" w14:textId="16FCCB0B" w:rsidR="00E04C8A" w:rsidRDefault="008E1817">
      <w:pPr>
        <w:pStyle w:val="a3"/>
        <w:rPr>
          <w:lang w:val="sl-SI"/>
        </w:rPr>
      </w:pPr>
      <w:r>
        <w:rPr>
          <w:rFonts w:eastAsia="Times New Roman"/>
          <w:lang w:val="sl-SI"/>
        </w:rPr>
        <w:t xml:space="preserve">Pri osebi, ki se do 12. tedna ne odzove, je treba skrbno pretehtati, ali naj se </w:t>
      </w:r>
      <w:r w:rsidR="00781356">
        <w:rPr>
          <w:rFonts w:eastAsia="Times New Roman"/>
          <w:lang w:val="sl-SI"/>
        </w:rPr>
        <w:t>zdravljenje</w:t>
      </w:r>
      <w:r>
        <w:rPr>
          <w:rFonts w:eastAsia="Times New Roman"/>
          <w:lang w:val="sl-SI"/>
        </w:rPr>
        <w:t xml:space="preserve"> nadaljuje.</w:t>
      </w:r>
    </w:p>
    <w:p w14:paraId="7C20F8E1" w14:textId="77777777" w:rsidR="00E04C8A" w:rsidRDefault="00E04C8A">
      <w:pPr>
        <w:pStyle w:val="a3"/>
        <w:rPr>
          <w:lang w:val="sl-SI"/>
        </w:rPr>
      </w:pPr>
    </w:p>
    <w:p w14:paraId="17F8D14B" w14:textId="79F96FB7" w:rsidR="00E04C8A" w:rsidRDefault="008E1817">
      <w:pPr>
        <w:pStyle w:val="a3"/>
        <w:rPr>
          <w:lang w:val="sl-SI"/>
        </w:rPr>
      </w:pPr>
      <w:r>
        <w:rPr>
          <w:rFonts w:eastAsia="Times New Roman"/>
          <w:lang w:val="sl-SI"/>
        </w:rPr>
        <w:t>Uporaba adalimumaba pri otrocih, mlajših od 6 let, za to indikacijo ni smiselna.</w:t>
      </w:r>
    </w:p>
    <w:p w14:paraId="3F81DFF8" w14:textId="0A005D85" w:rsidR="00E04C8A" w:rsidRDefault="00E04C8A">
      <w:pPr>
        <w:rPr>
          <w:rFonts w:ascii="Times New Roman" w:eastAsia="Times New Roman" w:hAnsi="Times New Roman" w:cs="Times New Roman"/>
          <w:i/>
          <w:spacing w:val="-1"/>
          <w:u w:val="single" w:color="000000"/>
          <w:lang w:val="sl-SI"/>
        </w:rPr>
      </w:pPr>
    </w:p>
    <w:p w14:paraId="023BC62A" w14:textId="77777777" w:rsidR="00CF282E" w:rsidRPr="00CF282E" w:rsidRDefault="00CF282E" w:rsidP="00CF282E">
      <w:pPr>
        <w:rPr>
          <w:rFonts w:ascii="Times New Roman" w:hAnsi="Times New Roman" w:cs="Times New Roman"/>
          <w:b/>
          <w:bCs/>
          <w:iCs/>
          <w:lang w:val="sl-SI"/>
        </w:rPr>
      </w:pPr>
      <w:r w:rsidRPr="00CF282E">
        <w:rPr>
          <w:rFonts w:ascii="Times New Roman" w:hAnsi="Times New Roman" w:cs="Times New Roman"/>
          <w:i/>
          <w:lang w:val="sl-SI"/>
        </w:rPr>
        <w:t>Ulcerozni kolitis pri pediatričnih bolnikih</w:t>
      </w:r>
      <w:r w:rsidRPr="00CF282E">
        <w:rPr>
          <w:rFonts w:ascii="Times New Roman" w:hAnsi="Times New Roman" w:cs="Times New Roman"/>
          <w:b/>
          <w:lang w:val="sl-SI"/>
        </w:rPr>
        <w:t xml:space="preserve"> </w:t>
      </w:r>
    </w:p>
    <w:p w14:paraId="4A2DEA30" w14:textId="77777777" w:rsidR="00CF282E" w:rsidRPr="00CF282E" w:rsidRDefault="00CF282E" w:rsidP="00CF282E">
      <w:pPr>
        <w:rPr>
          <w:rFonts w:ascii="Times New Roman" w:hAnsi="Times New Roman" w:cs="Times New Roman"/>
          <w:lang w:val="sl-SI"/>
        </w:rPr>
      </w:pPr>
    </w:p>
    <w:p w14:paraId="5E7DFE5E" w14:textId="58E6D0D4" w:rsidR="00CF282E" w:rsidRPr="00CF282E" w:rsidRDefault="00CF282E" w:rsidP="00CF282E">
      <w:pPr>
        <w:rPr>
          <w:rFonts w:ascii="Times New Roman" w:hAnsi="Times New Roman" w:cs="Times New Roman"/>
          <w:lang w:val="sl-SI"/>
        </w:rPr>
      </w:pPr>
      <w:r w:rsidRPr="00CF282E">
        <w:rPr>
          <w:rFonts w:ascii="Times New Roman" w:hAnsi="Times New Roman" w:cs="Times New Roman"/>
          <w:lang w:val="sl-SI"/>
        </w:rPr>
        <w:t xml:space="preserve">Priporočeni odmerek zdravila </w:t>
      </w:r>
      <w:r>
        <w:rPr>
          <w:rFonts w:ascii="Times New Roman" w:hAnsi="Times New Roman" w:cs="Times New Roman"/>
          <w:lang w:val="sl-SI"/>
        </w:rPr>
        <w:t>Yuflyma</w:t>
      </w:r>
      <w:r w:rsidRPr="00CF282E">
        <w:rPr>
          <w:rFonts w:ascii="Times New Roman" w:hAnsi="Times New Roman" w:cs="Times New Roman"/>
          <w:lang w:val="sl-SI"/>
        </w:rPr>
        <w:t xml:space="preserve"> pri bolnikih z ulceroznim kolitisom, starih 6 do 17 let, temelji na telesni masi (preglednica 5). Zdravilo </w:t>
      </w:r>
      <w:r>
        <w:rPr>
          <w:rFonts w:ascii="Times New Roman" w:hAnsi="Times New Roman" w:cs="Times New Roman"/>
          <w:lang w:val="sl-SI"/>
        </w:rPr>
        <w:t>Yuflyma</w:t>
      </w:r>
      <w:r w:rsidRPr="007233E9">
        <w:rPr>
          <w:rFonts w:ascii="Times New Roman" w:hAnsi="Times New Roman" w:cs="Times New Roman"/>
          <w:lang w:val="sl-SI"/>
        </w:rPr>
        <w:t xml:space="preserve"> </w:t>
      </w:r>
      <w:r w:rsidRPr="00CF282E">
        <w:rPr>
          <w:rFonts w:ascii="Times New Roman" w:hAnsi="Times New Roman" w:cs="Times New Roman"/>
          <w:lang w:val="sl-SI"/>
        </w:rPr>
        <w:t>se odmerja v obliki subkutane injekcije. </w:t>
      </w:r>
    </w:p>
    <w:p w14:paraId="22943F35" w14:textId="77777777" w:rsidR="00CF282E" w:rsidRPr="00CF282E" w:rsidRDefault="00CF282E" w:rsidP="00CF282E">
      <w:pPr>
        <w:rPr>
          <w:rFonts w:ascii="Times New Roman" w:hAnsi="Times New Roman" w:cs="Times New Roman"/>
          <w:lang w:val="sl-SI"/>
        </w:rPr>
      </w:pPr>
    </w:p>
    <w:p w14:paraId="2C498CAD" w14:textId="1F8D01D8" w:rsidR="00CF282E" w:rsidRPr="00CF282E" w:rsidRDefault="00CF282E" w:rsidP="00CF282E">
      <w:pPr>
        <w:keepNext/>
        <w:jc w:val="center"/>
        <w:rPr>
          <w:rFonts w:ascii="Times New Roman" w:hAnsi="Times New Roman" w:cs="Times New Roman"/>
          <w:lang w:val="sl-SI"/>
        </w:rPr>
      </w:pPr>
      <w:r w:rsidRPr="00CF282E">
        <w:rPr>
          <w:rFonts w:ascii="Times New Roman" w:hAnsi="Times New Roman" w:cs="Times New Roman"/>
          <w:b/>
          <w:lang w:val="sl-SI"/>
        </w:rPr>
        <w:t xml:space="preserve">Preglednica 5. Odmerjanje zdravila </w:t>
      </w:r>
      <w:r w:rsidR="009900DB">
        <w:rPr>
          <w:rFonts w:ascii="Times New Roman" w:hAnsi="Times New Roman" w:cs="Times New Roman"/>
          <w:b/>
          <w:lang w:val="sl-SI"/>
        </w:rPr>
        <w:t>Yuflyma</w:t>
      </w:r>
      <w:r w:rsidR="009812C7" w:rsidRPr="009812C7">
        <w:rPr>
          <w:rFonts w:ascii="Times New Roman" w:hAnsi="Times New Roman" w:cs="Times New Roman"/>
          <w:b/>
          <w:lang w:val="sl-SI"/>
        </w:rPr>
        <w:t xml:space="preserve"> </w:t>
      </w:r>
      <w:r w:rsidRPr="00CF282E">
        <w:rPr>
          <w:rFonts w:ascii="Times New Roman" w:hAnsi="Times New Roman" w:cs="Times New Roman"/>
          <w:b/>
          <w:lang w:val="sl-SI"/>
        </w:rPr>
        <w:t xml:space="preserve">pri pediatričnih bolnikih z ulceroznim kolitisom </w:t>
      </w:r>
    </w:p>
    <w:tbl>
      <w:tblPr>
        <w:tblW w:w="4574"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909"/>
        <w:gridCol w:w="3516"/>
        <w:gridCol w:w="3342"/>
      </w:tblGrid>
      <w:tr w:rsidR="00CF282E" w:rsidRPr="00631172" w14:paraId="704FE1B8" w14:textId="77777777" w:rsidTr="00CF282E">
        <w:trPr>
          <w:jc w:val="center"/>
        </w:trPr>
        <w:tc>
          <w:tcPr>
            <w:tcW w:w="0" w:type="auto"/>
            <w:tcBorders>
              <w:top w:val="single" w:sz="6" w:space="0" w:color="000000"/>
              <w:left w:val="single" w:sz="6" w:space="0" w:color="000000"/>
              <w:bottom w:val="single" w:sz="6" w:space="0" w:color="000000"/>
              <w:right w:val="single" w:sz="6" w:space="0" w:color="000000"/>
            </w:tcBorders>
            <w:vAlign w:val="center"/>
            <w:hideMark/>
          </w:tcPr>
          <w:p w14:paraId="1CA69A13" w14:textId="08A2FFDB" w:rsidR="00CF282E" w:rsidRPr="00CF282E" w:rsidRDefault="00CF282E" w:rsidP="00CF282E">
            <w:pPr>
              <w:jc w:val="center"/>
              <w:rPr>
                <w:rFonts w:ascii="Times New Roman" w:hAnsi="Times New Roman" w:cs="Times New Roman"/>
                <w:b/>
                <w:lang w:val="sl-SI"/>
              </w:rPr>
            </w:pPr>
            <w:r w:rsidRPr="00CF282E">
              <w:rPr>
                <w:rFonts w:ascii="Times New Roman" w:hAnsi="Times New Roman" w:cs="Times New Roman"/>
                <w:b/>
                <w:lang w:val="sl-SI"/>
              </w:rPr>
              <w:t>Masa bolnika</w:t>
            </w:r>
          </w:p>
        </w:tc>
        <w:tc>
          <w:tcPr>
            <w:tcW w:w="2005" w:type="pct"/>
            <w:tcBorders>
              <w:top w:val="single" w:sz="6" w:space="0" w:color="000000"/>
              <w:left w:val="single" w:sz="6" w:space="0" w:color="000000"/>
              <w:bottom w:val="single" w:sz="6" w:space="0" w:color="000000"/>
              <w:right w:val="single" w:sz="6" w:space="0" w:color="000000"/>
            </w:tcBorders>
            <w:vAlign w:val="center"/>
            <w:hideMark/>
          </w:tcPr>
          <w:p w14:paraId="3E717A7B" w14:textId="77777777" w:rsidR="00CF282E" w:rsidRPr="00CF282E" w:rsidRDefault="00CF282E" w:rsidP="00CF282E">
            <w:pPr>
              <w:jc w:val="center"/>
              <w:rPr>
                <w:rFonts w:ascii="Times New Roman" w:hAnsi="Times New Roman" w:cs="Times New Roman"/>
                <w:b/>
                <w:lang w:val="sl-SI"/>
              </w:rPr>
            </w:pPr>
            <w:r w:rsidRPr="00CF282E">
              <w:rPr>
                <w:rFonts w:ascii="Times New Roman" w:hAnsi="Times New Roman" w:cs="Times New Roman"/>
                <w:b/>
                <w:lang w:val="sl-SI"/>
              </w:rPr>
              <w:t>Začetni odmerek</w:t>
            </w:r>
          </w:p>
        </w:tc>
        <w:tc>
          <w:tcPr>
            <w:tcW w:w="1906" w:type="pct"/>
            <w:tcBorders>
              <w:top w:val="single" w:sz="6" w:space="0" w:color="000000"/>
              <w:left w:val="single" w:sz="6" w:space="0" w:color="000000"/>
              <w:bottom w:val="single" w:sz="6" w:space="0" w:color="000000"/>
              <w:right w:val="single" w:sz="6" w:space="0" w:color="000000"/>
            </w:tcBorders>
            <w:hideMark/>
          </w:tcPr>
          <w:p w14:paraId="2274A7A3" w14:textId="77777777" w:rsidR="00CF282E" w:rsidRPr="00CF282E" w:rsidRDefault="00CF282E" w:rsidP="00CF282E">
            <w:pPr>
              <w:jc w:val="center"/>
              <w:rPr>
                <w:rFonts w:ascii="Times New Roman" w:hAnsi="Times New Roman" w:cs="Times New Roman"/>
                <w:b/>
                <w:lang w:val="sl-SI"/>
              </w:rPr>
            </w:pPr>
            <w:r w:rsidRPr="00CF282E">
              <w:rPr>
                <w:rFonts w:ascii="Times New Roman" w:hAnsi="Times New Roman" w:cs="Times New Roman"/>
                <w:b/>
                <w:lang w:val="sl-SI"/>
              </w:rPr>
              <w:t>Vzdrževalni odmerek</w:t>
            </w:r>
            <w:r w:rsidRPr="00CF282E">
              <w:rPr>
                <w:rFonts w:ascii="Times New Roman" w:hAnsi="Times New Roman" w:cs="Times New Roman"/>
                <w:b/>
                <w:lang w:val="sl-SI"/>
              </w:rPr>
              <w:br/>
              <w:t>z začetkom v 4. tednu*</w:t>
            </w:r>
          </w:p>
        </w:tc>
      </w:tr>
      <w:tr w:rsidR="00CF282E" w:rsidRPr="00CF282E" w14:paraId="799065D3" w14:textId="77777777" w:rsidTr="00CF282E">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439330F3" w14:textId="77777777" w:rsidR="00CF282E" w:rsidRPr="00CF282E" w:rsidRDefault="00CF282E" w:rsidP="00CF282E">
            <w:pPr>
              <w:jc w:val="center"/>
              <w:rPr>
                <w:rFonts w:ascii="Times New Roman" w:hAnsi="Times New Roman" w:cs="Times New Roman"/>
                <w:lang w:val="sl-SI"/>
              </w:rPr>
            </w:pPr>
            <w:r w:rsidRPr="00CF282E">
              <w:rPr>
                <w:rFonts w:ascii="Times New Roman" w:hAnsi="Times New Roman" w:cs="Times New Roman"/>
                <w:lang w:val="sl-SI"/>
              </w:rPr>
              <w:t>&lt; 40 kg</w:t>
            </w:r>
          </w:p>
        </w:tc>
        <w:tc>
          <w:tcPr>
            <w:tcW w:w="2005" w:type="pct"/>
            <w:tcBorders>
              <w:top w:val="single" w:sz="6" w:space="0" w:color="000000"/>
              <w:left w:val="single" w:sz="6" w:space="0" w:color="000000"/>
              <w:bottom w:val="single" w:sz="6" w:space="0" w:color="000000"/>
              <w:right w:val="single" w:sz="6" w:space="0" w:color="000000"/>
            </w:tcBorders>
            <w:hideMark/>
          </w:tcPr>
          <w:p w14:paraId="00C9C3B5" w14:textId="77777777" w:rsidR="00CF282E" w:rsidRPr="00CF282E" w:rsidRDefault="00CF282E" w:rsidP="00CF282E">
            <w:pPr>
              <w:widowControl/>
              <w:numPr>
                <w:ilvl w:val="0"/>
                <w:numId w:val="113"/>
              </w:numPr>
              <w:ind w:left="360" w:hanging="210"/>
              <w:rPr>
                <w:rFonts w:ascii="Times New Roman" w:hAnsi="Times New Roman" w:cs="Times New Roman"/>
                <w:lang w:val="sl-SI"/>
              </w:rPr>
            </w:pPr>
            <w:r w:rsidRPr="00CF282E">
              <w:rPr>
                <w:rFonts w:ascii="Times New Roman" w:hAnsi="Times New Roman" w:cs="Times New Roman"/>
                <w:lang w:val="sl-SI"/>
              </w:rPr>
              <w:t>80 mg v 0. tednu (apliciran v obliki dveh 40 mg injekcij v enem dnevu) in</w:t>
            </w:r>
          </w:p>
          <w:p w14:paraId="576599AB" w14:textId="77777777" w:rsidR="00CF282E" w:rsidRPr="00CF282E" w:rsidRDefault="00CF282E" w:rsidP="00CF282E">
            <w:pPr>
              <w:widowControl/>
              <w:numPr>
                <w:ilvl w:val="0"/>
                <w:numId w:val="113"/>
              </w:numPr>
              <w:ind w:left="360" w:hanging="210"/>
              <w:rPr>
                <w:rFonts w:ascii="Times New Roman" w:hAnsi="Times New Roman" w:cs="Times New Roman"/>
                <w:lang w:val="sl-SI"/>
              </w:rPr>
            </w:pPr>
            <w:r w:rsidRPr="00CF282E">
              <w:rPr>
                <w:rFonts w:ascii="Times New Roman" w:hAnsi="Times New Roman" w:cs="Times New Roman"/>
                <w:lang w:val="sl-SI"/>
              </w:rPr>
              <w:t>40 mg v 2. tednu (apliciran v obliki ene 40 mg injekcije)</w:t>
            </w:r>
          </w:p>
        </w:tc>
        <w:tc>
          <w:tcPr>
            <w:tcW w:w="1906" w:type="pct"/>
            <w:tcBorders>
              <w:top w:val="single" w:sz="6" w:space="0" w:color="000000"/>
              <w:left w:val="single" w:sz="6" w:space="0" w:color="000000"/>
              <w:bottom w:val="single" w:sz="6" w:space="0" w:color="000000"/>
              <w:right w:val="single" w:sz="6" w:space="0" w:color="000000"/>
            </w:tcBorders>
            <w:hideMark/>
          </w:tcPr>
          <w:p w14:paraId="6FC527AF" w14:textId="77777777" w:rsidR="00CF282E" w:rsidRPr="00CF282E" w:rsidRDefault="00CF282E" w:rsidP="00CF282E">
            <w:pPr>
              <w:widowControl/>
              <w:numPr>
                <w:ilvl w:val="0"/>
                <w:numId w:val="113"/>
              </w:numPr>
              <w:ind w:left="360" w:hanging="210"/>
              <w:rPr>
                <w:rFonts w:ascii="Times New Roman" w:hAnsi="Times New Roman" w:cs="Times New Roman"/>
                <w:lang w:val="sl-SI"/>
              </w:rPr>
            </w:pPr>
            <w:r w:rsidRPr="00CF282E">
              <w:rPr>
                <w:rFonts w:ascii="Times New Roman" w:hAnsi="Times New Roman" w:cs="Times New Roman"/>
                <w:lang w:val="sl-SI"/>
              </w:rPr>
              <w:t>40 mg vsak drugi teden</w:t>
            </w:r>
          </w:p>
        </w:tc>
      </w:tr>
      <w:tr w:rsidR="00CF282E" w:rsidRPr="00CF282E" w14:paraId="77D2357E" w14:textId="77777777" w:rsidTr="00CF282E">
        <w:trPr>
          <w:jc w:val="center"/>
        </w:trPr>
        <w:tc>
          <w:tcPr>
            <w:tcW w:w="0" w:type="auto"/>
            <w:tcBorders>
              <w:top w:val="single" w:sz="6" w:space="0" w:color="000000"/>
              <w:left w:val="single" w:sz="6" w:space="0" w:color="000000"/>
              <w:bottom w:val="single" w:sz="4" w:space="0" w:color="auto"/>
              <w:right w:val="single" w:sz="6" w:space="0" w:color="000000"/>
            </w:tcBorders>
            <w:hideMark/>
          </w:tcPr>
          <w:p w14:paraId="339F363B" w14:textId="77777777" w:rsidR="00CF282E" w:rsidRPr="00CF282E" w:rsidRDefault="00CF282E" w:rsidP="00CF282E">
            <w:pPr>
              <w:jc w:val="center"/>
              <w:rPr>
                <w:rFonts w:ascii="Times New Roman" w:hAnsi="Times New Roman" w:cs="Times New Roman"/>
                <w:lang w:val="sl-SI"/>
              </w:rPr>
            </w:pPr>
            <w:r w:rsidRPr="00CF282E">
              <w:rPr>
                <w:rFonts w:ascii="Times New Roman" w:hAnsi="Times New Roman" w:cs="Times New Roman"/>
                <w:lang w:val="sl-SI"/>
              </w:rPr>
              <w:t>≥ 40 kg</w:t>
            </w:r>
          </w:p>
        </w:tc>
        <w:tc>
          <w:tcPr>
            <w:tcW w:w="2005" w:type="pct"/>
            <w:tcBorders>
              <w:top w:val="single" w:sz="6" w:space="0" w:color="000000"/>
              <w:left w:val="single" w:sz="6" w:space="0" w:color="000000"/>
              <w:bottom w:val="single" w:sz="4" w:space="0" w:color="auto"/>
              <w:right w:val="single" w:sz="6" w:space="0" w:color="000000"/>
            </w:tcBorders>
            <w:hideMark/>
          </w:tcPr>
          <w:p w14:paraId="7DF04288" w14:textId="77777777" w:rsidR="00CF282E" w:rsidRPr="00CF282E" w:rsidRDefault="00CF282E" w:rsidP="00CF282E">
            <w:pPr>
              <w:widowControl/>
              <w:numPr>
                <w:ilvl w:val="0"/>
                <w:numId w:val="114"/>
              </w:numPr>
              <w:ind w:left="360" w:hanging="210"/>
              <w:rPr>
                <w:rFonts w:ascii="Times New Roman" w:hAnsi="Times New Roman" w:cs="Times New Roman"/>
                <w:lang w:val="sl-SI"/>
              </w:rPr>
            </w:pPr>
            <w:r w:rsidRPr="00CF282E">
              <w:rPr>
                <w:rFonts w:ascii="Times New Roman" w:hAnsi="Times New Roman" w:cs="Times New Roman"/>
                <w:lang w:val="sl-SI"/>
              </w:rPr>
              <w:t xml:space="preserve">160 mg v 0. tednu (apliciran v obliki štirih 40 mg injekcij v enem </w:t>
            </w:r>
            <w:r w:rsidRPr="00CF282E">
              <w:rPr>
                <w:rFonts w:ascii="Times New Roman" w:hAnsi="Times New Roman" w:cs="Times New Roman"/>
                <w:lang w:val="sl-SI"/>
              </w:rPr>
              <w:lastRenderedPageBreak/>
              <w:t>dnevu ali dveh 40 mg injekcij na dan dva zaporedna dneva) in</w:t>
            </w:r>
          </w:p>
          <w:p w14:paraId="05355817" w14:textId="77777777" w:rsidR="00CF282E" w:rsidRPr="00CF282E" w:rsidRDefault="00CF282E" w:rsidP="00CF282E">
            <w:pPr>
              <w:widowControl/>
              <w:numPr>
                <w:ilvl w:val="0"/>
                <w:numId w:val="114"/>
              </w:numPr>
              <w:ind w:left="360" w:hanging="210"/>
              <w:rPr>
                <w:rFonts w:ascii="Times New Roman" w:hAnsi="Times New Roman" w:cs="Times New Roman"/>
                <w:lang w:val="sl-SI"/>
              </w:rPr>
            </w:pPr>
            <w:r w:rsidRPr="00CF282E">
              <w:rPr>
                <w:rFonts w:ascii="Times New Roman" w:hAnsi="Times New Roman" w:cs="Times New Roman"/>
                <w:lang w:val="sl-SI"/>
              </w:rPr>
              <w:t>80 mg v 2. tednu (apliciran v obliki dveh 40 mg injekcij v enem dnevu)</w:t>
            </w:r>
          </w:p>
        </w:tc>
        <w:tc>
          <w:tcPr>
            <w:tcW w:w="1906" w:type="pct"/>
            <w:tcBorders>
              <w:top w:val="single" w:sz="6" w:space="0" w:color="000000"/>
              <w:left w:val="single" w:sz="6" w:space="0" w:color="000000"/>
              <w:bottom w:val="single" w:sz="4" w:space="0" w:color="auto"/>
              <w:right w:val="single" w:sz="6" w:space="0" w:color="000000"/>
            </w:tcBorders>
            <w:hideMark/>
          </w:tcPr>
          <w:p w14:paraId="6A81276B" w14:textId="77777777" w:rsidR="00CF282E" w:rsidRPr="00CF282E" w:rsidRDefault="00CF282E" w:rsidP="00CF282E">
            <w:pPr>
              <w:widowControl/>
              <w:numPr>
                <w:ilvl w:val="0"/>
                <w:numId w:val="113"/>
              </w:numPr>
              <w:ind w:left="360" w:hanging="210"/>
              <w:rPr>
                <w:rFonts w:ascii="Times New Roman" w:hAnsi="Times New Roman" w:cs="Times New Roman"/>
                <w:lang w:val="sl-SI"/>
              </w:rPr>
            </w:pPr>
            <w:r w:rsidRPr="00CF282E">
              <w:rPr>
                <w:rFonts w:ascii="Times New Roman" w:hAnsi="Times New Roman" w:cs="Times New Roman"/>
                <w:lang w:val="sl-SI"/>
              </w:rPr>
              <w:lastRenderedPageBreak/>
              <w:t>80 mg vsak drugi teden</w:t>
            </w:r>
          </w:p>
        </w:tc>
      </w:tr>
      <w:tr w:rsidR="00CF282E" w:rsidRPr="00CF282E" w14:paraId="02B852CB" w14:textId="77777777" w:rsidTr="00CF282E">
        <w:trPr>
          <w:jc w:val="center"/>
        </w:trPr>
        <w:tc>
          <w:tcPr>
            <w:tcW w:w="5000" w:type="pct"/>
            <w:gridSpan w:val="3"/>
            <w:tcBorders>
              <w:top w:val="single" w:sz="4" w:space="0" w:color="auto"/>
              <w:left w:val="nil"/>
              <w:bottom w:val="nil"/>
              <w:right w:val="nil"/>
            </w:tcBorders>
          </w:tcPr>
          <w:p w14:paraId="565B2C1E" w14:textId="49047F19" w:rsidR="00CF282E" w:rsidRPr="00CF282E" w:rsidRDefault="00CF282E" w:rsidP="00CF282E">
            <w:pPr>
              <w:rPr>
                <w:rFonts w:ascii="Times New Roman" w:hAnsi="Times New Roman" w:cs="Times New Roman"/>
                <w:lang w:val="sl-SI"/>
              </w:rPr>
            </w:pPr>
            <w:r w:rsidRPr="00CF282E">
              <w:rPr>
                <w:rFonts w:ascii="Times New Roman" w:hAnsi="Times New Roman" w:cs="Times New Roman"/>
                <w:vertAlign w:val="superscript"/>
                <w:lang w:val="sl-SI"/>
              </w:rPr>
              <w:t xml:space="preserve">* </w:t>
            </w:r>
            <w:r w:rsidRPr="00CF282E">
              <w:rPr>
                <w:rFonts w:ascii="Times New Roman" w:hAnsi="Times New Roman" w:cs="Times New Roman"/>
                <w:lang w:val="sl-SI"/>
              </w:rPr>
              <w:t xml:space="preserve">Pediatrični bolniki, ki dopolnijo 18 let, medtem ko prejemajo zdravilo </w:t>
            </w:r>
            <w:r w:rsidR="009812C7" w:rsidRPr="009812C7">
              <w:rPr>
                <w:rFonts w:ascii="Times New Roman" w:hAnsi="Times New Roman" w:cs="Times New Roman"/>
                <w:lang w:val="sl-SI"/>
              </w:rPr>
              <w:t>adalimumaba</w:t>
            </w:r>
            <w:r w:rsidRPr="00CF282E">
              <w:rPr>
                <w:rFonts w:ascii="Times New Roman" w:hAnsi="Times New Roman" w:cs="Times New Roman"/>
                <w:lang w:val="sl-SI"/>
              </w:rPr>
              <w:t>, naj nadaljujejo zdravljenje s svojim predpisanim vzdrževalnim odmerkom.</w:t>
            </w:r>
          </w:p>
        </w:tc>
      </w:tr>
    </w:tbl>
    <w:p w14:paraId="744CEBB1" w14:textId="77777777" w:rsidR="00CF282E" w:rsidRPr="00CF282E" w:rsidRDefault="00CF282E" w:rsidP="00CF282E">
      <w:pPr>
        <w:pStyle w:val="gtctablespaceafter"/>
        <w:numPr>
          <w:ilvl w:val="0"/>
          <w:numId w:val="115"/>
        </w:numPr>
        <w:spacing w:after="0"/>
        <w:rPr>
          <w:sz w:val="22"/>
          <w:szCs w:val="22"/>
          <w:lang w:val="sl-SI"/>
        </w:rPr>
      </w:pPr>
    </w:p>
    <w:p w14:paraId="45FADD1D" w14:textId="77777777" w:rsidR="00CF282E" w:rsidRPr="00CF282E" w:rsidRDefault="00CF282E" w:rsidP="00CF282E">
      <w:pPr>
        <w:pStyle w:val="a4"/>
        <w:widowControl/>
        <w:numPr>
          <w:ilvl w:val="0"/>
          <w:numId w:val="115"/>
        </w:numPr>
        <w:tabs>
          <w:tab w:val="left" w:pos="567"/>
        </w:tabs>
        <w:spacing w:line="260" w:lineRule="exact"/>
        <w:rPr>
          <w:rFonts w:ascii="Times New Roman" w:hAnsi="Times New Roman" w:cs="Times New Roman"/>
          <w:lang w:val="sl-SI"/>
        </w:rPr>
      </w:pPr>
      <w:r w:rsidRPr="00CF282E">
        <w:rPr>
          <w:rFonts w:ascii="Times New Roman" w:hAnsi="Times New Roman" w:cs="Times New Roman"/>
          <w:lang w:val="sl-SI"/>
        </w:rPr>
        <w:t>Če se bolnik v 8 tednih ne odzove na zdravljenje, je potrebno skrbno premisliti o nadaljevanju zdravljenja.</w:t>
      </w:r>
    </w:p>
    <w:p w14:paraId="082620B5" w14:textId="77777777" w:rsidR="00CF282E" w:rsidRPr="00CF282E" w:rsidRDefault="00CF282E" w:rsidP="00CF282E">
      <w:pPr>
        <w:rPr>
          <w:rFonts w:ascii="Times New Roman" w:hAnsi="Times New Roman" w:cs="Times New Roman"/>
          <w:lang w:val="sl-SI"/>
        </w:rPr>
      </w:pPr>
    </w:p>
    <w:p w14:paraId="39C164D8" w14:textId="4C517EA3" w:rsidR="00CF282E" w:rsidRPr="00CF282E" w:rsidRDefault="00CF282E" w:rsidP="00CF282E">
      <w:pPr>
        <w:rPr>
          <w:rFonts w:ascii="Times New Roman" w:hAnsi="Times New Roman" w:cs="Times New Roman"/>
          <w:lang w:val="sl-SI"/>
        </w:rPr>
      </w:pPr>
      <w:r w:rsidRPr="00CF282E">
        <w:rPr>
          <w:rFonts w:ascii="Times New Roman" w:hAnsi="Times New Roman" w:cs="Times New Roman"/>
          <w:lang w:val="sl-SI"/>
        </w:rPr>
        <w:t>Uporaba zdravila adalimumaba pri otrocih, mlajših od 6 let, za to indikacijo ni primerna.</w:t>
      </w:r>
    </w:p>
    <w:p w14:paraId="08A9F5BA" w14:textId="77777777" w:rsidR="00CF282E" w:rsidRDefault="00CF282E">
      <w:pPr>
        <w:rPr>
          <w:rFonts w:ascii="Times New Roman" w:eastAsia="Times New Roman" w:hAnsi="Times New Roman" w:cs="Times New Roman"/>
          <w:i/>
          <w:spacing w:val="-1"/>
          <w:u w:val="single" w:color="000000"/>
          <w:lang w:val="sl-SI"/>
        </w:rPr>
      </w:pPr>
    </w:p>
    <w:p w14:paraId="747A0FFF" w14:textId="77777777" w:rsidR="00E04C8A" w:rsidRPr="00721C46" w:rsidRDefault="008E1817">
      <w:pPr>
        <w:rPr>
          <w:rFonts w:ascii="Times New Roman" w:eastAsia="Times New Roman" w:hAnsi="Times New Roman" w:cs="Times New Roman"/>
          <w:i/>
          <w:spacing w:val="-1"/>
          <w:u w:color="000000"/>
          <w:lang w:val="sl-SI"/>
        </w:rPr>
      </w:pPr>
      <w:r w:rsidRPr="00721C46">
        <w:rPr>
          <w:rFonts w:ascii="Times New Roman" w:eastAsia="Times New Roman" w:hAnsi="Times New Roman" w:cs="Times New Roman"/>
          <w:i/>
          <w:iCs/>
          <w:spacing w:val="-1"/>
          <w:u w:color="000000"/>
          <w:lang w:val="sl-SI"/>
        </w:rPr>
        <w:t>Pediatrični uveitis</w:t>
      </w:r>
    </w:p>
    <w:p w14:paraId="09C4A0DA" w14:textId="77777777" w:rsidR="00E04C8A" w:rsidRDefault="00E04C8A">
      <w:pPr>
        <w:rPr>
          <w:rFonts w:ascii="Times New Roman" w:eastAsia="Times New Roman" w:hAnsi="Times New Roman" w:cs="Times New Roman"/>
          <w:lang w:val="sl-SI"/>
        </w:rPr>
      </w:pPr>
    </w:p>
    <w:p w14:paraId="575B7E5F" w14:textId="7F9F5FDA" w:rsidR="00E04C8A" w:rsidRDefault="008E1817">
      <w:pPr>
        <w:pStyle w:val="a3"/>
        <w:rPr>
          <w:lang w:val="sl-SI"/>
        </w:rPr>
      </w:pPr>
      <w:r>
        <w:rPr>
          <w:rFonts w:eastAsia="Times New Roman"/>
          <w:lang w:val="sl-SI"/>
        </w:rPr>
        <w:t>Priporočeni odmerek zdravila Yuflyma pri bolnikih z uveitisom, star</w:t>
      </w:r>
      <w:r w:rsidR="00FC2FB8">
        <w:rPr>
          <w:rFonts w:eastAsia="Times New Roman"/>
          <w:lang w:val="sl-SI"/>
        </w:rPr>
        <w:t>ejših</w:t>
      </w:r>
      <w:r>
        <w:rPr>
          <w:rFonts w:eastAsia="Times New Roman"/>
          <w:lang w:val="sl-SI"/>
        </w:rPr>
        <w:t xml:space="preserve"> od 2 let, je odvisen od telesne mase (preglednica </w:t>
      </w:r>
      <w:r w:rsidR="00CF282E">
        <w:rPr>
          <w:rFonts w:eastAsia="Times New Roman"/>
          <w:lang w:val="sl-SI"/>
        </w:rPr>
        <w:t>6</w:t>
      </w:r>
      <w:r>
        <w:rPr>
          <w:rFonts w:eastAsia="Times New Roman"/>
          <w:lang w:val="sl-SI"/>
        </w:rPr>
        <w:t>). Zdravilo Yuflyma se odmerja v obliki subkutane injekcije.</w:t>
      </w:r>
    </w:p>
    <w:p w14:paraId="6C0BDEAC" w14:textId="77777777" w:rsidR="00E04C8A" w:rsidRDefault="00E04C8A">
      <w:pPr>
        <w:rPr>
          <w:rFonts w:ascii="Times New Roman" w:hAnsi="Times New Roman" w:cs="Times New Roman"/>
          <w:sz w:val="24"/>
          <w:szCs w:val="24"/>
          <w:lang w:val="sl-SI"/>
        </w:rPr>
      </w:pPr>
    </w:p>
    <w:p w14:paraId="1E6A565C" w14:textId="77777777" w:rsidR="00E04C8A" w:rsidRDefault="008E1817">
      <w:pPr>
        <w:pStyle w:val="a3"/>
        <w:rPr>
          <w:lang w:val="sl-SI"/>
        </w:rPr>
      </w:pPr>
      <w:r>
        <w:rPr>
          <w:rFonts w:eastAsia="Times New Roman"/>
          <w:lang w:val="sl-SI"/>
        </w:rPr>
        <w:t>Pri zdravljenju pediatričnega uveitisa ni izkušenj z zdravljenjem z adalimumabom brez sočasnega zdravljenja z metotreksatom.</w:t>
      </w:r>
    </w:p>
    <w:p w14:paraId="707FD439" w14:textId="77777777" w:rsidR="00E04C8A" w:rsidRDefault="00E04C8A">
      <w:pPr>
        <w:pStyle w:val="a3"/>
        <w:rPr>
          <w:lang w:val="sl-SI"/>
        </w:rPr>
      </w:pPr>
    </w:p>
    <w:p w14:paraId="72FD6F83" w14:textId="50478D3F" w:rsidR="00E04C8A" w:rsidRDefault="008E1817">
      <w:pPr>
        <w:pStyle w:val="a3"/>
        <w:jc w:val="center"/>
        <w:rPr>
          <w:b/>
          <w:lang w:val="sl-SI"/>
        </w:rPr>
      </w:pPr>
      <w:r>
        <w:rPr>
          <w:rFonts w:eastAsia="Times New Roman"/>
          <w:b/>
          <w:bCs/>
          <w:lang w:val="sl-SI"/>
        </w:rPr>
        <w:t>Preglednica </w:t>
      </w:r>
      <w:r w:rsidR="00CF282E">
        <w:rPr>
          <w:rFonts w:eastAsia="Times New Roman"/>
          <w:b/>
          <w:bCs/>
          <w:lang w:val="sl-SI"/>
        </w:rPr>
        <w:t>6</w:t>
      </w:r>
      <w:r>
        <w:rPr>
          <w:rFonts w:eastAsia="Times New Roman"/>
          <w:b/>
          <w:bCs/>
          <w:lang w:val="sl-SI"/>
        </w:rPr>
        <w:t>. Odmerek zdravila Yuflyma pri pediatričnih bolnikih z uveitisom</w:t>
      </w:r>
    </w:p>
    <w:p w14:paraId="7FABE880" w14:textId="77777777" w:rsidR="00E04C8A" w:rsidRDefault="00E04C8A">
      <w:pPr>
        <w:spacing w:before="4" w:line="220" w:lineRule="exact"/>
        <w:rPr>
          <w:rFonts w:ascii="Times New Roman" w:hAnsi="Times New Roman" w:cs="Times New Roman"/>
          <w:lang w:val="sl-SI"/>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E04C8A" w14:paraId="447E8413" w14:textId="77777777">
        <w:trPr>
          <w:trHeight w:val="374"/>
          <w:jc w:val="center"/>
        </w:trPr>
        <w:tc>
          <w:tcPr>
            <w:tcW w:w="3572" w:type="dxa"/>
            <w:tcBorders>
              <w:top w:val="single" w:sz="4" w:space="0" w:color="auto"/>
              <w:bottom w:val="single" w:sz="4" w:space="0" w:color="auto"/>
            </w:tcBorders>
            <w:vAlign w:val="center"/>
          </w:tcPr>
          <w:p w14:paraId="010376B5" w14:textId="77777777" w:rsidR="00E04C8A" w:rsidRDefault="008E1817">
            <w:pPr>
              <w:pStyle w:val="a3"/>
              <w:jc w:val="center"/>
              <w:rPr>
                <w:b/>
                <w:lang w:val="sl-SI"/>
              </w:rPr>
            </w:pPr>
            <w:r>
              <w:rPr>
                <w:rFonts w:eastAsia="Times New Roman"/>
                <w:b/>
                <w:bCs/>
                <w:lang w:val="sl-SI"/>
              </w:rPr>
              <w:t>Telesna masa bolnika</w:t>
            </w:r>
          </w:p>
        </w:tc>
        <w:tc>
          <w:tcPr>
            <w:tcW w:w="3572" w:type="dxa"/>
            <w:tcBorders>
              <w:top w:val="single" w:sz="4" w:space="0" w:color="auto"/>
              <w:bottom w:val="single" w:sz="4" w:space="0" w:color="auto"/>
            </w:tcBorders>
            <w:vAlign w:val="center"/>
          </w:tcPr>
          <w:p w14:paraId="7CEDA922" w14:textId="77777777" w:rsidR="00E04C8A" w:rsidRDefault="008E1817">
            <w:pPr>
              <w:pStyle w:val="a3"/>
              <w:jc w:val="center"/>
              <w:rPr>
                <w:b/>
                <w:lang w:val="sl-SI"/>
              </w:rPr>
            </w:pPr>
            <w:r>
              <w:rPr>
                <w:rFonts w:eastAsia="Times New Roman"/>
                <w:b/>
                <w:bCs/>
                <w:lang w:val="sl-SI"/>
              </w:rPr>
              <w:t>Shema odmerjanja</w:t>
            </w:r>
          </w:p>
        </w:tc>
      </w:tr>
      <w:tr w:rsidR="00474DFB" w:rsidRPr="00652F18" w14:paraId="1811942E" w14:textId="77777777">
        <w:trPr>
          <w:trHeight w:val="388"/>
          <w:jc w:val="center"/>
        </w:trPr>
        <w:tc>
          <w:tcPr>
            <w:tcW w:w="3572" w:type="dxa"/>
            <w:tcBorders>
              <w:top w:val="single" w:sz="4" w:space="0" w:color="auto"/>
              <w:bottom w:val="single" w:sz="4" w:space="0" w:color="auto"/>
            </w:tcBorders>
            <w:vAlign w:val="center"/>
          </w:tcPr>
          <w:p w14:paraId="449DA28C" w14:textId="77777777" w:rsidR="00474DFB" w:rsidRDefault="00474DFB" w:rsidP="00474DFB">
            <w:pPr>
              <w:pStyle w:val="a3"/>
              <w:jc w:val="center"/>
              <w:rPr>
                <w:lang w:val="sl-SI"/>
              </w:rPr>
            </w:pPr>
            <w:r>
              <w:rPr>
                <w:rFonts w:eastAsia="Times New Roman"/>
                <w:lang w:val="sl-SI"/>
              </w:rPr>
              <w:t>&lt; 30 kg</w:t>
            </w:r>
          </w:p>
        </w:tc>
        <w:tc>
          <w:tcPr>
            <w:tcW w:w="3572" w:type="dxa"/>
            <w:tcBorders>
              <w:top w:val="single" w:sz="4" w:space="0" w:color="auto"/>
              <w:bottom w:val="single" w:sz="4" w:space="0" w:color="auto"/>
            </w:tcBorders>
            <w:vAlign w:val="center"/>
          </w:tcPr>
          <w:p w14:paraId="6E719FEF" w14:textId="202D1C58" w:rsidR="00474DFB" w:rsidRDefault="00474DFB" w:rsidP="00474DFB">
            <w:pPr>
              <w:pStyle w:val="a3"/>
              <w:jc w:val="center"/>
              <w:rPr>
                <w:lang w:val="sl-SI"/>
              </w:rPr>
            </w:pPr>
            <w:r>
              <w:rPr>
                <w:rFonts w:eastAsia="Times New Roman"/>
                <w:lang w:val="sl-SI"/>
              </w:rPr>
              <w:t>20 mg vsak drugi teden v kombinaciji z metotreksatom</w:t>
            </w:r>
          </w:p>
        </w:tc>
      </w:tr>
      <w:tr w:rsidR="00474DFB" w:rsidRPr="00652F18" w14:paraId="54CEA208" w14:textId="77777777">
        <w:trPr>
          <w:trHeight w:val="374"/>
          <w:jc w:val="center"/>
        </w:trPr>
        <w:tc>
          <w:tcPr>
            <w:tcW w:w="3572" w:type="dxa"/>
            <w:tcBorders>
              <w:top w:val="single" w:sz="4" w:space="0" w:color="auto"/>
              <w:bottom w:val="single" w:sz="4" w:space="0" w:color="auto"/>
            </w:tcBorders>
            <w:vAlign w:val="center"/>
          </w:tcPr>
          <w:p w14:paraId="756E6207" w14:textId="77777777" w:rsidR="00474DFB" w:rsidRDefault="00474DFB" w:rsidP="00474DFB">
            <w:pPr>
              <w:pStyle w:val="a3"/>
              <w:jc w:val="center"/>
              <w:rPr>
                <w:lang w:val="sl-SI"/>
              </w:rPr>
            </w:pPr>
            <w:r>
              <w:rPr>
                <w:rFonts w:eastAsia="Times New Roman"/>
                <w:lang w:val="sl-SI"/>
              </w:rPr>
              <w:t>≥ 30 kg</w:t>
            </w:r>
          </w:p>
        </w:tc>
        <w:tc>
          <w:tcPr>
            <w:tcW w:w="3572" w:type="dxa"/>
            <w:tcBorders>
              <w:top w:val="single" w:sz="4" w:space="0" w:color="auto"/>
              <w:bottom w:val="single" w:sz="4" w:space="0" w:color="auto"/>
            </w:tcBorders>
            <w:vAlign w:val="center"/>
          </w:tcPr>
          <w:p w14:paraId="26B3A506" w14:textId="77777777" w:rsidR="00474DFB" w:rsidRDefault="00474DFB" w:rsidP="00474DFB">
            <w:pPr>
              <w:pStyle w:val="a3"/>
              <w:jc w:val="center"/>
              <w:rPr>
                <w:lang w:val="sl-SI"/>
              </w:rPr>
            </w:pPr>
            <w:r>
              <w:rPr>
                <w:rFonts w:eastAsia="Times New Roman"/>
                <w:lang w:val="sl-SI"/>
              </w:rPr>
              <w:t>40 mg vsak drugi teden v kombinaciji z metotreksatom</w:t>
            </w:r>
          </w:p>
        </w:tc>
      </w:tr>
    </w:tbl>
    <w:p w14:paraId="098680AC" w14:textId="77777777" w:rsidR="00E04C8A" w:rsidRDefault="00E04C8A">
      <w:pPr>
        <w:pStyle w:val="a3"/>
        <w:rPr>
          <w:lang w:val="sl-SI"/>
        </w:rPr>
      </w:pPr>
    </w:p>
    <w:p w14:paraId="73C394FA" w14:textId="195C83B1" w:rsidR="00E04C8A" w:rsidRDefault="008E1817">
      <w:pPr>
        <w:pStyle w:val="a3"/>
        <w:rPr>
          <w:lang w:val="sl-SI"/>
        </w:rPr>
      </w:pPr>
      <w:r>
        <w:rPr>
          <w:rFonts w:eastAsia="Times New Roman"/>
          <w:lang w:val="sl-SI"/>
        </w:rPr>
        <w:t>Ob uvedbi zdravljenja z zdravilom Yuflyma se lahko uporabi polnilni odmerek 40 mg za bolnike s telesno maso &lt; 30 kg, ali 80 mg za bolnike</w:t>
      </w:r>
      <w:r w:rsidR="00474DFB">
        <w:rPr>
          <w:rFonts w:eastAsia="Times New Roman"/>
          <w:lang w:val="sl-SI"/>
        </w:rPr>
        <w:t xml:space="preserve"> </w:t>
      </w:r>
      <w:r>
        <w:rPr>
          <w:rFonts w:eastAsia="Times New Roman"/>
          <w:lang w:val="sl-SI"/>
        </w:rPr>
        <w:t>≥ 30 kg en teden pred začetkom vzdrževalnega zdravljenja. Kliničnih podatkov o uporabi polnilnega odmerka adalimumaba pri otrocih, starih &lt; 6 let, ni (glejte poglavje 5.2).</w:t>
      </w:r>
    </w:p>
    <w:p w14:paraId="31373D59" w14:textId="77777777" w:rsidR="00E04C8A" w:rsidRDefault="00E04C8A">
      <w:pPr>
        <w:spacing w:before="10" w:line="240" w:lineRule="exact"/>
        <w:rPr>
          <w:rFonts w:ascii="Times New Roman" w:hAnsi="Times New Roman" w:cs="Times New Roman"/>
          <w:sz w:val="24"/>
          <w:szCs w:val="24"/>
          <w:lang w:val="sl-SI"/>
        </w:rPr>
      </w:pPr>
    </w:p>
    <w:p w14:paraId="2F3942FE" w14:textId="64027BDB" w:rsidR="00E04C8A" w:rsidRDefault="008E1817">
      <w:pPr>
        <w:pStyle w:val="a3"/>
        <w:rPr>
          <w:lang w:val="sl-SI"/>
        </w:rPr>
      </w:pPr>
      <w:r>
        <w:rPr>
          <w:rFonts w:eastAsia="Times New Roman"/>
          <w:lang w:val="sl-SI"/>
        </w:rPr>
        <w:t xml:space="preserve">Uporaba zdravila </w:t>
      </w:r>
      <w:r w:rsidR="009900DB">
        <w:rPr>
          <w:rFonts w:eastAsia="Times New Roman"/>
          <w:lang w:val="sl-SI"/>
        </w:rPr>
        <w:t xml:space="preserve">adalimumaba </w:t>
      </w:r>
      <w:r>
        <w:rPr>
          <w:rFonts w:eastAsia="Times New Roman"/>
          <w:lang w:val="sl-SI"/>
        </w:rPr>
        <w:t xml:space="preserve">pri otrocih, mlajših od 2 let, za to indikacijo ni </w:t>
      </w:r>
      <w:r w:rsidR="00781356">
        <w:rPr>
          <w:rFonts w:eastAsia="Times New Roman"/>
          <w:lang w:val="sl-SI"/>
        </w:rPr>
        <w:t>primerna</w:t>
      </w:r>
      <w:r>
        <w:rPr>
          <w:rFonts w:eastAsia="Times New Roman"/>
          <w:lang w:val="sl-SI"/>
        </w:rPr>
        <w:t>.</w:t>
      </w:r>
    </w:p>
    <w:p w14:paraId="42CBE4F0" w14:textId="77777777" w:rsidR="00E04C8A" w:rsidRDefault="00E04C8A">
      <w:pPr>
        <w:spacing w:before="11" w:line="240" w:lineRule="exact"/>
        <w:rPr>
          <w:rFonts w:ascii="Times New Roman" w:hAnsi="Times New Roman" w:cs="Times New Roman"/>
          <w:sz w:val="24"/>
          <w:szCs w:val="24"/>
          <w:lang w:val="sl-SI"/>
        </w:rPr>
      </w:pPr>
    </w:p>
    <w:p w14:paraId="5C6EF296" w14:textId="44CD1EC3" w:rsidR="00E04C8A" w:rsidRDefault="008E1817" w:rsidP="00721C46">
      <w:pPr>
        <w:pStyle w:val="a3"/>
        <w:rPr>
          <w:lang w:val="sl-SI"/>
        </w:rPr>
      </w:pPr>
      <w:r>
        <w:rPr>
          <w:rFonts w:eastAsia="Times New Roman"/>
          <w:spacing w:val="-4"/>
          <w:lang w:val="sl-SI"/>
        </w:rPr>
        <w:t>Priporočljivo je, da se vsako leto ocenijo koristi in tveganja nadaljnjega dolgotrajnega zdravljenja (glejte poglavje 5.1).</w:t>
      </w:r>
    </w:p>
    <w:p w14:paraId="2AD93120" w14:textId="77777777" w:rsidR="00E04C8A" w:rsidRDefault="00E04C8A">
      <w:pPr>
        <w:spacing w:before="12" w:line="240" w:lineRule="exact"/>
        <w:rPr>
          <w:rFonts w:ascii="Times New Roman" w:hAnsi="Times New Roman" w:cs="Times New Roman"/>
          <w:lang w:val="sl-SI"/>
        </w:rPr>
      </w:pPr>
    </w:p>
    <w:p w14:paraId="693E54A4" w14:textId="77777777" w:rsidR="00E04C8A" w:rsidRDefault="008E1817">
      <w:pPr>
        <w:pStyle w:val="a3"/>
        <w:rPr>
          <w:u w:val="single"/>
          <w:lang w:val="sl-SI"/>
        </w:rPr>
      </w:pPr>
      <w:r>
        <w:rPr>
          <w:rFonts w:eastAsia="Times New Roman"/>
          <w:u w:val="single" w:color="000000"/>
          <w:lang w:val="sl-SI"/>
        </w:rPr>
        <w:t>Način uporabe</w:t>
      </w:r>
    </w:p>
    <w:p w14:paraId="17420460" w14:textId="77777777" w:rsidR="00E04C8A" w:rsidRDefault="00E04C8A">
      <w:pPr>
        <w:spacing w:before="9" w:line="170" w:lineRule="exact"/>
        <w:rPr>
          <w:rFonts w:ascii="Times New Roman" w:hAnsi="Times New Roman" w:cs="Times New Roman"/>
          <w:lang w:val="sl-SI"/>
        </w:rPr>
      </w:pPr>
    </w:p>
    <w:p w14:paraId="5AAEA6D2" w14:textId="77777777" w:rsidR="00E04C8A" w:rsidRDefault="008E1817">
      <w:pPr>
        <w:pStyle w:val="a3"/>
        <w:rPr>
          <w:lang w:val="sl-SI"/>
        </w:rPr>
      </w:pPr>
      <w:r>
        <w:rPr>
          <w:rFonts w:eastAsia="Times New Roman"/>
          <w:lang w:val="sl-SI"/>
        </w:rPr>
        <w:t>Zdravilo Yuflyma se daje v obliki subkutane injekcije.</w:t>
      </w:r>
    </w:p>
    <w:p w14:paraId="7942BF38" w14:textId="77777777" w:rsidR="00E04C8A" w:rsidRDefault="00E04C8A">
      <w:pPr>
        <w:pStyle w:val="a3"/>
        <w:rPr>
          <w:lang w:val="sl-SI"/>
        </w:rPr>
      </w:pPr>
    </w:p>
    <w:p w14:paraId="10AECDFE" w14:textId="212C018B" w:rsidR="00E04C8A" w:rsidRDefault="004B2244">
      <w:pPr>
        <w:pStyle w:val="a3"/>
        <w:rPr>
          <w:lang w:val="sl-SI"/>
        </w:rPr>
      </w:pPr>
      <w:r>
        <w:rPr>
          <w:rFonts w:eastAsia="Times New Roman"/>
          <w:lang w:val="sl-SI"/>
        </w:rPr>
        <w:t>Podrobna</w:t>
      </w:r>
      <w:r w:rsidR="008E1817">
        <w:rPr>
          <w:rFonts w:eastAsia="Times New Roman"/>
          <w:lang w:val="sl-SI"/>
        </w:rPr>
        <w:t xml:space="preserve"> navodila za uporabo so vključena v navodilu za uporabo.</w:t>
      </w:r>
    </w:p>
    <w:p w14:paraId="1D214C7D" w14:textId="77777777" w:rsidR="00E04C8A" w:rsidRDefault="00E04C8A">
      <w:pPr>
        <w:spacing w:before="12" w:line="240" w:lineRule="exact"/>
        <w:rPr>
          <w:rFonts w:ascii="Times New Roman" w:hAnsi="Times New Roman" w:cs="Times New Roman"/>
          <w:lang w:val="sl-SI"/>
        </w:rPr>
      </w:pPr>
    </w:p>
    <w:p w14:paraId="4A291512" w14:textId="6BD5DA30" w:rsidR="00474DFB" w:rsidRDefault="00474DFB">
      <w:pPr>
        <w:pStyle w:val="a3"/>
        <w:rPr>
          <w:rFonts w:eastAsia="Times New Roman"/>
          <w:lang w:val="sl-SI"/>
        </w:rPr>
      </w:pPr>
      <w:r w:rsidRPr="00566D4D">
        <w:rPr>
          <w:lang w:val="de-DE"/>
        </w:rPr>
        <w:t xml:space="preserve">Zdravilo </w:t>
      </w:r>
      <w:r w:rsidR="00FC3B95" w:rsidRPr="00566D4D">
        <w:rPr>
          <w:lang w:val="de-DE"/>
        </w:rPr>
        <w:t>Yuflyma</w:t>
      </w:r>
      <w:r w:rsidRPr="00566D4D">
        <w:rPr>
          <w:lang w:val="de-DE"/>
        </w:rPr>
        <w:t xml:space="preserve"> je na voljo v drugih jakostih in oblikah.</w:t>
      </w:r>
    </w:p>
    <w:p w14:paraId="18D1D7A0" w14:textId="77777777" w:rsidR="00474DFB" w:rsidRPr="00721C46" w:rsidRDefault="00474DFB">
      <w:pPr>
        <w:pStyle w:val="a3"/>
        <w:rPr>
          <w:rFonts w:eastAsia="Times New Roman"/>
          <w:lang w:val="sl-SI"/>
        </w:rPr>
      </w:pPr>
    </w:p>
    <w:p w14:paraId="47C9DCAA" w14:textId="77777777" w:rsidR="00E04C8A" w:rsidRDefault="00E04C8A">
      <w:pPr>
        <w:spacing w:before="16" w:line="240" w:lineRule="exact"/>
        <w:rPr>
          <w:rFonts w:ascii="Times New Roman" w:hAnsi="Times New Roman" w:cs="Times New Roman"/>
          <w:lang w:val="sl-SI"/>
        </w:rPr>
      </w:pPr>
    </w:p>
    <w:p w14:paraId="262335EF" w14:textId="77777777" w:rsidR="00E04C8A" w:rsidRDefault="008E1817">
      <w:pPr>
        <w:widowControl/>
        <w:numPr>
          <w:ilvl w:val="1"/>
          <w:numId w:val="14"/>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Kontraindikacije</w:t>
      </w:r>
    </w:p>
    <w:p w14:paraId="2FD8D2F0" w14:textId="77777777" w:rsidR="00E04C8A" w:rsidRDefault="00E04C8A">
      <w:pPr>
        <w:spacing w:before="9" w:line="240" w:lineRule="exact"/>
        <w:rPr>
          <w:rFonts w:ascii="Times New Roman" w:hAnsi="Times New Roman" w:cs="Times New Roman"/>
          <w:lang w:val="sl-SI"/>
        </w:rPr>
      </w:pPr>
    </w:p>
    <w:p w14:paraId="2C21151C" w14:textId="77777777" w:rsidR="00E04C8A" w:rsidRDefault="008E1817">
      <w:pPr>
        <w:pStyle w:val="a3"/>
        <w:rPr>
          <w:lang w:val="sl-SI"/>
        </w:rPr>
      </w:pPr>
      <w:r>
        <w:rPr>
          <w:rFonts w:eastAsia="Times New Roman"/>
          <w:lang w:val="sl-SI"/>
        </w:rPr>
        <w:t>Preobčutljivost na učinkovino ali katero koli pomožno snov, navedeno v poglavju 6.1.</w:t>
      </w:r>
    </w:p>
    <w:p w14:paraId="0C33976F" w14:textId="77777777" w:rsidR="00E04C8A" w:rsidRDefault="00E04C8A">
      <w:pPr>
        <w:spacing w:before="13" w:line="240" w:lineRule="exact"/>
        <w:rPr>
          <w:rFonts w:ascii="Times New Roman" w:hAnsi="Times New Roman" w:cs="Times New Roman"/>
          <w:lang w:val="sl-SI"/>
        </w:rPr>
      </w:pPr>
    </w:p>
    <w:p w14:paraId="32454302" w14:textId="77777777" w:rsidR="00E04C8A" w:rsidRDefault="008E1817">
      <w:pPr>
        <w:pStyle w:val="a3"/>
        <w:rPr>
          <w:lang w:val="sl-SI"/>
        </w:rPr>
      </w:pPr>
      <w:r>
        <w:rPr>
          <w:rFonts w:eastAsia="Times New Roman"/>
          <w:lang w:val="sl-SI"/>
        </w:rPr>
        <w:t xml:space="preserve">Aktivna tuberkuloza ali druge hude okužbe, kot so sepsa in oportunistične okužbe (glejte poglavje 4.4). </w:t>
      </w:r>
    </w:p>
    <w:p w14:paraId="26287AB8" w14:textId="77777777" w:rsidR="00E04C8A" w:rsidRDefault="00E04C8A">
      <w:pPr>
        <w:pStyle w:val="a3"/>
        <w:rPr>
          <w:lang w:val="sl-SI"/>
        </w:rPr>
      </w:pPr>
    </w:p>
    <w:p w14:paraId="79F8BA42" w14:textId="77777777" w:rsidR="00E04C8A" w:rsidRDefault="008E1817">
      <w:pPr>
        <w:pStyle w:val="a3"/>
        <w:rPr>
          <w:lang w:val="sl-SI"/>
        </w:rPr>
      </w:pPr>
      <w:r>
        <w:rPr>
          <w:rFonts w:eastAsia="Times New Roman"/>
          <w:lang w:val="sl-SI"/>
        </w:rPr>
        <w:t>Zmerno do hudo srčno popuščanje (razred III/IV po razvrstitvi NYHA) (glejte poglavje 4.4).</w:t>
      </w:r>
    </w:p>
    <w:p w14:paraId="560E78E0" w14:textId="77777777" w:rsidR="00E04C8A" w:rsidRDefault="00E04C8A">
      <w:pPr>
        <w:pStyle w:val="a3"/>
        <w:rPr>
          <w:lang w:val="sl-SI"/>
        </w:rPr>
      </w:pPr>
    </w:p>
    <w:p w14:paraId="04400FCE" w14:textId="77777777" w:rsidR="00E04C8A" w:rsidRDefault="008E1817">
      <w:pPr>
        <w:widowControl/>
        <w:numPr>
          <w:ilvl w:val="1"/>
          <w:numId w:val="14"/>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Posebna opozorila in previdnostni ukrepi</w:t>
      </w:r>
    </w:p>
    <w:p w14:paraId="28AB10ED" w14:textId="77777777" w:rsidR="00E04C8A" w:rsidRDefault="00E04C8A">
      <w:pPr>
        <w:spacing w:before="9" w:line="240" w:lineRule="exact"/>
        <w:rPr>
          <w:rFonts w:ascii="Times New Roman" w:hAnsi="Times New Roman" w:cs="Times New Roman"/>
          <w:lang w:val="sl-SI"/>
        </w:rPr>
      </w:pPr>
    </w:p>
    <w:p w14:paraId="45B52BB0" w14:textId="77777777" w:rsidR="00E04C8A" w:rsidRDefault="008E1817">
      <w:pPr>
        <w:pStyle w:val="a3"/>
        <w:rPr>
          <w:u w:val="single"/>
          <w:lang w:val="sl-SI"/>
        </w:rPr>
      </w:pPr>
      <w:r>
        <w:rPr>
          <w:rFonts w:eastAsia="Times New Roman"/>
          <w:spacing w:val="1"/>
          <w:u w:val="single" w:color="000000"/>
          <w:lang w:val="sl-SI"/>
        </w:rPr>
        <w:t>Sledljivost</w:t>
      </w:r>
    </w:p>
    <w:p w14:paraId="5259E5BD" w14:textId="77777777" w:rsidR="00E04C8A" w:rsidRDefault="00E04C8A">
      <w:pPr>
        <w:spacing w:before="1" w:line="180" w:lineRule="exact"/>
        <w:rPr>
          <w:rFonts w:ascii="Times New Roman" w:hAnsi="Times New Roman" w:cs="Times New Roman"/>
          <w:lang w:val="sl-SI"/>
        </w:rPr>
      </w:pPr>
    </w:p>
    <w:p w14:paraId="5DCF6597" w14:textId="77777777" w:rsidR="00E04C8A" w:rsidRDefault="008E1817">
      <w:pPr>
        <w:pStyle w:val="a3"/>
        <w:rPr>
          <w:lang w:val="sl-SI"/>
        </w:rPr>
      </w:pPr>
      <w:r>
        <w:rPr>
          <w:rFonts w:eastAsia="Times New Roman"/>
          <w:lang w:val="sl-SI"/>
        </w:rPr>
        <w:t>Z namenom izboljšanja sledljivosti bioloških zdravil je treba jasno zabeležiti ime in številko serije uporabljenega zdravila.</w:t>
      </w:r>
    </w:p>
    <w:p w14:paraId="78793B34" w14:textId="77777777" w:rsidR="00E04C8A" w:rsidRDefault="00E04C8A">
      <w:pPr>
        <w:spacing w:before="11" w:line="240" w:lineRule="exact"/>
        <w:rPr>
          <w:rFonts w:ascii="Times New Roman" w:hAnsi="Times New Roman" w:cs="Times New Roman"/>
          <w:lang w:val="sl-SI"/>
        </w:rPr>
      </w:pPr>
    </w:p>
    <w:p w14:paraId="5DE12290" w14:textId="77777777" w:rsidR="00E04C8A" w:rsidRDefault="008E1817">
      <w:pPr>
        <w:pStyle w:val="a3"/>
        <w:rPr>
          <w:u w:val="single"/>
          <w:lang w:val="sl-SI"/>
        </w:rPr>
      </w:pPr>
      <w:r>
        <w:rPr>
          <w:rFonts w:eastAsia="Times New Roman"/>
          <w:u w:val="single" w:color="000000"/>
          <w:lang w:val="sl-SI"/>
        </w:rPr>
        <w:t>Okužbe</w:t>
      </w:r>
    </w:p>
    <w:p w14:paraId="20F7E513" w14:textId="77777777" w:rsidR="00E04C8A" w:rsidRDefault="00E04C8A">
      <w:pPr>
        <w:spacing w:before="1" w:line="180" w:lineRule="exact"/>
        <w:rPr>
          <w:rFonts w:ascii="Times New Roman" w:hAnsi="Times New Roman" w:cs="Times New Roman"/>
          <w:lang w:val="sl-SI"/>
        </w:rPr>
      </w:pPr>
    </w:p>
    <w:p w14:paraId="611BDFEB" w14:textId="77777777" w:rsidR="00E04C8A" w:rsidRDefault="008E1817">
      <w:pPr>
        <w:pStyle w:val="a3"/>
        <w:rPr>
          <w:lang w:val="sl-SI"/>
        </w:rPr>
      </w:pPr>
      <w:r>
        <w:rPr>
          <w:rFonts w:eastAsia="Times New Roman"/>
          <w:lang w:val="sl-SI"/>
        </w:rPr>
        <w:t xml:space="preserve">Bolniki, ki jemljejo TNF-antagoniste, so bolj dovzetni za resne okužbe. </w:t>
      </w:r>
      <w:r w:rsidRPr="0047220F">
        <w:rPr>
          <w:rFonts w:eastAsia="Times New Roman"/>
          <w:lang w:val="sl-SI"/>
        </w:rPr>
        <w:t>Okvarjeno delovanje pljuč</w:t>
      </w:r>
      <w:r>
        <w:rPr>
          <w:rFonts w:eastAsia="Times New Roman"/>
          <w:lang w:val="sl-SI"/>
        </w:rPr>
        <w:t xml:space="preserve"> lahko poveča tveganje za razvoj okužb. Zato je treba bolnike pred zdravljenjem z zdravilom Yuflyma med njim in po njem skrbno spremljati glede okužb, vključno s tuberkulozo. Ker lahko odstranitev adalimumaba traja do štiri mesece, je treba v tem obdobju nadaljevati s spremljanjem.</w:t>
      </w:r>
    </w:p>
    <w:p w14:paraId="056A284B" w14:textId="77777777" w:rsidR="00E04C8A" w:rsidRDefault="00E04C8A">
      <w:pPr>
        <w:spacing w:before="14" w:line="240" w:lineRule="exact"/>
        <w:rPr>
          <w:rFonts w:ascii="Times New Roman" w:hAnsi="Times New Roman" w:cs="Times New Roman"/>
          <w:lang w:val="sl-SI"/>
        </w:rPr>
      </w:pPr>
    </w:p>
    <w:p w14:paraId="54988AA1" w14:textId="77777777" w:rsidR="00E04C8A" w:rsidRDefault="008E1817">
      <w:pPr>
        <w:pStyle w:val="a3"/>
        <w:rPr>
          <w:lang w:val="sl-SI"/>
        </w:rPr>
      </w:pPr>
      <w:r>
        <w:rPr>
          <w:rFonts w:eastAsia="Times New Roman"/>
          <w:lang w:val="sl-SI"/>
        </w:rPr>
        <w:t xml:space="preserve">Zdravljenje z zdravilom Yuflyma se ne sme začeti pri bolnikih z aktivnimi okužbami, vključno s kroničnimi ali lokaliziranimi okužbami, dokler niso okužbe pod nadzorom. Pri bolnikih, ki so bili izpostavljeni tuberkulozi in bolnikom, ki so potovali na področja z visokim tveganjem za tuberkulozo ali endemične mikoze, kot so histoplazmoza, koktikoidomikoza ali blastomikoza, je treba pred začetkom zdravljenja pretehtati tveganje in koristi zdravljenja z zdravilom Yuflyma (glejte </w:t>
      </w:r>
      <w:r>
        <w:rPr>
          <w:rFonts w:eastAsia="Times New Roman"/>
          <w:i/>
          <w:iCs/>
          <w:lang w:val="sl-SI"/>
        </w:rPr>
        <w:t>Druge oportunistične okužbe</w:t>
      </w:r>
      <w:r>
        <w:rPr>
          <w:rFonts w:eastAsia="Times New Roman"/>
          <w:lang w:val="sl-SI"/>
        </w:rPr>
        <w:t>).</w:t>
      </w:r>
    </w:p>
    <w:p w14:paraId="7B0B23F7" w14:textId="77777777" w:rsidR="00E04C8A" w:rsidRDefault="00E04C8A">
      <w:pPr>
        <w:spacing w:before="13" w:line="240" w:lineRule="exact"/>
        <w:rPr>
          <w:rFonts w:ascii="Times New Roman" w:hAnsi="Times New Roman" w:cs="Times New Roman"/>
          <w:lang w:val="sl-SI"/>
        </w:rPr>
      </w:pPr>
    </w:p>
    <w:p w14:paraId="756FC6FE" w14:textId="77777777" w:rsidR="00E04C8A" w:rsidRDefault="008E1817">
      <w:pPr>
        <w:pStyle w:val="a3"/>
        <w:rPr>
          <w:lang w:val="sl-SI"/>
        </w:rPr>
      </w:pPr>
      <w:r>
        <w:rPr>
          <w:rFonts w:eastAsia="Times New Roman"/>
          <w:lang w:val="sl-SI"/>
        </w:rPr>
        <w:t>Pri bolnikih, pri katerih se med zdravljenjem z zdravilom Yuflyma pojavi nova okužba, je treba skrbno spremljati in opraviti popolno diagnostično oceno. Če se bolniku pojavi nova resna okužba ali sepsa, je treba uporabo zdravila Yuflyma prekiniti in uvesti ustrezno protimikrobno ali protimikotično zdravljenje, dokler okužba ni obvladana. Zdravniki morajo biti previdni pri odločanju o uporabi zdravila Yuflyma pri bolnikih z anamnezo ponavljajočih se okužb ali bolezenskih stanj v telesu, zaradi katerih bi lahko bolniki nagnjeni k okužbam, vključno z uporabo sočasnih imunosupresivnih zdravil.</w:t>
      </w:r>
    </w:p>
    <w:p w14:paraId="5C31FFAC" w14:textId="77777777" w:rsidR="00E04C8A" w:rsidRDefault="00E04C8A">
      <w:pPr>
        <w:pStyle w:val="a3"/>
        <w:rPr>
          <w:lang w:val="sl-SI"/>
        </w:rPr>
      </w:pPr>
    </w:p>
    <w:p w14:paraId="052A5E00" w14:textId="77777777" w:rsidR="00E04C8A" w:rsidRDefault="008E1817">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Resne okužbe</w:t>
      </w:r>
    </w:p>
    <w:p w14:paraId="4564EAC9" w14:textId="77777777" w:rsidR="00E04C8A" w:rsidRDefault="00E04C8A">
      <w:pPr>
        <w:spacing w:line="240" w:lineRule="exact"/>
        <w:rPr>
          <w:rFonts w:ascii="Times New Roman" w:hAnsi="Times New Roman" w:cs="Times New Roman"/>
          <w:lang w:val="sl-SI"/>
        </w:rPr>
      </w:pPr>
    </w:p>
    <w:p w14:paraId="4B8FF11E" w14:textId="77777777" w:rsidR="00E04C8A" w:rsidRDefault="008E1817">
      <w:pPr>
        <w:pStyle w:val="a3"/>
        <w:rPr>
          <w:lang w:val="sl-SI"/>
        </w:rPr>
      </w:pPr>
      <w:r>
        <w:rPr>
          <w:rFonts w:eastAsia="Times New Roman"/>
          <w:lang w:val="sl-SI"/>
        </w:rPr>
        <w:t>Pri bolnikih, ki so prejemali adalimumab, so poročali o resnih okužbah, vključno s sepso, zaradi bakterijskih, mikobakterijskih, invazivnih glivičnih, parazitskih, virusnih ali drugih oportunističnih okužb, kot so listerioza, legioneloza in pnevmocistis.</w:t>
      </w:r>
    </w:p>
    <w:p w14:paraId="6C21EC67" w14:textId="77777777" w:rsidR="00E04C8A" w:rsidRDefault="00E04C8A">
      <w:pPr>
        <w:spacing w:line="240" w:lineRule="exact"/>
        <w:rPr>
          <w:rFonts w:ascii="Times New Roman" w:hAnsi="Times New Roman" w:cs="Times New Roman"/>
          <w:lang w:val="sl-SI"/>
        </w:rPr>
      </w:pPr>
    </w:p>
    <w:p w14:paraId="6C7729D2" w14:textId="77777777" w:rsidR="00E04C8A" w:rsidRDefault="008E1817">
      <w:pPr>
        <w:pStyle w:val="a3"/>
        <w:rPr>
          <w:lang w:val="sl-SI"/>
        </w:rPr>
      </w:pPr>
      <w:r>
        <w:rPr>
          <w:rFonts w:eastAsia="Times New Roman"/>
          <w:lang w:val="sl-SI"/>
        </w:rPr>
        <w:t>Druge resne okužbe, ki so jih opazili v kliničnih preskušanjih, vključujejo pljučnico, pielonefritis, septični artritis in septikemijo. Poročali so o hospitalizaciji ali smrtnih izidih, povezanih z okužbami.</w:t>
      </w:r>
    </w:p>
    <w:p w14:paraId="328C479D" w14:textId="5733A1DD" w:rsidR="00E04C8A" w:rsidRDefault="00E04C8A">
      <w:pPr>
        <w:spacing w:line="240" w:lineRule="exact"/>
        <w:rPr>
          <w:rFonts w:ascii="Times New Roman" w:hAnsi="Times New Roman" w:cs="Times New Roman"/>
          <w:lang w:val="sl-SI"/>
        </w:rPr>
      </w:pPr>
    </w:p>
    <w:p w14:paraId="72D5872E" w14:textId="49DB45CD" w:rsidR="00A16C44" w:rsidRDefault="00A16C44">
      <w:pPr>
        <w:spacing w:line="240" w:lineRule="exact"/>
        <w:rPr>
          <w:rFonts w:ascii="Times New Roman" w:hAnsi="Times New Roman" w:cs="Times New Roman"/>
          <w:lang w:val="sl-SI"/>
        </w:rPr>
      </w:pPr>
    </w:p>
    <w:p w14:paraId="7C11B6CA" w14:textId="77777777" w:rsidR="00A16C44" w:rsidRPr="00A16C44" w:rsidRDefault="00A16C44">
      <w:pPr>
        <w:spacing w:line="240" w:lineRule="exact"/>
        <w:rPr>
          <w:rFonts w:ascii="Times New Roman" w:hAnsi="Times New Roman" w:cs="Times New Roman"/>
          <w:lang w:val="sl-SI"/>
        </w:rPr>
      </w:pPr>
    </w:p>
    <w:p w14:paraId="4AA42248" w14:textId="77777777" w:rsidR="00E04C8A" w:rsidRDefault="008E1817">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Tuberkuloza</w:t>
      </w:r>
    </w:p>
    <w:p w14:paraId="15C4129A" w14:textId="77777777" w:rsidR="00E04C8A" w:rsidRDefault="00E04C8A">
      <w:pPr>
        <w:spacing w:line="240" w:lineRule="exact"/>
        <w:rPr>
          <w:rFonts w:ascii="Times New Roman" w:hAnsi="Times New Roman" w:cs="Times New Roman"/>
          <w:lang w:val="sl-SI"/>
        </w:rPr>
      </w:pPr>
    </w:p>
    <w:p w14:paraId="1E0A6DBF" w14:textId="77777777" w:rsidR="00E04C8A" w:rsidRDefault="008E1817">
      <w:pPr>
        <w:pStyle w:val="a3"/>
        <w:rPr>
          <w:lang w:val="sl-SI"/>
        </w:rPr>
      </w:pPr>
      <w:r>
        <w:rPr>
          <w:rFonts w:eastAsia="Times New Roman"/>
          <w:lang w:val="sl-SI"/>
        </w:rPr>
        <w:t>Pri bolnikih, ki so prejemali adalimumab, so poročali o tuberkulozi, vključno z reaktivacijo in novim pojavom tuberkuloze. Poročila so vključevala primere pljučne in zunajpljučne tuberkuloze (tj. diseminirane).</w:t>
      </w:r>
    </w:p>
    <w:p w14:paraId="1120FD06" w14:textId="77777777" w:rsidR="00E04C8A" w:rsidRDefault="00E04C8A">
      <w:pPr>
        <w:spacing w:line="240" w:lineRule="exact"/>
        <w:rPr>
          <w:rFonts w:ascii="Times New Roman" w:hAnsi="Times New Roman" w:cs="Times New Roman"/>
          <w:lang w:val="sl-SI"/>
        </w:rPr>
      </w:pPr>
    </w:p>
    <w:p w14:paraId="39979158" w14:textId="3043E978" w:rsidR="00E04C8A" w:rsidRDefault="008E1817">
      <w:pPr>
        <w:pStyle w:val="a3"/>
        <w:rPr>
          <w:lang w:val="sl-SI"/>
        </w:rPr>
      </w:pPr>
      <w:r>
        <w:rPr>
          <w:rFonts w:eastAsia="Times New Roman"/>
          <w:lang w:val="sl-SI"/>
        </w:rPr>
        <w:t>Pred začetkom zdravljenja z zdravilom Yuflyma je treba vse bolnike pregledati glede aktivne ali neaktivne („latentne“) tuberkuloze. Ta ocena mora vključevati podrobno zdravstveno oceno anamneze bolnikov s tuberkulozo ali morebitne predhodne izpostavljenosti osebam z aktivno tuberkulozo ter predhodno in/ali trenutno imunosupresivno terapijo. Pri vseh bolnikih je treba opraviti ustrezne presejalne teste (npr. tuberkulinski kožni test in rentgensk</w:t>
      </w:r>
      <w:r w:rsidR="00DE7AE4">
        <w:rPr>
          <w:rFonts w:eastAsia="Times New Roman"/>
          <w:lang w:val="sl-SI"/>
        </w:rPr>
        <w:t>o</w:t>
      </w:r>
      <w:r>
        <w:rPr>
          <w:rFonts w:eastAsia="Times New Roman"/>
          <w:lang w:val="sl-SI"/>
        </w:rPr>
        <w:t xml:space="preserve"> slikanje prsnega koša) (lahko veljajo lokalna priporočila). Priporočljivo je, da se izvajanje in rezultati teh preiskav zabeležijo na opozorilni kartici za bolnika. Predpisovalce opozarjamo na tveganje za lažne negativne rezultate tuberkulinskih kožnih testov, zlasti pri bolnikih s hudo bolnimi ali imunsko ogroženimi boleznimi.</w:t>
      </w:r>
    </w:p>
    <w:p w14:paraId="06AF9F5C" w14:textId="77777777" w:rsidR="00E04C8A" w:rsidRDefault="00E04C8A">
      <w:pPr>
        <w:spacing w:before="13" w:line="240" w:lineRule="exact"/>
        <w:rPr>
          <w:rFonts w:ascii="Times New Roman" w:hAnsi="Times New Roman" w:cs="Times New Roman"/>
          <w:lang w:val="sl-SI"/>
        </w:rPr>
      </w:pPr>
    </w:p>
    <w:p w14:paraId="1A813D5A" w14:textId="77777777" w:rsidR="00E04C8A" w:rsidRDefault="008E1817">
      <w:pPr>
        <w:pStyle w:val="a3"/>
        <w:rPr>
          <w:lang w:val="sl-SI"/>
        </w:rPr>
      </w:pPr>
      <w:r>
        <w:rPr>
          <w:rFonts w:eastAsia="Times New Roman"/>
          <w:lang w:val="sl-SI"/>
        </w:rPr>
        <w:t>Če je diagnosticirana aktivna tuberkuloza, se zdravljenja z zdravilom Yuflyma ne sme začeti (glejte poglavje 4.3).</w:t>
      </w:r>
    </w:p>
    <w:p w14:paraId="6B1B709F" w14:textId="77777777" w:rsidR="00E04C8A" w:rsidRDefault="00E04C8A">
      <w:pPr>
        <w:pStyle w:val="a3"/>
        <w:rPr>
          <w:lang w:val="sl-SI"/>
        </w:rPr>
      </w:pPr>
    </w:p>
    <w:p w14:paraId="16BC762E" w14:textId="77777777" w:rsidR="00E04C8A" w:rsidRDefault="008E1817">
      <w:pPr>
        <w:pStyle w:val="a3"/>
        <w:rPr>
          <w:lang w:val="sl-SI"/>
        </w:rPr>
      </w:pPr>
      <w:r>
        <w:rPr>
          <w:rFonts w:eastAsia="Times New Roman"/>
          <w:lang w:val="sl-SI"/>
        </w:rPr>
        <w:t xml:space="preserve">V vseh spodaj opisanih primerih je treba zelo skrbno pretehtati razmerje med koristmi in tveganji </w:t>
      </w:r>
      <w:r>
        <w:rPr>
          <w:rFonts w:eastAsia="Times New Roman"/>
          <w:lang w:val="sl-SI"/>
        </w:rPr>
        <w:lastRenderedPageBreak/>
        <w:t xml:space="preserve">zdravljenja. </w:t>
      </w:r>
    </w:p>
    <w:p w14:paraId="570E8446" w14:textId="77777777" w:rsidR="00E04C8A" w:rsidRDefault="00E04C8A">
      <w:pPr>
        <w:pStyle w:val="a3"/>
        <w:rPr>
          <w:lang w:val="sl-SI"/>
        </w:rPr>
      </w:pPr>
    </w:p>
    <w:p w14:paraId="62F548CB" w14:textId="77777777" w:rsidR="00E04C8A" w:rsidRDefault="008E1817">
      <w:pPr>
        <w:pStyle w:val="a3"/>
        <w:rPr>
          <w:lang w:val="sl-SI"/>
        </w:rPr>
      </w:pPr>
      <w:r>
        <w:rPr>
          <w:rFonts w:eastAsia="Times New Roman"/>
          <w:lang w:val="sl-SI"/>
        </w:rPr>
        <w:t>V primeru suma na latentno tuberkulozo se morate posvetovati z zdravnikom, ki ima izkušnje z zdravljenjem tuberkuloze.</w:t>
      </w:r>
    </w:p>
    <w:p w14:paraId="76F68C01" w14:textId="77777777" w:rsidR="00E04C8A" w:rsidRDefault="00E04C8A">
      <w:pPr>
        <w:spacing w:before="11" w:line="240" w:lineRule="exact"/>
        <w:rPr>
          <w:rFonts w:ascii="Times New Roman" w:hAnsi="Times New Roman" w:cs="Times New Roman"/>
          <w:lang w:val="sl-SI"/>
        </w:rPr>
      </w:pPr>
    </w:p>
    <w:p w14:paraId="6B65F0A8" w14:textId="77777777" w:rsidR="00E04C8A" w:rsidRDefault="008E1817">
      <w:pPr>
        <w:pStyle w:val="a3"/>
        <w:rPr>
          <w:lang w:val="sl-SI"/>
        </w:rPr>
      </w:pPr>
      <w:r>
        <w:rPr>
          <w:rFonts w:eastAsia="Times New Roman"/>
          <w:lang w:val="sl-SI"/>
        </w:rPr>
        <w:t>Če je diagnosticirana latentna tuberkuloza, je treba pred uvedbo Yuflyma in v skladu z lokalnimi priporočili ustrezno zdravljenje začeti s protituberkuloznim profilaktičnim zdravljenjem.</w:t>
      </w:r>
    </w:p>
    <w:p w14:paraId="40CE4542" w14:textId="77777777" w:rsidR="00E04C8A" w:rsidRDefault="00E04C8A">
      <w:pPr>
        <w:spacing w:before="12" w:line="240" w:lineRule="exact"/>
        <w:rPr>
          <w:rFonts w:ascii="Times New Roman" w:hAnsi="Times New Roman" w:cs="Times New Roman"/>
          <w:lang w:val="sl-SI"/>
        </w:rPr>
      </w:pPr>
    </w:p>
    <w:p w14:paraId="4443C1EE" w14:textId="77777777" w:rsidR="00E04C8A" w:rsidRDefault="008E1817">
      <w:pPr>
        <w:pStyle w:val="a3"/>
        <w:rPr>
          <w:lang w:val="sl-SI"/>
        </w:rPr>
      </w:pPr>
      <w:r>
        <w:rPr>
          <w:rFonts w:eastAsia="Times New Roman"/>
          <w:lang w:val="sl-SI"/>
        </w:rPr>
        <w:t>O uporabi protituberkuloznega profilaktičnega zdravljenja morate pred uvedbo zdravila Yuflyma razmisliti tudi pri bolnikih s hudimi ali pomembnimi faktorji tveganja za tuberkulozo kljub negativnemu testu za tuberkulozo in pri bolnikih z anamnezo latentne ali aktivne tuberkuloze, pri katerih ni mogoče potrditi ustreznega zdravljenja.</w:t>
      </w:r>
    </w:p>
    <w:p w14:paraId="76738FD7" w14:textId="77777777" w:rsidR="00E04C8A" w:rsidRDefault="00E04C8A">
      <w:pPr>
        <w:spacing w:before="17" w:line="240" w:lineRule="exact"/>
        <w:rPr>
          <w:rFonts w:ascii="Times New Roman" w:hAnsi="Times New Roman" w:cs="Times New Roman"/>
          <w:lang w:val="sl-SI"/>
        </w:rPr>
      </w:pPr>
    </w:p>
    <w:p w14:paraId="4A6216C7" w14:textId="77777777" w:rsidR="00E04C8A" w:rsidRDefault="008E1817">
      <w:pPr>
        <w:pStyle w:val="a3"/>
        <w:rPr>
          <w:lang w:val="sl-SI"/>
        </w:rPr>
      </w:pPr>
      <w:r>
        <w:rPr>
          <w:rFonts w:eastAsia="Times New Roman"/>
          <w:lang w:val="sl-SI"/>
        </w:rPr>
        <w:t>Kljub profilaktičnemu zdravljenju tuberkuloze so se pri bolnikih, zdravljenih z adalimumabom, pojavili primeri reaktivirane tuberkuloze. Nekateri bolniki, ki so bili uspešno zdravljeni za aktivno tuberkulozo, so med zdravljenjem z adalimumabom razvili tuberkulozo.</w:t>
      </w:r>
    </w:p>
    <w:p w14:paraId="3010AAE2" w14:textId="77777777" w:rsidR="00E04C8A" w:rsidRDefault="00E04C8A">
      <w:pPr>
        <w:spacing w:before="11" w:line="240" w:lineRule="exact"/>
        <w:rPr>
          <w:rFonts w:ascii="Times New Roman" w:hAnsi="Times New Roman" w:cs="Times New Roman"/>
          <w:lang w:val="sl-SI"/>
        </w:rPr>
      </w:pPr>
    </w:p>
    <w:p w14:paraId="0A786ABC" w14:textId="77777777" w:rsidR="00E04C8A" w:rsidRDefault="008E1817">
      <w:pPr>
        <w:pStyle w:val="a3"/>
        <w:rPr>
          <w:lang w:val="sl-SI"/>
        </w:rPr>
      </w:pPr>
      <w:r>
        <w:rPr>
          <w:rFonts w:eastAsia="Times New Roman"/>
          <w:lang w:val="sl-SI"/>
        </w:rPr>
        <w:t>Bolnikom je treba naročiti, naj se obrnejo na zdravstveno službo, če se med zdravljenjem z zdravilom Yuflyma ali po njem pojavijo znaki/simptomi, ki kažejo na okužbo s tuberkulozo (npr. vztrajni kašelj, hiranje/hujšanje, malo povišana telesna temperatura, brezvoljnost).</w:t>
      </w:r>
    </w:p>
    <w:p w14:paraId="48A35E7A" w14:textId="77777777" w:rsidR="00E04C8A" w:rsidRDefault="00E04C8A">
      <w:pPr>
        <w:ind w:left="111"/>
        <w:rPr>
          <w:rFonts w:ascii="Times New Roman" w:hAnsi="Times New Roman" w:cs="Times New Roman"/>
          <w:lang w:val="sl-SI"/>
        </w:rPr>
      </w:pPr>
    </w:p>
    <w:p w14:paraId="3E6C404B" w14:textId="77777777" w:rsidR="00E04C8A" w:rsidRDefault="008E1817">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Druge oportunistične okužbe</w:t>
      </w:r>
    </w:p>
    <w:p w14:paraId="59EB4C25" w14:textId="77777777" w:rsidR="00E04C8A" w:rsidRDefault="00E04C8A">
      <w:pPr>
        <w:spacing w:before="13" w:line="240" w:lineRule="exact"/>
        <w:rPr>
          <w:rFonts w:ascii="Times New Roman" w:hAnsi="Times New Roman" w:cs="Times New Roman"/>
          <w:lang w:val="sl-SI"/>
        </w:rPr>
      </w:pPr>
    </w:p>
    <w:p w14:paraId="32D50B8C" w14:textId="2C6C2DF9" w:rsidR="00E04C8A" w:rsidRDefault="008E1817">
      <w:pPr>
        <w:pStyle w:val="a3"/>
        <w:rPr>
          <w:lang w:val="sl-SI"/>
        </w:rPr>
      </w:pPr>
      <w:r>
        <w:rPr>
          <w:rFonts w:eastAsia="Times New Roman"/>
          <w:lang w:val="sl-SI"/>
        </w:rPr>
        <w:t>Pri bolnikih, ki so prejemali adalimumab, so opazili oportunistične okužbe, vključno z invazivnimi glivičnimi okužbami. Okužbe niso bile dosledno prepoznane pri bolnikih, ki so jemali TNF-antagoniste, kar je povzročilo zakasnitev ustreznega zdravljenja, včasih pa tudi smrtni izid.</w:t>
      </w:r>
    </w:p>
    <w:p w14:paraId="3228C71D" w14:textId="77777777" w:rsidR="00E04C8A" w:rsidRDefault="00E04C8A">
      <w:pPr>
        <w:pStyle w:val="a3"/>
        <w:rPr>
          <w:lang w:val="sl-SI"/>
        </w:rPr>
      </w:pPr>
    </w:p>
    <w:p w14:paraId="616B616D" w14:textId="5A34E71F" w:rsidR="00E04C8A" w:rsidRDefault="008E1817">
      <w:pPr>
        <w:pStyle w:val="a3"/>
        <w:rPr>
          <w:lang w:val="sl-SI"/>
        </w:rPr>
      </w:pPr>
      <w:r>
        <w:rPr>
          <w:rFonts w:eastAsia="Times New Roman"/>
          <w:lang w:val="sl-SI"/>
        </w:rPr>
        <w:t>Pri bolnikih, pri katerih se pojavijo znaki in simptomi, kot so povišana telesna temperatura, slabo počutje, izguba telesne mase, potenje, kašelj, dispneja in/ali pljučni infiltrati ali drug</w:t>
      </w:r>
      <w:r w:rsidR="00DE7AE4">
        <w:rPr>
          <w:rFonts w:eastAsia="Times New Roman"/>
          <w:lang w:val="sl-SI"/>
        </w:rPr>
        <w:t>e</w:t>
      </w:r>
      <w:r>
        <w:rPr>
          <w:rFonts w:eastAsia="Times New Roman"/>
          <w:lang w:val="sl-SI"/>
        </w:rPr>
        <w:t xml:space="preserve"> resn</w:t>
      </w:r>
      <w:r w:rsidR="00DE7AE4">
        <w:rPr>
          <w:rFonts w:eastAsia="Times New Roman"/>
          <w:lang w:val="sl-SI"/>
        </w:rPr>
        <w:t>e</w:t>
      </w:r>
      <w:r>
        <w:rPr>
          <w:rFonts w:eastAsia="Times New Roman"/>
          <w:lang w:val="sl-SI"/>
        </w:rPr>
        <w:t xml:space="preserve"> sistemsk</w:t>
      </w:r>
      <w:r w:rsidR="00DE7AE4">
        <w:rPr>
          <w:rFonts w:eastAsia="Times New Roman"/>
          <w:lang w:val="sl-SI"/>
        </w:rPr>
        <w:t>e</w:t>
      </w:r>
      <w:r>
        <w:rPr>
          <w:rFonts w:eastAsia="Times New Roman"/>
          <w:lang w:val="sl-SI"/>
        </w:rPr>
        <w:t xml:space="preserve"> bolezn</w:t>
      </w:r>
      <w:r w:rsidR="00DE7AE4">
        <w:rPr>
          <w:rFonts w:eastAsia="Times New Roman"/>
          <w:lang w:val="sl-SI"/>
        </w:rPr>
        <w:t>i</w:t>
      </w:r>
      <w:r>
        <w:rPr>
          <w:rFonts w:eastAsia="Times New Roman"/>
          <w:lang w:val="sl-SI"/>
        </w:rPr>
        <w:t xml:space="preserve"> s sočasnim šokom ali brez njega, je treba sumiti na invazivno glivično okužbo in nemudoma prekiniti z dajanjem zdravila Yuflyma. Pri teh bolnikih je pri postavitvi diagnoze in izbiri empiričnega antimikotičnega zdravljena potreben posvet z zdravnikom, izkušenim v zdravljenju bolnikov z invazivnimi glivičnimi okužbami.</w:t>
      </w:r>
    </w:p>
    <w:p w14:paraId="6F856DC8" w14:textId="77777777" w:rsidR="00E04C8A" w:rsidRDefault="00E04C8A">
      <w:pPr>
        <w:spacing w:before="13" w:line="240" w:lineRule="exact"/>
        <w:rPr>
          <w:rFonts w:ascii="Times New Roman" w:hAnsi="Times New Roman" w:cs="Times New Roman"/>
          <w:lang w:val="sl-SI"/>
        </w:rPr>
      </w:pPr>
    </w:p>
    <w:p w14:paraId="6CD19407" w14:textId="77777777" w:rsidR="00E04C8A" w:rsidRDefault="008E1817">
      <w:pPr>
        <w:pStyle w:val="a3"/>
        <w:rPr>
          <w:u w:val="single"/>
          <w:lang w:val="sl-SI"/>
        </w:rPr>
      </w:pPr>
      <w:r>
        <w:rPr>
          <w:rFonts w:eastAsia="Times New Roman"/>
          <w:u w:val="single" w:color="000000"/>
          <w:lang w:val="sl-SI"/>
        </w:rPr>
        <w:t>Reaktivacija virusa hepatitisa B</w:t>
      </w:r>
    </w:p>
    <w:p w14:paraId="3F28D2D8" w14:textId="77777777" w:rsidR="00E04C8A" w:rsidRDefault="00E04C8A">
      <w:pPr>
        <w:spacing w:before="9" w:line="170" w:lineRule="exact"/>
        <w:rPr>
          <w:rFonts w:ascii="Times New Roman" w:hAnsi="Times New Roman" w:cs="Times New Roman"/>
          <w:lang w:val="sl-SI"/>
        </w:rPr>
      </w:pPr>
    </w:p>
    <w:p w14:paraId="1C2D7D84" w14:textId="77777777" w:rsidR="00E04C8A" w:rsidRDefault="008E1817">
      <w:pPr>
        <w:pStyle w:val="a3"/>
        <w:rPr>
          <w:lang w:val="sl-SI"/>
        </w:rPr>
      </w:pPr>
      <w:r>
        <w:rPr>
          <w:rFonts w:eastAsia="Times New Roman"/>
          <w:lang w:val="sl-SI"/>
        </w:rPr>
        <w:t>Reaktivacija hepatitisa B se je pojavila pri bolnikih, ki so prejemali antagonist TNF, vključno z adalimumabom, ki so kronični prenašalci tega virusa (tj. pozitivni na površinski antigen). V nekaterih primerih je prišlo do smrtnega izida. Bolnike je treba pred začetkom zdravljenja z zdravilom Yuflyma testirati na okužbo s HBV. Pri bolnikih, ki imajo pozitiven test okužbe z virusom hepatitisa B, se je priporočljivo posvetovati z zdravnikom, ki ima izkušnje z zdravljenjem hepatitisa B.</w:t>
      </w:r>
    </w:p>
    <w:p w14:paraId="1834EAA7" w14:textId="77777777" w:rsidR="00E04C8A" w:rsidRDefault="00E04C8A">
      <w:pPr>
        <w:spacing w:before="13" w:line="240" w:lineRule="exact"/>
        <w:rPr>
          <w:rFonts w:ascii="Times New Roman" w:hAnsi="Times New Roman" w:cs="Times New Roman"/>
          <w:lang w:val="sl-SI"/>
        </w:rPr>
      </w:pPr>
    </w:p>
    <w:p w14:paraId="411AB6E6" w14:textId="77777777" w:rsidR="00E04C8A" w:rsidRDefault="008E1817">
      <w:pPr>
        <w:pStyle w:val="a3"/>
        <w:rPr>
          <w:lang w:val="sl-SI"/>
        </w:rPr>
      </w:pPr>
      <w:r>
        <w:rPr>
          <w:rFonts w:eastAsia="Times New Roman"/>
          <w:lang w:val="sl-SI"/>
        </w:rPr>
        <w:t>Pri prenašalcih HBV, ki jih je treba zdraviti z zdravilom Yuflyma, je treba ves čas zdravljenja in več mesecev po koncu zdravljenja skrbno spremljati znake in simptome aktivne okužbe s HBV. Zadostni podatki o zdravljenju bolnikov, ki so prenašalcih HBV s protivirusnim zdravljenjem v povezavi z zdravljenjem s TNF-antagonisti, za preprečevanje reaktivacije HBV niso na voljo. Pri bolnikih, pri katerih se razvije reaktivacija HBV, je treba zdravljenje z zdravilom Yuflyma prekiniti in začeti učinkovito protivirusno zdravljenje z ustreznim podpornim zdravljenjem.</w:t>
      </w:r>
    </w:p>
    <w:p w14:paraId="38E7722B" w14:textId="77777777" w:rsidR="00E04C8A" w:rsidRDefault="00E04C8A">
      <w:pPr>
        <w:spacing w:before="13" w:line="240" w:lineRule="exact"/>
        <w:rPr>
          <w:rFonts w:ascii="Times New Roman" w:hAnsi="Times New Roman" w:cs="Times New Roman"/>
          <w:lang w:val="sl-SI"/>
        </w:rPr>
      </w:pPr>
    </w:p>
    <w:p w14:paraId="2213A295" w14:textId="77777777" w:rsidR="00E04C8A" w:rsidRDefault="008E1817">
      <w:pPr>
        <w:pStyle w:val="a3"/>
        <w:rPr>
          <w:u w:val="single"/>
          <w:lang w:val="sl-SI"/>
        </w:rPr>
      </w:pPr>
      <w:r>
        <w:rPr>
          <w:rFonts w:eastAsia="Times New Roman"/>
          <w:u w:val="single" w:color="000000"/>
          <w:lang w:val="sl-SI"/>
        </w:rPr>
        <w:t>Nevrološki dogodki</w:t>
      </w:r>
    </w:p>
    <w:p w14:paraId="6650E221" w14:textId="77777777" w:rsidR="00E04C8A" w:rsidRDefault="00E04C8A">
      <w:pPr>
        <w:spacing w:before="1" w:line="180" w:lineRule="exact"/>
        <w:rPr>
          <w:rFonts w:ascii="Times New Roman" w:hAnsi="Times New Roman" w:cs="Times New Roman"/>
          <w:lang w:val="sl-SI"/>
        </w:rPr>
      </w:pPr>
    </w:p>
    <w:p w14:paraId="47FFE813" w14:textId="77777777" w:rsidR="00E04C8A" w:rsidRDefault="008E1817">
      <w:pPr>
        <w:pStyle w:val="a3"/>
        <w:rPr>
          <w:lang w:val="sl-SI"/>
        </w:rPr>
      </w:pPr>
      <w:r>
        <w:rPr>
          <w:rFonts w:eastAsia="Times New Roman"/>
          <w:lang w:val="sl-SI"/>
        </w:rPr>
        <w:t xml:space="preserve">V redkih primerih so TNF-antagoniste, vključno z adalimumabom, povezovali z novonastalimi ali poslabšanjem kliničnih simptomov in/ali radiografskih znakov demielinizirajoče bolezni centralnega živčnega sistema, vključno z multiplo sklerozo, optičnim nevritisom in periferno demielinizirajočo boleznijo, vključno z Guillain-Barréjevim sindromom. Zdravniki, ki zdravilo predpisujejo, morajo biti </w:t>
      </w:r>
      <w:r>
        <w:rPr>
          <w:rFonts w:eastAsia="Times New Roman"/>
          <w:lang w:val="sl-SI"/>
        </w:rPr>
        <w:lastRenderedPageBreak/>
        <w:t>previdni pri odločitvi o uporabi zdravila Yuflyma pri bolnikih z obstoječimi ali nedavno nastalimi demielinizirajočimi motnjami osrednjega ali perifernega živčevja; če se razvije katera koli od teh bolezni, je treba razmisliti o prekinitvi zdravljenja z zdravilom Yuflyma. Znana je zveza med intermediarnim uveitisom in demielinizirajočimi boleznimi osrednjega živčevja. Pri bolnikih z neinfekcijskim intermediarnim uveitisom je treba pred začetkom zdravljenja z zdravilom Yuflyma in redno med zdravljenjem opravljati nevrološko oceno, da se oceni že obstoječe ali razvijajoče se demielinizirajoče bolezni osrednjega živčevja.</w:t>
      </w:r>
    </w:p>
    <w:p w14:paraId="3F7703CF" w14:textId="77777777" w:rsidR="00E04C8A" w:rsidRDefault="00E04C8A">
      <w:pPr>
        <w:spacing w:before="13" w:line="240" w:lineRule="exact"/>
        <w:rPr>
          <w:rFonts w:ascii="Times New Roman" w:hAnsi="Times New Roman" w:cs="Times New Roman"/>
          <w:lang w:val="sl-SI"/>
        </w:rPr>
      </w:pPr>
    </w:p>
    <w:p w14:paraId="53D9ED0C" w14:textId="77777777" w:rsidR="00E04C8A" w:rsidRDefault="008E1817">
      <w:pPr>
        <w:pStyle w:val="a3"/>
        <w:rPr>
          <w:u w:val="single"/>
          <w:lang w:val="sl-SI"/>
        </w:rPr>
      </w:pPr>
      <w:r>
        <w:rPr>
          <w:rFonts w:eastAsia="Times New Roman"/>
          <w:u w:val="single" w:color="000000"/>
          <w:lang w:val="sl-SI"/>
        </w:rPr>
        <w:t>Alergijske reakcije</w:t>
      </w:r>
    </w:p>
    <w:p w14:paraId="6A67BED2" w14:textId="77777777" w:rsidR="00E04C8A" w:rsidRDefault="00E04C8A">
      <w:pPr>
        <w:spacing w:before="9" w:line="170" w:lineRule="exact"/>
        <w:rPr>
          <w:rFonts w:ascii="Times New Roman" w:hAnsi="Times New Roman" w:cs="Times New Roman"/>
          <w:lang w:val="sl-SI"/>
        </w:rPr>
      </w:pPr>
    </w:p>
    <w:p w14:paraId="291079D9" w14:textId="77777777" w:rsidR="00E04C8A" w:rsidRDefault="008E1817">
      <w:pPr>
        <w:pStyle w:val="a3"/>
        <w:rPr>
          <w:lang w:val="sl-SI"/>
        </w:rPr>
      </w:pPr>
      <w:r>
        <w:rPr>
          <w:rFonts w:eastAsia="Times New Roman"/>
          <w:lang w:val="sl-SI"/>
        </w:rPr>
        <w:t>Med kliničnimi preskušanji so bile hude alergijske reakcije, povezane z adalimumabom, redke. Z adalimumabom povezane alergijske reakcije, ki niso bile resne, so se v kliničnih študijah pojavljale občasno. Po uporabi adalimumaba so poročali o resnih alergijskih reakcijah, vključno z anafilaksijo. Če se pojavi anafilaktična reakcija ali kakšna druga resna alergijska reakcija, je treba uporabo zdravila Yuflyma nemudoma prekiniti in uvesti ustrezno zdravljenje.</w:t>
      </w:r>
    </w:p>
    <w:p w14:paraId="781F4176" w14:textId="77777777" w:rsidR="00E04C8A" w:rsidRDefault="00E04C8A">
      <w:pPr>
        <w:spacing w:before="13" w:line="240" w:lineRule="exact"/>
        <w:rPr>
          <w:rFonts w:ascii="Times New Roman" w:hAnsi="Times New Roman" w:cs="Times New Roman"/>
          <w:lang w:val="sl-SI"/>
        </w:rPr>
      </w:pPr>
    </w:p>
    <w:p w14:paraId="621F3E95" w14:textId="77777777" w:rsidR="00E04C8A" w:rsidRDefault="008E1817">
      <w:pPr>
        <w:pStyle w:val="a3"/>
        <w:rPr>
          <w:u w:val="single"/>
          <w:lang w:val="sl-SI"/>
        </w:rPr>
      </w:pPr>
      <w:r>
        <w:rPr>
          <w:rFonts w:eastAsia="Times New Roman"/>
          <w:u w:val="single" w:color="000000"/>
          <w:lang w:val="sl-SI"/>
        </w:rPr>
        <w:t>Imunosupresija</w:t>
      </w:r>
    </w:p>
    <w:p w14:paraId="63B0B790" w14:textId="77777777" w:rsidR="00E04C8A" w:rsidRDefault="00E04C8A">
      <w:pPr>
        <w:spacing w:before="1" w:line="180" w:lineRule="exact"/>
        <w:rPr>
          <w:rFonts w:ascii="Times New Roman" w:hAnsi="Times New Roman" w:cs="Times New Roman"/>
          <w:lang w:val="sl-SI"/>
        </w:rPr>
      </w:pPr>
    </w:p>
    <w:p w14:paraId="0D7EFC90" w14:textId="77777777" w:rsidR="00E04C8A" w:rsidRDefault="008E1817">
      <w:pPr>
        <w:pStyle w:val="a3"/>
        <w:rPr>
          <w:lang w:val="sl-SI"/>
        </w:rPr>
      </w:pPr>
      <w:r>
        <w:rPr>
          <w:rFonts w:eastAsia="Times New Roman"/>
          <w:lang w:val="sl-SI"/>
        </w:rPr>
        <w:t>V študiji s 64 bolniki z revmatoidnim artritisom, zdravljenih z adalimumabom, ni bilo dokazov o depresiji preobčutljivosti zapoznelega tipa, depresiji ravni imunoglobulina ali spremembi števila efektorskih celic T in B, naravnih celic ubijalk, monocitov/makrofagov in nevtrofilcev.</w:t>
      </w:r>
    </w:p>
    <w:p w14:paraId="5BABCD58" w14:textId="77777777" w:rsidR="00E04C8A" w:rsidRDefault="00E04C8A">
      <w:pPr>
        <w:spacing w:before="11" w:line="240" w:lineRule="exact"/>
        <w:rPr>
          <w:rFonts w:ascii="Times New Roman" w:hAnsi="Times New Roman" w:cs="Times New Roman"/>
          <w:lang w:val="sl-SI"/>
        </w:rPr>
      </w:pPr>
    </w:p>
    <w:p w14:paraId="68F1892D" w14:textId="77777777" w:rsidR="00E04C8A" w:rsidRDefault="008E1817">
      <w:pPr>
        <w:pStyle w:val="a3"/>
        <w:rPr>
          <w:u w:val="single"/>
          <w:lang w:val="sl-SI"/>
        </w:rPr>
      </w:pPr>
      <w:r>
        <w:rPr>
          <w:rFonts w:eastAsia="Times New Roman"/>
          <w:u w:val="single" w:color="000000"/>
          <w:lang w:val="sl-SI"/>
        </w:rPr>
        <w:t>Malignomi in limfoproliferativne bolezni</w:t>
      </w:r>
    </w:p>
    <w:p w14:paraId="152865E2" w14:textId="77777777" w:rsidR="00E04C8A" w:rsidRDefault="00E04C8A">
      <w:pPr>
        <w:spacing w:before="1" w:line="180" w:lineRule="exact"/>
        <w:rPr>
          <w:rFonts w:ascii="Times New Roman" w:hAnsi="Times New Roman" w:cs="Times New Roman"/>
          <w:lang w:val="sl-SI"/>
        </w:rPr>
      </w:pPr>
    </w:p>
    <w:p w14:paraId="49D93D1B" w14:textId="77777777" w:rsidR="00E04C8A" w:rsidRDefault="008E1817">
      <w:pPr>
        <w:pStyle w:val="a3"/>
        <w:rPr>
          <w:lang w:val="sl-SI"/>
        </w:rPr>
      </w:pPr>
      <w:r w:rsidRPr="0047220F">
        <w:rPr>
          <w:rFonts w:eastAsia="Times New Roman"/>
          <w:lang w:val="sl-SI"/>
        </w:rPr>
        <w:t>V nadzorovanih delih kliničnih preskušanj z antagonisti TNF so med bolniki, ki so prejemali TNF, opazili več primerov malignomov, vključno z limfomom, kot med bolniki, ki so prejemali TNF-antagonist.</w:t>
      </w:r>
      <w:r>
        <w:rPr>
          <w:rFonts w:eastAsia="Times New Roman"/>
          <w:lang w:val="sl-SI"/>
        </w:rPr>
        <w:t xml:space="preserve"> Vendar je bilo pojavljanje redko. V obdobju trženja zdravila so pri bolnikih, zdravljenih z antagonistom TNF, poročali o primerih levkemije. Pri bolnikih z revmatoidnim artritisom z dolgotrajno, zelo aktivno vnetno boleznijo, ki oteži oceno tveganja, obstaja povečano osnovno tveganje za limfom in levkemijo. S trenutnim znanjem možnega tveganja za razvoj limfomov, levkemije in drugih malignomov pri bolnikih, zdravljenih z antagonistom TNF, ni mogoče izključiti.</w:t>
      </w:r>
    </w:p>
    <w:p w14:paraId="2E0A22E1" w14:textId="77777777" w:rsidR="00E04C8A" w:rsidRDefault="00E04C8A">
      <w:pPr>
        <w:spacing w:before="13" w:line="240" w:lineRule="exact"/>
        <w:rPr>
          <w:rFonts w:ascii="Times New Roman" w:hAnsi="Times New Roman" w:cs="Times New Roman"/>
          <w:lang w:val="sl-SI"/>
        </w:rPr>
      </w:pPr>
    </w:p>
    <w:p w14:paraId="55E8E50F" w14:textId="77777777" w:rsidR="00E04C8A" w:rsidRDefault="008E1817">
      <w:pPr>
        <w:pStyle w:val="a3"/>
        <w:rPr>
          <w:lang w:val="sl-SI"/>
        </w:rPr>
      </w:pPr>
      <w:r>
        <w:rPr>
          <w:rFonts w:eastAsia="Times New Roman"/>
          <w:lang w:val="sl-SI"/>
        </w:rPr>
        <w:t>Med obdobjem trženja so bili opisani malignomi (nekateri s smrtnim izidom) pri otrocih, mladostnikih in mladih odraslih (starih do 22 let), ki so dobivali antagoniste TNF, vključno z adalimumabom (začetek zdravljenja v starosti ≤ 18 let). Približno polovica primerov je bila limfomov. Drugi primeri so obsegali številne različne malignome, med njimi redke malignome, ki so po navadi povezani z imunosupresijo. Pri otrocih in mladostnikih, zdravljenih z antagonisti TNF, ni mogoče izključiti tveganja nastanka malignomov.</w:t>
      </w:r>
    </w:p>
    <w:p w14:paraId="62A849B0" w14:textId="77777777" w:rsidR="00E04C8A" w:rsidRDefault="00E04C8A">
      <w:pPr>
        <w:spacing w:before="11" w:line="240" w:lineRule="exact"/>
        <w:rPr>
          <w:rFonts w:ascii="Times New Roman" w:hAnsi="Times New Roman" w:cs="Times New Roman"/>
          <w:lang w:val="sl-SI"/>
        </w:rPr>
      </w:pPr>
    </w:p>
    <w:p w14:paraId="6D1FCB96" w14:textId="3A9379FC" w:rsidR="00E04C8A" w:rsidRDefault="008E1817">
      <w:pPr>
        <w:pStyle w:val="a3"/>
        <w:rPr>
          <w:lang w:val="sl-SI"/>
        </w:rPr>
      </w:pPr>
      <w:r>
        <w:rPr>
          <w:rFonts w:eastAsia="Times New Roman"/>
          <w:lang w:val="sl-SI"/>
        </w:rPr>
        <w:t xml:space="preserve">Pri bolnikih, ki so se zdravili z adalimumabom, so odkrili redke primere hepatospleničnega limfoma celic T. Ta redka vrsta limfoma celic T ima zelo agresivni potek bolezni in je običajno smrtna. Pri uporabi adalimumaba so se nekateri od hepatospleničnih limfomov celic T pojavili pri mladih odraslih bolnikih, ki so se sočasno zdravili z azatioprinom ali 6-merkaptopurinom, ki se uporabljata pri vnetni bolezni črevesa. Pozorno je treba pretehtati morebitno tveganje pri uporabi kombinacije azatioprina ali 6-merkaptopurina in zdravila Yuflyma. Tveganja za razvoj hepatospleničnega limfoma celic T pri bolnikih, ki dobivajo zdravilo </w:t>
      </w:r>
      <w:r w:rsidR="007F6B22">
        <w:rPr>
          <w:rFonts w:eastAsia="Times New Roman"/>
          <w:lang w:val="sl-SI"/>
        </w:rPr>
        <w:t>Yuflyma</w:t>
      </w:r>
      <w:r>
        <w:rPr>
          <w:rFonts w:eastAsia="Times New Roman"/>
          <w:lang w:val="sl-SI"/>
        </w:rPr>
        <w:t>, ni mogoče izključiti (glejte poglavje 4.8).</w:t>
      </w:r>
    </w:p>
    <w:p w14:paraId="77D233D9" w14:textId="77777777" w:rsidR="00E04C8A" w:rsidRDefault="00E04C8A">
      <w:pPr>
        <w:spacing w:before="11" w:line="240" w:lineRule="exact"/>
        <w:rPr>
          <w:rFonts w:ascii="Times New Roman" w:hAnsi="Times New Roman" w:cs="Times New Roman"/>
          <w:lang w:val="sl-SI"/>
        </w:rPr>
      </w:pPr>
    </w:p>
    <w:p w14:paraId="561BFD7F" w14:textId="77777777" w:rsidR="00E04C8A" w:rsidRDefault="008E1817">
      <w:pPr>
        <w:pStyle w:val="a3"/>
        <w:rPr>
          <w:lang w:val="sl-SI"/>
        </w:rPr>
      </w:pPr>
      <w:r>
        <w:rPr>
          <w:rFonts w:eastAsia="Times New Roman"/>
          <w:lang w:val="sl-SI"/>
        </w:rPr>
        <w:t>Študij, ki bi vključevale bolnike z anamnezo malignoma ali bolnike, pri katerih se je zdravljenje z adalimumabom nadaljevalo po pojavu malignoma, niso izvedli. Zato je potrebna dodatna previdnost, kadar razmišljamo o zdravljenju z zdravilom Yuflyma pri teh bolnikih (glejte poglavje 4.8).</w:t>
      </w:r>
    </w:p>
    <w:p w14:paraId="0AD8E01C" w14:textId="77777777" w:rsidR="00E04C8A" w:rsidRDefault="00E04C8A">
      <w:pPr>
        <w:spacing w:before="13" w:line="240" w:lineRule="exact"/>
        <w:rPr>
          <w:rFonts w:ascii="Times New Roman" w:hAnsi="Times New Roman" w:cs="Times New Roman"/>
          <w:lang w:val="sl-SI"/>
        </w:rPr>
      </w:pPr>
    </w:p>
    <w:p w14:paraId="3D1A4606" w14:textId="77777777" w:rsidR="00E04C8A" w:rsidRDefault="008E1817">
      <w:pPr>
        <w:pStyle w:val="a3"/>
        <w:rPr>
          <w:lang w:val="sl-SI"/>
        </w:rPr>
      </w:pPr>
      <w:r>
        <w:rPr>
          <w:rFonts w:eastAsia="Times New Roman"/>
          <w:lang w:val="sl-SI"/>
        </w:rPr>
        <w:t>Pred zdravljenjem z zdravilom Yuflyma in med zdravljenjem z njim je treba za nemelanomskega kožnega raka pregledati vse bolnike, še zlasti pa bolnike z anamnezo intenzivne imunosupresivne terapije in bolnike s psoriazo, ki so kdaj prejemali PUVA. Poročali so tudi o melanomu in karcinomu Merklovih celic pri bolnikih, zdravljenih z antagonisti TNF, vključno z adalimumabom (glejte poglavje 4.8).</w:t>
      </w:r>
    </w:p>
    <w:p w14:paraId="33FD2255" w14:textId="77777777" w:rsidR="00E04C8A" w:rsidRDefault="00E04C8A">
      <w:pPr>
        <w:spacing w:before="13" w:line="240" w:lineRule="exact"/>
        <w:rPr>
          <w:rFonts w:ascii="Times New Roman" w:hAnsi="Times New Roman" w:cs="Times New Roman"/>
          <w:lang w:val="sl-SI"/>
        </w:rPr>
      </w:pPr>
    </w:p>
    <w:p w14:paraId="111ADBAB" w14:textId="77777777" w:rsidR="00E04C8A" w:rsidRDefault="008E1817">
      <w:pPr>
        <w:pStyle w:val="a3"/>
        <w:rPr>
          <w:lang w:val="sl-SI"/>
        </w:rPr>
      </w:pPr>
      <w:r>
        <w:rPr>
          <w:rFonts w:eastAsia="Times New Roman"/>
          <w:lang w:val="sl-SI"/>
        </w:rPr>
        <w:t xml:space="preserve">V eksploracijskem kliničnem preskušanju infliksimaba, antagonista TNF, pri bolnikih z zmerno do hudo </w:t>
      </w:r>
      <w:r>
        <w:rPr>
          <w:rFonts w:eastAsia="Times New Roman"/>
          <w:lang w:val="sl-SI"/>
        </w:rPr>
        <w:lastRenderedPageBreak/>
        <w:t>kronično obstruktivno pljučno boleznijo (KOPB), so med prejemniki infliksimaba zabeležili več malignomov, večinoma pljuč ali glave in vratu, kot med primerjalnimi bolniki. Vsi bolniki so imeli anamnezo hudega kajenja. Zato je treba pri bolnikih s KOPB in bolnikih, ki jih zaradi hudega kajenja bolj ogroža malignom, vsak antagonist TNF uporabljati previdno.</w:t>
      </w:r>
    </w:p>
    <w:p w14:paraId="4E69D8DB" w14:textId="77777777" w:rsidR="00E04C8A" w:rsidRDefault="00E04C8A">
      <w:pPr>
        <w:spacing w:before="11" w:line="240" w:lineRule="exact"/>
        <w:rPr>
          <w:rFonts w:ascii="Times New Roman" w:hAnsi="Times New Roman" w:cs="Times New Roman"/>
          <w:lang w:val="sl-SI"/>
        </w:rPr>
      </w:pPr>
    </w:p>
    <w:p w14:paraId="4DB12A11" w14:textId="77777777" w:rsidR="00E04C8A" w:rsidRDefault="008E1817">
      <w:pPr>
        <w:pStyle w:val="a3"/>
        <w:rPr>
          <w:lang w:val="sl-SI"/>
        </w:rPr>
      </w:pPr>
      <w:r>
        <w:rPr>
          <w:rFonts w:eastAsia="Times New Roman"/>
          <w:lang w:val="sl-SI"/>
        </w:rPr>
        <w:t>Glede na trenutne podatke ni znano, ali zdravljenje z adalimumabom vpliva na tveganje za nastanek displazije ali raka kolona. Vse bolnike z ulceroznim kolitisom, ki imajo večje tveganje za displazijo ali karcinom kolona (npr. bolnike z dolgotrajnim ulceroznim kolitisom ali primarnim sklerozirajočim holangitisom), ali imajo anamnezo displazije ali karcinoma kolona, je treba pred zdravljenjem in redno med potekom bolezni presejalno pregledovati glede displazije. Takšna ocena mora vključevati kolonoskopijo in biopsije v skladu z lokalnimi priporočili.</w:t>
      </w:r>
    </w:p>
    <w:p w14:paraId="20A7A638" w14:textId="77777777" w:rsidR="00E04C8A" w:rsidRDefault="00E04C8A">
      <w:pPr>
        <w:spacing w:before="13" w:line="240" w:lineRule="exact"/>
        <w:rPr>
          <w:rFonts w:ascii="Times New Roman" w:hAnsi="Times New Roman" w:cs="Times New Roman"/>
          <w:lang w:val="sl-SI"/>
        </w:rPr>
      </w:pPr>
    </w:p>
    <w:p w14:paraId="5AA0763A" w14:textId="77777777" w:rsidR="00E04C8A" w:rsidRDefault="008E1817">
      <w:pPr>
        <w:pStyle w:val="a3"/>
        <w:rPr>
          <w:u w:val="single"/>
          <w:lang w:val="sl-SI"/>
        </w:rPr>
      </w:pPr>
      <w:r>
        <w:rPr>
          <w:rFonts w:eastAsia="Times New Roman"/>
          <w:u w:val="single" w:color="000000"/>
          <w:lang w:val="sl-SI"/>
        </w:rPr>
        <w:t>Hematološke reakcije</w:t>
      </w:r>
    </w:p>
    <w:p w14:paraId="58E47EA3" w14:textId="77777777" w:rsidR="00E04C8A" w:rsidRDefault="00E04C8A">
      <w:pPr>
        <w:spacing w:before="1" w:line="180" w:lineRule="exact"/>
        <w:rPr>
          <w:rFonts w:ascii="Times New Roman" w:hAnsi="Times New Roman" w:cs="Times New Roman"/>
          <w:lang w:val="sl-SI"/>
        </w:rPr>
      </w:pPr>
    </w:p>
    <w:p w14:paraId="50DB1ED0" w14:textId="77777777" w:rsidR="00E04C8A" w:rsidRDefault="008E1817">
      <w:pPr>
        <w:pStyle w:val="a3"/>
        <w:rPr>
          <w:lang w:val="sl-SI"/>
        </w:rPr>
      </w:pPr>
      <w:r>
        <w:rPr>
          <w:rFonts w:eastAsia="Times New Roman"/>
          <w:lang w:val="sl-SI"/>
        </w:rPr>
        <w:t>Pri uporabi antagonistov TNF je bila v redkih primerih opisana pancitopenija, vključno z aplastično anemijo. Med uporabo adalimumaba so poročali o neželenih učinkih na hematološki sistem, vključno z medicinsko pomembno citopenijo (npr. trombocitopenijo, levkopenijo). Vsem bolnikom je treba svetovati, da med uporabo zdravila Yuflyma nemudoma poiščejo zdravniško pomoč, če se pojavijo znaki in simptomi, ki kažejo na krvno diskrazijo (npr. trajno zvišana telesna temperatura, podplutbe, krvavitve, bledica). Pri bolnikih s potrjenimi pomembnimi hematološkimi nepravilnostmi je treba razmisliti o prekinitvi terapije z zdravilom Yuflyma.</w:t>
      </w:r>
    </w:p>
    <w:p w14:paraId="0139E51D" w14:textId="77777777" w:rsidR="00E04C8A" w:rsidRDefault="00E04C8A">
      <w:pPr>
        <w:pStyle w:val="a3"/>
        <w:rPr>
          <w:lang w:val="sl-SI"/>
        </w:rPr>
      </w:pPr>
    </w:p>
    <w:p w14:paraId="25172AF5" w14:textId="77777777" w:rsidR="00E04C8A" w:rsidRDefault="008E1817">
      <w:pPr>
        <w:pStyle w:val="a3"/>
        <w:rPr>
          <w:u w:val="single"/>
          <w:lang w:val="sl-SI"/>
        </w:rPr>
      </w:pPr>
      <w:r>
        <w:rPr>
          <w:rFonts w:eastAsia="Times New Roman"/>
          <w:u w:val="single" w:color="000000"/>
          <w:lang w:val="sl-SI"/>
        </w:rPr>
        <w:t>Cepljenja</w:t>
      </w:r>
    </w:p>
    <w:p w14:paraId="04D7ACEF" w14:textId="77777777" w:rsidR="00E04C8A" w:rsidRDefault="00E04C8A">
      <w:pPr>
        <w:spacing w:before="1" w:line="180" w:lineRule="exact"/>
        <w:rPr>
          <w:rFonts w:ascii="Times New Roman" w:hAnsi="Times New Roman" w:cs="Times New Roman"/>
          <w:lang w:val="sl-SI"/>
        </w:rPr>
      </w:pPr>
    </w:p>
    <w:p w14:paraId="61120714" w14:textId="77777777" w:rsidR="00E04C8A" w:rsidRDefault="008E1817">
      <w:pPr>
        <w:pStyle w:val="a3"/>
        <w:rPr>
          <w:lang w:val="sl-SI"/>
        </w:rPr>
      </w:pPr>
      <w:r>
        <w:rPr>
          <w:rFonts w:eastAsia="Times New Roman"/>
          <w:lang w:val="sl-SI"/>
        </w:rPr>
        <w:t>V študiji 226 odraslih preiskovancev z revmatoidnim artritisom, ki so prejemali adalimumab ali placebo, so ugotovili podobne odzive protiteles na standardno 23-valentno pnevmokokno cepivo in trivalentno virusno cepivo proti influenci. Podatkov o sekundarnem prenosu okužbe z živimi cepivi pri bolnikih, zdravljenih z adalimumabom, ni.</w:t>
      </w:r>
    </w:p>
    <w:p w14:paraId="0BA67FF2" w14:textId="77777777" w:rsidR="00E04C8A" w:rsidRDefault="00E04C8A">
      <w:pPr>
        <w:spacing w:before="17" w:line="240" w:lineRule="exact"/>
        <w:rPr>
          <w:rFonts w:ascii="Times New Roman" w:hAnsi="Times New Roman" w:cs="Times New Roman"/>
          <w:lang w:val="sl-SI"/>
        </w:rPr>
      </w:pPr>
    </w:p>
    <w:p w14:paraId="0D87117A" w14:textId="77777777" w:rsidR="00E04C8A" w:rsidRDefault="008E1817">
      <w:pPr>
        <w:pStyle w:val="a3"/>
        <w:rPr>
          <w:lang w:val="sl-SI"/>
        </w:rPr>
      </w:pPr>
      <w:r>
        <w:rPr>
          <w:rFonts w:eastAsia="Times New Roman"/>
          <w:spacing w:val="-4"/>
          <w:lang w:val="sl-SI"/>
        </w:rPr>
        <w:t>Za pediatrične bolnike je priporočljivo, da pred začetkom zdravljenja z zdravilom Yuflyma opravijo vsa cepljenja v skladu z veljavnimi smernicami za cepljenje, če je le mogoče.</w:t>
      </w:r>
    </w:p>
    <w:p w14:paraId="11B62F65" w14:textId="77777777" w:rsidR="00E04C8A" w:rsidRDefault="00E04C8A">
      <w:pPr>
        <w:spacing w:before="11" w:line="240" w:lineRule="exact"/>
        <w:rPr>
          <w:rFonts w:ascii="Times New Roman" w:hAnsi="Times New Roman" w:cs="Times New Roman"/>
          <w:lang w:val="sl-SI"/>
        </w:rPr>
      </w:pPr>
    </w:p>
    <w:p w14:paraId="1544E067" w14:textId="77777777" w:rsidR="00E04C8A" w:rsidRDefault="008E1817">
      <w:pPr>
        <w:pStyle w:val="a3"/>
        <w:rPr>
          <w:lang w:val="sl-SI"/>
        </w:rPr>
      </w:pPr>
      <w:r>
        <w:rPr>
          <w:rFonts w:eastAsia="Times New Roman"/>
          <w:lang w:val="sl-SI"/>
        </w:rPr>
        <w:t>Bolniki, ki prejemajo zdravilo Yuflyma, lahko prejmejo sočasna cepljenja, razen živih cepiv. Uporaba živih cepiv (npr. BCG cepiva) pri dojenčkih, ki so bili izpostavljeni adalimumabu in utero, ni priporočljiva še 5 mesecev po materini zadnji injekciji adalimumaba med nosečnostjo.</w:t>
      </w:r>
    </w:p>
    <w:p w14:paraId="0E61976D" w14:textId="1427C61B" w:rsidR="00E04C8A" w:rsidRDefault="00E04C8A">
      <w:pPr>
        <w:spacing w:before="13" w:line="240" w:lineRule="exact"/>
        <w:rPr>
          <w:rFonts w:ascii="Times New Roman" w:hAnsi="Times New Roman" w:cs="Times New Roman"/>
          <w:lang w:val="sl-SI"/>
        </w:rPr>
      </w:pPr>
    </w:p>
    <w:p w14:paraId="54E7AF3B" w14:textId="77777777" w:rsidR="00A16C44" w:rsidRDefault="00A16C44">
      <w:pPr>
        <w:spacing w:before="13" w:line="240" w:lineRule="exact"/>
        <w:rPr>
          <w:rFonts w:ascii="Times New Roman" w:hAnsi="Times New Roman" w:cs="Times New Roman"/>
          <w:lang w:val="sl-SI"/>
        </w:rPr>
      </w:pPr>
    </w:p>
    <w:p w14:paraId="50FAF96D" w14:textId="77777777" w:rsidR="00E04C8A" w:rsidRDefault="008E1817">
      <w:pPr>
        <w:pStyle w:val="a3"/>
        <w:rPr>
          <w:u w:val="single"/>
          <w:lang w:val="sl-SI"/>
        </w:rPr>
      </w:pPr>
      <w:r>
        <w:rPr>
          <w:rFonts w:eastAsia="Times New Roman"/>
          <w:u w:val="single" w:color="000000"/>
          <w:lang w:val="sl-SI"/>
        </w:rPr>
        <w:t>Kongestivno srčno popuščanje</w:t>
      </w:r>
    </w:p>
    <w:p w14:paraId="473FB9B7" w14:textId="77777777" w:rsidR="00E04C8A" w:rsidRDefault="00E04C8A">
      <w:pPr>
        <w:spacing w:before="1" w:line="180" w:lineRule="exact"/>
        <w:rPr>
          <w:rFonts w:ascii="Times New Roman" w:hAnsi="Times New Roman" w:cs="Times New Roman"/>
          <w:lang w:val="sl-SI"/>
        </w:rPr>
      </w:pPr>
    </w:p>
    <w:p w14:paraId="72C489A1" w14:textId="77777777" w:rsidR="00E04C8A" w:rsidRDefault="008E1817">
      <w:pPr>
        <w:pStyle w:val="a3"/>
        <w:rPr>
          <w:lang w:val="sl-SI"/>
        </w:rPr>
      </w:pPr>
      <w:r>
        <w:rPr>
          <w:rFonts w:eastAsia="Times New Roman"/>
          <w:lang w:val="sl-SI"/>
        </w:rPr>
        <w:t>V kliničnem preskušanju z drugim antagonistom TNF so opažali poslabšanje kongestivnega srčnega popuščanja in večjo umrljivost zaradi kongestivnega srčnega popuščanja. O primerih poslabšanja kongestivnega srčnega popuščanja so poročali pri bolnikih, ki so prejemali adalimumab. Pri bolnikih z blagim srčnim popuščanjem (razred I/II po NYHA) je treba zdravilo Yuflyma uporabljati previdno. Pri bolnikih z zmernim ali hudim srčnim popuščanjem je zdravilo Yuflyma kontraindicirano (glejte poglavje 4.3). Pri bolnikih, ki se jim na novo pojavijo simptomi kongestivnega srčnega popuščanja ali se jim takšni simptomi poslabšajo, je treba zdravljenje z zdravilom Yuflyma prekiniti.</w:t>
      </w:r>
    </w:p>
    <w:p w14:paraId="78E0D1C2" w14:textId="77777777" w:rsidR="00E04C8A" w:rsidRDefault="00E04C8A">
      <w:pPr>
        <w:spacing w:before="13" w:line="240" w:lineRule="exact"/>
        <w:rPr>
          <w:rFonts w:ascii="Times New Roman" w:hAnsi="Times New Roman" w:cs="Times New Roman"/>
          <w:lang w:val="sl-SI"/>
        </w:rPr>
      </w:pPr>
    </w:p>
    <w:p w14:paraId="63DBEB72" w14:textId="77777777" w:rsidR="00E04C8A" w:rsidRDefault="008E1817">
      <w:pPr>
        <w:pStyle w:val="a3"/>
        <w:rPr>
          <w:u w:val="single"/>
          <w:lang w:val="sl-SI"/>
        </w:rPr>
      </w:pPr>
      <w:r>
        <w:rPr>
          <w:rFonts w:eastAsia="Times New Roman"/>
          <w:u w:val="single" w:color="000000"/>
          <w:lang w:val="sl-SI"/>
        </w:rPr>
        <w:t>Avtoimunska dogajanja</w:t>
      </w:r>
    </w:p>
    <w:p w14:paraId="06E46AE1" w14:textId="77777777" w:rsidR="00E04C8A" w:rsidRDefault="00E04C8A">
      <w:pPr>
        <w:spacing w:before="9" w:line="170" w:lineRule="exact"/>
        <w:rPr>
          <w:rFonts w:ascii="Times New Roman" w:hAnsi="Times New Roman" w:cs="Times New Roman"/>
          <w:lang w:val="sl-SI"/>
        </w:rPr>
      </w:pPr>
    </w:p>
    <w:p w14:paraId="03E4F3E3" w14:textId="77777777" w:rsidR="00E04C8A" w:rsidRDefault="008E1817">
      <w:pPr>
        <w:pStyle w:val="a3"/>
        <w:rPr>
          <w:lang w:val="sl-SI"/>
        </w:rPr>
      </w:pPr>
      <w:r>
        <w:rPr>
          <w:rFonts w:eastAsia="Times New Roman"/>
          <w:lang w:val="sl-SI"/>
        </w:rPr>
        <w:t>Zdravljenje z zdravilom Yuflyma lahko povzroči nastanek avtoimunskih protiteles. Vpliv dolgoročnega zdravljenja z adalimumabom na razvoj avtoimunskih bolezni ni znan. Če se pri bolniku po zdravljenju z zdravilom Yuflyma pojavijo simptomi, ki kažejo na lupusu podoben sindrom, in je pozitiven na protitelesa proti dvojnoverižni DNA, zdravila Yuflyma ne sme več prejemati (glejte poglavje 4.8).</w:t>
      </w:r>
    </w:p>
    <w:p w14:paraId="016CFD25" w14:textId="77777777" w:rsidR="00E04C8A" w:rsidRDefault="00E04C8A">
      <w:pPr>
        <w:spacing w:before="13" w:line="240" w:lineRule="exact"/>
        <w:rPr>
          <w:rFonts w:ascii="Times New Roman" w:hAnsi="Times New Roman" w:cs="Times New Roman"/>
          <w:u w:val="single"/>
          <w:lang w:val="sl-SI"/>
        </w:rPr>
      </w:pPr>
    </w:p>
    <w:p w14:paraId="4D383853" w14:textId="77777777" w:rsidR="00E04C8A" w:rsidRDefault="008E1817">
      <w:pPr>
        <w:pStyle w:val="a3"/>
        <w:rPr>
          <w:u w:val="single"/>
          <w:lang w:val="sl-SI"/>
        </w:rPr>
      </w:pPr>
      <w:r>
        <w:rPr>
          <w:rFonts w:eastAsia="Times New Roman"/>
          <w:u w:val="single" w:color="000000"/>
          <w:lang w:val="sl-SI"/>
        </w:rPr>
        <w:t>Sočasna uporaba bioloških DMARD ali antagonistov TNF</w:t>
      </w:r>
    </w:p>
    <w:p w14:paraId="00D5B7BA" w14:textId="77777777" w:rsidR="00E04C8A" w:rsidRDefault="00E04C8A">
      <w:pPr>
        <w:spacing w:before="1" w:line="180" w:lineRule="exact"/>
        <w:rPr>
          <w:rFonts w:ascii="Times New Roman" w:hAnsi="Times New Roman" w:cs="Times New Roman"/>
          <w:lang w:val="sl-SI"/>
        </w:rPr>
      </w:pPr>
    </w:p>
    <w:p w14:paraId="21F604E8" w14:textId="77777777" w:rsidR="00E04C8A" w:rsidRDefault="008E1817">
      <w:pPr>
        <w:pStyle w:val="a3"/>
        <w:rPr>
          <w:lang w:val="sl-SI"/>
        </w:rPr>
      </w:pPr>
      <w:r>
        <w:rPr>
          <w:rFonts w:eastAsia="Times New Roman"/>
          <w:lang w:val="sl-SI"/>
        </w:rPr>
        <w:lastRenderedPageBreak/>
        <w:t>V kliničnih študijah s sočasno uporabo anakinre in etanercepta, drugega</w:t>
      </w:r>
    </w:p>
    <w:p w14:paraId="762703CF" w14:textId="77777777" w:rsidR="00E04C8A" w:rsidRDefault="008E1817">
      <w:pPr>
        <w:pStyle w:val="a3"/>
        <w:rPr>
          <w:lang w:val="sl-SI"/>
        </w:rPr>
      </w:pPr>
      <w:r>
        <w:rPr>
          <w:rFonts w:eastAsia="Times New Roman"/>
          <w:lang w:val="sl-SI"/>
        </w:rPr>
        <w:t>antagonista TNF, so opazili hude okužbe brez dodatnih kliničnih prednosti v primerjavi z etanerceptom samim. Glede na naravo neželenih dogodkov, opaženih pri kombiniranem zdravljenju z etanerceptom in anakinro, lahko podobne toksičnosti nastanejo tudi pri uporabi anakinre in drugih antagonistov TNF. Zato kombinacija adalimumaba in anakinre ni priporočljiva (glejte poglavje 4.5).</w:t>
      </w:r>
    </w:p>
    <w:p w14:paraId="51CA0523" w14:textId="77777777" w:rsidR="00E04C8A" w:rsidRDefault="00E04C8A">
      <w:pPr>
        <w:spacing w:before="14" w:line="240" w:lineRule="exact"/>
        <w:rPr>
          <w:rFonts w:ascii="Times New Roman" w:hAnsi="Times New Roman" w:cs="Times New Roman"/>
          <w:lang w:val="sl-SI"/>
        </w:rPr>
      </w:pPr>
    </w:p>
    <w:p w14:paraId="4E33E55B" w14:textId="77777777" w:rsidR="00E04C8A" w:rsidRDefault="008E1817">
      <w:pPr>
        <w:pStyle w:val="a3"/>
        <w:rPr>
          <w:lang w:val="sl-SI"/>
        </w:rPr>
      </w:pPr>
      <w:r>
        <w:rPr>
          <w:rFonts w:eastAsia="Times New Roman"/>
          <w:lang w:val="sl-SI"/>
        </w:rPr>
        <w:t>Sočasna uporaba adalimumaba z drugimi biološkimi DMARD (tj.anakinra in abacept) ali z drugimi antagonisti TNF ni priporočljiva zaradi možnega povečanega tveganja za okužbe, vključno z resnimi okužbami, in drugih potencialnih farmakoloških interakcij (glejte poglavje 4.5).</w:t>
      </w:r>
    </w:p>
    <w:p w14:paraId="37F2C580" w14:textId="77777777" w:rsidR="00E04C8A" w:rsidRDefault="00E04C8A">
      <w:pPr>
        <w:spacing w:before="13" w:line="240" w:lineRule="exact"/>
        <w:rPr>
          <w:rFonts w:ascii="Times New Roman" w:hAnsi="Times New Roman" w:cs="Times New Roman"/>
          <w:lang w:val="sl-SI"/>
        </w:rPr>
      </w:pPr>
    </w:p>
    <w:p w14:paraId="778F997C" w14:textId="77777777" w:rsidR="00E04C8A" w:rsidRDefault="008E1817">
      <w:pPr>
        <w:pStyle w:val="a3"/>
        <w:rPr>
          <w:u w:val="single"/>
          <w:lang w:val="sl-SI"/>
        </w:rPr>
      </w:pPr>
      <w:r>
        <w:rPr>
          <w:rFonts w:eastAsia="Times New Roman"/>
          <w:u w:val="single" w:color="000000"/>
          <w:lang w:val="sl-SI"/>
        </w:rPr>
        <w:t>Kirurški posegi</w:t>
      </w:r>
    </w:p>
    <w:p w14:paraId="5B003004" w14:textId="77777777" w:rsidR="00E04C8A" w:rsidRDefault="00E04C8A">
      <w:pPr>
        <w:spacing w:before="1" w:line="180" w:lineRule="exact"/>
        <w:rPr>
          <w:rFonts w:ascii="Times New Roman" w:hAnsi="Times New Roman" w:cs="Times New Roman"/>
          <w:lang w:val="sl-SI"/>
        </w:rPr>
      </w:pPr>
    </w:p>
    <w:p w14:paraId="313F00F7" w14:textId="77777777" w:rsidR="00E04C8A" w:rsidRDefault="008E1817">
      <w:pPr>
        <w:pStyle w:val="a3"/>
        <w:rPr>
          <w:lang w:val="sl-SI"/>
        </w:rPr>
      </w:pPr>
      <w:r>
        <w:rPr>
          <w:rFonts w:eastAsia="Times New Roman"/>
          <w:lang w:val="sl-SI"/>
        </w:rPr>
        <w:t>Izkušnje z varnostjo kirurških posegov pri bolnikih, zdravljenih z zdravilom Yuflyma, so omejene. Pri načrtovanju kirurškega posega je treba upoštevati dolg razpolovni čas adalimumaba. Bolnika, ki med jemanjem zdravila Yuflyma potrebuje operacijo, je treba skrbno spremljati glede okužb in ustrezno ukrepati. Izkušnje z varnostjo pri bolnikih, ki so jim med zdravljenjem z adalimumabom opravili artroplastiko, so omejene.</w:t>
      </w:r>
    </w:p>
    <w:p w14:paraId="5914D2B4" w14:textId="77777777" w:rsidR="00E04C8A" w:rsidRDefault="00E04C8A">
      <w:pPr>
        <w:pStyle w:val="a3"/>
        <w:rPr>
          <w:u w:color="000000"/>
          <w:lang w:val="sl-SI"/>
        </w:rPr>
      </w:pPr>
    </w:p>
    <w:p w14:paraId="0EE42E77" w14:textId="77777777" w:rsidR="00E04C8A" w:rsidRDefault="008E1817">
      <w:pPr>
        <w:pStyle w:val="a3"/>
        <w:rPr>
          <w:u w:val="single"/>
          <w:lang w:val="sl-SI"/>
        </w:rPr>
      </w:pPr>
      <w:r>
        <w:rPr>
          <w:rFonts w:eastAsia="Times New Roman"/>
          <w:u w:val="single" w:color="000000"/>
          <w:lang w:val="sl-SI"/>
        </w:rPr>
        <w:t>Zapora tankega črevesa</w:t>
      </w:r>
    </w:p>
    <w:p w14:paraId="62D7545C" w14:textId="77777777" w:rsidR="00E04C8A" w:rsidRDefault="00E04C8A">
      <w:pPr>
        <w:pStyle w:val="a3"/>
        <w:rPr>
          <w:lang w:val="sl-SI"/>
        </w:rPr>
      </w:pPr>
    </w:p>
    <w:p w14:paraId="79CC320C" w14:textId="77777777" w:rsidR="00E04C8A" w:rsidRDefault="008E1817">
      <w:pPr>
        <w:pStyle w:val="a3"/>
        <w:rPr>
          <w:lang w:val="sl-SI"/>
        </w:rPr>
      </w:pPr>
      <w:r>
        <w:rPr>
          <w:rFonts w:eastAsia="Times New Roman"/>
          <w:lang w:val="sl-SI"/>
        </w:rPr>
        <w:t>Če se bolnik ne odzove na zdravljenje Crohnove bolezni, lahko to pomeni, da ima stalno fibrotično strikturo, zaradi katere utegne biti potrebno kirurško zdravljenje. Razpoložljivi podatki kažejo, da adalimumabne poslabša in ne povzroči striktur.</w:t>
      </w:r>
    </w:p>
    <w:p w14:paraId="29A8F464" w14:textId="77777777" w:rsidR="00E04C8A" w:rsidRDefault="00E04C8A">
      <w:pPr>
        <w:spacing w:before="13" w:line="240" w:lineRule="exact"/>
        <w:rPr>
          <w:rFonts w:ascii="Times New Roman" w:hAnsi="Times New Roman" w:cs="Times New Roman"/>
          <w:lang w:val="sl-SI"/>
        </w:rPr>
      </w:pPr>
    </w:p>
    <w:p w14:paraId="51B467E2" w14:textId="77777777" w:rsidR="00E04C8A" w:rsidRDefault="008E1817">
      <w:pPr>
        <w:pStyle w:val="a3"/>
        <w:rPr>
          <w:u w:val="single"/>
          <w:lang w:val="sl-SI"/>
        </w:rPr>
      </w:pPr>
      <w:r>
        <w:rPr>
          <w:rFonts w:eastAsia="Times New Roman"/>
          <w:u w:val="single" w:color="000000"/>
          <w:lang w:val="sl-SI"/>
        </w:rPr>
        <w:t>Starejši bolniki</w:t>
      </w:r>
    </w:p>
    <w:p w14:paraId="110234DA" w14:textId="77777777" w:rsidR="00E04C8A" w:rsidRDefault="00E04C8A">
      <w:pPr>
        <w:spacing w:before="9" w:line="170" w:lineRule="exact"/>
        <w:rPr>
          <w:rFonts w:ascii="Times New Roman" w:hAnsi="Times New Roman" w:cs="Times New Roman"/>
          <w:lang w:val="sl-SI"/>
        </w:rPr>
      </w:pPr>
    </w:p>
    <w:p w14:paraId="1CB24A51" w14:textId="77777777" w:rsidR="00E04C8A" w:rsidRDefault="008E1817">
      <w:pPr>
        <w:pStyle w:val="a3"/>
        <w:rPr>
          <w:lang w:val="sl-SI"/>
        </w:rPr>
      </w:pPr>
      <w:r>
        <w:rPr>
          <w:rFonts w:eastAsia="Times New Roman"/>
          <w:lang w:val="sl-SI"/>
        </w:rPr>
        <w:t>Pogostnost resnih okužb pri preiskovancih, zdravljenih z adalimumabom, starejših od 65 let (3,7 %), je bila večja kot pri mlajših od 65 let (1,5 %). Pri nekaterih je bil izid smrten. Pri zdravljenju starejših oseb je treba posebno pozornost posvetiti tveganju za okužbo.</w:t>
      </w:r>
    </w:p>
    <w:p w14:paraId="7ED9C4F6" w14:textId="77777777" w:rsidR="00E04C8A" w:rsidRDefault="00E04C8A">
      <w:pPr>
        <w:spacing w:before="11" w:line="240" w:lineRule="exact"/>
        <w:rPr>
          <w:rFonts w:ascii="Times New Roman" w:hAnsi="Times New Roman" w:cs="Times New Roman"/>
          <w:lang w:val="sl-SI"/>
        </w:rPr>
      </w:pPr>
    </w:p>
    <w:p w14:paraId="036612C6" w14:textId="77777777" w:rsidR="00E04C8A" w:rsidRDefault="008E1817">
      <w:pPr>
        <w:pStyle w:val="a3"/>
        <w:rPr>
          <w:u w:val="single"/>
          <w:lang w:val="sl-SI"/>
        </w:rPr>
      </w:pPr>
      <w:r>
        <w:rPr>
          <w:rFonts w:eastAsia="Times New Roman"/>
          <w:u w:val="single" w:color="000000"/>
          <w:lang w:val="sl-SI"/>
        </w:rPr>
        <w:t>Pediatrična populacija</w:t>
      </w:r>
    </w:p>
    <w:p w14:paraId="7DEADDB7" w14:textId="77777777" w:rsidR="00E04C8A" w:rsidRDefault="00E04C8A">
      <w:pPr>
        <w:spacing w:before="1" w:line="180" w:lineRule="exact"/>
        <w:rPr>
          <w:rFonts w:ascii="Times New Roman" w:hAnsi="Times New Roman" w:cs="Times New Roman"/>
          <w:lang w:val="sl-SI"/>
        </w:rPr>
      </w:pPr>
    </w:p>
    <w:p w14:paraId="3648A0A1" w14:textId="77777777" w:rsidR="00E04C8A" w:rsidRDefault="008E1817">
      <w:pPr>
        <w:pStyle w:val="a3"/>
        <w:rPr>
          <w:lang w:val="sl-SI"/>
        </w:rPr>
      </w:pPr>
      <w:r>
        <w:rPr>
          <w:rFonts w:eastAsia="Times New Roman"/>
          <w:lang w:val="sl-SI"/>
        </w:rPr>
        <w:t>Glejte podpoglavje Cepljenja zgoraj.</w:t>
      </w:r>
    </w:p>
    <w:p w14:paraId="1B4710BD" w14:textId="77777777" w:rsidR="00E04C8A" w:rsidRDefault="00E04C8A">
      <w:pPr>
        <w:pStyle w:val="a3"/>
        <w:rPr>
          <w:lang w:val="sl-SI"/>
        </w:rPr>
      </w:pPr>
    </w:p>
    <w:p w14:paraId="1059EABF" w14:textId="77777777" w:rsidR="00E04C8A" w:rsidRDefault="008E1817">
      <w:pPr>
        <w:pStyle w:val="a3"/>
        <w:rPr>
          <w:u w:val="single"/>
          <w:lang w:val="sl-SI"/>
        </w:rPr>
      </w:pPr>
      <w:r>
        <w:rPr>
          <w:rFonts w:eastAsia="Times New Roman"/>
          <w:u w:val="single" w:color="000000"/>
          <w:lang w:val="sl-SI"/>
        </w:rPr>
        <w:t>Vsebnost natrija</w:t>
      </w:r>
    </w:p>
    <w:p w14:paraId="648F4AD2" w14:textId="77777777" w:rsidR="00E04C8A" w:rsidRDefault="00E04C8A">
      <w:pPr>
        <w:pStyle w:val="a3"/>
        <w:rPr>
          <w:lang w:val="sl-SI"/>
        </w:rPr>
      </w:pPr>
    </w:p>
    <w:p w14:paraId="68364549" w14:textId="77777777" w:rsidR="00E04C8A" w:rsidRDefault="008E1817">
      <w:pPr>
        <w:pStyle w:val="a3"/>
        <w:rPr>
          <w:lang w:val="sl-SI"/>
        </w:rPr>
      </w:pPr>
      <w:r>
        <w:rPr>
          <w:rFonts w:eastAsia="Times New Roman"/>
          <w:lang w:val="sl-SI"/>
        </w:rPr>
        <w:t>To zdravilo vsebuje manj kot 1 mmol (23 mg) natrija na 0,4 ml odmerek, kar v bistvu pomeni ‘brez natrija’.</w:t>
      </w:r>
    </w:p>
    <w:p w14:paraId="050CEA0C" w14:textId="77777777" w:rsidR="00E04C8A" w:rsidRDefault="00E04C8A">
      <w:pPr>
        <w:spacing w:before="18" w:line="240" w:lineRule="exact"/>
        <w:rPr>
          <w:sz w:val="24"/>
          <w:szCs w:val="24"/>
          <w:lang w:val="sl-SI"/>
        </w:rPr>
      </w:pPr>
    </w:p>
    <w:p w14:paraId="5B7B90BF" w14:textId="77777777" w:rsidR="00E04C8A" w:rsidRDefault="008E1817">
      <w:pPr>
        <w:widowControl/>
        <w:numPr>
          <w:ilvl w:val="1"/>
          <w:numId w:val="14"/>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Medsebojno delovanje z drugimi zdravili in druge oblike interakcij</w:t>
      </w:r>
    </w:p>
    <w:p w14:paraId="2E6CC6AE" w14:textId="77777777" w:rsidR="00E04C8A" w:rsidRDefault="00E04C8A">
      <w:pPr>
        <w:spacing w:before="9" w:line="240" w:lineRule="exact"/>
        <w:rPr>
          <w:sz w:val="24"/>
          <w:szCs w:val="24"/>
          <w:lang w:val="sl-SI"/>
        </w:rPr>
      </w:pPr>
    </w:p>
    <w:p w14:paraId="1E0ECC24" w14:textId="77777777" w:rsidR="00E04C8A" w:rsidRDefault="008E1817">
      <w:pPr>
        <w:pStyle w:val="a3"/>
        <w:rPr>
          <w:lang w:val="sl-SI"/>
        </w:rPr>
      </w:pPr>
      <w:r>
        <w:rPr>
          <w:rFonts w:eastAsia="Times New Roman"/>
          <w:lang w:val="sl-SI"/>
        </w:rPr>
        <w:t>Adalimumab so raziskali pri bolnikih z revmatoidnim artritisom, poliartikularnim juvenilnim idiopatskim artritisom in psoriatičnim artritisom, ki so adalimumab jemali v monoterapiji, in pri tistih, ki so ga jemali hkrati z metotreksatom. Pri uporabi adalimumaba skupaj z metotreksatom v primerjavi z uporabo monoterapije je bilo nastajanje protiteles manjše. Uporaba adalimumaba brez metotreksata je zvečala nastajanje protiteles, zvečala očistek in zmanjšala učinkovitost adalimumaba (glejte poglavje 5.1).</w:t>
      </w:r>
    </w:p>
    <w:p w14:paraId="38BA4D22" w14:textId="77777777" w:rsidR="00E04C8A" w:rsidRDefault="00E04C8A">
      <w:pPr>
        <w:spacing w:before="17" w:line="240" w:lineRule="exact"/>
        <w:rPr>
          <w:sz w:val="24"/>
          <w:szCs w:val="24"/>
          <w:lang w:val="sl-SI"/>
        </w:rPr>
      </w:pPr>
    </w:p>
    <w:p w14:paraId="5E2DD2D6" w14:textId="77777777" w:rsidR="00E04C8A" w:rsidRDefault="008E1817">
      <w:pPr>
        <w:pStyle w:val="a3"/>
        <w:rPr>
          <w:lang w:val="sl-SI"/>
        </w:rPr>
      </w:pPr>
      <w:r>
        <w:rPr>
          <w:rFonts w:eastAsia="Times New Roman"/>
          <w:lang w:val="sl-SI"/>
        </w:rPr>
        <w:t>Kombinacija adalimumaba in anakinre ni priporočljiva (glejte poglavje 4.4 “Sočasna uporaba bioloških DMARD ali antagonistov TNF”).</w:t>
      </w:r>
    </w:p>
    <w:p w14:paraId="1EFE5282" w14:textId="77777777" w:rsidR="00E04C8A" w:rsidRDefault="00E04C8A">
      <w:pPr>
        <w:spacing w:before="11" w:line="240" w:lineRule="exact"/>
        <w:rPr>
          <w:sz w:val="24"/>
          <w:szCs w:val="24"/>
          <w:lang w:val="sl-SI"/>
        </w:rPr>
      </w:pPr>
    </w:p>
    <w:p w14:paraId="1DAFF4E2" w14:textId="77777777" w:rsidR="00E04C8A" w:rsidRDefault="008E1817">
      <w:pPr>
        <w:pStyle w:val="a3"/>
        <w:rPr>
          <w:lang w:val="sl-SI"/>
        </w:rPr>
      </w:pPr>
      <w:r>
        <w:rPr>
          <w:rFonts w:eastAsia="Times New Roman"/>
          <w:lang w:val="sl-SI"/>
        </w:rPr>
        <w:t>Kombinacija adalimumaba in abatacepta ni priporočljiva (glejte poglavje 4.4 “Sočasna uporaba bioloških DMARD ali antagonistov TNF”).</w:t>
      </w:r>
    </w:p>
    <w:p w14:paraId="025249AA" w14:textId="77777777" w:rsidR="00E04C8A" w:rsidRDefault="00E04C8A">
      <w:pPr>
        <w:spacing w:before="14" w:line="240" w:lineRule="exact"/>
        <w:rPr>
          <w:sz w:val="24"/>
          <w:szCs w:val="24"/>
          <w:lang w:val="sl-SI"/>
        </w:rPr>
      </w:pPr>
    </w:p>
    <w:p w14:paraId="29E09DC8" w14:textId="77777777" w:rsidR="00E04C8A" w:rsidRDefault="008E1817">
      <w:pPr>
        <w:widowControl/>
        <w:numPr>
          <w:ilvl w:val="1"/>
          <w:numId w:val="14"/>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Plodnost, nosečnost in dojenje</w:t>
      </w:r>
    </w:p>
    <w:p w14:paraId="2911BCC7" w14:textId="77777777" w:rsidR="00E04C8A" w:rsidRDefault="00E04C8A">
      <w:pPr>
        <w:spacing w:before="9" w:line="240" w:lineRule="exact"/>
        <w:rPr>
          <w:rFonts w:ascii="Times New Roman" w:hAnsi="Times New Roman" w:cs="Times New Roman"/>
          <w:lang w:val="sl-SI"/>
        </w:rPr>
      </w:pPr>
    </w:p>
    <w:p w14:paraId="2883F4D6" w14:textId="77777777" w:rsidR="00E04C8A" w:rsidRDefault="008E1817">
      <w:pPr>
        <w:pStyle w:val="a3"/>
        <w:rPr>
          <w:u w:val="single"/>
          <w:lang w:val="sl-SI"/>
        </w:rPr>
      </w:pPr>
      <w:r>
        <w:rPr>
          <w:rFonts w:eastAsia="Times New Roman"/>
          <w:u w:val="single" w:color="000000"/>
          <w:lang w:val="sl-SI"/>
        </w:rPr>
        <w:t>Ženske v rodni dobi</w:t>
      </w:r>
    </w:p>
    <w:p w14:paraId="695487B6" w14:textId="77777777" w:rsidR="00E04C8A" w:rsidRDefault="00E04C8A">
      <w:pPr>
        <w:spacing w:before="1" w:line="180" w:lineRule="exact"/>
        <w:rPr>
          <w:rFonts w:ascii="Times New Roman" w:hAnsi="Times New Roman" w:cs="Times New Roman"/>
          <w:lang w:val="sl-SI"/>
        </w:rPr>
      </w:pPr>
    </w:p>
    <w:p w14:paraId="6AE74661" w14:textId="77777777" w:rsidR="00E04C8A" w:rsidRDefault="008E1817">
      <w:pPr>
        <w:pStyle w:val="a3"/>
        <w:rPr>
          <w:lang w:val="sl-SI"/>
        </w:rPr>
      </w:pPr>
      <w:r>
        <w:rPr>
          <w:rFonts w:eastAsia="Times New Roman"/>
          <w:lang w:val="sl-SI"/>
        </w:rPr>
        <w:t>Ženske v rodni dobi morajo premisliti o uporabi ustrezne kontracepcijske zaščite za preprečitev nosečnosti in z njo nadaljevati vsaj še pet mesecev po zadnjem zdravljenju z zdravilom Yuflyma.</w:t>
      </w:r>
    </w:p>
    <w:p w14:paraId="4583DB58" w14:textId="77777777" w:rsidR="00E04C8A" w:rsidRDefault="00E04C8A">
      <w:pPr>
        <w:spacing w:before="11" w:line="240" w:lineRule="exact"/>
        <w:rPr>
          <w:rFonts w:ascii="Times New Roman" w:hAnsi="Times New Roman" w:cs="Times New Roman"/>
          <w:lang w:val="sl-SI"/>
        </w:rPr>
      </w:pPr>
    </w:p>
    <w:p w14:paraId="6E828C38" w14:textId="77777777" w:rsidR="00E04C8A" w:rsidRDefault="008E1817">
      <w:pPr>
        <w:pStyle w:val="a3"/>
        <w:rPr>
          <w:u w:val="single"/>
          <w:lang w:val="sl-SI"/>
        </w:rPr>
      </w:pPr>
      <w:r>
        <w:rPr>
          <w:rFonts w:eastAsia="Times New Roman"/>
          <w:u w:val="single" w:color="000000"/>
          <w:lang w:val="sl-SI"/>
        </w:rPr>
        <w:t>Nosečnost</w:t>
      </w:r>
    </w:p>
    <w:p w14:paraId="214A249A" w14:textId="77777777" w:rsidR="00E04C8A" w:rsidRDefault="00E04C8A">
      <w:pPr>
        <w:spacing w:before="1" w:line="180" w:lineRule="exact"/>
        <w:rPr>
          <w:rFonts w:ascii="Times New Roman" w:hAnsi="Times New Roman" w:cs="Times New Roman"/>
          <w:lang w:val="sl-SI"/>
        </w:rPr>
      </w:pPr>
    </w:p>
    <w:p w14:paraId="346ADCEC" w14:textId="77777777" w:rsidR="00E04C8A" w:rsidRDefault="008E1817">
      <w:pPr>
        <w:pStyle w:val="a3"/>
        <w:rPr>
          <w:lang w:val="sl-SI"/>
        </w:rPr>
      </w:pPr>
      <w:r>
        <w:rPr>
          <w:rFonts w:eastAsia="Times New Roman"/>
          <w:lang w:val="sl-SI"/>
        </w:rPr>
        <w:t>Veliko število (približno 2100) v naprej izbranih nosečnosti, med katerimi so bile matere izpostavljene adalimumabu in jim je sledilo rojstvo živorojenih otrok z znanim izidom, vključno s 1500 izpostavljenimi v prvem trimesečju, ne nakazuje povečanja razmerja malformacij pri novorojenčkih.</w:t>
      </w:r>
    </w:p>
    <w:p w14:paraId="02AA0D53" w14:textId="77777777" w:rsidR="00E04C8A" w:rsidRDefault="00E04C8A">
      <w:pPr>
        <w:spacing w:before="13" w:line="240" w:lineRule="exact"/>
        <w:rPr>
          <w:rFonts w:ascii="Times New Roman" w:hAnsi="Times New Roman" w:cs="Times New Roman"/>
          <w:lang w:val="sl-SI"/>
        </w:rPr>
      </w:pPr>
    </w:p>
    <w:p w14:paraId="50CDD67C" w14:textId="77777777" w:rsidR="00E04C8A" w:rsidRDefault="008E1817">
      <w:pPr>
        <w:pStyle w:val="a3"/>
        <w:rPr>
          <w:lang w:val="sl-SI"/>
        </w:rPr>
      </w:pPr>
      <w:r>
        <w:rPr>
          <w:rFonts w:eastAsia="Times New Roman"/>
          <w:lang w:val="sl-SI"/>
        </w:rPr>
        <w:t>V predvidenem kohortnem registru je bilo vključenih 257 žensk z revmatoidnim artritisom (RA) ali Crohnovo boleznijo (CB), zdravljenih z adalimumabom vsaj v prvem trimesečju nosečnosti, in 120 žensk z RA ali CB, ki niso bile zdravljene z adalimumabom. Primarni opazovani dogodek je bila prevalenca rojstev z večjimi okvarami ob rojstvu. Razmerje nosečnosti, ki so se končale vsaj z enim živorojenim otrokom z večjo okvaro ob rojstvu, je bilo 6/69 (8,7 %) pri nosečnicah, zdravljenih z adalimumabom z RA, in 5/74 (6,8 %) pri nezdravljenih nosečnicah z RA (neprilagojeno razmerje obetov 1.31, 95-% interval zaupanja 0.38–4.52), ter 16/152 (10,5 %) pri nosečnicah, zdravljenih z adalimumabom s CB, in 3/32 (9,4 %) pri nezdravljenih nosečnicah s CB (neprilagojeno razmerje obetov 1.14, 95-% interval zaupanja 0.31–4.16). Prilagojeno razmerje obetov (z ozirom na izhodiščne razlike) je bilo 1.10 (95-% interval zaupanja 0.45–2.73) za RA in CB skupaj. Ni bilo opaznih razlik med nosečnicami, zdravljenimi z adalimumabom in nezdravljenimi glede sekundarnih opazovanih dogodkov, kot so spontani splavi, manjši defekti ob rojstvu, prezgodnji porodi, porodna velikost in resne ali oportunistične okužbe, prav tako ni bilo opisanih mrtvorojenosti ali malignosti. Na interpretacijo podatkov lahko vplivajo metodološke omejitve raziskave, vključno z majhno velikostjo vzorca in nerandomizirano zasnovo raziskave.</w:t>
      </w:r>
    </w:p>
    <w:p w14:paraId="03AA28C5" w14:textId="77777777" w:rsidR="00E04C8A" w:rsidRDefault="00E04C8A">
      <w:pPr>
        <w:spacing w:before="10" w:line="240" w:lineRule="exact"/>
        <w:rPr>
          <w:rFonts w:ascii="Times New Roman" w:hAnsi="Times New Roman" w:cs="Times New Roman"/>
          <w:lang w:val="sl-SI"/>
        </w:rPr>
      </w:pPr>
    </w:p>
    <w:p w14:paraId="31EAD041" w14:textId="77777777" w:rsidR="00E04C8A" w:rsidRDefault="008E1817">
      <w:pPr>
        <w:pStyle w:val="a3"/>
        <w:rPr>
          <w:lang w:val="sl-SI"/>
        </w:rPr>
      </w:pPr>
      <w:r>
        <w:rPr>
          <w:rFonts w:eastAsia="Times New Roman"/>
          <w:spacing w:val="-2"/>
          <w:lang w:val="sl-SI"/>
        </w:rPr>
        <w:t>V študiji razvojne toksičnosti pri opicah ni bilo znakov maternalne toksičnosti, embriotoksičnosti ali teratogenosti. Predkliničnih podatkov o poporodni toksičnosti adalimumaba ni (glejte poglavje 5.3).</w:t>
      </w:r>
    </w:p>
    <w:p w14:paraId="18441A6B" w14:textId="77777777" w:rsidR="00E04C8A" w:rsidRDefault="00E04C8A">
      <w:pPr>
        <w:spacing w:before="14" w:line="260" w:lineRule="exact"/>
        <w:rPr>
          <w:rFonts w:ascii="Times New Roman" w:hAnsi="Times New Roman" w:cs="Times New Roman"/>
          <w:lang w:val="sl-SI"/>
        </w:rPr>
      </w:pPr>
    </w:p>
    <w:p w14:paraId="07B63552" w14:textId="77777777" w:rsidR="00E04C8A" w:rsidRDefault="008E1817">
      <w:pPr>
        <w:pStyle w:val="a3"/>
        <w:rPr>
          <w:lang w:val="sl-SI"/>
        </w:rPr>
      </w:pPr>
      <w:r>
        <w:rPr>
          <w:rFonts w:eastAsia="Times New Roman"/>
          <w:lang w:val="sl-SI"/>
        </w:rPr>
        <w:t>Ker adalimumab zavira TNF</w:t>
      </w:r>
      <w:r>
        <w:rPr>
          <w:rFonts w:ascii="Symbol" w:eastAsia="Symbol" w:hAnsi="Symbol" w:cs="Symbol"/>
          <w:lang w:val="sl-SI"/>
        </w:rPr>
        <w:sym w:font="Symbol" w:char="F061"/>
      </w:r>
      <w:r>
        <w:rPr>
          <w:rFonts w:eastAsia="Times New Roman"/>
          <w:lang w:val="sl-SI"/>
        </w:rPr>
        <w:t>, bi njegova uporaba med nosečnostjo lahko okrnila normalne imunske odzive novorojenčka. Adalimumab se med nosečnostjo lahko uporablja samo, če je brez dvoma potrebno.</w:t>
      </w:r>
    </w:p>
    <w:p w14:paraId="742831F9" w14:textId="77777777" w:rsidR="00E04C8A" w:rsidRDefault="00E04C8A">
      <w:pPr>
        <w:spacing w:before="11" w:line="240" w:lineRule="exact"/>
        <w:rPr>
          <w:rFonts w:ascii="Times New Roman" w:hAnsi="Times New Roman" w:cs="Times New Roman"/>
          <w:lang w:val="sl-SI"/>
        </w:rPr>
      </w:pPr>
    </w:p>
    <w:p w14:paraId="45121D96" w14:textId="77777777" w:rsidR="00E04C8A" w:rsidRDefault="008E1817">
      <w:pPr>
        <w:pStyle w:val="a3"/>
        <w:rPr>
          <w:lang w:val="sl-SI"/>
        </w:rPr>
      </w:pPr>
      <w:r>
        <w:rPr>
          <w:rFonts w:eastAsia="Times New Roman"/>
          <w:lang w:val="sl-SI"/>
        </w:rPr>
        <w:t>Adalimumab lahko prehaja skozi placento v serum dojenčkov, ki so jih rodile ženske, zdravljene z adalimumabom med nosečnostjo. Posledično je lahko tveganje za okužbe pri teh dojenčkih večje. Uporaba živih cepiv (npr. BCG cepiva) pri dojenčkih, ki so bili izpostavljeni adalimumabu in utero, ni priporočljiva 5 mesecev po zadnji injekciji adalimumaba, ki jo je mati prejela med nosečnostjo.</w:t>
      </w:r>
    </w:p>
    <w:p w14:paraId="5FEBD4DA" w14:textId="77777777" w:rsidR="00A16C44" w:rsidRDefault="00A16C44">
      <w:pPr>
        <w:spacing w:before="13" w:line="240" w:lineRule="exact"/>
        <w:rPr>
          <w:rFonts w:ascii="Times New Roman" w:hAnsi="Times New Roman" w:cs="Times New Roman"/>
          <w:lang w:val="sl-SI"/>
        </w:rPr>
      </w:pPr>
    </w:p>
    <w:p w14:paraId="70C9F16A" w14:textId="77777777" w:rsidR="00E04C8A" w:rsidRDefault="008E1817">
      <w:pPr>
        <w:pStyle w:val="a3"/>
        <w:rPr>
          <w:u w:val="single"/>
          <w:lang w:val="sl-SI"/>
        </w:rPr>
      </w:pPr>
      <w:r>
        <w:rPr>
          <w:rFonts w:eastAsia="Times New Roman"/>
          <w:spacing w:val="-1"/>
          <w:u w:val="single" w:color="000000"/>
          <w:lang w:val="sl-SI"/>
        </w:rPr>
        <w:t>Dojenje</w:t>
      </w:r>
    </w:p>
    <w:p w14:paraId="0E3F5B7C" w14:textId="77777777" w:rsidR="00E04C8A" w:rsidRDefault="00E04C8A">
      <w:pPr>
        <w:spacing w:before="1" w:line="180" w:lineRule="exact"/>
        <w:rPr>
          <w:rFonts w:ascii="Times New Roman" w:hAnsi="Times New Roman" w:cs="Times New Roman"/>
          <w:lang w:val="sl-SI"/>
        </w:rPr>
      </w:pPr>
    </w:p>
    <w:p w14:paraId="2FA54DC9" w14:textId="77777777" w:rsidR="00E04C8A" w:rsidRDefault="008E1817">
      <w:pPr>
        <w:pStyle w:val="a3"/>
        <w:rPr>
          <w:lang w:val="sl-SI"/>
        </w:rPr>
      </w:pPr>
      <w:r>
        <w:rPr>
          <w:rFonts w:eastAsia="Times New Roman"/>
          <w:lang w:val="sl-SI"/>
        </w:rPr>
        <w:t>Omejeni podatki iz objavljene literature kažejo, da se adalimumab izloča v materino mleko v zelo nizkih koncentracijah, s prisotnostjo adalimumaba v človeškem mleku v koncentraciji 0,1 % do 1 % glede na materin serum. Pri peroralnem dajanju so imunoglobulini G podvrženi intestinalni proteolizi in imajo nizko biološko uporabnost. Ni pričakovanega učinka na dojene novorojenčke/dojenčke. Posledično se zdravilo Yuflyma lahko uporablja med dojenjem.</w:t>
      </w:r>
    </w:p>
    <w:p w14:paraId="73A5D229" w14:textId="77777777" w:rsidR="00E04C8A" w:rsidRDefault="00E04C8A">
      <w:pPr>
        <w:spacing w:before="11" w:line="240" w:lineRule="exact"/>
        <w:rPr>
          <w:rFonts w:ascii="Times New Roman" w:hAnsi="Times New Roman" w:cs="Times New Roman"/>
          <w:lang w:val="sl-SI"/>
        </w:rPr>
      </w:pPr>
    </w:p>
    <w:p w14:paraId="3B7C6D4D" w14:textId="77777777" w:rsidR="00E04C8A" w:rsidRDefault="008E1817">
      <w:pPr>
        <w:pStyle w:val="a3"/>
        <w:rPr>
          <w:u w:val="single"/>
          <w:lang w:val="sl-SI"/>
        </w:rPr>
      </w:pPr>
      <w:r>
        <w:rPr>
          <w:rFonts w:eastAsia="Times New Roman"/>
          <w:u w:val="single" w:color="000000"/>
          <w:lang w:val="sl-SI"/>
        </w:rPr>
        <w:t>Plodnost</w:t>
      </w:r>
    </w:p>
    <w:p w14:paraId="2F79E6EF" w14:textId="77777777" w:rsidR="00E04C8A" w:rsidRDefault="00E04C8A">
      <w:pPr>
        <w:spacing w:before="1" w:line="180" w:lineRule="exact"/>
        <w:rPr>
          <w:rFonts w:ascii="Times New Roman" w:hAnsi="Times New Roman" w:cs="Times New Roman"/>
          <w:lang w:val="sl-SI"/>
        </w:rPr>
      </w:pPr>
    </w:p>
    <w:p w14:paraId="729D2EFF" w14:textId="77777777" w:rsidR="00E04C8A" w:rsidRDefault="008E1817">
      <w:pPr>
        <w:pStyle w:val="a3"/>
        <w:rPr>
          <w:lang w:val="sl-SI"/>
        </w:rPr>
      </w:pPr>
      <w:r>
        <w:rPr>
          <w:rFonts w:eastAsia="Times New Roman"/>
          <w:lang w:val="sl-SI"/>
        </w:rPr>
        <w:t>Predkliničnih podatkov o učinkih adalimumaba na plodnost ni na voljo.</w:t>
      </w:r>
    </w:p>
    <w:p w14:paraId="1320D41E" w14:textId="77777777" w:rsidR="00E04C8A" w:rsidRDefault="00E04C8A">
      <w:pPr>
        <w:spacing w:before="18" w:line="240" w:lineRule="exact"/>
        <w:rPr>
          <w:sz w:val="24"/>
          <w:szCs w:val="24"/>
          <w:lang w:val="sl-SI"/>
        </w:rPr>
      </w:pPr>
    </w:p>
    <w:p w14:paraId="6D763087" w14:textId="77777777" w:rsidR="00E04C8A" w:rsidRDefault="008E1817">
      <w:pPr>
        <w:widowControl/>
        <w:numPr>
          <w:ilvl w:val="1"/>
          <w:numId w:val="14"/>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Vpliv na sposobnost vožnje in upravljanja strojev</w:t>
      </w:r>
    </w:p>
    <w:p w14:paraId="6A309CA2" w14:textId="77777777" w:rsidR="00E04C8A" w:rsidRDefault="00E04C8A">
      <w:pPr>
        <w:spacing w:before="12" w:line="240" w:lineRule="exact"/>
        <w:rPr>
          <w:sz w:val="24"/>
          <w:szCs w:val="24"/>
          <w:lang w:val="sl-SI"/>
        </w:rPr>
      </w:pPr>
    </w:p>
    <w:p w14:paraId="65F5DAC6" w14:textId="77777777" w:rsidR="00E04C8A" w:rsidRDefault="008E1817">
      <w:pPr>
        <w:pStyle w:val="a3"/>
        <w:rPr>
          <w:lang w:val="sl-SI"/>
        </w:rPr>
      </w:pPr>
      <w:r>
        <w:rPr>
          <w:rFonts w:eastAsia="Times New Roman"/>
          <w:lang w:val="sl-SI"/>
        </w:rPr>
        <w:t>Zdravilo Yuflyma ima blag vpliv na sposobnost vožnje in upravljanja strojev. Po dajanju zdravila Yuflyma se lahko pojavita vrtoglavica in poslabšanje vida (glejte poglavje 4.8).</w:t>
      </w:r>
    </w:p>
    <w:p w14:paraId="23D6DBA9" w14:textId="77777777" w:rsidR="00E04C8A" w:rsidRDefault="00E04C8A">
      <w:pPr>
        <w:spacing w:before="15" w:line="240" w:lineRule="exact"/>
        <w:rPr>
          <w:sz w:val="24"/>
          <w:szCs w:val="24"/>
          <w:lang w:val="sl-SI"/>
        </w:rPr>
      </w:pPr>
    </w:p>
    <w:p w14:paraId="04B5B44C" w14:textId="77777777" w:rsidR="00E04C8A" w:rsidRDefault="008E1817">
      <w:pPr>
        <w:widowControl/>
        <w:numPr>
          <w:ilvl w:val="1"/>
          <w:numId w:val="14"/>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Neželeni učinki</w:t>
      </w:r>
    </w:p>
    <w:p w14:paraId="49D2692D" w14:textId="77777777" w:rsidR="00E04C8A" w:rsidRDefault="00E04C8A">
      <w:pPr>
        <w:spacing w:before="9" w:line="240" w:lineRule="exact"/>
        <w:rPr>
          <w:sz w:val="24"/>
          <w:szCs w:val="24"/>
          <w:lang w:val="sl-SI"/>
        </w:rPr>
      </w:pPr>
    </w:p>
    <w:p w14:paraId="2819CB93" w14:textId="77777777" w:rsidR="00E04C8A" w:rsidRDefault="008E1817">
      <w:pPr>
        <w:pStyle w:val="a3"/>
        <w:rPr>
          <w:u w:val="single"/>
          <w:lang w:val="sl-SI"/>
        </w:rPr>
      </w:pPr>
      <w:r>
        <w:rPr>
          <w:rFonts w:eastAsia="Times New Roman"/>
          <w:u w:val="single" w:color="000000"/>
          <w:lang w:val="sl-SI"/>
        </w:rPr>
        <w:lastRenderedPageBreak/>
        <w:t>Povzetek varnostnega profila</w:t>
      </w:r>
    </w:p>
    <w:p w14:paraId="00A39348" w14:textId="77777777" w:rsidR="00E04C8A" w:rsidRDefault="00E04C8A">
      <w:pPr>
        <w:spacing w:before="1" w:line="180" w:lineRule="exact"/>
        <w:rPr>
          <w:sz w:val="18"/>
          <w:szCs w:val="18"/>
          <w:lang w:val="sl-SI"/>
        </w:rPr>
      </w:pPr>
    </w:p>
    <w:p w14:paraId="1E55F292" w14:textId="269DBE1C" w:rsidR="00E04C8A" w:rsidRDefault="008E1817">
      <w:pPr>
        <w:pStyle w:val="a3"/>
        <w:rPr>
          <w:lang w:val="sl-SI"/>
        </w:rPr>
      </w:pPr>
      <w:r>
        <w:rPr>
          <w:rFonts w:eastAsia="Times New Roman"/>
          <w:lang w:val="sl-SI"/>
        </w:rPr>
        <w:t>Adalimumab so raziskovali pri 9.506 bolnikih v ključnih kontroliranih in odprtih preskušanjih, ki so trajala do 60 mesecev ali več. Ta preskušanja so vključevala bolnike z revmatoidnim artritisom s kratkotrajno in dolgotrajno boleznijo, juvenilni</w:t>
      </w:r>
      <w:r w:rsidR="00250E67">
        <w:rPr>
          <w:rFonts w:eastAsia="Times New Roman"/>
          <w:lang w:val="sl-SI"/>
        </w:rPr>
        <w:t>m</w:t>
      </w:r>
      <w:r>
        <w:rPr>
          <w:rFonts w:eastAsia="Times New Roman"/>
          <w:lang w:val="sl-SI"/>
        </w:rPr>
        <w:t xml:space="preserve"> idiopatski</w:t>
      </w:r>
      <w:r w:rsidR="00250E67">
        <w:rPr>
          <w:rFonts w:eastAsia="Times New Roman"/>
          <w:lang w:val="sl-SI"/>
        </w:rPr>
        <w:t>m</w:t>
      </w:r>
      <w:r>
        <w:rPr>
          <w:rFonts w:eastAsia="Times New Roman"/>
          <w:lang w:val="sl-SI"/>
        </w:rPr>
        <w:t xml:space="preserve"> artritis</w:t>
      </w:r>
      <w:r w:rsidR="00250E67">
        <w:rPr>
          <w:rFonts w:eastAsia="Times New Roman"/>
          <w:lang w:val="sl-SI"/>
        </w:rPr>
        <w:t>om</w:t>
      </w:r>
      <w:r>
        <w:rPr>
          <w:rFonts w:eastAsia="Times New Roman"/>
          <w:lang w:val="sl-SI"/>
        </w:rPr>
        <w:t xml:space="preserve"> (poliartikularni</w:t>
      </w:r>
      <w:r w:rsidR="00E66664">
        <w:rPr>
          <w:rFonts w:eastAsia="Times New Roman"/>
          <w:lang w:val="sl-SI"/>
        </w:rPr>
        <w:t>m</w:t>
      </w:r>
      <w:r>
        <w:rPr>
          <w:rFonts w:eastAsia="Times New Roman"/>
          <w:lang w:val="sl-SI"/>
        </w:rPr>
        <w:t xml:space="preserve"> juvenilni</w:t>
      </w:r>
      <w:r w:rsidR="00E66664">
        <w:rPr>
          <w:rFonts w:eastAsia="Times New Roman"/>
          <w:lang w:val="sl-SI"/>
        </w:rPr>
        <w:t>m</w:t>
      </w:r>
      <w:r>
        <w:rPr>
          <w:rFonts w:eastAsia="Times New Roman"/>
          <w:lang w:val="sl-SI"/>
        </w:rPr>
        <w:t xml:space="preserve"> idiopatski</w:t>
      </w:r>
      <w:r w:rsidR="00E66664">
        <w:rPr>
          <w:rFonts w:eastAsia="Times New Roman"/>
          <w:lang w:val="sl-SI"/>
        </w:rPr>
        <w:t>m</w:t>
      </w:r>
      <w:r>
        <w:rPr>
          <w:rFonts w:eastAsia="Times New Roman"/>
          <w:lang w:val="sl-SI"/>
        </w:rPr>
        <w:t xml:space="preserve"> artritis</w:t>
      </w:r>
      <w:r w:rsidR="00E66664">
        <w:rPr>
          <w:rFonts w:eastAsia="Times New Roman"/>
          <w:lang w:val="sl-SI"/>
        </w:rPr>
        <w:t>om</w:t>
      </w:r>
      <w:r>
        <w:rPr>
          <w:rFonts w:eastAsia="Times New Roman"/>
          <w:lang w:val="sl-SI"/>
        </w:rPr>
        <w:t xml:space="preserve"> in artritis</w:t>
      </w:r>
      <w:r w:rsidR="00E66664">
        <w:rPr>
          <w:rFonts w:eastAsia="Times New Roman"/>
          <w:lang w:val="sl-SI"/>
        </w:rPr>
        <w:t>om</w:t>
      </w:r>
      <w:r>
        <w:rPr>
          <w:rFonts w:eastAsia="Times New Roman"/>
          <w:lang w:val="sl-SI"/>
        </w:rPr>
        <w:t>, povezan</w:t>
      </w:r>
      <w:r w:rsidR="00E66664">
        <w:rPr>
          <w:rFonts w:eastAsia="Times New Roman"/>
          <w:lang w:val="sl-SI"/>
        </w:rPr>
        <w:t>im</w:t>
      </w:r>
      <w:r>
        <w:rPr>
          <w:rFonts w:eastAsia="Times New Roman"/>
          <w:lang w:val="sl-SI"/>
        </w:rPr>
        <w:t xml:space="preserve"> z entezitisom) ter aksialni</w:t>
      </w:r>
      <w:r w:rsidR="00250E67">
        <w:rPr>
          <w:rFonts w:eastAsia="Times New Roman"/>
          <w:lang w:val="sl-SI"/>
        </w:rPr>
        <w:t>m</w:t>
      </w:r>
      <w:r>
        <w:rPr>
          <w:rFonts w:eastAsia="Times New Roman"/>
          <w:lang w:val="sl-SI"/>
        </w:rPr>
        <w:t xml:space="preserve"> spondiloartritis</w:t>
      </w:r>
      <w:r w:rsidR="00250E67">
        <w:rPr>
          <w:rFonts w:eastAsia="Times New Roman"/>
          <w:lang w:val="sl-SI"/>
        </w:rPr>
        <w:t>om</w:t>
      </w:r>
      <w:r>
        <w:rPr>
          <w:rFonts w:eastAsia="Times New Roman"/>
          <w:lang w:val="sl-SI"/>
        </w:rPr>
        <w:t xml:space="preserve"> (ankilozirajoči</w:t>
      </w:r>
      <w:r w:rsidR="00E66664">
        <w:rPr>
          <w:rFonts w:eastAsia="Times New Roman"/>
          <w:lang w:val="sl-SI"/>
        </w:rPr>
        <w:t>m</w:t>
      </w:r>
      <w:r>
        <w:rPr>
          <w:rFonts w:eastAsia="Times New Roman"/>
          <w:lang w:val="sl-SI"/>
        </w:rPr>
        <w:t xml:space="preserve"> spondilitis</w:t>
      </w:r>
      <w:r w:rsidR="00E66664">
        <w:rPr>
          <w:rFonts w:eastAsia="Times New Roman"/>
          <w:lang w:val="sl-SI"/>
        </w:rPr>
        <w:t>om</w:t>
      </w:r>
      <w:r>
        <w:rPr>
          <w:rFonts w:eastAsia="Times New Roman"/>
          <w:lang w:val="sl-SI"/>
        </w:rPr>
        <w:t xml:space="preserve"> in aksialni</w:t>
      </w:r>
      <w:r w:rsidR="00E66664">
        <w:rPr>
          <w:rFonts w:eastAsia="Times New Roman"/>
          <w:lang w:val="sl-SI"/>
        </w:rPr>
        <w:t>m</w:t>
      </w:r>
      <w:r>
        <w:rPr>
          <w:rFonts w:eastAsia="Times New Roman"/>
          <w:lang w:val="sl-SI"/>
        </w:rPr>
        <w:t xml:space="preserve"> spondiloartritis</w:t>
      </w:r>
      <w:r w:rsidR="009C1D1A">
        <w:rPr>
          <w:rFonts w:eastAsia="Times New Roman"/>
          <w:lang w:val="sl-SI"/>
        </w:rPr>
        <w:t>om</w:t>
      </w:r>
      <w:r>
        <w:rPr>
          <w:rFonts w:eastAsia="Times New Roman"/>
          <w:lang w:val="sl-SI"/>
        </w:rPr>
        <w:t xml:space="preserve"> brez radiografskega dokaza za AS), psoriatični</w:t>
      </w:r>
      <w:r w:rsidR="00250E67">
        <w:rPr>
          <w:rFonts w:eastAsia="Times New Roman"/>
          <w:lang w:val="sl-SI"/>
        </w:rPr>
        <w:t>m</w:t>
      </w:r>
      <w:r>
        <w:rPr>
          <w:rFonts w:eastAsia="Times New Roman"/>
          <w:lang w:val="sl-SI"/>
        </w:rPr>
        <w:t xml:space="preserve"> artritis</w:t>
      </w:r>
      <w:r w:rsidR="00250E67">
        <w:rPr>
          <w:rFonts w:eastAsia="Times New Roman"/>
          <w:lang w:val="sl-SI"/>
        </w:rPr>
        <w:t>om</w:t>
      </w:r>
      <w:r>
        <w:rPr>
          <w:rFonts w:eastAsia="Times New Roman"/>
          <w:lang w:val="sl-SI"/>
        </w:rPr>
        <w:t>, Crohnov</w:t>
      </w:r>
      <w:r w:rsidR="00250E67">
        <w:rPr>
          <w:rFonts w:eastAsia="Times New Roman"/>
          <w:lang w:val="sl-SI"/>
        </w:rPr>
        <w:t>o</w:t>
      </w:r>
      <w:r>
        <w:rPr>
          <w:rFonts w:eastAsia="Times New Roman"/>
          <w:lang w:val="sl-SI"/>
        </w:rPr>
        <w:t xml:space="preserve"> bolezen, ulcerozni</w:t>
      </w:r>
      <w:r w:rsidR="00250E67">
        <w:rPr>
          <w:rFonts w:eastAsia="Times New Roman"/>
          <w:lang w:val="sl-SI"/>
        </w:rPr>
        <w:t>m</w:t>
      </w:r>
      <w:r>
        <w:rPr>
          <w:rFonts w:eastAsia="Times New Roman"/>
          <w:lang w:val="sl-SI"/>
        </w:rPr>
        <w:t xml:space="preserve"> kolitis</w:t>
      </w:r>
      <w:r w:rsidR="00250E67">
        <w:rPr>
          <w:rFonts w:eastAsia="Times New Roman"/>
          <w:lang w:val="sl-SI"/>
        </w:rPr>
        <w:t>om</w:t>
      </w:r>
      <w:r>
        <w:rPr>
          <w:rFonts w:eastAsia="Times New Roman"/>
          <w:lang w:val="sl-SI"/>
        </w:rPr>
        <w:t>, luskavic</w:t>
      </w:r>
      <w:r w:rsidR="00250E67">
        <w:rPr>
          <w:rFonts w:eastAsia="Times New Roman"/>
          <w:lang w:val="sl-SI"/>
        </w:rPr>
        <w:t>o</w:t>
      </w:r>
      <w:r>
        <w:rPr>
          <w:rFonts w:eastAsia="Times New Roman"/>
          <w:lang w:val="sl-SI"/>
        </w:rPr>
        <w:t>, hidradenitis</w:t>
      </w:r>
      <w:r w:rsidR="00250E67">
        <w:rPr>
          <w:rFonts w:eastAsia="Times New Roman"/>
          <w:lang w:val="sl-SI"/>
        </w:rPr>
        <w:t>om</w:t>
      </w:r>
      <w:r>
        <w:rPr>
          <w:rFonts w:eastAsia="Times New Roman"/>
          <w:lang w:val="sl-SI"/>
        </w:rPr>
        <w:t xml:space="preserve"> suppurativa in uveitis</w:t>
      </w:r>
      <w:r w:rsidR="00250E67">
        <w:rPr>
          <w:rFonts w:eastAsia="Times New Roman"/>
          <w:lang w:val="sl-SI"/>
        </w:rPr>
        <w:t>om</w:t>
      </w:r>
      <w:r>
        <w:rPr>
          <w:rFonts w:eastAsia="Times New Roman"/>
          <w:lang w:val="sl-SI"/>
        </w:rPr>
        <w:t>. Ključne nadzorovane študije so vključevale 6089 bolnikov, ki so med kontroliranim obdobjem prejemali adalimumab, in 3801 bolnikov, ki so v tem obdobju prejemali placebo ali primerjalno učinkovino.</w:t>
      </w:r>
    </w:p>
    <w:p w14:paraId="62479478" w14:textId="77777777" w:rsidR="00E04C8A" w:rsidRDefault="00E04C8A">
      <w:pPr>
        <w:spacing w:before="13" w:line="240" w:lineRule="exact"/>
        <w:rPr>
          <w:sz w:val="24"/>
          <w:szCs w:val="24"/>
          <w:lang w:val="sl-SI"/>
        </w:rPr>
      </w:pPr>
    </w:p>
    <w:p w14:paraId="6F17A53B" w14:textId="77777777" w:rsidR="00E04C8A" w:rsidRDefault="008E1817">
      <w:pPr>
        <w:pStyle w:val="a3"/>
        <w:rPr>
          <w:lang w:val="sl-SI"/>
        </w:rPr>
      </w:pPr>
      <w:r>
        <w:rPr>
          <w:rFonts w:eastAsia="Times New Roman"/>
          <w:lang w:val="sl-SI"/>
        </w:rPr>
        <w:t>Delež bolnikov, ki so zdravljenje prekinili zaradi neželenih učinkov med dvojno slepim, nadzorovanim delom ključnih študij, je bil 5,9 % pri bolnikih, ki so prejemali adalimumab, in 5,4 % v kontrolni skupini.</w:t>
      </w:r>
    </w:p>
    <w:p w14:paraId="792AC4A9" w14:textId="77777777" w:rsidR="00E04C8A" w:rsidRDefault="00E04C8A">
      <w:pPr>
        <w:spacing w:before="17" w:line="240" w:lineRule="exact"/>
        <w:rPr>
          <w:sz w:val="24"/>
          <w:szCs w:val="24"/>
          <w:lang w:val="sl-SI"/>
        </w:rPr>
      </w:pPr>
    </w:p>
    <w:p w14:paraId="78C78DE3" w14:textId="77777777" w:rsidR="00E04C8A" w:rsidRDefault="008E1817">
      <w:pPr>
        <w:pStyle w:val="a3"/>
        <w:rPr>
          <w:lang w:val="sl-SI"/>
        </w:rPr>
      </w:pPr>
      <w:r>
        <w:rPr>
          <w:rFonts w:eastAsia="Times New Roman"/>
          <w:lang w:val="sl-SI"/>
        </w:rPr>
        <w:t>Najpogosteje opisani neželeni učinki so okužbe (kot so nazofaringitis, okužba zgornjih dihal in sinusitis), reakcije na mestu injiciranja (eritem, srbenje, hemoragija, bolečina ali oteklina), glavobol in mišično-skeletne bolečine.</w:t>
      </w:r>
    </w:p>
    <w:p w14:paraId="1A9B3F78" w14:textId="77777777" w:rsidR="00E04C8A" w:rsidRDefault="00E04C8A">
      <w:pPr>
        <w:pStyle w:val="a3"/>
        <w:rPr>
          <w:lang w:val="sl-SI"/>
        </w:rPr>
      </w:pPr>
    </w:p>
    <w:p w14:paraId="50DE97C3" w14:textId="77777777" w:rsidR="00E04C8A" w:rsidRDefault="008E1817">
      <w:pPr>
        <w:pStyle w:val="a3"/>
        <w:rPr>
          <w:lang w:val="sl-SI"/>
        </w:rPr>
      </w:pPr>
      <w:r>
        <w:rPr>
          <w:rFonts w:eastAsia="Times New Roman"/>
          <w:lang w:val="sl-SI"/>
        </w:rPr>
        <w:t>Poročali so tudi o resnih neželenih učinkih v zvezi z adalimumabom. Antagonisti TNF, kot je adalimumab, prizadenejo imunski sistem in njihova uporaba lahko vpliva na obrambo telesa proti okužbi in raku.</w:t>
      </w:r>
    </w:p>
    <w:p w14:paraId="06710463" w14:textId="77777777" w:rsidR="00E04C8A" w:rsidRDefault="008E1817">
      <w:pPr>
        <w:pStyle w:val="a3"/>
        <w:rPr>
          <w:lang w:val="sl-SI"/>
        </w:rPr>
      </w:pPr>
      <w:r>
        <w:rPr>
          <w:rFonts w:eastAsia="Times New Roman"/>
          <w:lang w:val="sl-SI"/>
        </w:rPr>
        <w:t>Pri uporabi adalimumaba so poročali tudi o smrtnih in življenjsko nevarnih okužbah (vključno s sepso, oportunističnimi okužbami in TB), HBV reaktivaciji in različnih malignih obolenjih (vključno z levkemijo, limfomom in HSTCL).</w:t>
      </w:r>
    </w:p>
    <w:p w14:paraId="38C1F6B3" w14:textId="77777777" w:rsidR="00E04C8A" w:rsidRDefault="00E04C8A">
      <w:pPr>
        <w:spacing w:before="17" w:line="240" w:lineRule="exact"/>
        <w:rPr>
          <w:sz w:val="24"/>
          <w:szCs w:val="24"/>
          <w:lang w:val="sl-SI"/>
        </w:rPr>
      </w:pPr>
    </w:p>
    <w:p w14:paraId="0421F55E" w14:textId="77777777" w:rsidR="00E04C8A" w:rsidRDefault="008E1817">
      <w:pPr>
        <w:pStyle w:val="a3"/>
        <w:rPr>
          <w:lang w:val="sl-SI"/>
        </w:rPr>
      </w:pPr>
      <w:r>
        <w:rPr>
          <w:rFonts w:eastAsia="Times New Roman"/>
          <w:lang w:val="sl-SI"/>
        </w:rPr>
        <w:t>Poročali so tudi o resnih hematoloških, nevroloških in avtoimunskih reakcijah. To vključuje redka poročila o pancitopeniji, aplastični anemiji, centralnih in perifernih demielinizacijskih dogodkih in poročila o lupusu, z lupusom povezanimi stanji in sindromom Stevens-Johnson.</w:t>
      </w:r>
    </w:p>
    <w:p w14:paraId="25CEBD70" w14:textId="77777777" w:rsidR="00E04C8A" w:rsidRDefault="00E04C8A">
      <w:pPr>
        <w:spacing w:before="11" w:line="240" w:lineRule="exact"/>
        <w:rPr>
          <w:sz w:val="24"/>
          <w:szCs w:val="24"/>
          <w:lang w:val="sl-SI"/>
        </w:rPr>
      </w:pPr>
    </w:p>
    <w:p w14:paraId="07464490" w14:textId="77777777" w:rsidR="00E04C8A" w:rsidRDefault="008E1817">
      <w:pPr>
        <w:pStyle w:val="a3"/>
        <w:rPr>
          <w:u w:val="single"/>
          <w:lang w:val="sl-SI"/>
        </w:rPr>
      </w:pPr>
      <w:r>
        <w:rPr>
          <w:rFonts w:eastAsia="Times New Roman"/>
          <w:u w:val="single" w:color="000000"/>
          <w:lang w:val="sl-SI"/>
        </w:rPr>
        <w:t>Pediatrična populacija</w:t>
      </w:r>
    </w:p>
    <w:p w14:paraId="2DC0F7BE" w14:textId="77777777" w:rsidR="00E04C8A" w:rsidRDefault="00E04C8A">
      <w:pPr>
        <w:spacing w:before="1" w:line="180" w:lineRule="exact"/>
        <w:rPr>
          <w:sz w:val="18"/>
          <w:szCs w:val="18"/>
          <w:lang w:val="sl-SI"/>
        </w:rPr>
      </w:pPr>
    </w:p>
    <w:p w14:paraId="5EED0D09" w14:textId="77777777" w:rsidR="00E04C8A" w:rsidRDefault="008E1817">
      <w:pPr>
        <w:pStyle w:val="a3"/>
        <w:rPr>
          <w:lang w:val="sl-SI"/>
        </w:rPr>
      </w:pPr>
      <w:r>
        <w:rPr>
          <w:rFonts w:eastAsia="Times New Roman"/>
          <w:lang w:val="sl-SI"/>
        </w:rPr>
        <w:t>Na splošno so bili neželeni učinki pri pediatričnih bolnikih po pogostnosti in vrsti podobni neželenim učinkom, ki so jih opazili pri odraslih bolnikih.</w:t>
      </w:r>
    </w:p>
    <w:p w14:paraId="471A0A61" w14:textId="77777777" w:rsidR="00E04C8A" w:rsidRDefault="00E04C8A">
      <w:pPr>
        <w:spacing w:before="11" w:line="240" w:lineRule="exact"/>
        <w:rPr>
          <w:sz w:val="24"/>
          <w:szCs w:val="24"/>
          <w:lang w:val="sl-SI"/>
        </w:rPr>
      </w:pPr>
    </w:p>
    <w:p w14:paraId="4D0D0B98" w14:textId="77777777" w:rsidR="00E04C8A" w:rsidRDefault="008E1817">
      <w:pPr>
        <w:pStyle w:val="a3"/>
        <w:rPr>
          <w:u w:val="single"/>
          <w:lang w:val="sl-SI"/>
        </w:rPr>
      </w:pPr>
      <w:r>
        <w:rPr>
          <w:rFonts w:eastAsia="Times New Roman"/>
          <w:u w:val="single" w:color="000000"/>
          <w:lang w:val="sl-SI"/>
        </w:rPr>
        <w:t>Seznam neželenih učinkov v preglednici</w:t>
      </w:r>
    </w:p>
    <w:p w14:paraId="0882B6B1" w14:textId="77777777" w:rsidR="00E04C8A" w:rsidRDefault="00E04C8A">
      <w:pPr>
        <w:spacing w:before="1" w:line="180" w:lineRule="exact"/>
        <w:rPr>
          <w:sz w:val="18"/>
          <w:szCs w:val="18"/>
          <w:lang w:val="sl-SI"/>
        </w:rPr>
      </w:pPr>
    </w:p>
    <w:p w14:paraId="19A74A11" w14:textId="2AE63894" w:rsidR="00E04C8A" w:rsidRDefault="008E1817">
      <w:pPr>
        <w:pStyle w:val="a3"/>
        <w:rPr>
          <w:lang w:val="sl-SI"/>
        </w:rPr>
      </w:pPr>
      <w:r>
        <w:rPr>
          <w:rFonts w:eastAsia="Times New Roman"/>
          <w:lang w:val="sl-SI"/>
        </w:rPr>
        <w:t>Naslednji seznam neželenih učinkov temelji na izkušnjah iz kliničnih preskušanj in izkušnjah v obdobju trženja ter je prikazan spodaj v preglednici </w:t>
      </w:r>
      <w:r w:rsidR="00CF282E">
        <w:rPr>
          <w:rFonts w:eastAsia="Times New Roman"/>
          <w:lang w:val="sl-SI"/>
        </w:rPr>
        <w:t xml:space="preserve">7 </w:t>
      </w:r>
      <w:r>
        <w:rPr>
          <w:rFonts w:eastAsia="Times New Roman"/>
          <w:lang w:val="sl-SI"/>
        </w:rPr>
        <w:t>glede na organske sisteme in pogostnost: zelo pogosti</w:t>
      </w:r>
    </w:p>
    <w:p w14:paraId="41D136A2" w14:textId="77777777" w:rsidR="00E04C8A" w:rsidRDefault="008E1817">
      <w:pPr>
        <w:pStyle w:val="a3"/>
        <w:rPr>
          <w:lang w:val="sl-SI"/>
        </w:rPr>
      </w:pPr>
      <w:r>
        <w:rPr>
          <w:rFonts w:eastAsia="Times New Roman"/>
          <w:lang w:val="sl-SI"/>
        </w:rPr>
        <w:t>(</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1/10); pogosti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1/100 do &lt; 1/10); občasni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1/1.000 do &lt; 1/100); redki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1/10.000 do &lt; 1/1.000) in neznana pogostnost (ni mogoče oceniti iz razpoložljivih podatkov). V razvrstitvah pogostnosti so neželeni učinki navedeni po padajoči resnosti. Vključena je bila največja pogostnost, ki je bila opažena med različnimi indikacijami. V stolpcu Organski sistem je zvezdica (*), če so v zvezi s tem vključene dodatne informacije v poglavjih 4.3, 4.4 in 4.8.</w:t>
      </w:r>
    </w:p>
    <w:p w14:paraId="1229B122" w14:textId="77777777" w:rsidR="00E04C8A" w:rsidRDefault="00E04C8A">
      <w:pPr>
        <w:spacing w:before="15" w:line="240" w:lineRule="exact"/>
        <w:rPr>
          <w:sz w:val="24"/>
          <w:szCs w:val="24"/>
          <w:lang w:val="sl-SI"/>
        </w:rPr>
      </w:pPr>
    </w:p>
    <w:p w14:paraId="647D1561" w14:textId="5D155E7B" w:rsidR="00E04C8A" w:rsidRDefault="008E1817">
      <w:pPr>
        <w:pStyle w:val="a3"/>
        <w:jc w:val="center"/>
        <w:rPr>
          <w:b/>
          <w:lang w:val="sl-SI"/>
        </w:rPr>
      </w:pPr>
      <w:r>
        <w:rPr>
          <w:rFonts w:eastAsia="Times New Roman"/>
          <w:b/>
          <w:bCs/>
          <w:lang w:val="sl-SI"/>
        </w:rPr>
        <w:t>Preglednica </w:t>
      </w:r>
      <w:r w:rsidR="00CF282E">
        <w:rPr>
          <w:rFonts w:eastAsia="Times New Roman"/>
          <w:b/>
          <w:bCs/>
          <w:lang w:val="sl-SI"/>
        </w:rPr>
        <w:t xml:space="preserve">7 </w:t>
      </w:r>
      <w:r>
        <w:rPr>
          <w:rFonts w:eastAsia="Times New Roman"/>
          <w:b/>
          <w:bCs/>
          <w:lang w:val="sl-SI"/>
        </w:rPr>
        <w:t>Neželeni učinki</w:t>
      </w:r>
    </w:p>
    <w:p w14:paraId="2DAA14A3" w14:textId="77777777" w:rsidR="00E04C8A" w:rsidRDefault="00E04C8A">
      <w:pPr>
        <w:spacing w:before="10" w:line="240" w:lineRule="exact"/>
        <w:rPr>
          <w:sz w:val="24"/>
          <w:szCs w:val="24"/>
          <w:lang w:val="sl-SI"/>
        </w:rPr>
      </w:pPr>
    </w:p>
    <w:tbl>
      <w:tblPr>
        <w:tblStyle w:val="TableNormal1"/>
        <w:tblW w:w="0" w:type="auto"/>
        <w:tblInd w:w="110" w:type="dxa"/>
        <w:tblLayout w:type="fixed"/>
        <w:tblLook w:val="01E0" w:firstRow="1" w:lastRow="1" w:firstColumn="1" w:lastColumn="1" w:noHBand="0" w:noVBand="0"/>
      </w:tblPr>
      <w:tblGrid>
        <w:gridCol w:w="2599"/>
        <w:gridCol w:w="2076"/>
        <w:gridCol w:w="4574"/>
      </w:tblGrid>
      <w:tr w:rsidR="00E04C8A" w:rsidRPr="00652F18" w14:paraId="75255B50" w14:textId="77777777" w:rsidTr="00721C46">
        <w:trPr>
          <w:tblHeader/>
        </w:trPr>
        <w:tc>
          <w:tcPr>
            <w:tcW w:w="2599" w:type="dxa"/>
            <w:tcBorders>
              <w:top w:val="single" w:sz="5" w:space="0" w:color="000000"/>
              <w:left w:val="single" w:sz="5" w:space="0" w:color="000000"/>
              <w:bottom w:val="single" w:sz="5" w:space="0" w:color="000000"/>
              <w:right w:val="single" w:sz="5" w:space="0" w:color="000000"/>
            </w:tcBorders>
            <w:vAlign w:val="center"/>
          </w:tcPr>
          <w:p w14:paraId="70E6885B" w14:textId="77777777" w:rsidR="00E04C8A" w:rsidRDefault="008E1817" w:rsidP="009900DB">
            <w:pPr>
              <w:pStyle w:val="TableParagraph"/>
              <w:ind w:left="22"/>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Organski sistem</w:t>
            </w:r>
          </w:p>
        </w:tc>
        <w:tc>
          <w:tcPr>
            <w:tcW w:w="2076" w:type="dxa"/>
            <w:tcBorders>
              <w:top w:val="single" w:sz="5" w:space="0" w:color="000000"/>
              <w:left w:val="single" w:sz="5" w:space="0" w:color="000000"/>
              <w:bottom w:val="single" w:sz="5" w:space="0" w:color="000000"/>
              <w:right w:val="single" w:sz="5" w:space="0" w:color="000000"/>
            </w:tcBorders>
            <w:vAlign w:val="center"/>
          </w:tcPr>
          <w:p w14:paraId="5709EE6A" w14:textId="77777777" w:rsidR="00E04C8A" w:rsidRDefault="008E1817" w:rsidP="009900D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lang w:val="sl-SI"/>
              </w:rPr>
              <w:t>Pogostnost</w:t>
            </w:r>
          </w:p>
        </w:tc>
        <w:tc>
          <w:tcPr>
            <w:tcW w:w="4574" w:type="dxa"/>
            <w:tcBorders>
              <w:top w:val="single" w:sz="5" w:space="0" w:color="000000"/>
              <w:left w:val="single" w:sz="5" w:space="0" w:color="000000"/>
              <w:bottom w:val="single" w:sz="5" w:space="0" w:color="000000"/>
              <w:right w:val="single" w:sz="5" w:space="0" w:color="000000"/>
            </w:tcBorders>
            <w:vAlign w:val="center"/>
          </w:tcPr>
          <w:p w14:paraId="330C2CF4" w14:textId="77777777" w:rsidR="00E04C8A" w:rsidRDefault="008E1817" w:rsidP="009900D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Neželeni učinek</w:t>
            </w:r>
          </w:p>
        </w:tc>
      </w:tr>
      <w:tr w:rsidR="00E04C8A" w:rsidRPr="00631172" w14:paraId="77A18606" w14:textId="77777777" w:rsidTr="00797234">
        <w:tc>
          <w:tcPr>
            <w:tcW w:w="2599" w:type="dxa"/>
            <w:vMerge w:val="restart"/>
            <w:tcBorders>
              <w:top w:val="single" w:sz="5" w:space="0" w:color="000000"/>
              <w:left w:val="single" w:sz="5" w:space="0" w:color="000000"/>
              <w:right w:val="single" w:sz="5" w:space="0" w:color="000000"/>
            </w:tcBorders>
          </w:tcPr>
          <w:p w14:paraId="352D01A0" w14:textId="77777777" w:rsidR="00E04C8A" w:rsidRDefault="008E1817" w:rsidP="00797234">
            <w:pPr>
              <w:pStyle w:val="TableParagraph"/>
              <w:ind w:left="102" w:right="155"/>
              <w:rPr>
                <w:rFonts w:ascii="Times New Roman" w:eastAsia="Times New Roman" w:hAnsi="Times New Roman" w:cs="Times New Roman"/>
                <w:lang w:val="sl-SI"/>
              </w:rPr>
            </w:pPr>
            <w:r>
              <w:rPr>
                <w:rFonts w:ascii="Times New Roman" w:eastAsia="Times New Roman" w:hAnsi="Times New Roman" w:cs="Times New Roman"/>
                <w:spacing w:val="-1"/>
                <w:lang w:val="sl-SI"/>
              </w:rPr>
              <w:t>Infekcijske in parazitske bolezni</w:t>
            </w:r>
            <w:r w:rsidR="0089718D" w:rsidRPr="000B07F9">
              <w:rPr>
                <w:rFonts w:ascii="Times New Roman" w:eastAsia="Times New Roman" w:hAnsi="Times New Roman" w:cs="Times New Roman"/>
                <w:spacing w:val="-1"/>
              </w:rPr>
              <w:t>*</w:t>
            </w:r>
          </w:p>
        </w:tc>
        <w:tc>
          <w:tcPr>
            <w:tcW w:w="2076" w:type="dxa"/>
            <w:tcBorders>
              <w:top w:val="single" w:sz="5" w:space="0" w:color="000000"/>
              <w:left w:val="single" w:sz="5" w:space="0" w:color="000000"/>
              <w:bottom w:val="single" w:sz="5" w:space="0" w:color="000000"/>
              <w:right w:val="single" w:sz="5" w:space="0" w:color="000000"/>
            </w:tcBorders>
          </w:tcPr>
          <w:p w14:paraId="1AA430D1"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27F185AA"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okužbe dihal (vključno z okužbo spodnjih in zgornjih dihal, pljučnico, sinusitisom, faringitisom, nazofaringitisom in pljučnim virusnim herpesom)</w:t>
            </w:r>
          </w:p>
        </w:tc>
      </w:tr>
      <w:tr w:rsidR="00E04C8A" w14:paraId="1304742E" w14:textId="77777777" w:rsidTr="00797234">
        <w:tc>
          <w:tcPr>
            <w:tcW w:w="2599" w:type="dxa"/>
            <w:vMerge/>
            <w:tcBorders>
              <w:left w:val="single" w:sz="5" w:space="0" w:color="000000"/>
              <w:right w:val="single" w:sz="5" w:space="0" w:color="000000"/>
            </w:tcBorders>
          </w:tcPr>
          <w:p w14:paraId="0A9F8806"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2531FAC4"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096DE79B"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sistemske okužbe (vključno s sepso, kandidozo in gripo),</w:t>
            </w:r>
          </w:p>
          <w:p w14:paraId="585AD3D7"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črevesne okužbe (vključno z virusnim gastroenteritisom),</w:t>
            </w:r>
          </w:p>
          <w:p w14:paraId="2F7DB13A"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okužbe kože in mehkega tkiva (vključno s</w:t>
            </w:r>
          </w:p>
          <w:p w14:paraId="0404DAE9"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paronihijo, celulitisom, impetigom, </w:t>
            </w:r>
            <w:r>
              <w:rPr>
                <w:rFonts w:ascii="Times New Roman" w:eastAsia="Times New Roman" w:hAnsi="Times New Roman" w:cs="Times New Roman"/>
                <w:spacing w:val="-1"/>
                <w:lang w:val="sl-SI"/>
              </w:rPr>
              <w:lastRenderedPageBreak/>
              <w:t>nekrotizirajočim fasciitisom in herpes zostrom),</w:t>
            </w:r>
          </w:p>
          <w:p w14:paraId="494ED225"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okužbe ušes,</w:t>
            </w:r>
          </w:p>
          <w:p w14:paraId="6FE0A370"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okužbe ustne votline (vključno z herpes simpleksom, ustnim herpesom in okužbami zob),</w:t>
            </w:r>
          </w:p>
          <w:p w14:paraId="3AA7B0D3" w14:textId="77777777" w:rsidR="009900DB" w:rsidRDefault="008E1817" w:rsidP="00797234">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okužbe rodil (vključno z vulvovaginalno mikotično okužbo), </w:t>
            </w:r>
          </w:p>
          <w:p w14:paraId="2DE8F9AF" w14:textId="17D670EC"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okužbe sečil (vključno s</w:t>
            </w:r>
            <w:r w:rsidR="009900D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pielonefritisom),</w:t>
            </w:r>
          </w:p>
          <w:p w14:paraId="709BE6E6" w14:textId="77777777" w:rsidR="009900DB"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 xml:space="preserve">glivične okužbe, </w:t>
            </w:r>
          </w:p>
          <w:p w14:paraId="5DBF67F8" w14:textId="09B49A9B"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okužbe sklepov</w:t>
            </w:r>
          </w:p>
        </w:tc>
      </w:tr>
      <w:tr w:rsidR="00E04C8A" w:rsidRPr="00797234" w14:paraId="1B5677B8" w14:textId="77777777" w:rsidTr="00797234">
        <w:tc>
          <w:tcPr>
            <w:tcW w:w="2599" w:type="dxa"/>
            <w:vMerge/>
            <w:tcBorders>
              <w:left w:val="single" w:sz="5" w:space="0" w:color="000000"/>
              <w:bottom w:val="single" w:sz="5" w:space="0" w:color="000000"/>
              <w:right w:val="single" w:sz="5" w:space="0" w:color="000000"/>
            </w:tcBorders>
          </w:tcPr>
          <w:p w14:paraId="2CE9CF72"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20C80DE0"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35C90C76"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nevrološke okužbe (vključno s virusnim </w:t>
            </w:r>
            <w:r>
              <w:rPr>
                <w:rFonts w:ascii="Times New Roman" w:eastAsia="Times New Roman" w:hAnsi="Times New Roman" w:cs="Times New Roman"/>
                <w:lang w:val="sl-SI"/>
              </w:rPr>
              <w:t>meningitisom),</w:t>
            </w:r>
          </w:p>
          <w:p w14:paraId="7B91A738" w14:textId="77777777" w:rsidR="009900DB" w:rsidRDefault="008E1817" w:rsidP="00797234">
            <w:pPr>
              <w:pStyle w:val="TableParagraph"/>
              <w:ind w:left="99" w:right="235"/>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oportunistične okužbe in tuberkuloza (vključno s kokcidioidomikozo, histoplazmozo in kompleksno okužbo z Mycobacterium avium), bakterijske okužbe, </w:t>
            </w:r>
          </w:p>
          <w:p w14:paraId="403091D4" w14:textId="77777777" w:rsidR="009900DB" w:rsidRDefault="008E1817" w:rsidP="00797234">
            <w:pPr>
              <w:pStyle w:val="TableParagraph"/>
              <w:ind w:left="99" w:right="235"/>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okužbe oči, </w:t>
            </w:r>
          </w:p>
          <w:p w14:paraId="7CEFECA5" w14:textId="556C8B80" w:rsidR="00E04C8A" w:rsidRDefault="008E1817" w:rsidP="00797234">
            <w:pPr>
              <w:pStyle w:val="TableParagraph"/>
              <w:ind w:left="99" w:right="235"/>
              <w:rPr>
                <w:rFonts w:ascii="Times New Roman" w:eastAsia="Times New Roman" w:hAnsi="Times New Roman" w:cs="Times New Roman"/>
                <w:lang w:val="sl-SI"/>
              </w:rPr>
            </w:pPr>
            <w:r>
              <w:rPr>
                <w:rFonts w:ascii="Times New Roman" w:eastAsia="Times New Roman" w:hAnsi="Times New Roman" w:cs="Times New Roman"/>
                <w:spacing w:val="-1"/>
                <w:lang w:val="sl-SI"/>
              </w:rPr>
              <w:t>divertikulitis</w:t>
            </w:r>
            <w:r>
              <w:rPr>
                <w:rFonts w:ascii="Times New Roman" w:eastAsia="Times New Roman" w:hAnsi="Times New Roman" w:cs="Times New Roman"/>
                <w:spacing w:val="-1"/>
                <w:vertAlign w:val="superscript"/>
                <w:lang w:val="sl-SI"/>
              </w:rPr>
              <w:t>1)</w:t>
            </w:r>
          </w:p>
        </w:tc>
      </w:tr>
      <w:tr w:rsidR="00E04C8A" w:rsidRPr="00797234" w14:paraId="15C550A8" w14:textId="77777777" w:rsidTr="00797234">
        <w:tc>
          <w:tcPr>
            <w:tcW w:w="2599" w:type="dxa"/>
            <w:vMerge w:val="restart"/>
            <w:tcBorders>
              <w:top w:val="single" w:sz="5" w:space="0" w:color="000000"/>
              <w:left w:val="single" w:sz="5" w:space="0" w:color="000000"/>
              <w:right w:val="single" w:sz="5" w:space="0" w:color="000000"/>
            </w:tcBorders>
          </w:tcPr>
          <w:p w14:paraId="5F3B9865" w14:textId="77777777" w:rsidR="00E04C8A" w:rsidRDefault="008E1817" w:rsidP="00797234">
            <w:pPr>
              <w:pStyle w:val="TableParagraph"/>
              <w:ind w:left="102" w:right="11"/>
              <w:rPr>
                <w:rFonts w:ascii="Times New Roman" w:eastAsia="Times New Roman" w:hAnsi="Times New Roman" w:cs="Times New Roman"/>
                <w:lang w:val="sl-SI"/>
              </w:rPr>
            </w:pPr>
            <w:r>
              <w:rPr>
                <w:rFonts w:ascii="Times New Roman" w:eastAsia="Times New Roman" w:hAnsi="Times New Roman" w:cs="Times New Roman"/>
                <w:spacing w:val="-1"/>
                <w:lang w:val="sl-SI"/>
              </w:rPr>
              <w:t>Benigne, maligne in neopredeljene novotvorbe (vključno s cistami in polipi)*</w:t>
            </w:r>
          </w:p>
        </w:tc>
        <w:tc>
          <w:tcPr>
            <w:tcW w:w="2076" w:type="dxa"/>
            <w:tcBorders>
              <w:top w:val="single" w:sz="5" w:space="0" w:color="000000"/>
              <w:left w:val="single" w:sz="5" w:space="0" w:color="000000"/>
              <w:bottom w:val="single" w:sz="5" w:space="0" w:color="000000"/>
              <w:right w:val="single" w:sz="5" w:space="0" w:color="000000"/>
            </w:tcBorders>
          </w:tcPr>
          <w:p w14:paraId="0C5250A2"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2C1F90D6" w14:textId="77777777" w:rsidR="009900DB" w:rsidRDefault="008E1817" w:rsidP="00797234">
            <w:pPr>
              <w:pStyle w:val="TableParagraph"/>
              <w:ind w:left="99" w:right="18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rak kože, </w:t>
            </w:r>
          </w:p>
          <w:p w14:paraId="08B2BD1C" w14:textId="77777777" w:rsidR="009900DB" w:rsidRDefault="008E1817" w:rsidP="00797234">
            <w:pPr>
              <w:pStyle w:val="TableParagraph"/>
              <w:ind w:left="99" w:right="18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ki ne vključuje malignega melanoma (vključno z bazalnoceličnim karcinomom in ploščatoceličnim karcinomom), </w:t>
            </w:r>
          </w:p>
          <w:p w14:paraId="4CEC0695" w14:textId="5A79AB70" w:rsidR="00E04C8A" w:rsidRDefault="008E1817" w:rsidP="00797234">
            <w:pPr>
              <w:pStyle w:val="TableParagraph"/>
              <w:ind w:left="99" w:right="187"/>
              <w:rPr>
                <w:rFonts w:ascii="Times New Roman" w:eastAsia="Times New Roman" w:hAnsi="Times New Roman" w:cs="Times New Roman"/>
                <w:lang w:val="sl-SI"/>
              </w:rPr>
            </w:pPr>
            <w:r>
              <w:rPr>
                <w:rFonts w:ascii="Times New Roman" w:eastAsia="Times New Roman" w:hAnsi="Times New Roman" w:cs="Times New Roman"/>
                <w:spacing w:val="-1"/>
                <w:lang w:val="sl-SI"/>
              </w:rPr>
              <w:t>benigne novotvorbe,</w:t>
            </w:r>
          </w:p>
        </w:tc>
      </w:tr>
      <w:tr w:rsidR="00E04C8A" w14:paraId="756D2C23" w14:textId="77777777" w:rsidTr="00797234">
        <w:tc>
          <w:tcPr>
            <w:tcW w:w="2599" w:type="dxa"/>
            <w:vMerge/>
            <w:tcBorders>
              <w:left w:val="single" w:sz="5" w:space="0" w:color="000000"/>
              <w:right w:val="single" w:sz="5" w:space="0" w:color="000000"/>
            </w:tcBorders>
          </w:tcPr>
          <w:p w14:paraId="4DB3FE4B"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D2F651B"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6E4678D3"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limfom**,</w:t>
            </w:r>
          </w:p>
          <w:p w14:paraId="20962373" w14:textId="77777777" w:rsidR="00E04C8A" w:rsidRDefault="008E1817" w:rsidP="00797234">
            <w:pPr>
              <w:pStyle w:val="TableParagraph"/>
              <w:ind w:left="99" w:right="244"/>
              <w:rPr>
                <w:rFonts w:ascii="Times New Roman" w:eastAsia="Times New Roman" w:hAnsi="Times New Roman" w:cs="Times New Roman"/>
                <w:lang w:val="sl-SI"/>
              </w:rPr>
            </w:pPr>
            <w:r>
              <w:rPr>
                <w:rFonts w:ascii="Times New Roman" w:eastAsia="Times New Roman" w:hAnsi="Times New Roman" w:cs="Times New Roman"/>
                <w:spacing w:val="-1"/>
                <w:lang w:val="sl-SI"/>
              </w:rPr>
              <w:t>tumorji parenhimskih organov (vključno s rakom dojk, tumorjem pljuč in tumorjem ščitnice),</w:t>
            </w:r>
          </w:p>
          <w:p w14:paraId="3ADAC2BA"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melanom**</w:t>
            </w:r>
          </w:p>
        </w:tc>
      </w:tr>
      <w:tr w:rsidR="00E04C8A" w14:paraId="53223563" w14:textId="77777777" w:rsidTr="00797234">
        <w:tc>
          <w:tcPr>
            <w:tcW w:w="2599" w:type="dxa"/>
            <w:vMerge/>
            <w:tcBorders>
              <w:left w:val="single" w:sz="5" w:space="0" w:color="000000"/>
              <w:right w:val="single" w:sz="5" w:space="0" w:color="000000"/>
            </w:tcBorders>
          </w:tcPr>
          <w:p w14:paraId="7843415C"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472F4FFF"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7D1CC0ED"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levkemija</w:t>
            </w:r>
            <w:r>
              <w:rPr>
                <w:rFonts w:ascii="Times New Roman" w:eastAsia="Times New Roman" w:hAnsi="Times New Roman" w:cs="Times New Roman"/>
                <w:spacing w:val="-1"/>
                <w:vertAlign w:val="superscript"/>
                <w:lang w:val="sl-SI"/>
              </w:rPr>
              <w:t>1)</w:t>
            </w:r>
          </w:p>
        </w:tc>
      </w:tr>
      <w:tr w:rsidR="00E04C8A" w14:paraId="4C89E507" w14:textId="77777777" w:rsidTr="00797234">
        <w:tc>
          <w:tcPr>
            <w:tcW w:w="2599" w:type="dxa"/>
            <w:vMerge/>
            <w:tcBorders>
              <w:left w:val="single" w:sz="5" w:space="0" w:color="000000"/>
              <w:bottom w:val="single" w:sz="5" w:space="0" w:color="000000"/>
              <w:right w:val="single" w:sz="5" w:space="0" w:color="000000"/>
            </w:tcBorders>
          </w:tcPr>
          <w:p w14:paraId="62670961"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25DFB617"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Neznana pogostnost</w:t>
            </w:r>
          </w:p>
        </w:tc>
        <w:tc>
          <w:tcPr>
            <w:tcW w:w="4574" w:type="dxa"/>
            <w:tcBorders>
              <w:top w:val="single" w:sz="5" w:space="0" w:color="000000"/>
              <w:left w:val="single" w:sz="5" w:space="0" w:color="000000"/>
              <w:bottom w:val="single" w:sz="5" w:space="0" w:color="000000"/>
              <w:right w:val="single" w:sz="5" w:space="0" w:color="000000"/>
            </w:tcBorders>
          </w:tcPr>
          <w:p w14:paraId="125960C2" w14:textId="77777777" w:rsidR="00E04C8A" w:rsidRDefault="008E1817" w:rsidP="00797234">
            <w:pPr>
              <w:pStyle w:val="TableParagraph"/>
              <w:ind w:left="96"/>
              <w:rPr>
                <w:rFonts w:ascii="Times New Roman" w:eastAsia="Times New Roman" w:hAnsi="Times New Roman" w:cs="Times New Roman"/>
                <w:w w:val="99"/>
                <w:position w:val="8"/>
                <w:lang w:val="sl-SI"/>
              </w:rPr>
            </w:pPr>
            <w:r>
              <w:rPr>
                <w:rFonts w:ascii="Times New Roman" w:eastAsia="Times New Roman" w:hAnsi="Times New Roman" w:cs="Times New Roman"/>
                <w:spacing w:val="-1"/>
                <w:lang w:val="sl-SI"/>
              </w:rPr>
              <w:t>hepatosplenični T-celični limfom</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w:t>
            </w:r>
          </w:p>
          <w:p w14:paraId="09E1A222" w14:textId="77777777" w:rsidR="00E04C8A" w:rsidRDefault="008E1817" w:rsidP="00797234">
            <w:pPr>
              <w:pStyle w:val="TableParagraph"/>
              <w:ind w:left="96"/>
              <w:rPr>
                <w:rFonts w:ascii="Times New Roman" w:eastAsia="Times New Roman" w:hAnsi="Times New Roman" w:cs="Times New Roman"/>
                <w:w w:val="99"/>
                <w:position w:val="8"/>
                <w:lang w:val="sl-SI"/>
              </w:rPr>
            </w:pPr>
            <w:r>
              <w:rPr>
                <w:rFonts w:ascii="Times New Roman" w:eastAsia="Times New Roman" w:hAnsi="Times New Roman" w:cs="Times New Roman"/>
                <w:spacing w:val="-1"/>
                <w:lang w:val="sl-SI"/>
              </w:rPr>
              <w:t>karcinom Merklovih celic (nevroendokrini karcinom kože)</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 xml:space="preserve">, </w:t>
            </w:r>
          </w:p>
          <w:p w14:paraId="3015B9E9" w14:textId="18B6D837" w:rsidR="00E04C8A" w:rsidRDefault="008E1817" w:rsidP="00797234">
            <w:pPr>
              <w:pStyle w:val="TableParagraph"/>
              <w:ind w:left="96"/>
              <w:rPr>
                <w:rFonts w:ascii="Times New Roman" w:eastAsia="Times New Roman" w:hAnsi="Times New Roman" w:cs="Times New Roman"/>
                <w:lang w:val="sl-SI"/>
              </w:rPr>
            </w:pPr>
            <w:r>
              <w:rPr>
                <w:rFonts w:ascii="Times New Roman" w:eastAsia="Times New Roman" w:hAnsi="Times New Roman" w:cs="Times New Roman"/>
                <w:spacing w:val="-1"/>
                <w:lang w:val="sl-SI"/>
              </w:rPr>
              <w:t>Kaposijev sarkom</w:t>
            </w:r>
          </w:p>
        </w:tc>
      </w:tr>
      <w:tr w:rsidR="00E04C8A" w14:paraId="6589A357" w14:textId="77777777" w:rsidTr="00797234">
        <w:tc>
          <w:tcPr>
            <w:tcW w:w="2599" w:type="dxa"/>
            <w:vMerge w:val="restart"/>
            <w:tcBorders>
              <w:top w:val="single" w:sz="5" w:space="0" w:color="000000"/>
              <w:left w:val="single" w:sz="5" w:space="0" w:color="000000"/>
              <w:right w:val="single" w:sz="5" w:space="0" w:color="000000"/>
            </w:tcBorders>
          </w:tcPr>
          <w:p w14:paraId="61241F06"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Bolezni krvi in limfatičnega sistema*</w:t>
            </w:r>
          </w:p>
        </w:tc>
        <w:tc>
          <w:tcPr>
            <w:tcW w:w="2076" w:type="dxa"/>
            <w:tcBorders>
              <w:top w:val="single" w:sz="5" w:space="0" w:color="000000"/>
              <w:left w:val="single" w:sz="5" w:space="0" w:color="000000"/>
              <w:bottom w:val="single" w:sz="5" w:space="0" w:color="000000"/>
              <w:right w:val="single" w:sz="5" w:space="0" w:color="000000"/>
            </w:tcBorders>
          </w:tcPr>
          <w:p w14:paraId="41C70F15"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0C9A73AC"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levkopenija (vključno z nevtropenijo in agranulocitozo),</w:t>
            </w:r>
          </w:p>
          <w:p w14:paraId="1C543533" w14:textId="39917E96"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anemija</w:t>
            </w:r>
          </w:p>
        </w:tc>
      </w:tr>
      <w:tr w:rsidR="00E04C8A" w14:paraId="1F2FD1EA" w14:textId="77777777" w:rsidTr="00797234">
        <w:tc>
          <w:tcPr>
            <w:tcW w:w="2599" w:type="dxa"/>
            <w:vMerge/>
            <w:tcBorders>
              <w:left w:val="single" w:sz="5" w:space="0" w:color="000000"/>
              <w:right w:val="single" w:sz="5" w:space="0" w:color="000000"/>
            </w:tcBorders>
          </w:tcPr>
          <w:p w14:paraId="6C4C3B30"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43878092"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405C3CAD"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levkocitoza,</w:t>
            </w:r>
          </w:p>
          <w:p w14:paraId="2D90984F" w14:textId="1DB21AB5"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trombocitopenija</w:t>
            </w:r>
          </w:p>
        </w:tc>
      </w:tr>
      <w:tr w:rsidR="00E04C8A" w14:paraId="51829BED" w14:textId="77777777" w:rsidTr="00797234">
        <w:tc>
          <w:tcPr>
            <w:tcW w:w="2599" w:type="dxa"/>
            <w:vMerge/>
            <w:tcBorders>
              <w:left w:val="single" w:sz="5" w:space="0" w:color="000000"/>
              <w:right w:val="single" w:sz="5" w:space="0" w:color="000000"/>
            </w:tcBorders>
          </w:tcPr>
          <w:p w14:paraId="0894AEDD"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4B05183F"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1D7FF910" w14:textId="54B75FE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4"/>
                <w:lang w:val="sl-SI"/>
              </w:rPr>
              <w:t>idiopatska trombocitopenična purpura</w:t>
            </w:r>
          </w:p>
        </w:tc>
      </w:tr>
      <w:tr w:rsidR="00E04C8A" w14:paraId="47C35C45" w14:textId="77777777" w:rsidTr="00797234">
        <w:tc>
          <w:tcPr>
            <w:tcW w:w="2599" w:type="dxa"/>
            <w:vMerge/>
            <w:tcBorders>
              <w:left w:val="single" w:sz="5" w:space="0" w:color="000000"/>
              <w:bottom w:val="single" w:sz="5" w:space="0" w:color="000000"/>
              <w:right w:val="single" w:sz="5" w:space="0" w:color="000000"/>
            </w:tcBorders>
          </w:tcPr>
          <w:p w14:paraId="1AA4A705"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39A82F14"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0422D7F4" w14:textId="19E70C11"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pancitopenija</w:t>
            </w:r>
          </w:p>
        </w:tc>
      </w:tr>
      <w:tr w:rsidR="00E04C8A" w:rsidRPr="00652F18" w14:paraId="4C4B1D55" w14:textId="77777777" w:rsidTr="00797234">
        <w:tc>
          <w:tcPr>
            <w:tcW w:w="2599" w:type="dxa"/>
            <w:vMerge w:val="restart"/>
            <w:tcBorders>
              <w:top w:val="single" w:sz="5" w:space="0" w:color="000000"/>
              <w:left w:val="single" w:sz="5" w:space="0" w:color="000000"/>
              <w:right w:val="single" w:sz="5" w:space="0" w:color="000000"/>
            </w:tcBorders>
          </w:tcPr>
          <w:p w14:paraId="2CB7987C"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Bolezni imunskega sistema</w:t>
            </w:r>
            <w:r w:rsidR="0089718D" w:rsidRPr="000B07F9">
              <w:rPr>
                <w:rFonts w:ascii="Times New Roman" w:eastAsia="Times New Roman" w:hAnsi="Times New Roman" w:cs="Times New Roman"/>
                <w:spacing w:val="-1"/>
              </w:rPr>
              <w:t>*</w:t>
            </w:r>
          </w:p>
        </w:tc>
        <w:tc>
          <w:tcPr>
            <w:tcW w:w="2076" w:type="dxa"/>
            <w:tcBorders>
              <w:top w:val="single" w:sz="5" w:space="0" w:color="000000"/>
              <w:left w:val="single" w:sz="5" w:space="0" w:color="000000"/>
              <w:bottom w:val="single" w:sz="5" w:space="0" w:color="000000"/>
              <w:right w:val="single" w:sz="5" w:space="0" w:color="000000"/>
            </w:tcBorders>
          </w:tcPr>
          <w:p w14:paraId="1A61A996"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2FB39F7B"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preobčutljivost,</w:t>
            </w:r>
          </w:p>
          <w:p w14:paraId="18FA102C" w14:textId="4FC6B846"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alergije (vključno s sezonsko alergijo)</w:t>
            </w:r>
          </w:p>
        </w:tc>
      </w:tr>
      <w:tr w:rsidR="00E04C8A" w14:paraId="012CFC01" w14:textId="77777777" w:rsidTr="00797234">
        <w:tc>
          <w:tcPr>
            <w:tcW w:w="2599" w:type="dxa"/>
            <w:vMerge/>
            <w:tcBorders>
              <w:left w:val="single" w:sz="5" w:space="0" w:color="000000"/>
              <w:right w:val="single" w:sz="5" w:space="0" w:color="000000"/>
            </w:tcBorders>
          </w:tcPr>
          <w:p w14:paraId="78B12C4E"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3FFD91CA"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7DCECA1F" w14:textId="77777777" w:rsidR="00E04C8A" w:rsidRDefault="008E1817" w:rsidP="00797234">
            <w:pPr>
              <w:pStyle w:val="TableParagraph"/>
              <w:ind w:left="99" w:right="3183"/>
              <w:rPr>
                <w:rFonts w:ascii="Times New Roman" w:eastAsia="Times New Roman" w:hAnsi="Times New Roman" w:cs="Times New Roman"/>
                <w:lang w:val="sl-SI"/>
              </w:rPr>
            </w:pPr>
            <w:r>
              <w:rPr>
                <w:rFonts w:ascii="Times New Roman" w:eastAsia="Times New Roman" w:hAnsi="Times New Roman" w:cs="Times New Roman"/>
                <w:spacing w:val="-1"/>
                <w:lang w:val="sl-SI"/>
              </w:rPr>
              <w:t>sarkoidoza</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 vaskulitis</w:t>
            </w:r>
          </w:p>
        </w:tc>
      </w:tr>
      <w:tr w:rsidR="00E04C8A" w14:paraId="18A7FD2A" w14:textId="77777777" w:rsidTr="00797234">
        <w:tc>
          <w:tcPr>
            <w:tcW w:w="2599" w:type="dxa"/>
            <w:vMerge/>
            <w:tcBorders>
              <w:left w:val="single" w:sz="5" w:space="0" w:color="000000"/>
              <w:bottom w:val="single" w:sz="5" w:space="0" w:color="000000"/>
              <w:right w:val="single" w:sz="5" w:space="0" w:color="000000"/>
            </w:tcBorders>
          </w:tcPr>
          <w:p w14:paraId="35CC65D7"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7D6BBAC6"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28E94926"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anafilaksa</w:t>
            </w:r>
            <w:r>
              <w:rPr>
                <w:rFonts w:ascii="Times New Roman" w:eastAsia="Times New Roman" w:hAnsi="Times New Roman" w:cs="Times New Roman"/>
                <w:spacing w:val="-1"/>
                <w:vertAlign w:val="superscript"/>
                <w:lang w:val="sl-SI"/>
              </w:rPr>
              <w:t>1)</w:t>
            </w:r>
          </w:p>
        </w:tc>
      </w:tr>
      <w:tr w:rsidR="00E04C8A" w14:paraId="04046C57" w14:textId="77777777" w:rsidTr="00797234">
        <w:tc>
          <w:tcPr>
            <w:tcW w:w="2599" w:type="dxa"/>
            <w:vMerge w:val="restart"/>
            <w:tcBorders>
              <w:top w:val="single" w:sz="5" w:space="0" w:color="000000"/>
              <w:left w:val="single" w:sz="5" w:space="0" w:color="000000"/>
              <w:right w:val="single" w:sz="5" w:space="0" w:color="000000"/>
            </w:tcBorders>
          </w:tcPr>
          <w:p w14:paraId="7FA7FD3C"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Presnovne in prehranske motnje</w:t>
            </w:r>
          </w:p>
        </w:tc>
        <w:tc>
          <w:tcPr>
            <w:tcW w:w="2076" w:type="dxa"/>
            <w:tcBorders>
              <w:top w:val="single" w:sz="5" w:space="0" w:color="000000"/>
              <w:left w:val="single" w:sz="5" w:space="0" w:color="000000"/>
              <w:bottom w:val="single" w:sz="5" w:space="0" w:color="000000"/>
              <w:right w:val="single" w:sz="5" w:space="0" w:color="000000"/>
            </w:tcBorders>
          </w:tcPr>
          <w:p w14:paraId="6AAAE3DA"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38F4022E" w14:textId="159835F1"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zvečanje vrednosti lipidov</w:t>
            </w:r>
          </w:p>
        </w:tc>
      </w:tr>
      <w:tr w:rsidR="00E04C8A" w:rsidRPr="00652F18" w14:paraId="01C081CB" w14:textId="77777777" w:rsidTr="00797234">
        <w:tc>
          <w:tcPr>
            <w:tcW w:w="2599" w:type="dxa"/>
            <w:vMerge/>
            <w:tcBorders>
              <w:left w:val="single" w:sz="5" w:space="0" w:color="000000"/>
              <w:bottom w:val="single" w:sz="5" w:space="0" w:color="000000"/>
              <w:right w:val="single" w:sz="5" w:space="0" w:color="000000"/>
            </w:tcBorders>
          </w:tcPr>
          <w:p w14:paraId="38BCFFFA"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45B4E067"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4711AD4E"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hipokaliemija,</w:t>
            </w:r>
          </w:p>
          <w:p w14:paraId="29DECB9C" w14:textId="77777777" w:rsidR="009900DB" w:rsidRDefault="008E1817" w:rsidP="00797234">
            <w:pPr>
              <w:pStyle w:val="TableParagraph"/>
              <w:ind w:left="99" w:right="293"/>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zvečanje vrednosti sečne kisline, </w:t>
            </w:r>
          </w:p>
          <w:p w14:paraId="168A124C" w14:textId="77777777" w:rsidR="009900DB" w:rsidRDefault="008E1817" w:rsidP="00797234">
            <w:pPr>
              <w:pStyle w:val="TableParagraph"/>
              <w:ind w:left="99" w:right="293"/>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nenormalna koncentracija natrija v krvi, hipokalciemija, </w:t>
            </w:r>
          </w:p>
          <w:p w14:paraId="0E97419F" w14:textId="77777777" w:rsidR="009900DB" w:rsidRDefault="008E1817" w:rsidP="00797234">
            <w:pPr>
              <w:pStyle w:val="TableParagraph"/>
              <w:ind w:left="99" w:right="293"/>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hiperglikemija, </w:t>
            </w:r>
          </w:p>
          <w:p w14:paraId="5B0B95B4" w14:textId="77777777" w:rsidR="009900DB" w:rsidRDefault="008E1817" w:rsidP="00797234">
            <w:pPr>
              <w:pStyle w:val="TableParagraph"/>
              <w:ind w:left="99" w:right="293"/>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hipofosfatemija, </w:t>
            </w:r>
          </w:p>
          <w:p w14:paraId="0C3253AB" w14:textId="0B5A103B" w:rsidR="00E04C8A" w:rsidRDefault="008E1817" w:rsidP="00797234">
            <w:pPr>
              <w:pStyle w:val="TableParagraph"/>
              <w:ind w:left="99" w:right="293"/>
              <w:rPr>
                <w:rFonts w:ascii="Times New Roman" w:eastAsia="Times New Roman" w:hAnsi="Times New Roman" w:cs="Times New Roman"/>
                <w:lang w:val="sl-SI"/>
              </w:rPr>
            </w:pPr>
            <w:r>
              <w:rPr>
                <w:rFonts w:ascii="Times New Roman" w:eastAsia="Times New Roman" w:hAnsi="Times New Roman" w:cs="Times New Roman"/>
                <w:spacing w:val="-1"/>
                <w:lang w:val="sl-SI"/>
              </w:rPr>
              <w:t>dehidracija</w:t>
            </w:r>
          </w:p>
        </w:tc>
      </w:tr>
      <w:tr w:rsidR="00E04C8A" w14:paraId="685DE419" w14:textId="77777777" w:rsidTr="00797234">
        <w:tc>
          <w:tcPr>
            <w:tcW w:w="2599" w:type="dxa"/>
            <w:tcBorders>
              <w:top w:val="single" w:sz="5" w:space="0" w:color="000000"/>
              <w:left w:val="single" w:sz="5" w:space="0" w:color="000000"/>
              <w:bottom w:val="single" w:sz="5" w:space="0" w:color="000000"/>
              <w:right w:val="single" w:sz="5" w:space="0" w:color="000000"/>
            </w:tcBorders>
          </w:tcPr>
          <w:p w14:paraId="514004D6"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lastRenderedPageBreak/>
              <w:t>Psihiatrične motnje</w:t>
            </w:r>
          </w:p>
        </w:tc>
        <w:tc>
          <w:tcPr>
            <w:tcW w:w="2076" w:type="dxa"/>
            <w:tcBorders>
              <w:top w:val="single" w:sz="5" w:space="0" w:color="000000"/>
              <w:left w:val="single" w:sz="5" w:space="0" w:color="000000"/>
              <w:bottom w:val="single" w:sz="5" w:space="0" w:color="000000"/>
              <w:right w:val="single" w:sz="5" w:space="0" w:color="000000"/>
            </w:tcBorders>
          </w:tcPr>
          <w:p w14:paraId="20067983"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05346115" w14:textId="77777777" w:rsidR="009900DB" w:rsidRDefault="008E1817" w:rsidP="00797234">
            <w:pPr>
              <w:pStyle w:val="TableParagraph"/>
              <w:ind w:left="99" w:right="244"/>
              <w:rPr>
                <w:rFonts w:ascii="Times New Roman" w:eastAsia="Times New Roman" w:hAnsi="Times New Roman" w:cs="Times New Roman"/>
                <w:lang w:val="sl-SI"/>
              </w:rPr>
            </w:pPr>
            <w:r>
              <w:rPr>
                <w:rFonts w:ascii="Times New Roman" w:eastAsia="Times New Roman" w:hAnsi="Times New Roman" w:cs="Times New Roman"/>
                <w:lang w:val="sl-SI"/>
              </w:rPr>
              <w:t xml:space="preserve">spremembe razpoloženja (vključno z depresijo), </w:t>
            </w:r>
          </w:p>
          <w:p w14:paraId="3370530F" w14:textId="6A60233A" w:rsidR="00E04C8A" w:rsidRDefault="008E1817" w:rsidP="00797234">
            <w:pPr>
              <w:pStyle w:val="TableParagraph"/>
              <w:ind w:left="99" w:right="244"/>
              <w:rPr>
                <w:rFonts w:ascii="Times New Roman" w:eastAsia="Times New Roman" w:hAnsi="Times New Roman" w:cs="Times New Roman"/>
                <w:lang w:val="sl-SI"/>
              </w:rPr>
            </w:pPr>
            <w:r>
              <w:rPr>
                <w:rFonts w:ascii="Times New Roman" w:eastAsia="Times New Roman" w:hAnsi="Times New Roman" w:cs="Times New Roman"/>
                <w:lang w:val="sl-SI"/>
              </w:rPr>
              <w:t>anksioznost,</w:t>
            </w:r>
          </w:p>
          <w:p w14:paraId="772F3053" w14:textId="192D6B52"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nespečnost</w:t>
            </w:r>
          </w:p>
        </w:tc>
      </w:tr>
      <w:tr w:rsidR="00E04C8A" w14:paraId="29D376A5" w14:textId="77777777" w:rsidTr="00797234">
        <w:tc>
          <w:tcPr>
            <w:tcW w:w="2599" w:type="dxa"/>
            <w:vMerge w:val="restart"/>
            <w:tcBorders>
              <w:top w:val="single" w:sz="5" w:space="0" w:color="000000"/>
              <w:left w:val="single" w:sz="5" w:space="0" w:color="000000"/>
              <w:right w:val="single" w:sz="5" w:space="0" w:color="000000"/>
            </w:tcBorders>
          </w:tcPr>
          <w:p w14:paraId="75048E56"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Bolezni živčevja*</w:t>
            </w:r>
          </w:p>
        </w:tc>
        <w:tc>
          <w:tcPr>
            <w:tcW w:w="2076" w:type="dxa"/>
            <w:tcBorders>
              <w:top w:val="single" w:sz="5" w:space="0" w:color="000000"/>
              <w:left w:val="single" w:sz="5" w:space="0" w:color="000000"/>
              <w:bottom w:val="single" w:sz="5" w:space="0" w:color="000000"/>
              <w:right w:val="single" w:sz="5" w:space="0" w:color="000000"/>
            </w:tcBorders>
          </w:tcPr>
          <w:p w14:paraId="4AD571BA"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7978C967"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glavobol</w:t>
            </w:r>
          </w:p>
        </w:tc>
      </w:tr>
      <w:tr w:rsidR="00E04C8A" w:rsidRPr="00652F18" w14:paraId="32E06D6B" w14:textId="77777777" w:rsidTr="00797234">
        <w:tc>
          <w:tcPr>
            <w:tcW w:w="2599" w:type="dxa"/>
            <w:vMerge/>
            <w:tcBorders>
              <w:left w:val="single" w:sz="5" w:space="0" w:color="000000"/>
              <w:right w:val="single" w:sz="5" w:space="0" w:color="000000"/>
            </w:tcBorders>
          </w:tcPr>
          <w:p w14:paraId="307B6618"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9086B82"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231103F7" w14:textId="77777777" w:rsidR="00E04C8A" w:rsidRDefault="008E1817" w:rsidP="00797234">
            <w:pPr>
              <w:pStyle w:val="TableParagraph"/>
              <w:ind w:left="99" w:right="658"/>
              <w:rPr>
                <w:rFonts w:ascii="Times New Roman" w:eastAsia="Times New Roman" w:hAnsi="Times New Roman" w:cs="Times New Roman"/>
                <w:lang w:val="sl-SI"/>
              </w:rPr>
            </w:pPr>
            <w:r>
              <w:rPr>
                <w:rFonts w:ascii="Times New Roman" w:eastAsia="Times New Roman" w:hAnsi="Times New Roman" w:cs="Times New Roman"/>
                <w:spacing w:val="-1"/>
                <w:lang w:val="sl-SI"/>
              </w:rPr>
              <w:t>parastezije (vključno s hipoestezijo), migrena,</w:t>
            </w:r>
          </w:p>
          <w:p w14:paraId="5ED1D4E0" w14:textId="7E7AF1FE" w:rsidR="00E04C8A" w:rsidRDefault="008E1817" w:rsidP="009900D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stisnjenje živčnih korenin</w:t>
            </w:r>
          </w:p>
        </w:tc>
      </w:tr>
      <w:tr w:rsidR="00E04C8A" w14:paraId="0D9B092C" w14:textId="77777777" w:rsidTr="00797234">
        <w:tc>
          <w:tcPr>
            <w:tcW w:w="2599" w:type="dxa"/>
            <w:vMerge/>
            <w:tcBorders>
              <w:left w:val="single" w:sz="5" w:space="0" w:color="000000"/>
              <w:right w:val="single" w:sz="5" w:space="0" w:color="000000"/>
            </w:tcBorders>
          </w:tcPr>
          <w:p w14:paraId="66D265C1"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30968CAF"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1A9FDAD0"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cerebrovaskularni inzult</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w:t>
            </w:r>
          </w:p>
          <w:p w14:paraId="019A0AC0" w14:textId="77777777" w:rsidR="00E04C8A" w:rsidRDefault="008E1817" w:rsidP="00797234">
            <w:pPr>
              <w:pStyle w:val="TableParagraph"/>
              <w:ind w:left="99" w:right="2870"/>
              <w:rPr>
                <w:rFonts w:ascii="Times New Roman" w:eastAsia="Times New Roman" w:hAnsi="Times New Roman" w:cs="Times New Roman"/>
                <w:lang w:val="sl-SI"/>
              </w:rPr>
            </w:pPr>
            <w:r>
              <w:rPr>
                <w:rFonts w:ascii="Times New Roman" w:eastAsia="Times New Roman" w:hAnsi="Times New Roman" w:cs="Times New Roman"/>
                <w:spacing w:val="-1"/>
                <w:lang w:val="sl-SI"/>
              </w:rPr>
              <w:t>tremor, nevropatija</w:t>
            </w:r>
          </w:p>
        </w:tc>
      </w:tr>
      <w:tr w:rsidR="00E04C8A" w:rsidRPr="00652F18" w14:paraId="2B5BDC56" w14:textId="77777777" w:rsidTr="00797234">
        <w:tc>
          <w:tcPr>
            <w:tcW w:w="2599" w:type="dxa"/>
            <w:vMerge/>
            <w:tcBorders>
              <w:left w:val="single" w:sz="5" w:space="0" w:color="000000"/>
              <w:bottom w:val="single" w:sz="5" w:space="0" w:color="000000"/>
              <w:right w:val="single" w:sz="5" w:space="0" w:color="000000"/>
            </w:tcBorders>
          </w:tcPr>
          <w:p w14:paraId="0FBB90EA"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29B31B44"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5729CF03"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multipla skleroza,</w:t>
            </w:r>
          </w:p>
          <w:p w14:paraId="79F79D56" w14:textId="4DA288DF"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demielinizirajoče bolezni (npr. optični nevritis, Guillain-Barréjev sindrom)</w:t>
            </w:r>
            <w:r>
              <w:rPr>
                <w:rFonts w:ascii="Times New Roman" w:eastAsia="Times New Roman" w:hAnsi="Times New Roman" w:cs="Times New Roman"/>
                <w:spacing w:val="-1"/>
                <w:vertAlign w:val="superscript"/>
                <w:lang w:val="sl-SI"/>
              </w:rPr>
              <w:t>1)</w:t>
            </w:r>
          </w:p>
        </w:tc>
      </w:tr>
      <w:tr w:rsidR="00E04C8A" w:rsidRPr="00AC7013" w14:paraId="39403597" w14:textId="77777777" w:rsidTr="00797234">
        <w:tc>
          <w:tcPr>
            <w:tcW w:w="2599" w:type="dxa"/>
            <w:vMerge w:val="restart"/>
            <w:tcBorders>
              <w:top w:val="single" w:sz="5" w:space="0" w:color="000000"/>
              <w:left w:val="single" w:sz="5" w:space="0" w:color="000000"/>
              <w:right w:val="single" w:sz="5" w:space="0" w:color="000000"/>
            </w:tcBorders>
          </w:tcPr>
          <w:p w14:paraId="7E209EE3"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Očesne bolezni</w:t>
            </w:r>
          </w:p>
        </w:tc>
        <w:tc>
          <w:tcPr>
            <w:tcW w:w="2076" w:type="dxa"/>
            <w:tcBorders>
              <w:top w:val="single" w:sz="5" w:space="0" w:color="000000"/>
              <w:left w:val="single" w:sz="5" w:space="0" w:color="000000"/>
              <w:bottom w:val="single" w:sz="5" w:space="0" w:color="000000"/>
              <w:right w:val="single" w:sz="5" w:space="0" w:color="000000"/>
            </w:tcBorders>
          </w:tcPr>
          <w:p w14:paraId="447C6DE4"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74908E61" w14:textId="77777777" w:rsidR="00E04C8A" w:rsidRDefault="008E1817" w:rsidP="00797234">
            <w:pPr>
              <w:pStyle w:val="TableParagraph"/>
              <w:ind w:left="99" w:right="2274"/>
              <w:rPr>
                <w:rFonts w:ascii="Times New Roman" w:eastAsia="Times New Roman" w:hAnsi="Times New Roman" w:cs="Times New Roman"/>
                <w:lang w:val="sl-SI"/>
              </w:rPr>
            </w:pPr>
            <w:r>
              <w:rPr>
                <w:rFonts w:ascii="Times New Roman" w:eastAsia="Times New Roman" w:hAnsi="Times New Roman" w:cs="Times New Roman"/>
                <w:spacing w:val="1"/>
                <w:lang w:val="sl-SI"/>
              </w:rPr>
              <w:t>okvare vida, konjunktivitis, blefaritis,</w:t>
            </w:r>
          </w:p>
          <w:p w14:paraId="68B3152C"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otekanje oči</w:t>
            </w:r>
          </w:p>
        </w:tc>
      </w:tr>
      <w:tr w:rsidR="00E04C8A" w14:paraId="349FCD0C" w14:textId="77777777" w:rsidTr="00797234">
        <w:tc>
          <w:tcPr>
            <w:tcW w:w="2599" w:type="dxa"/>
            <w:vMerge/>
            <w:tcBorders>
              <w:left w:val="single" w:sz="5" w:space="0" w:color="000000"/>
              <w:bottom w:val="single" w:sz="5" w:space="0" w:color="000000"/>
              <w:right w:val="single" w:sz="5" w:space="0" w:color="000000"/>
            </w:tcBorders>
          </w:tcPr>
          <w:p w14:paraId="6F54BE50"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211608D0"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655CCFE1"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diplopija</w:t>
            </w:r>
          </w:p>
        </w:tc>
      </w:tr>
      <w:tr w:rsidR="00E04C8A" w14:paraId="086027F8" w14:textId="77777777" w:rsidTr="00797234">
        <w:tc>
          <w:tcPr>
            <w:tcW w:w="2599" w:type="dxa"/>
            <w:vMerge w:val="restart"/>
            <w:tcBorders>
              <w:top w:val="single" w:sz="5" w:space="0" w:color="000000"/>
              <w:left w:val="single" w:sz="5" w:space="0" w:color="000000"/>
              <w:right w:val="single" w:sz="5" w:space="0" w:color="000000"/>
            </w:tcBorders>
          </w:tcPr>
          <w:p w14:paraId="718A04D2" w14:textId="77777777" w:rsidR="00E04C8A" w:rsidRDefault="008E1817" w:rsidP="00797234">
            <w:pPr>
              <w:pStyle w:val="TableParagraph"/>
              <w:ind w:left="102" w:right="196"/>
              <w:rPr>
                <w:rFonts w:ascii="Times New Roman" w:eastAsia="Times New Roman" w:hAnsi="Times New Roman" w:cs="Times New Roman"/>
                <w:lang w:val="sl-SI"/>
              </w:rPr>
            </w:pPr>
            <w:r>
              <w:rPr>
                <w:rFonts w:ascii="Times New Roman" w:eastAsia="Times New Roman" w:hAnsi="Times New Roman" w:cs="Times New Roman"/>
                <w:spacing w:val="-1"/>
                <w:lang w:val="sl-SI"/>
              </w:rPr>
              <w:t>Ušesne bolezni, vključno z motnjami labirinta</w:t>
            </w:r>
          </w:p>
        </w:tc>
        <w:tc>
          <w:tcPr>
            <w:tcW w:w="2076" w:type="dxa"/>
            <w:tcBorders>
              <w:top w:val="single" w:sz="5" w:space="0" w:color="000000"/>
              <w:left w:val="single" w:sz="5" w:space="0" w:color="000000"/>
              <w:bottom w:val="single" w:sz="5" w:space="0" w:color="000000"/>
              <w:right w:val="single" w:sz="5" w:space="0" w:color="000000"/>
            </w:tcBorders>
          </w:tcPr>
          <w:p w14:paraId="56E7E6B9"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198B198E"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vertigo</w:t>
            </w:r>
          </w:p>
        </w:tc>
      </w:tr>
      <w:tr w:rsidR="00E04C8A" w14:paraId="5C63F2F8" w14:textId="77777777" w:rsidTr="00797234">
        <w:tc>
          <w:tcPr>
            <w:tcW w:w="2599" w:type="dxa"/>
            <w:vMerge/>
            <w:tcBorders>
              <w:left w:val="single" w:sz="5" w:space="0" w:color="000000"/>
              <w:bottom w:val="single" w:sz="5" w:space="0" w:color="000000"/>
              <w:right w:val="single" w:sz="5" w:space="0" w:color="000000"/>
            </w:tcBorders>
          </w:tcPr>
          <w:p w14:paraId="6BE9FE3A"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ACAEC90"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25E1FC99"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izguba sluha,</w:t>
            </w:r>
          </w:p>
          <w:p w14:paraId="69A43A78"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tinitus</w:t>
            </w:r>
          </w:p>
        </w:tc>
      </w:tr>
      <w:tr w:rsidR="00E04C8A" w14:paraId="4A23839C" w14:textId="77777777" w:rsidTr="00797234">
        <w:tc>
          <w:tcPr>
            <w:tcW w:w="2599" w:type="dxa"/>
            <w:vMerge w:val="restart"/>
            <w:tcBorders>
              <w:top w:val="single" w:sz="5" w:space="0" w:color="000000"/>
              <w:left w:val="single" w:sz="5" w:space="0" w:color="000000"/>
              <w:right w:val="single" w:sz="5" w:space="0" w:color="000000"/>
            </w:tcBorders>
          </w:tcPr>
          <w:p w14:paraId="016D0B16"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Srčne bolezni*</w:t>
            </w:r>
          </w:p>
        </w:tc>
        <w:tc>
          <w:tcPr>
            <w:tcW w:w="2076" w:type="dxa"/>
            <w:tcBorders>
              <w:top w:val="single" w:sz="5" w:space="0" w:color="000000"/>
              <w:left w:val="single" w:sz="5" w:space="0" w:color="000000"/>
              <w:bottom w:val="single" w:sz="5" w:space="0" w:color="000000"/>
              <w:right w:val="single" w:sz="5" w:space="0" w:color="000000"/>
            </w:tcBorders>
          </w:tcPr>
          <w:p w14:paraId="4F4EE930"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2154B7FF"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tahikardija</w:t>
            </w:r>
          </w:p>
        </w:tc>
      </w:tr>
      <w:tr w:rsidR="00E04C8A" w:rsidRPr="00652F18" w14:paraId="2FAC473D" w14:textId="77777777" w:rsidTr="00797234">
        <w:tc>
          <w:tcPr>
            <w:tcW w:w="2599" w:type="dxa"/>
            <w:vMerge/>
            <w:tcBorders>
              <w:left w:val="single" w:sz="5" w:space="0" w:color="000000"/>
              <w:right w:val="single" w:sz="5" w:space="0" w:color="000000"/>
            </w:tcBorders>
          </w:tcPr>
          <w:p w14:paraId="4F7CC692"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right w:val="single" w:sz="5" w:space="0" w:color="000000"/>
            </w:tcBorders>
          </w:tcPr>
          <w:p w14:paraId="00DAB326"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right w:val="single" w:sz="5" w:space="0" w:color="000000"/>
            </w:tcBorders>
          </w:tcPr>
          <w:p w14:paraId="0630914C" w14:textId="77777777" w:rsidR="009900DB" w:rsidRDefault="008E1817" w:rsidP="00797234">
            <w:pPr>
              <w:pStyle w:val="TableParagraph"/>
              <w:ind w:left="99" w:right="1400"/>
              <w:rPr>
                <w:rFonts w:ascii="Times New Roman" w:eastAsia="Times New Roman" w:hAnsi="Times New Roman" w:cs="Times New Roman"/>
                <w:lang w:val="sl-SI"/>
              </w:rPr>
            </w:pPr>
            <w:r>
              <w:rPr>
                <w:rFonts w:ascii="Times New Roman" w:eastAsia="Times New Roman" w:hAnsi="Times New Roman" w:cs="Times New Roman"/>
                <w:lang w:val="sl-SI"/>
              </w:rPr>
              <w:t>miokardni infarkt</w:t>
            </w:r>
            <w:r>
              <w:rPr>
                <w:rFonts w:ascii="Times New Roman" w:eastAsia="Times New Roman" w:hAnsi="Times New Roman" w:cs="Times New Roman"/>
                <w:vertAlign w:val="superscript"/>
                <w:lang w:val="sl-SI"/>
              </w:rPr>
              <w:t>1)</w:t>
            </w:r>
            <w:r>
              <w:rPr>
                <w:rFonts w:ascii="Times New Roman" w:eastAsia="Times New Roman" w:hAnsi="Times New Roman" w:cs="Times New Roman"/>
                <w:lang w:val="sl-SI"/>
              </w:rPr>
              <w:t xml:space="preserve">, </w:t>
            </w:r>
          </w:p>
          <w:p w14:paraId="61175FB1" w14:textId="266B8741" w:rsidR="00E04C8A" w:rsidRDefault="008E1817" w:rsidP="00797234">
            <w:pPr>
              <w:pStyle w:val="TableParagraph"/>
              <w:ind w:left="99" w:right="1400"/>
              <w:rPr>
                <w:rFonts w:ascii="Times New Roman" w:eastAsia="Times New Roman" w:hAnsi="Times New Roman" w:cs="Times New Roman"/>
                <w:lang w:val="sl-SI"/>
              </w:rPr>
            </w:pPr>
            <w:r>
              <w:rPr>
                <w:rFonts w:ascii="Times New Roman" w:eastAsia="Times New Roman" w:hAnsi="Times New Roman" w:cs="Times New Roman"/>
                <w:lang w:val="sl-SI"/>
              </w:rPr>
              <w:t>aritmija,</w:t>
            </w:r>
          </w:p>
          <w:p w14:paraId="58BEED8E"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kongestivno srčno popuščanje</w:t>
            </w:r>
          </w:p>
        </w:tc>
      </w:tr>
      <w:tr w:rsidR="00E04C8A" w14:paraId="0101B8CA" w14:textId="77777777" w:rsidTr="00797234">
        <w:tc>
          <w:tcPr>
            <w:tcW w:w="2599" w:type="dxa"/>
            <w:vMerge/>
            <w:tcBorders>
              <w:left w:val="single" w:sz="5" w:space="0" w:color="000000"/>
              <w:bottom w:val="single" w:sz="5" w:space="0" w:color="000000"/>
              <w:right w:val="single" w:sz="5" w:space="0" w:color="000000"/>
            </w:tcBorders>
          </w:tcPr>
          <w:p w14:paraId="7F35C327"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4C8CA0C2"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4A001A67"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zastoj srca</w:t>
            </w:r>
          </w:p>
        </w:tc>
      </w:tr>
      <w:tr w:rsidR="00E04C8A" w14:paraId="0551C69F" w14:textId="77777777" w:rsidTr="00797234">
        <w:tc>
          <w:tcPr>
            <w:tcW w:w="2599" w:type="dxa"/>
            <w:vMerge w:val="restart"/>
            <w:tcBorders>
              <w:top w:val="single" w:sz="5" w:space="0" w:color="000000"/>
              <w:left w:val="single" w:sz="5" w:space="0" w:color="000000"/>
              <w:right w:val="single" w:sz="5" w:space="0" w:color="000000"/>
            </w:tcBorders>
          </w:tcPr>
          <w:p w14:paraId="3A1AC8EB"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Žilne bolezni</w:t>
            </w:r>
          </w:p>
        </w:tc>
        <w:tc>
          <w:tcPr>
            <w:tcW w:w="2076" w:type="dxa"/>
            <w:tcBorders>
              <w:top w:val="single" w:sz="5" w:space="0" w:color="000000"/>
              <w:left w:val="single" w:sz="5" w:space="0" w:color="000000"/>
              <w:bottom w:val="single" w:sz="5" w:space="0" w:color="000000"/>
              <w:right w:val="single" w:sz="5" w:space="0" w:color="000000"/>
            </w:tcBorders>
          </w:tcPr>
          <w:p w14:paraId="309AA74E"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381128AA" w14:textId="77777777" w:rsidR="00E04C8A" w:rsidRDefault="008E1817" w:rsidP="00797234">
            <w:pPr>
              <w:pStyle w:val="TableParagraph"/>
              <w:ind w:left="99" w:right="2870"/>
              <w:rPr>
                <w:rFonts w:ascii="Times New Roman" w:eastAsia="Times New Roman" w:hAnsi="Times New Roman" w:cs="Times New Roman"/>
                <w:lang w:val="sl-SI"/>
              </w:rPr>
            </w:pPr>
            <w:r>
              <w:rPr>
                <w:rFonts w:ascii="Times New Roman" w:eastAsia="Times New Roman" w:hAnsi="Times New Roman" w:cs="Times New Roman"/>
                <w:spacing w:val="-1"/>
                <w:lang w:val="sl-SI"/>
              </w:rPr>
              <w:t>hipertenzija, zardevanje, hematom</w:t>
            </w:r>
          </w:p>
        </w:tc>
      </w:tr>
      <w:tr w:rsidR="00E04C8A" w14:paraId="528D6FEB" w14:textId="77777777" w:rsidTr="00797234">
        <w:tc>
          <w:tcPr>
            <w:tcW w:w="2599" w:type="dxa"/>
            <w:vMerge/>
            <w:tcBorders>
              <w:left w:val="single" w:sz="5" w:space="0" w:color="000000"/>
              <w:bottom w:val="single" w:sz="5" w:space="0" w:color="000000"/>
              <w:right w:val="single" w:sz="5" w:space="0" w:color="000000"/>
            </w:tcBorders>
          </w:tcPr>
          <w:p w14:paraId="2D3D7277"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295D1B9E"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73F954D0"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aortna anevrizma,</w:t>
            </w:r>
          </w:p>
          <w:p w14:paraId="1C4246C1" w14:textId="77777777" w:rsidR="009900DB" w:rsidRDefault="008E1817" w:rsidP="00797234">
            <w:pPr>
              <w:pStyle w:val="TableParagraph"/>
              <w:ind w:left="99" w:right="658"/>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žilna arterijska okluzija, </w:t>
            </w:r>
          </w:p>
          <w:p w14:paraId="3F37964A" w14:textId="71887D78" w:rsidR="00E04C8A" w:rsidRDefault="008E1817" w:rsidP="00797234">
            <w:pPr>
              <w:pStyle w:val="TableParagraph"/>
              <w:ind w:left="99" w:right="658"/>
              <w:rPr>
                <w:rFonts w:ascii="Times New Roman" w:eastAsia="Times New Roman" w:hAnsi="Times New Roman" w:cs="Times New Roman"/>
                <w:lang w:val="sl-SI"/>
              </w:rPr>
            </w:pPr>
            <w:r>
              <w:rPr>
                <w:rFonts w:ascii="Times New Roman" w:eastAsia="Times New Roman" w:hAnsi="Times New Roman" w:cs="Times New Roman"/>
                <w:spacing w:val="-1"/>
                <w:lang w:val="sl-SI"/>
              </w:rPr>
              <w:t>tromboflebitis</w:t>
            </w:r>
          </w:p>
        </w:tc>
      </w:tr>
      <w:tr w:rsidR="00E04C8A" w14:paraId="630598A3" w14:textId="77777777" w:rsidTr="00797234">
        <w:tc>
          <w:tcPr>
            <w:tcW w:w="2599" w:type="dxa"/>
            <w:vMerge w:val="restart"/>
            <w:tcBorders>
              <w:top w:val="single" w:sz="5" w:space="0" w:color="000000"/>
              <w:left w:val="single" w:sz="5" w:space="0" w:color="000000"/>
              <w:right w:val="single" w:sz="5" w:space="0" w:color="000000"/>
            </w:tcBorders>
          </w:tcPr>
          <w:p w14:paraId="170B7ED0" w14:textId="77777777" w:rsidR="00E04C8A" w:rsidRDefault="008E1817" w:rsidP="00797234">
            <w:pPr>
              <w:pStyle w:val="TableParagraph"/>
              <w:ind w:left="102" w:right="163"/>
              <w:rPr>
                <w:rFonts w:ascii="Times New Roman" w:eastAsia="Times New Roman" w:hAnsi="Times New Roman" w:cs="Times New Roman"/>
                <w:lang w:val="sl-SI"/>
              </w:rPr>
            </w:pPr>
            <w:r>
              <w:rPr>
                <w:rFonts w:ascii="Times New Roman" w:eastAsia="Times New Roman" w:hAnsi="Times New Roman" w:cs="Times New Roman"/>
                <w:spacing w:val="-1"/>
                <w:lang w:val="sl-SI"/>
              </w:rPr>
              <w:t>Bolezni dihal, prsnega koša in mediastinalnega prostora</w:t>
            </w:r>
            <w:r w:rsidR="0089718D" w:rsidRPr="00566D4D">
              <w:rPr>
                <w:rFonts w:ascii="Times New Roman" w:eastAsia="Times New Roman" w:hAnsi="Times New Roman" w:cs="Times New Roman"/>
                <w:spacing w:val="-1"/>
                <w:lang w:val="es-ES"/>
              </w:rPr>
              <w:t>*</w:t>
            </w:r>
          </w:p>
        </w:tc>
        <w:tc>
          <w:tcPr>
            <w:tcW w:w="2076" w:type="dxa"/>
            <w:tcBorders>
              <w:top w:val="single" w:sz="5" w:space="0" w:color="000000"/>
              <w:left w:val="single" w:sz="5" w:space="0" w:color="000000"/>
              <w:bottom w:val="single" w:sz="5" w:space="0" w:color="000000"/>
              <w:right w:val="single" w:sz="5" w:space="0" w:color="000000"/>
            </w:tcBorders>
          </w:tcPr>
          <w:p w14:paraId="2F0CAF61"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14B0F076" w14:textId="77777777" w:rsidR="00E04C8A" w:rsidRDefault="008E1817" w:rsidP="00797234">
            <w:pPr>
              <w:pStyle w:val="TableParagraph"/>
              <w:ind w:left="99" w:right="3074"/>
              <w:rPr>
                <w:rFonts w:ascii="Times New Roman" w:eastAsia="Times New Roman" w:hAnsi="Times New Roman" w:cs="Times New Roman"/>
                <w:lang w:val="sl-SI"/>
              </w:rPr>
            </w:pPr>
            <w:r>
              <w:rPr>
                <w:rFonts w:ascii="Times New Roman" w:eastAsia="Times New Roman" w:hAnsi="Times New Roman" w:cs="Times New Roman"/>
                <w:spacing w:val="-1"/>
                <w:lang w:val="sl-SI"/>
              </w:rPr>
              <w:t>astma, dispneja, kašelj.</w:t>
            </w:r>
          </w:p>
        </w:tc>
      </w:tr>
      <w:tr w:rsidR="00E04C8A" w:rsidRPr="00797234" w14:paraId="04F97E0F" w14:textId="77777777" w:rsidTr="00797234">
        <w:tc>
          <w:tcPr>
            <w:tcW w:w="2599" w:type="dxa"/>
            <w:vMerge/>
            <w:tcBorders>
              <w:left w:val="single" w:sz="5" w:space="0" w:color="000000"/>
              <w:right w:val="single" w:sz="5" w:space="0" w:color="000000"/>
            </w:tcBorders>
          </w:tcPr>
          <w:p w14:paraId="68BD80C6"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49022AC8"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73302859"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pljučna embolija</w:t>
            </w:r>
            <w:r>
              <w:rPr>
                <w:rFonts w:ascii="Times New Roman" w:eastAsia="Times New Roman" w:hAnsi="Times New Roman" w:cs="Times New Roman"/>
                <w:spacing w:val="-1"/>
                <w:vertAlign w:val="superscript"/>
                <w:lang w:val="sl-SI"/>
              </w:rPr>
              <w:t>1),</w:t>
            </w:r>
          </w:p>
          <w:p w14:paraId="1988DB8A"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intersticijska pljučna bolezen,</w:t>
            </w:r>
          </w:p>
          <w:p w14:paraId="7780348F" w14:textId="77777777" w:rsidR="009900DB" w:rsidRDefault="008E1817" w:rsidP="00797234">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kronična obstruktivna pljučna bolezen, </w:t>
            </w:r>
          </w:p>
          <w:p w14:paraId="325B04B1" w14:textId="1623D3C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pnevmonitis,</w:t>
            </w:r>
          </w:p>
          <w:p w14:paraId="68CFBFAF"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plevralni izliv</w:t>
            </w:r>
            <w:r>
              <w:rPr>
                <w:rFonts w:ascii="Times New Roman" w:eastAsia="Times New Roman" w:hAnsi="Times New Roman" w:cs="Times New Roman"/>
                <w:spacing w:val="-1"/>
                <w:vertAlign w:val="superscript"/>
                <w:lang w:val="sl-SI"/>
              </w:rPr>
              <w:t>1)</w:t>
            </w:r>
          </w:p>
        </w:tc>
      </w:tr>
      <w:tr w:rsidR="00E04C8A" w14:paraId="24FB50BF" w14:textId="77777777" w:rsidTr="00797234">
        <w:tc>
          <w:tcPr>
            <w:tcW w:w="2599" w:type="dxa"/>
            <w:vMerge/>
            <w:tcBorders>
              <w:left w:val="single" w:sz="5" w:space="0" w:color="000000"/>
              <w:bottom w:val="single" w:sz="5" w:space="0" w:color="000000"/>
              <w:right w:val="single" w:sz="5" w:space="0" w:color="000000"/>
            </w:tcBorders>
          </w:tcPr>
          <w:p w14:paraId="7265C4FC"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4542F8F3"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3555506E"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pljučna fibroza</w:t>
            </w:r>
            <w:r>
              <w:rPr>
                <w:rFonts w:ascii="Times New Roman" w:eastAsia="Times New Roman" w:hAnsi="Times New Roman" w:cs="Times New Roman"/>
                <w:spacing w:val="-1"/>
                <w:vertAlign w:val="superscript"/>
                <w:lang w:val="sl-SI"/>
              </w:rPr>
              <w:t>1)</w:t>
            </w:r>
          </w:p>
        </w:tc>
      </w:tr>
      <w:tr w:rsidR="00E04C8A" w:rsidRPr="00AC7013" w14:paraId="091B7F61" w14:textId="77777777" w:rsidTr="00797234">
        <w:tc>
          <w:tcPr>
            <w:tcW w:w="2599" w:type="dxa"/>
            <w:vMerge w:val="restart"/>
            <w:tcBorders>
              <w:top w:val="single" w:sz="5" w:space="0" w:color="000000"/>
              <w:left w:val="single" w:sz="5" w:space="0" w:color="000000"/>
              <w:right w:val="single" w:sz="5" w:space="0" w:color="000000"/>
            </w:tcBorders>
          </w:tcPr>
          <w:p w14:paraId="58557F7C"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Bolezni prebavil</w:t>
            </w:r>
          </w:p>
        </w:tc>
        <w:tc>
          <w:tcPr>
            <w:tcW w:w="2076" w:type="dxa"/>
            <w:tcBorders>
              <w:top w:val="single" w:sz="5" w:space="0" w:color="000000"/>
              <w:left w:val="single" w:sz="5" w:space="0" w:color="000000"/>
              <w:bottom w:val="single" w:sz="5" w:space="0" w:color="000000"/>
              <w:right w:val="single" w:sz="5" w:space="0" w:color="000000"/>
            </w:tcBorders>
          </w:tcPr>
          <w:p w14:paraId="6308988D"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5BD157A0" w14:textId="77777777" w:rsidR="00E04C8A" w:rsidRDefault="008E1817" w:rsidP="00797234">
            <w:pPr>
              <w:pStyle w:val="TableParagraph"/>
              <w:ind w:left="99" w:right="2425"/>
              <w:rPr>
                <w:rFonts w:ascii="Times New Roman" w:eastAsia="Times New Roman" w:hAnsi="Times New Roman" w:cs="Times New Roman"/>
                <w:lang w:val="sl-SI"/>
              </w:rPr>
            </w:pPr>
            <w:r>
              <w:rPr>
                <w:rFonts w:ascii="Times New Roman" w:eastAsia="Times New Roman" w:hAnsi="Times New Roman" w:cs="Times New Roman"/>
                <w:spacing w:val="-1"/>
                <w:lang w:val="sl-SI"/>
              </w:rPr>
              <w:t>bolečine v trebuhu, navzea in bruhanje</w:t>
            </w:r>
          </w:p>
        </w:tc>
      </w:tr>
      <w:tr w:rsidR="00E04C8A" w:rsidRPr="0043693B" w14:paraId="1EBCF032" w14:textId="77777777" w:rsidTr="00797234">
        <w:tc>
          <w:tcPr>
            <w:tcW w:w="2599" w:type="dxa"/>
            <w:vMerge/>
            <w:tcBorders>
              <w:left w:val="single" w:sz="5" w:space="0" w:color="000000"/>
              <w:right w:val="single" w:sz="5" w:space="0" w:color="000000"/>
            </w:tcBorders>
          </w:tcPr>
          <w:p w14:paraId="7EF24F14"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30D09DDD"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4E44FAD4"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krvavitev v prebavilih,</w:t>
            </w:r>
          </w:p>
          <w:p w14:paraId="47578529"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dispepsija,</w:t>
            </w:r>
          </w:p>
          <w:p w14:paraId="039C5030" w14:textId="77777777" w:rsidR="00E04C8A" w:rsidRDefault="008E1817" w:rsidP="00797234">
            <w:pPr>
              <w:pStyle w:val="TableParagraph"/>
              <w:ind w:left="99" w:right="1237"/>
              <w:rPr>
                <w:rFonts w:ascii="Times New Roman" w:eastAsia="Times New Roman" w:hAnsi="Times New Roman" w:cs="Times New Roman"/>
                <w:lang w:val="sl-SI"/>
              </w:rPr>
            </w:pPr>
            <w:r>
              <w:rPr>
                <w:rFonts w:ascii="Times New Roman" w:eastAsia="Times New Roman" w:hAnsi="Times New Roman" w:cs="Times New Roman"/>
                <w:spacing w:val="-1"/>
                <w:lang w:val="sl-SI"/>
              </w:rPr>
              <w:t>gastroezofagealna refluksna bolezen, Sjögrenov sindrom</w:t>
            </w:r>
          </w:p>
        </w:tc>
      </w:tr>
      <w:tr w:rsidR="00E04C8A" w14:paraId="26081289" w14:textId="77777777" w:rsidTr="00797234">
        <w:tc>
          <w:tcPr>
            <w:tcW w:w="2599" w:type="dxa"/>
            <w:vMerge/>
            <w:tcBorders>
              <w:left w:val="single" w:sz="5" w:space="0" w:color="000000"/>
              <w:right w:val="single" w:sz="5" w:space="0" w:color="000000"/>
            </w:tcBorders>
          </w:tcPr>
          <w:p w14:paraId="51576ED4"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22438B7E"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144B1766"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pankreatitis,</w:t>
            </w:r>
          </w:p>
          <w:p w14:paraId="1FCD677E" w14:textId="77777777" w:rsidR="00E04C8A" w:rsidRDefault="008E1817" w:rsidP="00797234">
            <w:pPr>
              <w:pStyle w:val="TableParagraph"/>
              <w:ind w:left="99" w:right="3183"/>
              <w:rPr>
                <w:rFonts w:ascii="Times New Roman" w:eastAsia="Times New Roman" w:hAnsi="Times New Roman" w:cs="Times New Roman"/>
                <w:lang w:val="sl-SI"/>
              </w:rPr>
            </w:pPr>
            <w:r>
              <w:rPr>
                <w:rFonts w:ascii="Times New Roman" w:eastAsia="Times New Roman" w:hAnsi="Times New Roman" w:cs="Times New Roman"/>
                <w:spacing w:val="-1"/>
                <w:lang w:val="sl-SI"/>
              </w:rPr>
              <w:t>disfagija, edem obraza</w:t>
            </w:r>
          </w:p>
        </w:tc>
      </w:tr>
      <w:tr w:rsidR="00E04C8A" w14:paraId="5E4388FB" w14:textId="77777777" w:rsidTr="00797234">
        <w:tc>
          <w:tcPr>
            <w:tcW w:w="2599" w:type="dxa"/>
            <w:vMerge/>
            <w:tcBorders>
              <w:left w:val="single" w:sz="5" w:space="0" w:color="000000"/>
              <w:bottom w:val="single" w:sz="5" w:space="0" w:color="000000"/>
              <w:right w:val="single" w:sz="5" w:space="0" w:color="000000"/>
            </w:tcBorders>
          </w:tcPr>
          <w:p w14:paraId="1EBBC95E"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2528EC73"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2E03AE54"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4"/>
                <w:lang w:val="sl-SI"/>
              </w:rPr>
              <w:t>perforacija črevesja</w:t>
            </w:r>
            <w:r>
              <w:rPr>
                <w:rFonts w:ascii="Times New Roman" w:eastAsia="Times New Roman" w:hAnsi="Times New Roman" w:cs="Times New Roman"/>
                <w:spacing w:val="-4"/>
                <w:vertAlign w:val="superscript"/>
                <w:lang w:val="sl-SI"/>
              </w:rPr>
              <w:t>1)</w:t>
            </w:r>
          </w:p>
        </w:tc>
      </w:tr>
      <w:tr w:rsidR="00E04C8A" w:rsidRPr="003138FB" w14:paraId="2813F359" w14:textId="77777777" w:rsidTr="00797234">
        <w:tc>
          <w:tcPr>
            <w:tcW w:w="2599" w:type="dxa"/>
            <w:vMerge w:val="restart"/>
            <w:tcBorders>
              <w:top w:val="single" w:sz="5" w:space="0" w:color="000000"/>
              <w:left w:val="single" w:sz="5" w:space="0" w:color="000000"/>
              <w:right w:val="single" w:sz="5" w:space="0" w:color="000000"/>
            </w:tcBorders>
          </w:tcPr>
          <w:p w14:paraId="5FEAF56D"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lastRenderedPageBreak/>
              <w:t>Bolezni jeter, žolčnika in žolčevodov*</w:t>
            </w:r>
          </w:p>
        </w:tc>
        <w:tc>
          <w:tcPr>
            <w:tcW w:w="2076" w:type="dxa"/>
            <w:tcBorders>
              <w:top w:val="single" w:sz="5" w:space="0" w:color="000000"/>
              <w:left w:val="single" w:sz="5" w:space="0" w:color="000000"/>
              <w:bottom w:val="single" w:sz="5" w:space="0" w:color="000000"/>
              <w:right w:val="single" w:sz="5" w:space="0" w:color="000000"/>
            </w:tcBorders>
          </w:tcPr>
          <w:p w14:paraId="53D6342F"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5B9CC3E4" w14:textId="6F69A68E"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zvečanje vrednosti jetrnih encimov</w:t>
            </w:r>
          </w:p>
        </w:tc>
      </w:tr>
      <w:tr w:rsidR="00E04C8A" w14:paraId="24847CC0" w14:textId="77777777" w:rsidTr="00797234">
        <w:tc>
          <w:tcPr>
            <w:tcW w:w="2599" w:type="dxa"/>
            <w:vMerge/>
            <w:tcBorders>
              <w:left w:val="single" w:sz="5" w:space="0" w:color="000000"/>
              <w:right w:val="single" w:sz="5" w:space="0" w:color="000000"/>
            </w:tcBorders>
          </w:tcPr>
          <w:p w14:paraId="206B57EE"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5118FA96"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46521E04"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vnetje žolčnika in holelitiaza,</w:t>
            </w:r>
          </w:p>
          <w:p w14:paraId="723AB2E0" w14:textId="77777777" w:rsidR="009900DB"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 xml:space="preserve">jetrna steatoza, </w:t>
            </w:r>
          </w:p>
          <w:p w14:paraId="57564AE8" w14:textId="7C29FF79"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zvečanje vrednosti bilirubina</w:t>
            </w:r>
          </w:p>
        </w:tc>
      </w:tr>
      <w:tr w:rsidR="00E04C8A" w:rsidRPr="003138FB" w14:paraId="0651F454" w14:textId="77777777" w:rsidTr="00797234">
        <w:tc>
          <w:tcPr>
            <w:tcW w:w="2599" w:type="dxa"/>
            <w:vMerge/>
            <w:tcBorders>
              <w:left w:val="single" w:sz="5" w:space="0" w:color="000000"/>
              <w:right w:val="single" w:sz="5" w:space="0" w:color="000000"/>
            </w:tcBorders>
          </w:tcPr>
          <w:p w14:paraId="09B29CC2"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right w:val="single" w:sz="5" w:space="0" w:color="000000"/>
            </w:tcBorders>
          </w:tcPr>
          <w:p w14:paraId="24346B23"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right w:val="single" w:sz="5" w:space="0" w:color="000000"/>
            </w:tcBorders>
          </w:tcPr>
          <w:p w14:paraId="09FEDB16" w14:textId="12FEADC8"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hepatitis</w:t>
            </w:r>
            <w:r w:rsidR="009900DB">
              <w:rPr>
                <w:rFonts w:ascii="Times New Roman" w:eastAsia="Times New Roman" w:hAnsi="Times New Roman" w:cs="Times New Roman"/>
                <w:spacing w:val="-1"/>
                <w:lang w:val="sl-SI"/>
              </w:rPr>
              <w:t>,</w:t>
            </w:r>
          </w:p>
          <w:p w14:paraId="11278568" w14:textId="490EF11B"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reaktivacija hepatitisa B</w:t>
            </w:r>
            <w:r>
              <w:rPr>
                <w:rFonts w:ascii="Times New Roman" w:eastAsia="Times New Roman" w:hAnsi="Times New Roman" w:cs="Times New Roman"/>
                <w:spacing w:val="-1"/>
                <w:vertAlign w:val="superscript"/>
                <w:lang w:val="sl-SI"/>
              </w:rPr>
              <w:t>1)</w:t>
            </w:r>
            <w:r w:rsidR="009900DB">
              <w:rPr>
                <w:rFonts w:ascii="Times New Roman" w:eastAsia="Times New Roman" w:hAnsi="Times New Roman" w:cs="Times New Roman"/>
                <w:spacing w:val="-1"/>
                <w:lang w:val="sl-SI"/>
              </w:rPr>
              <w:t>,</w:t>
            </w:r>
          </w:p>
          <w:p w14:paraId="343592EA"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avtoimunski hepatitis</w:t>
            </w:r>
            <w:r>
              <w:rPr>
                <w:rFonts w:ascii="Times New Roman" w:eastAsia="Times New Roman" w:hAnsi="Times New Roman" w:cs="Times New Roman"/>
                <w:spacing w:val="-1"/>
                <w:vertAlign w:val="superscript"/>
                <w:lang w:val="sl-SI"/>
              </w:rPr>
              <w:t>1)</w:t>
            </w:r>
          </w:p>
        </w:tc>
      </w:tr>
      <w:tr w:rsidR="00E04C8A" w14:paraId="73FA9F46" w14:textId="77777777" w:rsidTr="00797234">
        <w:tc>
          <w:tcPr>
            <w:tcW w:w="2599" w:type="dxa"/>
            <w:vMerge/>
            <w:tcBorders>
              <w:left w:val="single" w:sz="5" w:space="0" w:color="000000"/>
              <w:bottom w:val="single" w:sz="5" w:space="0" w:color="000000"/>
              <w:right w:val="single" w:sz="5" w:space="0" w:color="000000"/>
            </w:tcBorders>
          </w:tcPr>
          <w:p w14:paraId="1116DB6A"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34EC1B05"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Neznana pogostnost</w:t>
            </w:r>
          </w:p>
        </w:tc>
        <w:tc>
          <w:tcPr>
            <w:tcW w:w="4574" w:type="dxa"/>
            <w:tcBorders>
              <w:top w:val="single" w:sz="5" w:space="0" w:color="000000"/>
              <w:left w:val="single" w:sz="5" w:space="0" w:color="000000"/>
              <w:bottom w:val="single" w:sz="5" w:space="0" w:color="000000"/>
              <w:right w:val="single" w:sz="5" w:space="0" w:color="000000"/>
            </w:tcBorders>
          </w:tcPr>
          <w:p w14:paraId="60D55A6B"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odpoved jeter</w:t>
            </w:r>
            <w:r>
              <w:rPr>
                <w:rFonts w:ascii="Times New Roman" w:eastAsia="Times New Roman" w:hAnsi="Times New Roman" w:cs="Times New Roman"/>
                <w:spacing w:val="-1"/>
                <w:vertAlign w:val="superscript"/>
                <w:lang w:val="sl-SI"/>
              </w:rPr>
              <w:t>1)</w:t>
            </w:r>
          </w:p>
        </w:tc>
      </w:tr>
      <w:tr w:rsidR="00E04C8A" w:rsidRPr="0043693B" w14:paraId="385CDA13" w14:textId="77777777" w:rsidTr="00797234">
        <w:tc>
          <w:tcPr>
            <w:tcW w:w="2599" w:type="dxa"/>
            <w:vMerge w:val="restart"/>
            <w:tcBorders>
              <w:top w:val="single" w:sz="5" w:space="0" w:color="000000"/>
              <w:left w:val="single" w:sz="5" w:space="0" w:color="000000"/>
              <w:right w:val="single" w:sz="5" w:space="0" w:color="000000"/>
            </w:tcBorders>
          </w:tcPr>
          <w:p w14:paraId="70BD298D" w14:textId="77777777" w:rsidR="00E04C8A" w:rsidRDefault="008E1817" w:rsidP="00797234">
            <w:pPr>
              <w:pStyle w:val="TableParagraph"/>
              <w:ind w:left="102" w:right="11"/>
              <w:rPr>
                <w:rFonts w:ascii="Times New Roman" w:eastAsia="Times New Roman" w:hAnsi="Times New Roman" w:cs="Times New Roman"/>
                <w:lang w:val="sl-SI"/>
              </w:rPr>
            </w:pPr>
            <w:r>
              <w:rPr>
                <w:rFonts w:ascii="Times New Roman" w:eastAsia="Times New Roman" w:hAnsi="Times New Roman" w:cs="Times New Roman"/>
                <w:spacing w:val="-1"/>
                <w:lang w:val="sl-SI"/>
              </w:rPr>
              <w:t>Bolezni kože in podkožja</w:t>
            </w:r>
          </w:p>
        </w:tc>
        <w:tc>
          <w:tcPr>
            <w:tcW w:w="2076" w:type="dxa"/>
            <w:tcBorders>
              <w:top w:val="single" w:sz="5" w:space="0" w:color="000000"/>
              <w:left w:val="single" w:sz="5" w:space="0" w:color="000000"/>
              <w:bottom w:val="single" w:sz="5" w:space="0" w:color="000000"/>
              <w:right w:val="single" w:sz="5" w:space="0" w:color="000000"/>
            </w:tcBorders>
          </w:tcPr>
          <w:p w14:paraId="23F0006F"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494D5FB1" w14:textId="432783BB"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izpuščaj (vključno z eksfoliativnim izpuščajem)</w:t>
            </w:r>
          </w:p>
        </w:tc>
      </w:tr>
      <w:tr w:rsidR="00E04C8A" w14:paraId="0FB76088" w14:textId="77777777" w:rsidTr="00797234">
        <w:tc>
          <w:tcPr>
            <w:tcW w:w="2599" w:type="dxa"/>
            <w:vMerge/>
            <w:tcBorders>
              <w:left w:val="single" w:sz="5" w:space="0" w:color="000000"/>
              <w:right w:val="single" w:sz="5" w:space="0" w:color="000000"/>
            </w:tcBorders>
          </w:tcPr>
          <w:p w14:paraId="5D26DD66"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37086B5F"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71D2428C" w14:textId="77777777" w:rsidR="009900DB" w:rsidRDefault="008E1817" w:rsidP="00797234">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lang w:val="sl-SI"/>
              </w:rPr>
              <w:t xml:space="preserve">poslabšanje ali nov pojav psoriaze (vključno s </w:t>
            </w:r>
            <w:r>
              <w:rPr>
                <w:rFonts w:ascii="Times New Roman" w:eastAsia="Times New Roman" w:hAnsi="Times New Roman" w:cs="Times New Roman"/>
                <w:spacing w:val="-1"/>
                <w:lang w:val="sl-SI"/>
              </w:rPr>
              <w:t xml:space="preserve">palmoplantarno pustularno psoriazo </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 xml:space="preserve">, </w:t>
            </w:r>
          </w:p>
          <w:p w14:paraId="590BE2C4" w14:textId="251355E0"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urtikarija,</w:t>
            </w:r>
          </w:p>
          <w:p w14:paraId="38076F71"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modrice (vključno s purpuro),</w:t>
            </w:r>
          </w:p>
          <w:p w14:paraId="18ADA79C" w14:textId="77777777" w:rsidR="009900DB" w:rsidRDefault="008E1817" w:rsidP="00797234">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dermatitis (vključno z ekcemom), </w:t>
            </w:r>
          </w:p>
          <w:p w14:paraId="104B0DA8" w14:textId="36ACA7C9"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lomljenje nohtov,</w:t>
            </w:r>
          </w:p>
          <w:p w14:paraId="2A57A413"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hiperhidroza,</w:t>
            </w:r>
          </w:p>
          <w:p w14:paraId="5EDAA752" w14:textId="77777777" w:rsidR="009900DB" w:rsidRDefault="008E1817" w:rsidP="00797234">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alopecija</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 xml:space="preserve">, </w:t>
            </w:r>
          </w:p>
          <w:p w14:paraId="7F3E2FA9" w14:textId="09A01F3A"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pruritus</w:t>
            </w:r>
          </w:p>
        </w:tc>
      </w:tr>
      <w:tr w:rsidR="00E04C8A" w:rsidRPr="00652F18" w14:paraId="5362CFF7" w14:textId="77777777" w:rsidTr="00797234">
        <w:tc>
          <w:tcPr>
            <w:tcW w:w="2599" w:type="dxa"/>
            <w:vMerge/>
            <w:tcBorders>
              <w:left w:val="single" w:sz="5" w:space="0" w:color="000000"/>
              <w:right w:val="single" w:sz="5" w:space="0" w:color="000000"/>
            </w:tcBorders>
          </w:tcPr>
          <w:p w14:paraId="08FEF7E2"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38784E9A"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7A6C37F1"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nočno znojenje,</w:t>
            </w:r>
          </w:p>
          <w:p w14:paraId="24AB1C20"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brazgotinjenje</w:t>
            </w:r>
          </w:p>
        </w:tc>
      </w:tr>
      <w:tr w:rsidR="00E04C8A" w:rsidRPr="00652F18" w14:paraId="0F900A0C" w14:textId="77777777" w:rsidTr="00797234">
        <w:tc>
          <w:tcPr>
            <w:tcW w:w="2599" w:type="dxa"/>
            <w:vMerge/>
            <w:tcBorders>
              <w:left w:val="single" w:sz="5" w:space="0" w:color="000000"/>
              <w:right w:val="single" w:sz="5" w:space="0" w:color="000000"/>
            </w:tcBorders>
          </w:tcPr>
          <w:p w14:paraId="10D1167E"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4058987F"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5A62646C" w14:textId="77777777" w:rsidR="009900DB" w:rsidRDefault="008E1817" w:rsidP="00797234">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multiformni eritem </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 xml:space="preserve">, </w:t>
            </w:r>
          </w:p>
          <w:p w14:paraId="37095336" w14:textId="77777777" w:rsidR="009900DB" w:rsidRDefault="008E1817" w:rsidP="00797234">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Stevens-Johnsonov sindrom</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 xml:space="preserve">, </w:t>
            </w:r>
          </w:p>
          <w:p w14:paraId="21DF06DF" w14:textId="628F85B5"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angioedem</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w:t>
            </w:r>
          </w:p>
          <w:p w14:paraId="46A97922" w14:textId="5DF5775F" w:rsidR="009900DB" w:rsidRDefault="008E1817" w:rsidP="00797234">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kožni vaskulitis</w:t>
            </w:r>
            <w:r>
              <w:rPr>
                <w:rFonts w:ascii="Times New Roman" w:eastAsia="Times New Roman" w:hAnsi="Times New Roman" w:cs="Times New Roman"/>
                <w:spacing w:val="-1"/>
                <w:vertAlign w:val="superscript"/>
                <w:lang w:val="sl-SI"/>
              </w:rPr>
              <w:t>1)</w:t>
            </w:r>
            <w:r w:rsidR="009900DB">
              <w:rPr>
                <w:rFonts w:ascii="Times New Roman" w:eastAsia="Times New Roman" w:hAnsi="Times New Roman" w:cs="Times New Roman"/>
                <w:spacing w:val="-1"/>
                <w:lang w:val="sl-SI"/>
              </w:rPr>
              <w:t>,</w:t>
            </w:r>
          </w:p>
          <w:p w14:paraId="04175E79" w14:textId="5C5F14B0"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lihenoidna kožna reakcija</w:t>
            </w:r>
            <w:r>
              <w:rPr>
                <w:rFonts w:ascii="Times New Roman" w:eastAsia="Times New Roman" w:hAnsi="Times New Roman" w:cs="Times New Roman"/>
                <w:spacing w:val="-1"/>
                <w:vertAlign w:val="superscript"/>
                <w:lang w:val="sl-SI"/>
              </w:rPr>
              <w:t>1)</w:t>
            </w:r>
          </w:p>
        </w:tc>
      </w:tr>
      <w:tr w:rsidR="00E04C8A" w14:paraId="5CEE4A46" w14:textId="77777777" w:rsidTr="00797234">
        <w:tc>
          <w:tcPr>
            <w:tcW w:w="2599" w:type="dxa"/>
            <w:vMerge/>
            <w:tcBorders>
              <w:left w:val="single" w:sz="5" w:space="0" w:color="000000"/>
              <w:bottom w:val="single" w:sz="5" w:space="0" w:color="000000"/>
              <w:right w:val="single" w:sz="5" w:space="0" w:color="000000"/>
            </w:tcBorders>
          </w:tcPr>
          <w:p w14:paraId="23DE29C8"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1CF592B5"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Neznana pogostnost</w:t>
            </w:r>
          </w:p>
        </w:tc>
        <w:tc>
          <w:tcPr>
            <w:tcW w:w="4574" w:type="dxa"/>
            <w:tcBorders>
              <w:top w:val="single" w:sz="5" w:space="0" w:color="000000"/>
              <w:left w:val="single" w:sz="5" w:space="0" w:color="000000"/>
              <w:bottom w:val="single" w:sz="5" w:space="0" w:color="000000"/>
              <w:right w:val="single" w:sz="5" w:space="0" w:color="000000"/>
            </w:tcBorders>
          </w:tcPr>
          <w:p w14:paraId="1409F450"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poslabšanje simptomov dermatomiozitisa</w:t>
            </w:r>
            <w:r>
              <w:rPr>
                <w:rFonts w:ascii="Times New Roman" w:eastAsia="Times New Roman" w:hAnsi="Times New Roman" w:cs="Times New Roman"/>
                <w:vertAlign w:val="superscript"/>
                <w:lang w:val="sl-SI"/>
              </w:rPr>
              <w:t>1)</w:t>
            </w:r>
          </w:p>
        </w:tc>
      </w:tr>
      <w:tr w:rsidR="00E04C8A" w14:paraId="1D1797D0" w14:textId="77777777" w:rsidTr="00797234">
        <w:tc>
          <w:tcPr>
            <w:tcW w:w="2599" w:type="dxa"/>
            <w:vMerge w:val="restart"/>
            <w:tcBorders>
              <w:top w:val="single" w:sz="5" w:space="0" w:color="000000"/>
              <w:left w:val="single" w:sz="5" w:space="0" w:color="000000"/>
              <w:right w:val="single" w:sz="5" w:space="0" w:color="000000"/>
            </w:tcBorders>
          </w:tcPr>
          <w:p w14:paraId="3CA43586"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Bolezni mišično-skeletnega sistema in vezivnega tkiva</w:t>
            </w:r>
          </w:p>
        </w:tc>
        <w:tc>
          <w:tcPr>
            <w:tcW w:w="2076" w:type="dxa"/>
            <w:tcBorders>
              <w:top w:val="single" w:sz="5" w:space="0" w:color="000000"/>
              <w:left w:val="single" w:sz="5" w:space="0" w:color="000000"/>
              <w:bottom w:val="single" w:sz="5" w:space="0" w:color="000000"/>
              <w:right w:val="single" w:sz="5" w:space="0" w:color="000000"/>
            </w:tcBorders>
          </w:tcPr>
          <w:p w14:paraId="02A62435"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3AC7C684"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mišičnoskeletne bolečine</w:t>
            </w:r>
          </w:p>
        </w:tc>
      </w:tr>
      <w:tr w:rsidR="00E04C8A" w:rsidRPr="0043693B" w14:paraId="7C09934E" w14:textId="77777777" w:rsidTr="00797234">
        <w:tc>
          <w:tcPr>
            <w:tcW w:w="2599" w:type="dxa"/>
            <w:vMerge/>
            <w:tcBorders>
              <w:left w:val="single" w:sz="5" w:space="0" w:color="000000"/>
              <w:right w:val="single" w:sz="5" w:space="0" w:color="000000"/>
            </w:tcBorders>
          </w:tcPr>
          <w:p w14:paraId="2D27D996"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6CD30CDB"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77A124B1"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mišični krči (vključno s zvečanjem vrednosti kreatin-fosfokinaze v krvi)</w:t>
            </w:r>
          </w:p>
        </w:tc>
      </w:tr>
      <w:tr w:rsidR="00E04C8A" w14:paraId="67F8CAFB" w14:textId="77777777" w:rsidTr="00797234">
        <w:tc>
          <w:tcPr>
            <w:tcW w:w="2599" w:type="dxa"/>
            <w:vMerge/>
            <w:tcBorders>
              <w:left w:val="single" w:sz="5" w:space="0" w:color="000000"/>
              <w:right w:val="single" w:sz="5" w:space="0" w:color="000000"/>
            </w:tcBorders>
          </w:tcPr>
          <w:p w14:paraId="16652507"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414A439A"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59103E6A"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rabdomioliza, </w:t>
            </w:r>
          </w:p>
          <w:p w14:paraId="5F374FAF"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sistemski eritematozni lupus</w:t>
            </w:r>
          </w:p>
        </w:tc>
      </w:tr>
      <w:tr w:rsidR="00E04C8A" w14:paraId="20D642BF" w14:textId="77777777" w:rsidTr="00797234">
        <w:tc>
          <w:tcPr>
            <w:tcW w:w="2599" w:type="dxa"/>
            <w:vMerge/>
            <w:tcBorders>
              <w:left w:val="single" w:sz="5" w:space="0" w:color="000000"/>
              <w:bottom w:val="single" w:sz="5" w:space="0" w:color="000000"/>
              <w:right w:val="single" w:sz="5" w:space="0" w:color="000000"/>
            </w:tcBorders>
          </w:tcPr>
          <w:p w14:paraId="4E8FFA4A"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481D36F"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0399080B"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lupusu podoben sindrom</w:t>
            </w:r>
            <w:r>
              <w:rPr>
                <w:rFonts w:ascii="Times New Roman" w:eastAsia="Times New Roman" w:hAnsi="Times New Roman" w:cs="Times New Roman"/>
                <w:spacing w:val="-1"/>
                <w:vertAlign w:val="superscript"/>
                <w:lang w:val="sl-SI"/>
              </w:rPr>
              <w:t>1)</w:t>
            </w:r>
          </w:p>
        </w:tc>
      </w:tr>
      <w:tr w:rsidR="00E04C8A" w14:paraId="57E5BEC1" w14:textId="77777777" w:rsidTr="00797234">
        <w:tc>
          <w:tcPr>
            <w:tcW w:w="2599" w:type="dxa"/>
            <w:vMerge w:val="restart"/>
            <w:tcBorders>
              <w:top w:val="single" w:sz="5" w:space="0" w:color="000000"/>
              <w:left w:val="single" w:sz="5" w:space="0" w:color="000000"/>
              <w:right w:val="single" w:sz="5" w:space="0" w:color="000000"/>
            </w:tcBorders>
          </w:tcPr>
          <w:p w14:paraId="56CB6E6E" w14:textId="77777777" w:rsidR="00E04C8A" w:rsidRDefault="008E1817" w:rsidP="00797234">
            <w:pPr>
              <w:pStyle w:val="TableParagraph"/>
              <w:ind w:left="102" w:right="196"/>
              <w:rPr>
                <w:rFonts w:ascii="Times New Roman" w:eastAsia="Times New Roman" w:hAnsi="Times New Roman" w:cs="Times New Roman"/>
                <w:lang w:val="sl-SI"/>
              </w:rPr>
            </w:pPr>
            <w:r>
              <w:rPr>
                <w:rFonts w:ascii="Times New Roman" w:eastAsia="Times New Roman" w:hAnsi="Times New Roman" w:cs="Times New Roman"/>
                <w:spacing w:val="-1"/>
                <w:lang w:val="sl-SI"/>
              </w:rPr>
              <w:t>Bolezni sečil</w:t>
            </w:r>
          </w:p>
        </w:tc>
        <w:tc>
          <w:tcPr>
            <w:tcW w:w="2076" w:type="dxa"/>
            <w:tcBorders>
              <w:top w:val="single" w:sz="5" w:space="0" w:color="000000"/>
              <w:left w:val="single" w:sz="5" w:space="0" w:color="000000"/>
              <w:bottom w:val="single" w:sz="5" w:space="0" w:color="000000"/>
              <w:right w:val="single" w:sz="5" w:space="0" w:color="000000"/>
            </w:tcBorders>
          </w:tcPr>
          <w:p w14:paraId="55585205"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33ED5D4D" w14:textId="77777777" w:rsidR="009900DB" w:rsidRDefault="008E1817" w:rsidP="00797234">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okvara ledvic, </w:t>
            </w:r>
          </w:p>
          <w:p w14:paraId="384F5E69" w14:textId="5D6CD9D3"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hematurija</w:t>
            </w:r>
          </w:p>
        </w:tc>
      </w:tr>
      <w:tr w:rsidR="00E04C8A" w14:paraId="64444C15" w14:textId="77777777" w:rsidTr="00797234">
        <w:tc>
          <w:tcPr>
            <w:tcW w:w="2599" w:type="dxa"/>
            <w:vMerge/>
            <w:tcBorders>
              <w:left w:val="single" w:sz="5" w:space="0" w:color="000000"/>
              <w:bottom w:val="single" w:sz="5" w:space="0" w:color="000000"/>
              <w:right w:val="single" w:sz="5" w:space="0" w:color="000000"/>
            </w:tcBorders>
          </w:tcPr>
          <w:p w14:paraId="23D3DF70"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122F7FB1"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43425F06"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nokturija</w:t>
            </w:r>
          </w:p>
        </w:tc>
      </w:tr>
      <w:tr w:rsidR="00E04C8A" w14:paraId="702BD46D" w14:textId="77777777" w:rsidTr="00797234">
        <w:tc>
          <w:tcPr>
            <w:tcW w:w="2599" w:type="dxa"/>
            <w:tcBorders>
              <w:top w:val="single" w:sz="5" w:space="0" w:color="000000"/>
              <w:left w:val="single" w:sz="5" w:space="0" w:color="000000"/>
              <w:bottom w:val="single" w:sz="5" w:space="0" w:color="000000"/>
              <w:right w:val="single" w:sz="5" w:space="0" w:color="000000"/>
            </w:tcBorders>
          </w:tcPr>
          <w:p w14:paraId="2B27B8D7"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Motnje reprodukcije in dojk</w:t>
            </w:r>
          </w:p>
        </w:tc>
        <w:tc>
          <w:tcPr>
            <w:tcW w:w="2076" w:type="dxa"/>
            <w:tcBorders>
              <w:top w:val="single" w:sz="5" w:space="0" w:color="000000"/>
              <w:left w:val="single" w:sz="5" w:space="0" w:color="000000"/>
              <w:bottom w:val="single" w:sz="5" w:space="0" w:color="000000"/>
              <w:right w:val="single" w:sz="5" w:space="0" w:color="000000"/>
            </w:tcBorders>
          </w:tcPr>
          <w:p w14:paraId="2DEAE992"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280F5B3C"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erektilna disfunkcija</w:t>
            </w:r>
          </w:p>
        </w:tc>
      </w:tr>
      <w:tr w:rsidR="00E04C8A" w:rsidRPr="00652F18" w14:paraId="6364FBEB" w14:textId="77777777" w:rsidTr="00797234">
        <w:tc>
          <w:tcPr>
            <w:tcW w:w="2599" w:type="dxa"/>
            <w:vMerge w:val="restart"/>
            <w:tcBorders>
              <w:top w:val="single" w:sz="5" w:space="0" w:color="000000"/>
              <w:left w:val="single" w:sz="5" w:space="0" w:color="000000"/>
              <w:right w:val="single" w:sz="5" w:space="0" w:color="000000"/>
            </w:tcBorders>
          </w:tcPr>
          <w:p w14:paraId="5C814C50"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Splošne težave in spremembe na mestu aplikacije*</w:t>
            </w:r>
          </w:p>
        </w:tc>
        <w:tc>
          <w:tcPr>
            <w:tcW w:w="2076" w:type="dxa"/>
            <w:tcBorders>
              <w:top w:val="single" w:sz="5" w:space="0" w:color="000000"/>
              <w:left w:val="single" w:sz="5" w:space="0" w:color="000000"/>
              <w:right w:val="single" w:sz="5" w:space="0" w:color="000000"/>
            </w:tcBorders>
          </w:tcPr>
          <w:p w14:paraId="6759767F"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right w:val="single" w:sz="5" w:space="0" w:color="000000"/>
            </w:tcBorders>
          </w:tcPr>
          <w:p w14:paraId="6F7129FF" w14:textId="2CF15A92"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4"/>
                <w:lang w:val="sl-SI"/>
              </w:rPr>
              <w:t>reakcija na mestu injiciranja (vključno z eritemom na mestu</w:t>
            </w:r>
            <w:r w:rsidR="009900DB">
              <w:rPr>
                <w:rFonts w:ascii="Times New Roman" w:eastAsia="Times New Roman" w:hAnsi="Times New Roman" w:cs="Times New Roman"/>
                <w:spacing w:val="-4"/>
                <w:lang w:val="sl-SI"/>
              </w:rPr>
              <w:t xml:space="preserve"> </w:t>
            </w:r>
            <w:r>
              <w:rPr>
                <w:rFonts w:ascii="Times New Roman" w:eastAsia="Times New Roman" w:hAnsi="Times New Roman" w:cs="Times New Roman"/>
                <w:spacing w:val="-1"/>
                <w:lang w:val="sl-SI"/>
              </w:rPr>
              <w:t>injiciranja)</w:t>
            </w:r>
          </w:p>
        </w:tc>
      </w:tr>
      <w:tr w:rsidR="00E04C8A" w:rsidRPr="00652F18" w14:paraId="32030025" w14:textId="77777777" w:rsidTr="00797234">
        <w:tc>
          <w:tcPr>
            <w:tcW w:w="2599" w:type="dxa"/>
            <w:vMerge/>
            <w:tcBorders>
              <w:left w:val="single" w:sz="5" w:space="0" w:color="000000"/>
              <w:right w:val="single" w:sz="5" w:space="0" w:color="000000"/>
            </w:tcBorders>
          </w:tcPr>
          <w:p w14:paraId="34214FF2"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7D04CE21"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3C64B250"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bolečina v prsih,</w:t>
            </w:r>
          </w:p>
          <w:p w14:paraId="0D161381" w14:textId="77777777" w:rsidR="009900DB" w:rsidRDefault="008E1817" w:rsidP="00797234">
            <w:pPr>
              <w:pStyle w:val="TableParagraph"/>
              <w:ind w:left="99" w:right="2976"/>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edem, </w:t>
            </w:r>
          </w:p>
          <w:p w14:paraId="7E19774F" w14:textId="17D62354" w:rsidR="00E04C8A" w:rsidRDefault="008E1817" w:rsidP="00797234">
            <w:pPr>
              <w:pStyle w:val="TableParagraph"/>
              <w:ind w:left="99" w:right="2976"/>
              <w:rPr>
                <w:rFonts w:ascii="Times New Roman" w:eastAsia="Times New Roman" w:hAnsi="Times New Roman" w:cs="Times New Roman"/>
                <w:lang w:val="sl-SI"/>
              </w:rPr>
            </w:pPr>
            <w:r>
              <w:rPr>
                <w:rFonts w:ascii="Times New Roman" w:eastAsia="Times New Roman" w:hAnsi="Times New Roman" w:cs="Times New Roman"/>
                <w:spacing w:val="-1"/>
                <w:lang w:val="sl-SI"/>
              </w:rPr>
              <w:t>pireksija</w:t>
            </w:r>
            <w:r>
              <w:rPr>
                <w:rFonts w:ascii="Times New Roman" w:eastAsia="Times New Roman" w:hAnsi="Times New Roman" w:cs="Times New Roman"/>
                <w:spacing w:val="-1"/>
                <w:vertAlign w:val="superscript"/>
                <w:lang w:val="sl-SI"/>
              </w:rPr>
              <w:t>1)</w:t>
            </w:r>
          </w:p>
        </w:tc>
      </w:tr>
      <w:tr w:rsidR="00E04C8A" w14:paraId="6D1B1B3D" w14:textId="77777777" w:rsidTr="00797234">
        <w:tc>
          <w:tcPr>
            <w:tcW w:w="2599" w:type="dxa"/>
            <w:vMerge/>
            <w:tcBorders>
              <w:left w:val="single" w:sz="5" w:space="0" w:color="000000"/>
              <w:bottom w:val="single" w:sz="5" w:space="0" w:color="000000"/>
              <w:right w:val="single" w:sz="5" w:space="0" w:color="000000"/>
            </w:tcBorders>
          </w:tcPr>
          <w:p w14:paraId="38295B64" w14:textId="77777777" w:rsidR="00E04C8A" w:rsidRDefault="00E04C8A" w:rsidP="00797234">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25A3DDE7"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1A84A0D7"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4"/>
                <w:lang w:val="sl-SI"/>
              </w:rPr>
              <w:t>vnetje</w:t>
            </w:r>
          </w:p>
        </w:tc>
      </w:tr>
      <w:tr w:rsidR="00907360" w:rsidRPr="00652F18" w14:paraId="0FDAF173" w14:textId="77777777" w:rsidTr="00433A4B">
        <w:tc>
          <w:tcPr>
            <w:tcW w:w="2599" w:type="dxa"/>
            <w:vMerge w:val="restart"/>
            <w:tcBorders>
              <w:top w:val="single" w:sz="5" w:space="0" w:color="000000"/>
              <w:left w:val="single" w:sz="5" w:space="0" w:color="000000"/>
              <w:right w:val="single" w:sz="5" w:space="0" w:color="000000"/>
            </w:tcBorders>
          </w:tcPr>
          <w:p w14:paraId="762685F8" w14:textId="77777777" w:rsidR="00907360" w:rsidRDefault="00907360"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4"/>
                <w:lang w:val="sl-SI"/>
              </w:rPr>
              <w:t>Preiskave*</w:t>
            </w:r>
          </w:p>
          <w:p w14:paraId="43F0E9C6" w14:textId="4EC31CC2" w:rsidR="00907360" w:rsidRDefault="00907360" w:rsidP="00797234">
            <w:pPr>
              <w:pStyle w:val="TableParagraph"/>
              <w:ind w:left="102"/>
              <w:rPr>
                <w:rFonts w:ascii="Times New Roman" w:eastAsia="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C451917" w14:textId="77777777" w:rsidR="00907360" w:rsidRDefault="00907360"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51E037C2" w14:textId="77777777" w:rsidR="00907360" w:rsidRDefault="00907360"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koagulacije in motnje krvavitve (vključno s podaljšanim aktiviranim parcialnim tromboplastinskim časom),</w:t>
            </w:r>
          </w:p>
          <w:p w14:paraId="21C7F45B" w14:textId="422C4B76" w:rsidR="00907360" w:rsidRDefault="00907360"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pozitiven test avtoprotiteles (vključno s protitelesi proti dvoverižni DNA),</w:t>
            </w:r>
          </w:p>
          <w:p w14:paraId="0EF60999" w14:textId="77777777" w:rsidR="00907360" w:rsidRDefault="00907360"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zvečanje vrednosti laktat-dehidrogenaze v krvi</w:t>
            </w:r>
          </w:p>
        </w:tc>
      </w:tr>
      <w:tr w:rsidR="00907360" w14:paraId="64684EC4" w14:textId="77777777" w:rsidTr="00433A4B">
        <w:tc>
          <w:tcPr>
            <w:tcW w:w="2599" w:type="dxa"/>
            <w:vMerge/>
            <w:tcBorders>
              <w:left w:val="single" w:sz="5" w:space="0" w:color="000000"/>
              <w:bottom w:val="single" w:sz="5" w:space="0" w:color="000000"/>
              <w:right w:val="single" w:sz="5" w:space="0" w:color="000000"/>
            </w:tcBorders>
          </w:tcPr>
          <w:p w14:paraId="7DBA6481" w14:textId="6431C259" w:rsidR="00907360" w:rsidRDefault="00907360" w:rsidP="00797234">
            <w:pPr>
              <w:pStyle w:val="TableParagraph"/>
              <w:ind w:left="102"/>
              <w:rPr>
                <w:rFonts w:ascii="Times New Roman" w:eastAsia="Times New Roman" w:hAnsi="Times New Roman" w:cs="Times New Roman"/>
                <w:spacing w:val="-4"/>
                <w:lang w:val="sl-SI"/>
              </w:rPr>
            </w:pPr>
          </w:p>
        </w:tc>
        <w:tc>
          <w:tcPr>
            <w:tcW w:w="2076" w:type="dxa"/>
            <w:tcBorders>
              <w:top w:val="single" w:sz="5" w:space="0" w:color="000000"/>
              <w:left w:val="single" w:sz="5" w:space="0" w:color="000000"/>
              <w:bottom w:val="single" w:sz="5" w:space="0" w:color="000000"/>
              <w:right w:val="single" w:sz="5" w:space="0" w:color="000000"/>
            </w:tcBorders>
          </w:tcPr>
          <w:p w14:paraId="72AE9D99" w14:textId="4F263996" w:rsidR="00907360" w:rsidRDefault="00907360" w:rsidP="00797234">
            <w:pPr>
              <w:pStyle w:val="TableParagraph"/>
              <w:ind w:left="102"/>
              <w:rPr>
                <w:rFonts w:ascii="Times New Roman" w:eastAsia="Times New Roman" w:hAnsi="Times New Roman" w:cs="Times New Roman"/>
                <w:spacing w:val="-2"/>
                <w:lang w:val="sl-SI"/>
              </w:rPr>
            </w:pPr>
            <w:r>
              <w:rPr>
                <w:rFonts w:ascii="Times New Roman" w:eastAsia="Times New Roman" w:hAnsi="Times New Roman" w:cs="Times New Roman"/>
                <w:spacing w:val="-1"/>
                <w:lang w:val="sl-SI"/>
              </w:rPr>
              <w:t>Neznana pogostnost</w:t>
            </w:r>
          </w:p>
        </w:tc>
        <w:tc>
          <w:tcPr>
            <w:tcW w:w="4574" w:type="dxa"/>
            <w:tcBorders>
              <w:top w:val="single" w:sz="5" w:space="0" w:color="000000"/>
              <w:left w:val="single" w:sz="5" w:space="0" w:color="000000"/>
              <w:bottom w:val="single" w:sz="5" w:space="0" w:color="000000"/>
              <w:right w:val="single" w:sz="5" w:space="0" w:color="000000"/>
            </w:tcBorders>
          </w:tcPr>
          <w:p w14:paraId="2FE0F6C9" w14:textId="415C6CCF" w:rsidR="00907360" w:rsidRDefault="00907360" w:rsidP="00797234">
            <w:pPr>
              <w:pStyle w:val="TableParagraph"/>
              <w:ind w:left="99"/>
              <w:rPr>
                <w:rFonts w:ascii="Times New Roman" w:eastAsia="Times New Roman" w:hAnsi="Times New Roman" w:cs="Times New Roman"/>
                <w:spacing w:val="-1"/>
                <w:lang w:val="sl-SI"/>
              </w:rPr>
            </w:pPr>
            <w:r w:rsidRPr="00907360">
              <w:rPr>
                <w:rFonts w:ascii="Times New Roman" w:eastAsia="Times New Roman" w:hAnsi="Times New Roman" w:cs="Times New Roman"/>
                <w:spacing w:val="-1"/>
                <w:lang w:val="sl-SI"/>
              </w:rPr>
              <w:t>povečana telesna masa</w:t>
            </w:r>
            <w:r w:rsidRPr="00DA5D63">
              <w:rPr>
                <w:rFonts w:ascii="Times New Roman" w:eastAsia="Times New Roman" w:hAnsi="Times New Roman" w:cs="Times New Roman"/>
                <w:spacing w:val="-1"/>
                <w:vertAlign w:val="superscript"/>
                <w:lang w:val="sl-SI"/>
              </w:rPr>
              <w:t>2)</w:t>
            </w:r>
          </w:p>
        </w:tc>
      </w:tr>
      <w:tr w:rsidR="00E04C8A" w14:paraId="457A0A08" w14:textId="77777777" w:rsidTr="00797234">
        <w:tc>
          <w:tcPr>
            <w:tcW w:w="2599" w:type="dxa"/>
            <w:tcBorders>
              <w:top w:val="single" w:sz="5" w:space="0" w:color="000000"/>
              <w:left w:val="single" w:sz="5" w:space="0" w:color="000000"/>
              <w:bottom w:val="single" w:sz="5" w:space="0" w:color="000000"/>
              <w:right w:val="single" w:sz="5" w:space="0" w:color="000000"/>
            </w:tcBorders>
          </w:tcPr>
          <w:p w14:paraId="5D6D8B76"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Poškodbe, zastrupitve in zapleti pri posegih</w:t>
            </w:r>
          </w:p>
        </w:tc>
        <w:tc>
          <w:tcPr>
            <w:tcW w:w="2076" w:type="dxa"/>
            <w:tcBorders>
              <w:top w:val="single" w:sz="5" w:space="0" w:color="000000"/>
              <w:left w:val="single" w:sz="5" w:space="0" w:color="000000"/>
              <w:bottom w:val="single" w:sz="5" w:space="0" w:color="000000"/>
              <w:right w:val="single" w:sz="5" w:space="0" w:color="000000"/>
            </w:tcBorders>
          </w:tcPr>
          <w:p w14:paraId="4E8C2108" w14:textId="77777777" w:rsidR="00E04C8A" w:rsidRDefault="008E1817" w:rsidP="00797234">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70DC10B6" w14:textId="77777777" w:rsidR="00E04C8A" w:rsidRDefault="008E1817" w:rsidP="00797234">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2"/>
                <w:lang w:val="sl-SI"/>
              </w:rPr>
              <w:t>slabše celjenje</w:t>
            </w:r>
          </w:p>
        </w:tc>
      </w:tr>
    </w:tbl>
    <w:p w14:paraId="75DFAEBE" w14:textId="77777777" w:rsidR="00E04C8A" w:rsidRDefault="00E04C8A">
      <w:pPr>
        <w:spacing w:before="1" w:line="150" w:lineRule="exact"/>
        <w:rPr>
          <w:sz w:val="15"/>
          <w:szCs w:val="15"/>
          <w:lang w:val="sl-SI"/>
        </w:rPr>
      </w:pPr>
    </w:p>
    <w:p w14:paraId="213FA710" w14:textId="77777777" w:rsidR="00E04C8A" w:rsidRDefault="008E1817">
      <w:pPr>
        <w:pStyle w:val="a3"/>
        <w:numPr>
          <w:ilvl w:val="0"/>
          <w:numId w:val="0"/>
        </w:numPr>
        <w:rPr>
          <w:lang w:val="sl-SI"/>
        </w:rPr>
      </w:pPr>
      <w:r>
        <w:rPr>
          <w:rFonts w:eastAsia="Times New Roman"/>
          <w:lang w:val="sl-SI"/>
        </w:rPr>
        <w:lastRenderedPageBreak/>
        <w:t>* Dodatne informacije lahko najdete drugje v poglavjih 4.3, 4.4 in 4.8.</w:t>
      </w:r>
    </w:p>
    <w:p w14:paraId="21F8C3FE" w14:textId="77777777" w:rsidR="00E04C8A" w:rsidRDefault="008E1817">
      <w:pPr>
        <w:pStyle w:val="a3"/>
        <w:rPr>
          <w:lang w:val="sl-SI"/>
        </w:rPr>
      </w:pPr>
      <w:r>
        <w:rPr>
          <w:rFonts w:eastAsia="Times New Roman"/>
          <w:lang w:val="sl-SI"/>
        </w:rPr>
        <w:t>** vključno z odprtimi podaljšanimi študijami</w:t>
      </w:r>
    </w:p>
    <w:p w14:paraId="5F839D12" w14:textId="7759A448" w:rsidR="00E04C8A" w:rsidRDefault="008E1817">
      <w:pPr>
        <w:pStyle w:val="a3"/>
        <w:rPr>
          <w:rFonts w:eastAsia="Times New Roman"/>
          <w:position w:val="8"/>
          <w:lang w:val="sl-SI"/>
        </w:rPr>
      </w:pPr>
      <w:r>
        <w:rPr>
          <w:rFonts w:eastAsia="Times New Roman"/>
          <w:position w:val="8"/>
          <w:vertAlign w:val="superscript"/>
          <w:lang w:val="sl-SI"/>
        </w:rPr>
        <w:t>1)</w:t>
      </w:r>
      <w:r>
        <w:rPr>
          <w:rFonts w:eastAsia="Times New Roman"/>
          <w:position w:val="8"/>
          <w:sz w:val="14"/>
          <w:szCs w:val="14"/>
          <w:lang w:val="sl-SI"/>
        </w:rPr>
        <w:t xml:space="preserve"> </w:t>
      </w:r>
      <w:r>
        <w:rPr>
          <w:rFonts w:eastAsia="Times New Roman"/>
          <w:position w:val="8"/>
          <w:lang w:val="sl-SI"/>
        </w:rPr>
        <w:t>vključno s podatki iz spontanega poročanja</w:t>
      </w:r>
    </w:p>
    <w:p w14:paraId="3B9B7F28" w14:textId="056F04A1" w:rsidR="00907360" w:rsidRPr="00907360" w:rsidRDefault="00907360" w:rsidP="00DA5D63">
      <w:pPr>
        <w:pStyle w:val="a3"/>
        <w:ind w:left="176" w:hangingChars="80" w:hanging="176"/>
        <w:rPr>
          <w:lang w:val="sl-SI"/>
        </w:rPr>
      </w:pPr>
      <w:r w:rsidRPr="00DA5D63">
        <w:rPr>
          <w:vertAlign w:val="superscript"/>
          <w:lang w:val="sl-SI"/>
        </w:rPr>
        <w:t xml:space="preserve">2) </w:t>
      </w:r>
      <w:r w:rsidRPr="00907360">
        <w:rPr>
          <w:lang w:val="sl-SI"/>
        </w:rPr>
        <w:t>Povprečna sprememba telesne mase glede na izhodiščno vrednost v skupini z adalimumabom je znašala od 0,3 kg do 1,0 kg pri vseh indikacijah za odrasle, v primerjavi z od (minus) –0,4 kg do 0,4 kg v skupini s placebom, v obdobju zdravljenja 4–6 mesecev. Povečanje telesne mase za 5–6 kg je bilo opaženo tudi pri dolgoročni podaljšani študiji zdravila ob povprečni izpostavljenosti približno 1–2 leti, brez kontrolne skupine, še zlasti pri bolnikih s Crohnovo boleznijo in ulceroznim kolitisom. Mehanizem tega učinka ni znan, vendar bi bil lahko povezan s protivnetnim učinkom adalimumaba.</w:t>
      </w:r>
    </w:p>
    <w:p w14:paraId="572DA569" w14:textId="77777777" w:rsidR="00E04C8A" w:rsidRDefault="00E04C8A">
      <w:pPr>
        <w:spacing w:before="13" w:line="240" w:lineRule="exact"/>
        <w:rPr>
          <w:sz w:val="24"/>
          <w:szCs w:val="24"/>
          <w:lang w:val="sl-SI"/>
        </w:rPr>
      </w:pPr>
    </w:p>
    <w:p w14:paraId="0D2FA03D" w14:textId="77777777" w:rsidR="00E04C8A" w:rsidRDefault="008E1817">
      <w:pPr>
        <w:pStyle w:val="a3"/>
        <w:rPr>
          <w:u w:val="single"/>
          <w:lang w:val="sl-SI"/>
        </w:rPr>
      </w:pPr>
      <w:r>
        <w:rPr>
          <w:rFonts w:eastAsia="Times New Roman"/>
          <w:u w:val="single" w:color="000000"/>
          <w:lang w:val="sl-SI"/>
        </w:rPr>
        <w:t>Hidradenitis suppurativa</w:t>
      </w:r>
    </w:p>
    <w:p w14:paraId="7722F7A2" w14:textId="77777777" w:rsidR="00E04C8A" w:rsidRDefault="00E04C8A">
      <w:pPr>
        <w:spacing w:before="1" w:line="180" w:lineRule="exact"/>
        <w:rPr>
          <w:sz w:val="18"/>
          <w:szCs w:val="18"/>
          <w:lang w:val="sl-SI"/>
        </w:rPr>
      </w:pPr>
    </w:p>
    <w:p w14:paraId="1382F9E4" w14:textId="77777777" w:rsidR="00E04C8A" w:rsidRDefault="008E1817">
      <w:pPr>
        <w:pStyle w:val="a3"/>
        <w:rPr>
          <w:lang w:val="sl-SI"/>
        </w:rPr>
      </w:pPr>
      <w:r>
        <w:rPr>
          <w:rFonts w:eastAsia="Times New Roman"/>
          <w:lang w:val="sl-SI"/>
        </w:rPr>
        <w:t>Varnostni profil bolnikov s HS, ki so se zdravili z adalimumabom vsak teden, je bil skladen z znanim varnostnim profilom adalimumaba.</w:t>
      </w:r>
    </w:p>
    <w:p w14:paraId="22B95302" w14:textId="77777777" w:rsidR="00E04C8A" w:rsidRDefault="00E04C8A">
      <w:pPr>
        <w:spacing w:before="11" w:line="240" w:lineRule="exact"/>
        <w:rPr>
          <w:sz w:val="24"/>
          <w:szCs w:val="24"/>
          <w:lang w:val="sl-SI"/>
        </w:rPr>
      </w:pPr>
    </w:p>
    <w:p w14:paraId="3AB22987" w14:textId="77777777" w:rsidR="00E04C8A" w:rsidRDefault="008E1817">
      <w:pPr>
        <w:pStyle w:val="a3"/>
        <w:rPr>
          <w:u w:val="single"/>
          <w:lang w:val="sl-SI"/>
        </w:rPr>
      </w:pPr>
      <w:r>
        <w:rPr>
          <w:rFonts w:eastAsia="Times New Roman"/>
          <w:u w:val="single" w:color="000000"/>
          <w:lang w:val="sl-SI"/>
        </w:rPr>
        <w:t>Uveitis</w:t>
      </w:r>
    </w:p>
    <w:p w14:paraId="5FEFE38D" w14:textId="77777777" w:rsidR="00E04C8A" w:rsidRDefault="00E04C8A">
      <w:pPr>
        <w:spacing w:before="1" w:line="180" w:lineRule="exact"/>
        <w:rPr>
          <w:sz w:val="18"/>
          <w:szCs w:val="18"/>
          <w:lang w:val="sl-SI"/>
        </w:rPr>
      </w:pPr>
    </w:p>
    <w:p w14:paraId="10F98B51" w14:textId="77777777" w:rsidR="00E04C8A" w:rsidRDefault="008E1817">
      <w:pPr>
        <w:pStyle w:val="a3"/>
        <w:rPr>
          <w:lang w:val="sl-SI"/>
        </w:rPr>
      </w:pPr>
      <w:r>
        <w:rPr>
          <w:rFonts w:eastAsia="Times New Roman"/>
          <w:lang w:val="sl-SI"/>
        </w:rPr>
        <w:t>Varnostni profil bolnikov s uveitisom, ki so se zdravili z adalimumabom vsak drug teden, je bil skladen z znanim varnostnim profilom adalimumaba.</w:t>
      </w:r>
    </w:p>
    <w:p w14:paraId="506255E7" w14:textId="77777777" w:rsidR="00E04C8A" w:rsidRDefault="00E04C8A">
      <w:pPr>
        <w:spacing w:before="11" w:line="240" w:lineRule="exact"/>
        <w:rPr>
          <w:sz w:val="24"/>
          <w:szCs w:val="24"/>
          <w:lang w:val="sl-SI"/>
        </w:rPr>
      </w:pPr>
    </w:p>
    <w:p w14:paraId="67865096" w14:textId="77777777" w:rsidR="00E04C8A" w:rsidRPr="0030421B" w:rsidRDefault="008E1817">
      <w:pPr>
        <w:pStyle w:val="a3"/>
        <w:rPr>
          <w:u w:val="single"/>
          <w:lang w:val="sl-SI"/>
        </w:rPr>
      </w:pPr>
      <w:r w:rsidRPr="0030421B">
        <w:rPr>
          <w:rFonts w:eastAsia="Times New Roman"/>
          <w:u w:val="single" w:color="000000"/>
          <w:lang w:val="sl-SI"/>
        </w:rPr>
        <w:t>Opis izbranih neželenih učinkov</w:t>
      </w:r>
    </w:p>
    <w:p w14:paraId="26CE8A3F" w14:textId="77777777" w:rsidR="00E04C8A" w:rsidRDefault="00E04C8A">
      <w:pPr>
        <w:pStyle w:val="a3"/>
        <w:rPr>
          <w:sz w:val="18"/>
          <w:szCs w:val="18"/>
          <w:lang w:val="sl-SI"/>
        </w:rPr>
      </w:pPr>
    </w:p>
    <w:p w14:paraId="5C9A611C" w14:textId="77777777" w:rsidR="00E04C8A" w:rsidRDefault="008E1817">
      <w:pPr>
        <w:pStyle w:val="a3"/>
        <w:rPr>
          <w:rFonts w:eastAsia="Times New Roman"/>
          <w:lang w:val="sl-SI"/>
        </w:rPr>
      </w:pPr>
      <w:r>
        <w:rPr>
          <w:rFonts w:eastAsia="Times New Roman"/>
          <w:i/>
          <w:iCs/>
          <w:spacing w:val="-1"/>
          <w:lang w:val="sl-SI"/>
        </w:rPr>
        <w:t>Reakcije na mestu injiciranja</w:t>
      </w:r>
    </w:p>
    <w:p w14:paraId="298C614A" w14:textId="77777777" w:rsidR="00E04C8A" w:rsidRDefault="00E04C8A">
      <w:pPr>
        <w:pStyle w:val="a3"/>
        <w:rPr>
          <w:sz w:val="24"/>
          <w:szCs w:val="24"/>
          <w:lang w:val="sl-SI"/>
        </w:rPr>
      </w:pPr>
    </w:p>
    <w:p w14:paraId="097D1FDD" w14:textId="0C930919" w:rsidR="00E04C8A" w:rsidRDefault="008E1817">
      <w:pPr>
        <w:pStyle w:val="a3"/>
        <w:rPr>
          <w:lang w:val="sl-SI"/>
        </w:rPr>
      </w:pPr>
      <w:r>
        <w:rPr>
          <w:rFonts w:eastAsia="Times New Roman"/>
          <w:lang w:val="sl-SI"/>
        </w:rPr>
        <w:t xml:space="preserve">V ključnih kontroliranih preskušanjih pri odraslih in otrocih so se pri 12,9 % bolnikov, zdravljenih z adalimumabom, pojavile reakcije na mestu injiciranja (eritem in/ali srbenje, krvavitve, bolečine ali otekanje), v primerjavi s 7,2 % bolnikov, ki so prejemali placebo ali kontrolno učinkovino. Zaradi reakcij na mestu injiciranja uporabe zdravila praviloma </w:t>
      </w:r>
      <w:r w:rsidR="00817E74">
        <w:rPr>
          <w:rFonts w:eastAsia="Times New Roman"/>
          <w:lang w:val="sl-SI"/>
        </w:rPr>
        <w:t>n</w:t>
      </w:r>
      <w:r>
        <w:rPr>
          <w:rFonts w:eastAsia="Times New Roman"/>
          <w:lang w:val="sl-SI"/>
        </w:rPr>
        <w:t>i bilo treba prekiniti.</w:t>
      </w:r>
    </w:p>
    <w:p w14:paraId="203C1BCE" w14:textId="77777777" w:rsidR="00E04C8A" w:rsidRDefault="00E04C8A">
      <w:pPr>
        <w:pStyle w:val="a3"/>
        <w:rPr>
          <w:lang w:val="sl-SI"/>
        </w:rPr>
      </w:pPr>
    </w:p>
    <w:p w14:paraId="3D03825B" w14:textId="77777777" w:rsidR="00E04C8A" w:rsidRDefault="008E1817">
      <w:pPr>
        <w:pStyle w:val="a3"/>
        <w:rPr>
          <w:rFonts w:eastAsia="Times New Roman"/>
          <w:lang w:val="sl-SI"/>
        </w:rPr>
      </w:pPr>
      <w:r>
        <w:rPr>
          <w:rFonts w:eastAsia="Times New Roman"/>
          <w:i/>
          <w:iCs/>
          <w:spacing w:val="-1"/>
          <w:lang w:val="sl-SI"/>
        </w:rPr>
        <w:t>Okužbe</w:t>
      </w:r>
    </w:p>
    <w:p w14:paraId="4AACB2B4" w14:textId="77777777" w:rsidR="00E04C8A" w:rsidRDefault="00E04C8A">
      <w:pPr>
        <w:pStyle w:val="a3"/>
        <w:rPr>
          <w:lang w:val="sl-SI"/>
        </w:rPr>
      </w:pPr>
    </w:p>
    <w:p w14:paraId="5E506E78" w14:textId="77777777" w:rsidR="00E04C8A" w:rsidRDefault="008E1817">
      <w:pPr>
        <w:pStyle w:val="a3"/>
        <w:rPr>
          <w:lang w:val="sl-SI"/>
        </w:rPr>
      </w:pPr>
      <w:r>
        <w:rPr>
          <w:rFonts w:eastAsia="Times New Roman"/>
          <w:lang w:val="sl-SI"/>
        </w:rPr>
        <w:t>V ključnih kontroliranih preskušanjih pri odraslih in otrocih je bil delež okužb pri bolnikih, zdravljenih z adalimumabom, 1,51 na bolnikov-let, in 1,46 na bolnikov-let pri bolnikih, ki so prejemali placebo ali kontrolno učinkovino. Pri okužbah je šlo predvsem za nazofaringitis, okužbo zgornjih dihal in sinusitis. Večina bolnikov je po ozdravitvi okužbe nadaljevala zdravljenje z adalimumabom.</w:t>
      </w:r>
    </w:p>
    <w:p w14:paraId="4EAACB95" w14:textId="77777777" w:rsidR="00E04C8A" w:rsidRDefault="00E04C8A">
      <w:pPr>
        <w:pStyle w:val="a3"/>
        <w:rPr>
          <w:lang w:val="sl-SI"/>
        </w:rPr>
      </w:pPr>
    </w:p>
    <w:p w14:paraId="0950F2BE" w14:textId="77777777" w:rsidR="00E04C8A" w:rsidRDefault="008E1817">
      <w:pPr>
        <w:pStyle w:val="a3"/>
        <w:rPr>
          <w:lang w:val="sl-SI"/>
        </w:rPr>
      </w:pPr>
      <w:r>
        <w:rPr>
          <w:rFonts w:eastAsia="Times New Roman"/>
          <w:lang w:val="sl-SI"/>
        </w:rPr>
        <w:t>Pri bolnikih, zdravljenih z adalimumabom, je bila incidenca resnih okužb 0,04 na bolnikov-let, pri bolnikih, zdravljenih s placebom in aktivno kontrolo, pa 0,03 na bolnikov-let.</w:t>
      </w:r>
    </w:p>
    <w:p w14:paraId="017D0DD0" w14:textId="77777777" w:rsidR="00E04C8A" w:rsidRDefault="00E04C8A">
      <w:pPr>
        <w:pStyle w:val="a3"/>
        <w:rPr>
          <w:lang w:val="sl-SI"/>
        </w:rPr>
      </w:pPr>
    </w:p>
    <w:p w14:paraId="35878D2D" w14:textId="77777777" w:rsidR="00E04C8A" w:rsidRDefault="008E1817">
      <w:pPr>
        <w:pStyle w:val="a3"/>
        <w:rPr>
          <w:lang w:val="sl-SI"/>
        </w:rPr>
      </w:pPr>
      <w:r>
        <w:rPr>
          <w:rFonts w:eastAsia="Times New Roman"/>
          <w:lang w:val="sl-SI"/>
        </w:rPr>
        <w:t>V kontroliranih in odprtih študijah z adalimumabom pri odraslih in otrocih so poročali o resnih okužbah (vključno s smrtnimi okužbami, ki so se pojavile redko), med katerimi so bile tuberkuloza (tudi miliarna in zunajpljučna) in invazivne oportunistične okužbe (npr. diseminirana ali zunajpljučna histoplazmoza, blastomikoza, kokcidioidomikoza, pnevmocistoza, kandidoza, aspergiloza in listerioza). Večina primerov tuberkuloze se je pojavila v prvih osmih mesecih po uvedbi zdravljenja in mogoče je, da gre za ponoven izbruh latentne bolezni.</w:t>
      </w:r>
    </w:p>
    <w:p w14:paraId="2C3FBC0F" w14:textId="77777777" w:rsidR="00E04C8A" w:rsidRDefault="00E04C8A">
      <w:pPr>
        <w:pStyle w:val="a3"/>
        <w:rPr>
          <w:lang w:val="sl-SI"/>
        </w:rPr>
      </w:pPr>
    </w:p>
    <w:p w14:paraId="241E600C" w14:textId="77777777" w:rsidR="00E04C8A" w:rsidRDefault="008E1817">
      <w:pPr>
        <w:pStyle w:val="a3"/>
        <w:rPr>
          <w:rFonts w:eastAsia="Times New Roman"/>
          <w:lang w:val="sl-SI"/>
        </w:rPr>
      </w:pPr>
      <w:r>
        <w:rPr>
          <w:rFonts w:eastAsia="Times New Roman"/>
          <w:i/>
          <w:iCs/>
          <w:spacing w:val="-1"/>
          <w:lang w:val="sl-SI"/>
        </w:rPr>
        <w:t>Maligne in limfoproliferativne bolezni</w:t>
      </w:r>
    </w:p>
    <w:p w14:paraId="3C57629C" w14:textId="77777777" w:rsidR="00E04C8A" w:rsidRDefault="00E04C8A">
      <w:pPr>
        <w:pStyle w:val="a3"/>
        <w:rPr>
          <w:lang w:val="sl-SI"/>
        </w:rPr>
      </w:pPr>
    </w:p>
    <w:p w14:paraId="7F6EC1A0" w14:textId="194AAB4D" w:rsidR="00E04C8A" w:rsidRDefault="008E1817">
      <w:pPr>
        <w:pStyle w:val="a3"/>
        <w:rPr>
          <w:lang w:val="sl-SI"/>
        </w:rPr>
      </w:pPr>
      <w:r>
        <w:rPr>
          <w:rFonts w:eastAsia="Times New Roman"/>
          <w:lang w:val="sl-SI"/>
        </w:rPr>
        <w:t xml:space="preserve">Pri 249 pediatričnih bolnikih z juvenilnim idiopatskim artritisom (s poliartikularnim juvenilnim idiopatskim artritisom in artritisom, povezanim z entezitisom), ki so bili med preskušanji zdravila </w:t>
      </w:r>
      <w:r w:rsidR="00982DE1">
        <w:rPr>
          <w:rFonts w:eastAsia="Times New Roman"/>
          <w:lang w:val="sl-SI"/>
        </w:rPr>
        <w:t>adalimumabom</w:t>
      </w:r>
      <w:r w:rsidR="00982DE1" w:rsidDel="00982DE1">
        <w:rPr>
          <w:rFonts w:eastAsia="Times New Roman"/>
          <w:lang w:val="sl-SI"/>
        </w:rPr>
        <w:t xml:space="preserve"> </w:t>
      </w:r>
      <w:r>
        <w:rPr>
          <w:rFonts w:eastAsia="Times New Roman"/>
          <w:lang w:val="sl-SI"/>
        </w:rPr>
        <w:t xml:space="preserve">zdravilu izpostavljeni 655,6 bolnikov-let, niso ugotovili nobenega malignoma. Malignomov prav tako niso opazili pri 192 pediatričnih bolnikih, ki so bili izpostavljeni 498,1 bolnikov-let med študijami z adalimumabom pri pediatričnih bolnikih s Crohnovo boleznijo. Pri 77 pediatričnih bolnikih v preskušanju adalimumaba pri pediatričnih bolnikih s kronično psoriazo v plakih z izpostavljenostjo 80,0 bolnikov-let niso opazili malignomov </w:t>
      </w:r>
      <w:r w:rsidR="00CF282E" w:rsidRPr="00FA20D4">
        <w:rPr>
          <w:rStyle w:val="normaltextrun"/>
          <w:shd w:val="clear" w:color="auto" w:fill="FFFFFF"/>
          <w:lang w:val="sl-SI"/>
        </w:rPr>
        <w:t>Pri 93 pediatričnih bolnikih z ulceroznim kolitisom, ki so bili med preskušanj</w:t>
      </w:r>
      <w:r w:rsidR="00CF282E">
        <w:rPr>
          <w:rStyle w:val="normaltextrun"/>
          <w:shd w:val="clear" w:color="auto" w:fill="FFFFFF"/>
          <w:lang w:val="sl-SI"/>
        </w:rPr>
        <w:t>em</w:t>
      </w:r>
      <w:r w:rsidR="00CF282E" w:rsidRPr="00FA20D4">
        <w:rPr>
          <w:rStyle w:val="normaltextrun"/>
          <w:shd w:val="clear" w:color="auto" w:fill="FFFFFF"/>
          <w:lang w:val="sl-SI"/>
        </w:rPr>
        <w:t xml:space="preserve"> </w:t>
      </w:r>
      <w:r w:rsidR="00CF282E" w:rsidRPr="00FA20D4">
        <w:rPr>
          <w:rStyle w:val="normaltextrun"/>
          <w:shd w:val="clear" w:color="auto" w:fill="FFFFFF"/>
          <w:lang w:val="sl-SI"/>
        </w:rPr>
        <w:lastRenderedPageBreak/>
        <w:t>zdravil</w:t>
      </w:r>
      <w:r w:rsidR="00CF282E">
        <w:rPr>
          <w:rStyle w:val="normaltextrun"/>
          <w:shd w:val="clear" w:color="auto" w:fill="FFFFFF"/>
          <w:lang w:val="sl-SI"/>
        </w:rPr>
        <w:t>a</w:t>
      </w:r>
      <w:r w:rsidR="00CF282E" w:rsidRPr="00FA20D4">
        <w:rPr>
          <w:rStyle w:val="normaltextrun"/>
          <w:shd w:val="clear" w:color="auto" w:fill="FFFFFF"/>
          <w:lang w:val="sl-SI"/>
        </w:rPr>
        <w:t xml:space="preserve"> </w:t>
      </w:r>
      <w:r w:rsidR="00982DE1" w:rsidRPr="00982DE1">
        <w:rPr>
          <w:lang w:val="sl-SI"/>
        </w:rPr>
        <w:t>adalimumab</w:t>
      </w:r>
      <w:r w:rsidR="00982DE1">
        <w:rPr>
          <w:lang w:val="sl-SI"/>
        </w:rPr>
        <w:t>a</w:t>
      </w:r>
      <w:r w:rsidR="00982DE1" w:rsidRPr="00982DE1">
        <w:rPr>
          <w:lang w:val="sl-SI"/>
        </w:rPr>
        <w:t xml:space="preserve"> </w:t>
      </w:r>
      <w:r w:rsidR="00CF282E" w:rsidRPr="00FA20D4">
        <w:rPr>
          <w:rStyle w:val="normaltextrun"/>
          <w:shd w:val="clear" w:color="auto" w:fill="FFFFFF"/>
          <w:lang w:val="sl-SI"/>
        </w:rPr>
        <w:t>izpostavljeni 65,3 bolnikov-let, niso ugotovili nobenega malignoma</w:t>
      </w:r>
      <w:r w:rsidR="00CF282E">
        <w:rPr>
          <w:rStyle w:val="normaltextrun"/>
          <w:shd w:val="clear" w:color="auto" w:fill="FFFFFF"/>
          <w:lang w:val="sl-SI"/>
        </w:rPr>
        <w:t>.</w:t>
      </w:r>
      <w:r w:rsidR="00CF282E">
        <w:rPr>
          <w:rFonts w:eastAsia="Times New Roman"/>
          <w:lang w:val="sl-SI"/>
        </w:rPr>
        <w:t xml:space="preserve"> </w:t>
      </w:r>
      <w:r>
        <w:rPr>
          <w:rFonts w:eastAsia="Times New Roman"/>
          <w:lang w:val="sl-SI"/>
        </w:rPr>
        <w:t>Pri 60 pediatričnih bolnikih z uveitisom, ki so bili med preskušanji adalimumaba izpostavljeni 58,4 bolnikov-let, niso ugotovili nobenega malignoma.</w:t>
      </w:r>
    </w:p>
    <w:p w14:paraId="570717DA" w14:textId="77777777" w:rsidR="00E04C8A" w:rsidRDefault="00E04C8A">
      <w:pPr>
        <w:spacing w:before="13" w:line="240" w:lineRule="exact"/>
        <w:rPr>
          <w:sz w:val="24"/>
          <w:szCs w:val="24"/>
          <w:lang w:val="sl-SI"/>
        </w:rPr>
      </w:pPr>
    </w:p>
    <w:p w14:paraId="462AE26F" w14:textId="77777777" w:rsidR="00E04C8A" w:rsidRDefault="008E1817">
      <w:pPr>
        <w:pStyle w:val="a3"/>
        <w:rPr>
          <w:lang w:val="sl-SI"/>
        </w:rPr>
      </w:pPr>
      <w:r>
        <w:rPr>
          <w:rFonts w:eastAsia="Times New Roman"/>
          <w:lang w:val="sl-SI"/>
        </w:rPr>
        <w:t>V kontroliranih delih ključnih preskušanj adalimumaba pri odraslih, ki so trajala vsaj 12 tednov, pri bolnikih z zmerno do hudo aktivnim revmatoidnim artritisom, ankilozirajočim spondilitisom, aksialnim spondiloartritisom brez radiografskega dokaza za AS, psoriatičnim artritisom, psoriazo, hidradenitis suppurativa, Crohnovo boleznijo, ulceroznim kolitisom in uveitisom so malignome (razen limfoma in nemelanomskega kožnega raka) opažali z deležem (95-% interval zaupanja) 6,8 (4,4; 10,5) na 1000 bolnikov-let med 5291 bolniki, ki so prejemali adalimumab, in 6,3 (3,4; 11,8) na 1000 bolnikov-let med 3444 kontrolnimi bolniki (pri prvih je zdravljenje mediano trajalo 4,0 meseca, pri drugih pa 3,8 meseca). Delež (95-% interval zaupanja) nemelanomskih kožnih rakov je bil 8,8 (6,0; 13,0) na 1.000 bolnikov-let med bolniki, zdravljenimi z adalimumabom, in 3,2 (1,3; 7,6) na 1.000 bolnikov-let med bolniki v kontrolni skupini. Med temi kožnimi raki je bil delež (95-% interval zaupanja) skvamocelularnega karcinoma 2,7 (1,4; 5,4) na 1000 bolnikov-let med bolniki, ki so prejemali adalimumab, in 0,6 (0,1; 4,5) na 1000 bolnikov-let v kontrolni skupini bolnikov. Delež (95-% interval zaupanja) limfomov je bil 0,7 (0,2; 2,7) na 1.000 bolnikov-let med bolniki, ki so prejemali adalimumab, in 0,6 (0,1; 4,5) na 1.000 bolnikov-let v kontrolni skupini bolnikov.</w:t>
      </w:r>
    </w:p>
    <w:p w14:paraId="763D86CD" w14:textId="77777777" w:rsidR="00E04C8A" w:rsidRDefault="00E04C8A">
      <w:pPr>
        <w:spacing w:before="13" w:line="240" w:lineRule="exact"/>
        <w:rPr>
          <w:sz w:val="24"/>
          <w:szCs w:val="24"/>
          <w:lang w:val="sl-SI"/>
        </w:rPr>
      </w:pPr>
    </w:p>
    <w:p w14:paraId="31695571" w14:textId="77777777" w:rsidR="00E04C8A" w:rsidRDefault="008E1817">
      <w:pPr>
        <w:pStyle w:val="a3"/>
        <w:rPr>
          <w:lang w:val="sl-SI"/>
        </w:rPr>
      </w:pPr>
      <w:r>
        <w:rPr>
          <w:rFonts w:eastAsia="Times New Roman"/>
          <w:lang w:val="sl-SI"/>
        </w:rPr>
        <w:t>Pri kombiniranju nadzorovanih delov teh preskušanj in potekajočih ter končanih odprtih nadaljevalnih študij z mediano trajanja približno 3,3 let, ki je vključevala približno 6.427 bolnikov in več kot 26.439 bolnikov-let zdravljenja, je ugotovljeni delež malignomov, razen limfoma in nemelanomskih kožnih rakov, približno 8,5 na 1.000 bolnikov-let. Ugotovljeni delež nemelanomskih kožnih rakov je približno 9,6 na 1.000 bolnikov-let, ugotovljeni delež limfomov pa približno 1,3 na 1.000 bolnikov-let.</w:t>
      </w:r>
    </w:p>
    <w:p w14:paraId="30FFAA57" w14:textId="77777777" w:rsidR="00E04C8A" w:rsidRDefault="00E04C8A">
      <w:pPr>
        <w:spacing w:before="14" w:line="240" w:lineRule="exact"/>
        <w:rPr>
          <w:sz w:val="24"/>
          <w:szCs w:val="24"/>
          <w:lang w:val="sl-SI"/>
        </w:rPr>
      </w:pPr>
    </w:p>
    <w:p w14:paraId="5B36A0B9" w14:textId="2D2E8964" w:rsidR="00E04C8A" w:rsidRDefault="008E1817">
      <w:pPr>
        <w:pStyle w:val="a3"/>
        <w:rPr>
          <w:lang w:val="sl-SI"/>
        </w:rPr>
      </w:pPr>
      <w:r>
        <w:rPr>
          <w:rFonts w:eastAsia="Times New Roman"/>
          <w:lang w:val="sl-SI"/>
        </w:rPr>
        <w:t xml:space="preserve">V obdobju trženja zdravila od januarja 2003 do decembra 2010, pretežno pri bolnikih z revmatoidnim artritisom, je bil </w:t>
      </w:r>
      <w:r w:rsidR="006E0E0D">
        <w:rPr>
          <w:rFonts w:hint="eastAsia"/>
          <w:lang w:val="sl-SI" w:eastAsia="ko-KR"/>
        </w:rPr>
        <w:t xml:space="preserve">spontano </w:t>
      </w:r>
      <w:r>
        <w:rPr>
          <w:rFonts w:eastAsia="Times New Roman"/>
          <w:lang w:val="sl-SI"/>
        </w:rPr>
        <w:t xml:space="preserve">zabeleženi delež malignomov približno 2,7 na 1000 bolnikov-let zdravljenja. </w:t>
      </w:r>
      <w:r w:rsidR="006E0E0D">
        <w:rPr>
          <w:rFonts w:hint="eastAsia"/>
          <w:lang w:val="sl-SI" w:eastAsia="ko-KR"/>
        </w:rPr>
        <w:t>Spontano u</w:t>
      </w:r>
      <w:r>
        <w:rPr>
          <w:rFonts w:eastAsia="Times New Roman"/>
          <w:lang w:val="sl-SI"/>
        </w:rPr>
        <w:t>gotovljeni delež nemelanomskih rakov je približno 0,2 na 1000 bolnikov-let zdravljenja, limfomov pa približno 0,3 na 1000 bolnikov-let zdravljenja (glejte poglavje 4.4).</w:t>
      </w:r>
    </w:p>
    <w:p w14:paraId="59C0C03B" w14:textId="77777777" w:rsidR="00E04C8A" w:rsidRDefault="00E04C8A">
      <w:pPr>
        <w:spacing w:before="17" w:line="240" w:lineRule="exact"/>
        <w:rPr>
          <w:sz w:val="24"/>
          <w:szCs w:val="24"/>
          <w:lang w:val="sl-SI"/>
        </w:rPr>
      </w:pPr>
    </w:p>
    <w:p w14:paraId="529B8E45" w14:textId="77777777" w:rsidR="00E04C8A" w:rsidRDefault="008E1817">
      <w:pPr>
        <w:pStyle w:val="a3"/>
        <w:rPr>
          <w:lang w:val="sl-SI"/>
        </w:rPr>
      </w:pPr>
      <w:r>
        <w:rPr>
          <w:rFonts w:eastAsia="Times New Roman"/>
          <w:lang w:val="sl-SI"/>
        </w:rPr>
        <w:t>V redkih primerih med obdobjem trženja so pri bolnikih, zdravljenih z adalimumabom, poročali o hepatospleničnem limfomu celic T (glejte poglavje 4.4).</w:t>
      </w:r>
    </w:p>
    <w:p w14:paraId="34ADCA0E" w14:textId="77777777" w:rsidR="00E04C8A" w:rsidRDefault="00E04C8A">
      <w:pPr>
        <w:pStyle w:val="a3"/>
        <w:rPr>
          <w:sz w:val="24"/>
          <w:szCs w:val="24"/>
          <w:lang w:val="sl-SI"/>
        </w:rPr>
      </w:pPr>
    </w:p>
    <w:p w14:paraId="0A2D3E86" w14:textId="77777777" w:rsidR="00E04C8A" w:rsidRDefault="008E1817">
      <w:pPr>
        <w:pStyle w:val="a3"/>
        <w:rPr>
          <w:rFonts w:eastAsia="Times New Roman"/>
          <w:lang w:val="sl-SI"/>
        </w:rPr>
      </w:pPr>
      <w:r>
        <w:rPr>
          <w:rFonts w:eastAsia="Times New Roman"/>
          <w:i/>
          <w:iCs/>
          <w:spacing w:val="-1"/>
          <w:lang w:val="sl-SI"/>
        </w:rPr>
        <w:t>Avtoprotitelesa</w:t>
      </w:r>
    </w:p>
    <w:p w14:paraId="04C46071" w14:textId="77777777" w:rsidR="00E04C8A" w:rsidRDefault="00E04C8A">
      <w:pPr>
        <w:pStyle w:val="a3"/>
        <w:rPr>
          <w:sz w:val="24"/>
          <w:szCs w:val="24"/>
          <w:lang w:val="sl-SI"/>
        </w:rPr>
      </w:pPr>
    </w:p>
    <w:p w14:paraId="7CB486A5" w14:textId="77777777" w:rsidR="00E04C8A" w:rsidRDefault="008E1817">
      <w:pPr>
        <w:pStyle w:val="a3"/>
        <w:rPr>
          <w:lang w:val="sl-SI"/>
        </w:rPr>
      </w:pPr>
      <w:r>
        <w:rPr>
          <w:rFonts w:eastAsia="Times New Roman"/>
          <w:lang w:val="sl-SI"/>
        </w:rPr>
        <w:t>V študijah revmatoidnega artritisa I−V so pri bolnikih na več časovnih točkah testirali vzorce avtoprotiteles v serumu. V teh preskušanjih so pozitivne titre protiteles proti jedrnim antigenom po 24 tednih ugotovili pri 11,9 % prejemnikov adalimumaba in 8,1 % prejemnikov placeba in kontrolne učinkovine, ki so imeli ob izhodišču negativne titre teh protiteles. V vseh študijah revmatoidnega artritisa in psoriatičnega artritisa so se klinični znaki, ki so nakazovali novonastali lupusni sindrom, pojavili pri 2 od 3441 bolnikov, zdravljenih z adalimumabom. Stanje bolnikov se je po prekinitvi zdravljenja izboljšalo. Pri nobenem bolniku se niso pojavili lupus nefritis ali simptomi osrednjega živčevja.</w:t>
      </w:r>
    </w:p>
    <w:p w14:paraId="349E5F9A" w14:textId="77777777" w:rsidR="00E04C8A" w:rsidRDefault="00E04C8A">
      <w:pPr>
        <w:pStyle w:val="a3"/>
        <w:rPr>
          <w:sz w:val="24"/>
          <w:szCs w:val="24"/>
          <w:lang w:val="sl-SI"/>
        </w:rPr>
      </w:pPr>
    </w:p>
    <w:p w14:paraId="3AC673EF" w14:textId="77777777" w:rsidR="00E04C8A" w:rsidRDefault="008E1817">
      <w:pPr>
        <w:pStyle w:val="a3"/>
        <w:rPr>
          <w:rFonts w:eastAsia="Times New Roman"/>
          <w:lang w:val="sl-SI"/>
        </w:rPr>
      </w:pPr>
      <w:r>
        <w:rPr>
          <w:rFonts w:eastAsia="Times New Roman"/>
          <w:i/>
          <w:iCs/>
          <w:lang w:val="sl-SI"/>
        </w:rPr>
        <w:t>Dogodki na jetrih, žolčniku in žolčevodih</w:t>
      </w:r>
    </w:p>
    <w:p w14:paraId="6A5A5B42" w14:textId="77777777" w:rsidR="00E04C8A" w:rsidRDefault="00E04C8A">
      <w:pPr>
        <w:pStyle w:val="a3"/>
        <w:rPr>
          <w:sz w:val="24"/>
          <w:szCs w:val="24"/>
          <w:lang w:val="sl-SI"/>
        </w:rPr>
      </w:pPr>
    </w:p>
    <w:p w14:paraId="276BDF1A" w14:textId="77777777" w:rsidR="00E04C8A" w:rsidRDefault="008E1817">
      <w:pPr>
        <w:pStyle w:val="a3"/>
        <w:rPr>
          <w:lang w:val="sl-SI"/>
        </w:rPr>
      </w:pPr>
      <w:r>
        <w:rPr>
          <w:rFonts w:eastAsia="Times New Roman"/>
          <w:lang w:val="sl-SI"/>
        </w:rPr>
        <w:t>V kontroliranih preskušanjih faze 3 z adalimumabom pri bolnikih z revmatoidnim artritisom in psoriatičnim artritisom s trajanjem kontrolnega obdobja od 4 do 104 tedne, se je zvišanje ALT ≥ 3 x ULN (Upper Limits of Normal – zgornja meja normalne vrednosti) pojavilo pri 3,7 % bolnikov, zdravljenih z adalimumabom, in pri 1,6 % bolnikov v kontrolni skupini.</w:t>
      </w:r>
    </w:p>
    <w:p w14:paraId="705AA00A" w14:textId="77777777" w:rsidR="00E04C8A" w:rsidRDefault="00E04C8A">
      <w:pPr>
        <w:pStyle w:val="a3"/>
        <w:rPr>
          <w:sz w:val="24"/>
          <w:szCs w:val="24"/>
          <w:lang w:val="sl-SI"/>
        </w:rPr>
      </w:pPr>
    </w:p>
    <w:p w14:paraId="5FBA974B" w14:textId="40376D08" w:rsidR="00E04C8A" w:rsidRDefault="008E1817">
      <w:pPr>
        <w:pStyle w:val="a3"/>
        <w:rPr>
          <w:lang w:val="sl-SI"/>
        </w:rPr>
      </w:pPr>
      <w:r>
        <w:rPr>
          <w:rFonts w:eastAsia="Times New Roman"/>
          <w:lang w:val="sl-SI"/>
        </w:rPr>
        <w:t>V kontroliranih preskušanjih faze 3 z adalimumabom pri bolnikih s poliartikularnim juvenilnim idiopatskim artritisom, ki so bili stari od 4 do 17 let, in bolnikih z artritisom, povezanim z entezitisom, ki so bili stari od 6 do 17 let, se</w:t>
      </w:r>
      <w:r w:rsidR="00982DE1">
        <w:rPr>
          <w:rFonts w:eastAsia="Times New Roman"/>
          <w:lang w:val="sl-SI"/>
        </w:rPr>
        <w:t xml:space="preserve"> je</w:t>
      </w:r>
      <w:r>
        <w:rPr>
          <w:rFonts w:eastAsia="Times New Roman"/>
          <w:lang w:val="sl-SI"/>
        </w:rPr>
        <w:t xml:space="preserve"> </w:t>
      </w:r>
      <w:r w:rsidR="00982DE1">
        <w:rPr>
          <w:rFonts w:eastAsia="Times New Roman"/>
          <w:lang w:val="sl-SI"/>
        </w:rPr>
        <w:t xml:space="preserve">zvišanje </w:t>
      </w:r>
      <w:r>
        <w:rPr>
          <w:rFonts w:eastAsia="Times New Roman"/>
          <w:lang w:val="sl-SI"/>
        </w:rPr>
        <w:t>ALT ≥ 3 x ULN pojavil</w:t>
      </w:r>
      <w:r w:rsidR="00982DE1">
        <w:rPr>
          <w:rFonts w:eastAsia="Times New Roman"/>
          <w:lang w:val="sl-SI"/>
        </w:rPr>
        <w:t>o</w:t>
      </w:r>
      <w:r>
        <w:rPr>
          <w:rFonts w:eastAsia="Times New Roman"/>
          <w:lang w:val="sl-SI"/>
        </w:rPr>
        <w:t xml:space="preserve"> pri 6,1 % bolnikov zdravljenih z adalimumabom, in pri 1,3 % bolnikov v kontrolni skupini. Večina zvišanj ALT se je pojavila pri sočasni uporabi metotreksata. </w:t>
      </w:r>
      <w:r>
        <w:rPr>
          <w:rFonts w:eastAsia="Times New Roman"/>
          <w:lang w:val="sl-SI"/>
        </w:rPr>
        <w:lastRenderedPageBreak/>
        <w:t>Zvišanja ALT ≥ 3 x ULN se niso pojavila v preskušanju 3. faze z adalimumabom pri bolnikih s poliartikularnim juvenilnim idiopatskim artritisom, ki so bili stari od 2 do &lt; 4 let.</w:t>
      </w:r>
    </w:p>
    <w:p w14:paraId="144AF53C" w14:textId="77777777" w:rsidR="00E04C8A" w:rsidRDefault="00E04C8A">
      <w:pPr>
        <w:pStyle w:val="a3"/>
        <w:rPr>
          <w:sz w:val="24"/>
          <w:szCs w:val="24"/>
          <w:lang w:val="sl-SI"/>
        </w:rPr>
      </w:pPr>
    </w:p>
    <w:p w14:paraId="1AAEC23C" w14:textId="77777777" w:rsidR="00E04C8A" w:rsidRDefault="008E1817">
      <w:pPr>
        <w:pStyle w:val="a3"/>
        <w:rPr>
          <w:lang w:val="sl-SI"/>
        </w:rPr>
      </w:pPr>
      <w:r>
        <w:rPr>
          <w:rFonts w:eastAsia="Times New Roman"/>
          <w:lang w:val="sl-SI"/>
        </w:rPr>
        <w:t>V kontroliranih preskušanjih faze 3 z adalimumabom pri bolnikih s Crohnovo boleznijo in ulceroznim kolitisom s kontrolnim obdobjem od 4 do 52 tednov, se je zvišanje ALT ≥ 3 x ULN pojavilo pri 0,9 % bolnikov, zdravljenih z adalimumabom, in pri 0,9 % bolnikov v kontrolni skupini.</w:t>
      </w:r>
    </w:p>
    <w:p w14:paraId="3D5E3D8E" w14:textId="77777777" w:rsidR="00E04C8A" w:rsidRDefault="00E04C8A">
      <w:pPr>
        <w:spacing w:before="11" w:line="240" w:lineRule="exact"/>
        <w:rPr>
          <w:sz w:val="24"/>
          <w:szCs w:val="24"/>
          <w:lang w:val="sl-SI"/>
        </w:rPr>
      </w:pPr>
    </w:p>
    <w:p w14:paraId="636C4E8B" w14:textId="77777777" w:rsidR="00E04C8A" w:rsidRDefault="008E1817">
      <w:pPr>
        <w:pStyle w:val="a3"/>
        <w:rPr>
          <w:lang w:val="sl-SI"/>
        </w:rPr>
      </w:pPr>
      <w:r>
        <w:rPr>
          <w:rFonts w:eastAsia="Times New Roman"/>
          <w:lang w:val="sl-SI"/>
        </w:rPr>
        <w:t>V preskušanju 3. faze z adalimumabom pri bolnikih s pediatrično Crohnovo boleznijo, kjer so ocenjevali učinkovitost in varnost dveh telesni masi prilagojenih vzdrževalnih režimov odmerjanja, ki sta sledila telesni masi prilagojenemu začetnemu zdravljenju do 52 tednov zdravljenja, so se pojavila zvišanja ALT ≥ 3 x ULN pri 2,6 % (5/192) bolnikov, od katerih so 4 sočasno prejemali imunosupresive ob začetku preskušanja.</w:t>
      </w:r>
    </w:p>
    <w:p w14:paraId="4D0E2228" w14:textId="77777777" w:rsidR="00E04C8A" w:rsidRDefault="00E04C8A">
      <w:pPr>
        <w:spacing w:before="13" w:line="240" w:lineRule="exact"/>
        <w:rPr>
          <w:sz w:val="24"/>
          <w:szCs w:val="24"/>
          <w:lang w:val="sl-SI"/>
        </w:rPr>
      </w:pPr>
    </w:p>
    <w:p w14:paraId="32413572" w14:textId="77777777" w:rsidR="00E04C8A" w:rsidRDefault="008E1817">
      <w:pPr>
        <w:pStyle w:val="a3"/>
        <w:rPr>
          <w:lang w:val="sl-SI"/>
        </w:rPr>
      </w:pPr>
      <w:r>
        <w:rPr>
          <w:rFonts w:eastAsia="Times New Roman"/>
          <w:lang w:val="sl-SI"/>
        </w:rPr>
        <w:t>V nadzorovanih preskušanjih z adalimumabom 3. faze pri bolnikih s psoriazo v plakih, ki so imeli kontrolno obdobje od 12 do 24 tednov, so se povišanja ALT ≥ 3 x ULN pojavila pri 1,8 % bolnikov, zdravljenih z adalimumabom, in pri 1,8 % bolnikov v kontrolni skupini.</w:t>
      </w:r>
    </w:p>
    <w:p w14:paraId="0AAC12E3" w14:textId="77777777" w:rsidR="00E04C8A" w:rsidRDefault="00E04C8A">
      <w:pPr>
        <w:spacing w:before="17" w:line="240" w:lineRule="exact"/>
        <w:rPr>
          <w:sz w:val="24"/>
          <w:szCs w:val="24"/>
          <w:lang w:val="sl-SI"/>
        </w:rPr>
      </w:pPr>
    </w:p>
    <w:p w14:paraId="065D31FC" w14:textId="77777777" w:rsidR="00E04C8A" w:rsidRDefault="008E1817">
      <w:pPr>
        <w:pStyle w:val="a3"/>
        <w:rPr>
          <w:lang w:val="sl-SI"/>
        </w:rPr>
      </w:pPr>
      <w:r>
        <w:rPr>
          <w:rFonts w:eastAsia="Times New Roman"/>
          <w:lang w:val="sl-SI"/>
        </w:rPr>
        <w:t>V preskušanju 3. faze z adalimumabom pri pediatričnih bolnikih s psoriazo s plaki ni bilo nobenih zvišanj ALT ≥ 3 X ULN.</w:t>
      </w:r>
    </w:p>
    <w:p w14:paraId="405347C5" w14:textId="77777777" w:rsidR="00E04C8A" w:rsidRDefault="00E04C8A">
      <w:pPr>
        <w:spacing w:before="11" w:line="240" w:lineRule="exact"/>
        <w:rPr>
          <w:sz w:val="24"/>
          <w:szCs w:val="24"/>
          <w:lang w:val="sl-SI"/>
        </w:rPr>
      </w:pPr>
    </w:p>
    <w:p w14:paraId="55F52562" w14:textId="77777777" w:rsidR="00E04C8A" w:rsidRDefault="008E1817">
      <w:pPr>
        <w:pStyle w:val="a3"/>
        <w:rPr>
          <w:lang w:val="sl-SI"/>
        </w:rPr>
      </w:pPr>
      <w:r>
        <w:rPr>
          <w:rFonts w:eastAsia="Times New Roman"/>
          <w:lang w:val="sl-SI"/>
        </w:rPr>
        <w:t>V kontroliranih preskušanjih z adalimumabom (v začetnem odmerku 160 mg v 0. tednu, ki mu sledi odmerek 80 mg v 2. tednu in potem 40 mg vsak teden z začetkom v 4. tednu) pri bolnikih s hidradenitis suppurativa in s trajanjem kontrolnega obdobja od 12 do 16 tednov, se je zvišanje ALT ≥ 3 x ULN pojavilo pri 0,3 % bolnikov, zdravljenih z adalimumabom, in pri 0,6 % bolnikov v kontrolni skupini.</w:t>
      </w:r>
    </w:p>
    <w:p w14:paraId="38A8121E" w14:textId="77777777" w:rsidR="00E04C8A" w:rsidRDefault="00E04C8A">
      <w:pPr>
        <w:spacing w:before="17" w:line="240" w:lineRule="exact"/>
        <w:rPr>
          <w:sz w:val="24"/>
          <w:szCs w:val="24"/>
          <w:lang w:val="sl-SI"/>
        </w:rPr>
      </w:pPr>
    </w:p>
    <w:p w14:paraId="22CBE9DC" w14:textId="028E6FAC" w:rsidR="00E04C8A" w:rsidRPr="00982DE1" w:rsidRDefault="008E1817">
      <w:pPr>
        <w:pStyle w:val="a3"/>
        <w:rPr>
          <w:rFonts w:eastAsia="Times New Roman"/>
          <w:lang w:val="sl-SI"/>
        </w:rPr>
      </w:pPr>
      <w:r>
        <w:rPr>
          <w:rFonts w:eastAsia="Times New Roman"/>
          <w:lang w:val="sl-SI"/>
        </w:rPr>
        <w:t xml:space="preserve">V kontroliranih preskušanjih z adalimumabom (začetni odmerek 80 mg v 0. tednu, ki mu sledi odmerek 40 mg vsak drugi teden z začetkom v 1. tednu) pri odraslih bolnikih z uveitisom, ki so trajala do 80 tednov, z mediano izpostavljenosti 166,5 dneva pri bolnikih zdravljenih z adalimumabom in 105,0 dneva pri bolnikih v kontrolni skupini, se je zvišanje ALT ≥ 3 x ULN pojavilo pri 2,4 % bolnikov, </w:t>
      </w:r>
      <w:r w:rsidRPr="00982DE1">
        <w:rPr>
          <w:rFonts w:eastAsia="Times New Roman"/>
          <w:lang w:val="sl-SI"/>
        </w:rPr>
        <w:t>zdravljenih z adalimumabom, in pri 2,4 % bolnikov v kontrolni skupini.</w:t>
      </w:r>
    </w:p>
    <w:p w14:paraId="2D5ECBC3" w14:textId="77777777" w:rsidR="00982DE1" w:rsidRPr="00982DE1" w:rsidRDefault="00982DE1">
      <w:pPr>
        <w:pStyle w:val="a3"/>
        <w:rPr>
          <w:lang w:val="sl-SI"/>
        </w:rPr>
      </w:pPr>
    </w:p>
    <w:p w14:paraId="286FE779" w14:textId="2F39BC19" w:rsidR="00982DE1" w:rsidRPr="00982DE1" w:rsidRDefault="00982DE1" w:rsidP="00982DE1">
      <w:pPr>
        <w:rPr>
          <w:rStyle w:val="normaltextrun"/>
          <w:rFonts w:ascii="Times New Roman" w:hAnsi="Times New Roman" w:cs="Times New Roman"/>
          <w:shd w:val="clear" w:color="auto" w:fill="FFFFFF"/>
          <w:lang w:val="sl-SI"/>
        </w:rPr>
      </w:pPr>
      <w:r w:rsidRPr="00982DE1">
        <w:rPr>
          <w:rStyle w:val="normaltextrun"/>
          <w:rFonts w:ascii="Times New Roman" w:hAnsi="Times New Roman" w:cs="Times New Roman"/>
          <w:shd w:val="clear" w:color="auto" w:fill="FFFFFF"/>
          <w:lang w:val="sl-SI"/>
        </w:rPr>
        <w:t xml:space="preserve">V kontroliranem preskušanjuh faze 3 z zdravilom </w:t>
      </w:r>
      <w:r>
        <w:rPr>
          <w:rStyle w:val="normaltextrun"/>
          <w:rFonts w:ascii="Times New Roman" w:hAnsi="Times New Roman" w:cs="Times New Roman"/>
          <w:shd w:val="clear" w:color="auto" w:fill="FFFFFF"/>
          <w:lang w:val="sl-SI"/>
        </w:rPr>
        <w:t>adalimumabom</w:t>
      </w:r>
      <w:r w:rsidRPr="00982DE1">
        <w:rPr>
          <w:rStyle w:val="normaltextrun"/>
          <w:rFonts w:ascii="Times New Roman" w:hAnsi="Times New Roman" w:cs="Times New Roman"/>
          <w:shd w:val="clear" w:color="auto" w:fill="FFFFFF"/>
          <w:lang w:val="sl-SI"/>
        </w:rPr>
        <w:t xml:space="preserve"> pri pediatričnih bolnikih z ulceroznim kolitisom (N = 93), kjer so ocenjevali učinkovitost in varnost vzdrževalnega odmerka 0,6 mg/kg (največ 40 mg) vsak drugi teden (N = 31) in vzdrževalnega odmerka 0,6 mg/kg (največ 40 mg) vsak teden (N = 32), ki sta sledila telesni masi prilagojenemu začetnemu zdravljenju z odmerkom 2,4 mg/kg (največ 160 mg) v 0. tednu in 1. tednu in 1,2 mg/kg (največ 80 mg) v 2. tednu (N = 63) ali z začetnim odmerkom 2,4 mg/kg (največ 160 mg) v 0. tednu, placebom v 1. tednu in 1,2 mg/kg (največ 80 mg) v 2. tednu (N = 30), se je zvišanje ALT ≥ 3 x ULN pojavilo pri 1,1 % (1/93) bolnikov.</w:t>
      </w:r>
    </w:p>
    <w:p w14:paraId="03D7520D" w14:textId="77777777" w:rsidR="00E04C8A" w:rsidRPr="00982DE1" w:rsidRDefault="00E04C8A">
      <w:pPr>
        <w:spacing w:before="11" w:line="240" w:lineRule="exact"/>
        <w:rPr>
          <w:sz w:val="24"/>
          <w:szCs w:val="24"/>
          <w:lang w:val="sl-SI"/>
        </w:rPr>
      </w:pPr>
    </w:p>
    <w:p w14:paraId="767367E1" w14:textId="77777777" w:rsidR="00E04C8A" w:rsidRDefault="008E1817">
      <w:pPr>
        <w:pStyle w:val="a3"/>
        <w:rPr>
          <w:lang w:val="sl-SI"/>
        </w:rPr>
      </w:pPr>
      <w:r>
        <w:rPr>
          <w:rFonts w:eastAsia="Times New Roman"/>
          <w:lang w:val="sl-SI"/>
        </w:rPr>
        <w:t>Pri vseh indikacijah v kliničnih preskušanjih so bili bolniki z zvišano ALT asimptomatski in v večini primerov so bila zvišanja prehodna ter so izzvenela med nadaljnjim zdravljenjem. Vendar pa so v obdobju trženja poročali tudi o jetrni odpovedi in o manj hudih jetrnih boleznih, ki lahko pri bolnikih, ki prejemajo adalimumab, vodijo v jetrno odpoved, kot je hepatitis, vključno z avtoimunskim hepatitisom.</w:t>
      </w:r>
    </w:p>
    <w:p w14:paraId="4465148E" w14:textId="77777777" w:rsidR="00E04C8A" w:rsidRDefault="00E04C8A">
      <w:pPr>
        <w:pStyle w:val="a3"/>
        <w:rPr>
          <w:u w:color="000000"/>
          <w:lang w:val="sl-SI"/>
        </w:rPr>
      </w:pPr>
    </w:p>
    <w:p w14:paraId="74D26220" w14:textId="77777777" w:rsidR="00E04C8A" w:rsidRDefault="008E1817">
      <w:pPr>
        <w:pStyle w:val="a3"/>
        <w:rPr>
          <w:u w:val="single"/>
          <w:lang w:val="sl-SI"/>
        </w:rPr>
      </w:pPr>
      <w:r>
        <w:rPr>
          <w:rFonts w:eastAsia="Times New Roman"/>
          <w:u w:val="single" w:color="000000"/>
          <w:lang w:val="sl-SI"/>
        </w:rPr>
        <w:t>Sočasna uporaba azatioprina/6-merkaptopurina</w:t>
      </w:r>
    </w:p>
    <w:p w14:paraId="460B5DF6" w14:textId="77777777" w:rsidR="00E04C8A" w:rsidRDefault="00E04C8A">
      <w:pPr>
        <w:spacing w:before="1" w:line="180" w:lineRule="exact"/>
        <w:rPr>
          <w:sz w:val="18"/>
          <w:szCs w:val="18"/>
          <w:lang w:val="sl-SI"/>
        </w:rPr>
      </w:pPr>
    </w:p>
    <w:p w14:paraId="3D20756B" w14:textId="77777777" w:rsidR="00E04C8A" w:rsidRDefault="008E1817">
      <w:pPr>
        <w:pStyle w:val="a3"/>
        <w:rPr>
          <w:lang w:val="sl-SI"/>
        </w:rPr>
      </w:pPr>
      <w:r>
        <w:rPr>
          <w:rFonts w:eastAsia="Times New Roman"/>
          <w:lang w:val="sl-SI"/>
        </w:rPr>
        <w:t>V študijah Crohnove bolezni pri odraslih so pri kombinaciji adalimumaba in azatioprina/6-merkaptopurina opazili večjo incidenco malignih bolezni in resnih neželenih dogodkov, povezanih z okužbo, kot pri uporabi samo adalimumaba.</w:t>
      </w:r>
    </w:p>
    <w:p w14:paraId="2145558D" w14:textId="77777777" w:rsidR="00E04C8A" w:rsidRDefault="00E04C8A">
      <w:pPr>
        <w:spacing w:before="13" w:line="240" w:lineRule="exact"/>
        <w:rPr>
          <w:sz w:val="24"/>
          <w:szCs w:val="24"/>
          <w:lang w:val="sl-SI"/>
        </w:rPr>
      </w:pPr>
    </w:p>
    <w:p w14:paraId="7BEFC73A" w14:textId="77777777" w:rsidR="00E04C8A" w:rsidRDefault="008E1817">
      <w:pPr>
        <w:pStyle w:val="a3"/>
        <w:rPr>
          <w:u w:val="single"/>
          <w:lang w:val="sl-SI"/>
        </w:rPr>
      </w:pPr>
      <w:r>
        <w:rPr>
          <w:rFonts w:eastAsia="Times New Roman"/>
          <w:u w:val="single" w:color="000000"/>
          <w:lang w:val="sl-SI"/>
        </w:rPr>
        <w:t>Poročanje o domnevnih neželenih učinkih</w:t>
      </w:r>
    </w:p>
    <w:p w14:paraId="38BB0770" w14:textId="77777777" w:rsidR="00E04C8A" w:rsidRDefault="00E04C8A">
      <w:pPr>
        <w:spacing w:before="9" w:line="170" w:lineRule="exact"/>
        <w:rPr>
          <w:sz w:val="17"/>
          <w:szCs w:val="17"/>
          <w:lang w:val="sl-SI"/>
        </w:rPr>
      </w:pPr>
    </w:p>
    <w:p w14:paraId="7A1927D4" w14:textId="77777777" w:rsidR="00E04C8A" w:rsidRDefault="008E1817">
      <w:pPr>
        <w:pStyle w:val="a3"/>
        <w:rPr>
          <w:lang w:val="sl-SI"/>
        </w:rPr>
      </w:pPr>
      <w:r>
        <w:rPr>
          <w:rFonts w:eastAsia="Times New Roman"/>
          <w:lang w:val="sl-SI"/>
        </w:rPr>
        <w:t xml:space="preserve">Poročanje o domnevnih neželenih učinkih zdravila po izdaji dovoljenja za promet je pomembno. Omogoča namreč stalno spremljanje razmerja med koristmi in tveganji zdravila. Od zdravstvenih delavcev se zahteva, da poročajo o katerem koli domnevnem neželenem učinku zdravila na </w:t>
      </w:r>
      <w:r w:rsidRPr="008E1817">
        <w:rPr>
          <w:rFonts w:eastAsia="Times New Roman"/>
          <w:highlight w:val="lightGray"/>
          <w:lang w:val="sl-SI"/>
        </w:rPr>
        <w:t xml:space="preserve">nacionalni center za poročanje, ki je naveden v </w:t>
      </w:r>
      <w:hyperlink r:id="rId12" w:history="1">
        <w:r w:rsidRPr="008E1817">
          <w:rPr>
            <w:rFonts w:eastAsia="Times New Roman"/>
            <w:color w:val="0000FF"/>
            <w:highlight w:val="lightGray"/>
            <w:u w:val="single"/>
            <w:lang w:val="sl-SI"/>
          </w:rPr>
          <w:t>Prilogi V</w:t>
        </w:r>
        <w:r w:rsidRPr="008E1817">
          <w:rPr>
            <w:rFonts w:eastAsia="Times New Roman"/>
            <w:color w:val="000000"/>
            <w:highlight w:val="lightGray"/>
            <w:lang w:val="sl-SI"/>
          </w:rPr>
          <w:t>.</w:t>
        </w:r>
      </w:hyperlink>
    </w:p>
    <w:p w14:paraId="3219EF8B" w14:textId="77777777" w:rsidR="00E04C8A" w:rsidRDefault="00E04C8A">
      <w:pPr>
        <w:spacing w:before="6" w:line="180" w:lineRule="exact"/>
        <w:rPr>
          <w:sz w:val="18"/>
          <w:szCs w:val="18"/>
          <w:lang w:val="sl-SI"/>
        </w:rPr>
      </w:pPr>
    </w:p>
    <w:p w14:paraId="28078755" w14:textId="77777777" w:rsidR="00E04C8A" w:rsidRDefault="008E1817">
      <w:pPr>
        <w:widowControl/>
        <w:numPr>
          <w:ilvl w:val="1"/>
          <w:numId w:val="14"/>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Preveliko odmerjanje</w:t>
      </w:r>
    </w:p>
    <w:p w14:paraId="43DF8791" w14:textId="77777777" w:rsidR="00E04C8A" w:rsidRDefault="00E04C8A">
      <w:pPr>
        <w:spacing w:before="12" w:line="240" w:lineRule="exact"/>
        <w:rPr>
          <w:sz w:val="24"/>
          <w:szCs w:val="24"/>
          <w:lang w:val="sl-SI"/>
        </w:rPr>
      </w:pPr>
    </w:p>
    <w:p w14:paraId="7160AEA6" w14:textId="77777777" w:rsidR="00E04C8A" w:rsidRDefault="008E1817">
      <w:pPr>
        <w:pStyle w:val="a3"/>
        <w:rPr>
          <w:lang w:val="sl-SI"/>
        </w:rPr>
      </w:pPr>
      <w:r>
        <w:rPr>
          <w:rFonts w:eastAsia="Times New Roman"/>
          <w:lang w:val="sl-SI"/>
        </w:rPr>
        <w:t>Med kliničnimi preskušanji niso opazili toksičnih učinkov, ki bi omejevali odmerek. Največji ocenjeni odmerek je obsegal več intravenskih odmerkov po 10 mg/kg, kar je približno 15-kratni priporočeni odmerek.</w:t>
      </w:r>
    </w:p>
    <w:p w14:paraId="25190281" w14:textId="77777777" w:rsidR="00E04C8A" w:rsidRDefault="00E04C8A">
      <w:pPr>
        <w:spacing w:line="200" w:lineRule="exact"/>
        <w:rPr>
          <w:sz w:val="20"/>
          <w:szCs w:val="20"/>
          <w:lang w:val="sl-SI"/>
        </w:rPr>
      </w:pPr>
    </w:p>
    <w:p w14:paraId="4B81CD6E" w14:textId="77777777" w:rsidR="00E04C8A" w:rsidRDefault="00E04C8A">
      <w:pPr>
        <w:widowControl/>
        <w:tabs>
          <w:tab w:val="left" w:pos="567"/>
        </w:tabs>
        <w:spacing w:line="260" w:lineRule="exact"/>
        <w:rPr>
          <w:rFonts w:ascii="Times New Roman" w:eastAsia="Times New Roman" w:hAnsi="Times New Roman" w:cs="Times New Roman"/>
          <w:b/>
          <w:noProof/>
          <w:lang w:val="sl-SI"/>
        </w:rPr>
      </w:pPr>
    </w:p>
    <w:p w14:paraId="4DB2C223" w14:textId="77777777" w:rsidR="00E04C8A" w:rsidRDefault="008E1817">
      <w:pPr>
        <w:widowControl/>
        <w:numPr>
          <w:ilvl w:val="0"/>
          <w:numId w:val="26"/>
        </w:numPr>
        <w:tabs>
          <w:tab w:val="left" w:pos="567"/>
        </w:tabs>
        <w:spacing w:line="260" w:lineRule="exact"/>
        <w:ind w:left="0"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FARMAKOLOŠKE LASTNOSTI</w:t>
      </w:r>
    </w:p>
    <w:p w14:paraId="5DCE9600" w14:textId="77777777" w:rsidR="00E04C8A" w:rsidRDefault="00E04C8A">
      <w:pPr>
        <w:spacing w:before="11" w:line="240" w:lineRule="exact"/>
        <w:rPr>
          <w:sz w:val="24"/>
          <w:szCs w:val="24"/>
          <w:lang w:val="sl-SI"/>
        </w:rPr>
      </w:pPr>
    </w:p>
    <w:p w14:paraId="595D5D4F" w14:textId="77777777" w:rsidR="00E04C8A" w:rsidRDefault="008E1817">
      <w:pPr>
        <w:widowControl/>
        <w:numPr>
          <w:ilvl w:val="1"/>
          <w:numId w:val="30"/>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Farmakodinamične lastnosti</w:t>
      </w:r>
    </w:p>
    <w:p w14:paraId="6DD17B56" w14:textId="77777777" w:rsidR="00E04C8A" w:rsidRDefault="00E04C8A">
      <w:pPr>
        <w:spacing w:before="9" w:line="240" w:lineRule="exact"/>
        <w:rPr>
          <w:sz w:val="24"/>
          <w:szCs w:val="24"/>
          <w:lang w:val="sl-SI"/>
        </w:rPr>
      </w:pPr>
    </w:p>
    <w:p w14:paraId="187571B4" w14:textId="77777777" w:rsidR="00E04C8A" w:rsidRDefault="008E1817">
      <w:pPr>
        <w:pStyle w:val="a3"/>
        <w:rPr>
          <w:lang w:val="sl-SI"/>
        </w:rPr>
      </w:pPr>
      <w:r>
        <w:rPr>
          <w:rFonts w:eastAsia="Times New Roman"/>
          <w:lang w:val="sl-SI"/>
        </w:rPr>
        <w:t>Farmakoterapevtska skupina: Zdravila za zaviranje imunske odzivnosti, zaviralci tumorje-nekrotizirajočega faktorja alfa (TNF-α).Oznaka ATC: L04AB04</w:t>
      </w:r>
    </w:p>
    <w:p w14:paraId="6C97C9C0" w14:textId="77777777" w:rsidR="00E04C8A" w:rsidRDefault="00E04C8A">
      <w:pPr>
        <w:pStyle w:val="a3"/>
        <w:rPr>
          <w:lang w:val="sl-SI"/>
        </w:rPr>
      </w:pPr>
    </w:p>
    <w:p w14:paraId="1623AFE8" w14:textId="77777777" w:rsidR="00E04C8A" w:rsidRDefault="008E1817">
      <w:pPr>
        <w:pStyle w:val="a3"/>
        <w:rPr>
          <w:lang w:val="sl-SI"/>
        </w:rPr>
      </w:pPr>
      <w:r>
        <w:rPr>
          <w:rFonts w:eastAsia="Times New Roman"/>
          <w:lang w:val="sl-SI"/>
        </w:rPr>
        <w:t xml:space="preserve">Zdravilo Yuflyma je podobno biološko zdravilo. Podrobne informacije so objavljene na spletni strani Evropske agencije za zdravila </w:t>
      </w:r>
      <w:hyperlink r:id="rId13" w:history="1">
        <w:r w:rsidRPr="008E1817">
          <w:rPr>
            <w:rStyle w:val="ad"/>
            <w:rFonts w:eastAsia="Times New Roman"/>
            <w:lang w:val="sl-SI"/>
          </w:rPr>
          <w:t>http://www.ema.europa.eu</w:t>
        </w:r>
      </w:hyperlink>
      <w:r>
        <w:rPr>
          <w:rFonts w:eastAsia="Times New Roman"/>
          <w:color w:val="0000FF"/>
          <w:u w:val="single"/>
          <w:lang w:val="sl-SI"/>
        </w:rPr>
        <w:t>.</w:t>
      </w:r>
    </w:p>
    <w:p w14:paraId="72201325" w14:textId="77777777" w:rsidR="00E04C8A" w:rsidRDefault="00E04C8A">
      <w:pPr>
        <w:spacing w:before="10" w:line="240" w:lineRule="exact"/>
        <w:rPr>
          <w:sz w:val="24"/>
          <w:szCs w:val="24"/>
          <w:lang w:val="sl-SI"/>
        </w:rPr>
      </w:pPr>
    </w:p>
    <w:p w14:paraId="538B77AA" w14:textId="77777777" w:rsidR="00E04C8A" w:rsidRDefault="008E1817">
      <w:pPr>
        <w:pStyle w:val="a3"/>
        <w:rPr>
          <w:u w:val="single"/>
          <w:lang w:val="sl-SI"/>
        </w:rPr>
      </w:pPr>
      <w:r>
        <w:rPr>
          <w:rFonts w:eastAsia="Times New Roman"/>
          <w:u w:val="single" w:color="000000"/>
          <w:lang w:val="sl-SI"/>
        </w:rPr>
        <w:t>Mehanizem delovanja</w:t>
      </w:r>
    </w:p>
    <w:p w14:paraId="287A8D1A" w14:textId="77777777" w:rsidR="00E04C8A" w:rsidRDefault="00E04C8A">
      <w:pPr>
        <w:spacing w:before="1" w:line="180" w:lineRule="exact"/>
        <w:rPr>
          <w:sz w:val="18"/>
          <w:szCs w:val="18"/>
          <w:lang w:val="sl-SI"/>
        </w:rPr>
      </w:pPr>
    </w:p>
    <w:p w14:paraId="0083D7D8" w14:textId="77777777" w:rsidR="00E04C8A" w:rsidRDefault="008E1817">
      <w:pPr>
        <w:pStyle w:val="a3"/>
        <w:rPr>
          <w:lang w:val="sl-SI"/>
        </w:rPr>
      </w:pPr>
      <w:r>
        <w:rPr>
          <w:rFonts w:eastAsia="Times New Roman"/>
          <w:lang w:val="sl-SI"/>
        </w:rPr>
        <w:t>Adalimumab se specifično veže na TNF in nevtralizira njegovo biološko delovanje, tako da blokira njegovo interakcijo z receptorji p55 in p75 za TNF na površini celic.</w:t>
      </w:r>
    </w:p>
    <w:p w14:paraId="5CFC3230" w14:textId="77777777" w:rsidR="00E04C8A" w:rsidRDefault="00E04C8A">
      <w:pPr>
        <w:spacing w:before="10" w:line="240" w:lineRule="exact"/>
        <w:rPr>
          <w:sz w:val="24"/>
          <w:szCs w:val="24"/>
          <w:lang w:val="sl-SI"/>
        </w:rPr>
      </w:pPr>
    </w:p>
    <w:p w14:paraId="521E4889" w14:textId="77777777" w:rsidR="00E04C8A" w:rsidRDefault="008E1817">
      <w:pPr>
        <w:pStyle w:val="a3"/>
        <w:rPr>
          <w:lang w:val="sl-SI"/>
        </w:rPr>
      </w:pPr>
      <w:r>
        <w:rPr>
          <w:rFonts w:eastAsia="Times New Roman"/>
          <w:lang w:val="sl-SI"/>
        </w:rPr>
        <w:t>Adalimumab prav tako modulira biološke odzive, ki jih sproži ali uravnava TNF, vključno s spremembami koncentracije adhezijskih molekul, odgovornih za migracijo levkocitov (ELAM-1, VCAM-1 in ICAM-1 z IK</w:t>
      </w:r>
      <w:r>
        <w:rPr>
          <w:rFonts w:eastAsia="Times New Roman"/>
          <w:sz w:val="14"/>
          <w:szCs w:val="14"/>
          <w:lang w:val="sl-SI"/>
        </w:rPr>
        <w:t>50</w:t>
      </w:r>
      <w:r>
        <w:rPr>
          <w:rFonts w:eastAsia="Times New Roman"/>
          <w:lang w:val="sl-SI"/>
        </w:rPr>
        <w:t xml:space="preserve"> 0,1–0,2 nM).</w:t>
      </w:r>
    </w:p>
    <w:p w14:paraId="6ED180B1" w14:textId="77777777" w:rsidR="00E04C8A" w:rsidRDefault="00E04C8A">
      <w:pPr>
        <w:spacing w:before="12" w:line="240" w:lineRule="exact"/>
        <w:rPr>
          <w:sz w:val="24"/>
          <w:szCs w:val="24"/>
          <w:lang w:val="sl-SI"/>
        </w:rPr>
      </w:pPr>
    </w:p>
    <w:p w14:paraId="7642E6BB" w14:textId="77777777" w:rsidR="00E04C8A" w:rsidRDefault="008E1817">
      <w:pPr>
        <w:pStyle w:val="a3"/>
        <w:rPr>
          <w:u w:val="single"/>
          <w:lang w:val="sl-SI"/>
        </w:rPr>
      </w:pPr>
      <w:r>
        <w:rPr>
          <w:rFonts w:eastAsia="Times New Roman"/>
          <w:u w:val="single" w:color="000000"/>
          <w:lang w:val="sl-SI"/>
        </w:rPr>
        <w:t>Farmakodinamični učinki</w:t>
      </w:r>
    </w:p>
    <w:p w14:paraId="7F9A8B71" w14:textId="77777777" w:rsidR="00E04C8A" w:rsidRDefault="00E04C8A">
      <w:pPr>
        <w:spacing w:before="1" w:line="180" w:lineRule="exact"/>
        <w:rPr>
          <w:sz w:val="18"/>
          <w:szCs w:val="18"/>
          <w:lang w:val="sl-SI"/>
        </w:rPr>
      </w:pPr>
    </w:p>
    <w:p w14:paraId="66E46376" w14:textId="77777777" w:rsidR="00E04C8A" w:rsidRDefault="008E1817">
      <w:pPr>
        <w:pStyle w:val="a3"/>
        <w:rPr>
          <w:lang w:val="sl-SI"/>
        </w:rPr>
      </w:pPr>
      <w:r>
        <w:rPr>
          <w:rFonts w:eastAsia="Times New Roman"/>
          <w:lang w:val="sl-SI"/>
        </w:rPr>
        <w:t>Po zdravljenju z adalimumabom so pri bolnikih z revmatoidnim artritisom opažali hitro znižanje reaktantov akutne faze vnetja</w:t>
      </w:r>
    </w:p>
    <w:p w14:paraId="62C897FB" w14:textId="77777777" w:rsidR="00E04C8A" w:rsidRDefault="008E1817">
      <w:pPr>
        <w:pStyle w:val="a3"/>
        <w:rPr>
          <w:lang w:val="sl-SI"/>
        </w:rPr>
      </w:pPr>
      <w:r>
        <w:rPr>
          <w:rFonts w:eastAsia="Times New Roman"/>
          <w:lang w:val="sl-SI"/>
        </w:rPr>
        <w:t>(C-reaktivnega proteina (CRP) in hitrosti sedimentacije eritrocitov (ESR)) ter serumskih citokinov (IL-6) v primerjavi z izhodiščem. Po uporabi adalimumaba se je zmanjšala tudi raven matriksnih metaloproteinaz v serumu (MMP-1 in MMP-3), ki povzročajo remodeliranje tkiva, odgovorno za uničenje hrustanca. Pri bolnikih, zdravljenih z adalimumabom, so se hematološki znaki kroničnega vnetja običajno izboljšali.</w:t>
      </w:r>
    </w:p>
    <w:p w14:paraId="447B6A86" w14:textId="77777777" w:rsidR="00E04C8A" w:rsidRDefault="00E04C8A">
      <w:pPr>
        <w:spacing w:before="10" w:line="240" w:lineRule="exact"/>
        <w:rPr>
          <w:sz w:val="24"/>
          <w:szCs w:val="24"/>
          <w:lang w:val="sl-SI"/>
        </w:rPr>
      </w:pPr>
    </w:p>
    <w:p w14:paraId="4DB27790" w14:textId="77777777" w:rsidR="00E04C8A" w:rsidRDefault="008E1817">
      <w:pPr>
        <w:pStyle w:val="a3"/>
        <w:rPr>
          <w:lang w:val="sl-SI"/>
        </w:rPr>
      </w:pPr>
      <w:r>
        <w:rPr>
          <w:rFonts w:eastAsia="Times New Roman"/>
          <w:lang w:val="sl-SI"/>
        </w:rPr>
        <w:t>Pri bolnikih s poliartikularnim juvenilnim idiopatskim artritisom, Crohnovo boleznijo, ulceroznim kolitisom in hidradenitis suppurativa so opazili naglo znižanje koncentracij CRP po zdravljenju z adalimumabom. Pri bolnikih s Crohnovo boleznijo so opazili zmanjšanje števila celic, ki izražajo vnetne označevalce v kolonu, vključno z bistvenim zmanjšanjem izražanja TNFα. Endoskopske študije na črevesni sluznici so pokazale znake celjenja sluznice pri bolnikih, zdravljenih z adalimumabom.</w:t>
      </w:r>
    </w:p>
    <w:p w14:paraId="52A1A3D5" w14:textId="77777777" w:rsidR="00E04C8A" w:rsidRDefault="00E04C8A">
      <w:pPr>
        <w:pStyle w:val="a3"/>
        <w:rPr>
          <w:u w:val="single" w:color="000000"/>
          <w:lang w:val="sl-SI"/>
        </w:rPr>
      </w:pPr>
    </w:p>
    <w:p w14:paraId="1E16F806" w14:textId="77777777" w:rsidR="00E04C8A" w:rsidRDefault="008E1817">
      <w:pPr>
        <w:pStyle w:val="a3"/>
        <w:rPr>
          <w:u w:val="single"/>
          <w:lang w:val="sl-SI"/>
        </w:rPr>
      </w:pPr>
      <w:r>
        <w:rPr>
          <w:rFonts w:eastAsia="Times New Roman"/>
          <w:u w:val="single" w:color="000000"/>
          <w:lang w:val="sl-SI"/>
        </w:rPr>
        <w:t>Klinična učinkovitost in varnost</w:t>
      </w:r>
    </w:p>
    <w:p w14:paraId="7235C941" w14:textId="77777777" w:rsidR="00E04C8A" w:rsidRDefault="00E04C8A">
      <w:pPr>
        <w:spacing w:line="180" w:lineRule="exact"/>
        <w:rPr>
          <w:sz w:val="18"/>
          <w:szCs w:val="18"/>
          <w:lang w:val="sl-SI"/>
        </w:rPr>
      </w:pPr>
    </w:p>
    <w:p w14:paraId="1476C2F8" w14:textId="77777777" w:rsidR="00E04C8A" w:rsidRDefault="008E1817">
      <w:pPr>
        <w:pStyle w:val="a3"/>
        <w:rPr>
          <w:i/>
          <w:iCs/>
          <w:lang w:val="sl-SI"/>
        </w:rPr>
      </w:pPr>
      <w:r>
        <w:rPr>
          <w:rFonts w:eastAsia="Times New Roman"/>
          <w:i/>
          <w:iCs/>
          <w:lang w:val="sl-SI"/>
        </w:rPr>
        <w:t>Revmatoidni artritis</w:t>
      </w:r>
    </w:p>
    <w:p w14:paraId="2B225D6A" w14:textId="77777777" w:rsidR="00E04C8A" w:rsidRDefault="00E04C8A">
      <w:pPr>
        <w:pStyle w:val="a3"/>
        <w:rPr>
          <w:sz w:val="24"/>
          <w:szCs w:val="24"/>
          <w:lang w:val="sl-SI"/>
        </w:rPr>
      </w:pPr>
    </w:p>
    <w:p w14:paraId="6066839F" w14:textId="77777777" w:rsidR="00E04C8A" w:rsidRDefault="008E1817">
      <w:pPr>
        <w:pStyle w:val="a3"/>
        <w:rPr>
          <w:lang w:val="sl-SI"/>
        </w:rPr>
      </w:pPr>
      <w:r>
        <w:rPr>
          <w:rFonts w:eastAsia="Times New Roman"/>
          <w:lang w:val="sl-SI"/>
        </w:rPr>
        <w:t>V vseh kliničnih preskušanjih revmatoidnega artritisa so adalimumab ocenili pri več kot 3000 bolnikih. Učinkovitost in varnost adalimumaba so ocenili v petih randomiziranih, dvojno slepih in dobro nadzorovanih študijah. Nekatere bolnike so zdravili do 120 mesecev. Bolečino na mestu injiciranja adalimumaba 40 mg/0,4 ml so ocenjevali v dveh randomiziranih, aktivnih, slepih, dvoobdobnih navzkrižnih študijah.</w:t>
      </w:r>
    </w:p>
    <w:p w14:paraId="57D45BFA" w14:textId="77777777" w:rsidR="00E04C8A" w:rsidRDefault="00E04C8A">
      <w:pPr>
        <w:spacing w:before="13" w:line="240" w:lineRule="exact"/>
        <w:rPr>
          <w:sz w:val="24"/>
          <w:szCs w:val="24"/>
          <w:lang w:val="sl-SI"/>
        </w:rPr>
      </w:pPr>
    </w:p>
    <w:p w14:paraId="08D97145" w14:textId="77777777" w:rsidR="00E04C8A" w:rsidRDefault="008E1817">
      <w:pPr>
        <w:pStyle w:val="a3"/>
        <w:rPr>
          <w:lang w:val="sl-SI"/>
        </w:rPr>
      </w:pPr>
      <w:r>
        <w:rPr>
          <w:rFonts w:eastAsia="Times New Roman"/>
          <w:lang w:val="sl-SI"/>
        </w:rPr>
        <w:t xml:space="preserve">V študiji revmatoidnega artritisa I je bilo ocenjeno 271 bolnikov z zmerno do hudo aktivnim revmatoidnim artritisom, starih </w:t>
      </w:r>
    </w:p>
    <w:p w14:paraId="18DB29AD" w14:textId="77777777" w:rsidR="00E04C8A" w:rsidRDefault="008E1817">
      <w:pPr>
        <w:pStyle w:val="a3"/>
        <w:rPr>
          <w:lang w:val="sl-SI"/>
        </w:rPr>
      </w:pP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 xml:space="preserve">18 let, pri katerih zdravljenje z vsaj enim imunomodulirajočim antirevmatičnim zdravilom ni bilo uspešno, pri katerih metotreksat v odmerkih od 12,5 do 25 mg (10 mg, če so bili intolerantni za metotreksat) vsak </w:t>
      </w:r>
      <w:r>
        <w:rPr>
          <w:rFonts w:eastAsia="Times New Roman"/>
          <w:lang w:val="sl-SI"/>
        </w:rPr>
        <w:lastRenderedPageBreak/>
        <w:t xml:space="preserve">teden ni bil dovolj učinkovit in pri katerih je odmerek metotreksata od 10 do 25 mg ostal stalen vsak teden. Bolniki so 24 tednov vsak drugi teden dobivali odmerke 20, 40 ali </w:t>
      </w:r>
    </w:p>
    <w:p w14:paraId="2ADAA1DF" w14:textId="77777777" w:rsidR="00E04C8A" w:rsidRDefault="008E1817">
      <w:pPr>
        <w:pStyle w:val="a3"/>
        <w:rPr>
          <w:lang w:val="sl-SI"/>
        </w:rPr>
      </w:pPr>
      <w:r>
        <w:rPr>
          <w:rFonts w:eastAsia="Times New Roman"/>
          <w:lang w:val="sl-SI"/>
        </w:rPr>
        <w:t>80 mg adalimumaba ali placebo.</w:t>
      </w:r>
    </w:p>
    <w:p w14:paraId="2080C18E" w14:textId="77777777" w:rsidR="00E04C8A" w:rsidRDefault="00E04C8A">
      <w:pPr>
        <w:spacing w:before="13" w:line="240" w:lineRule="exact"/>
        <w:rPr>
          <w:sz w:val="24"/>
          <w:szCs w:val="24"/>
          <w:lang w:val="sl-SI"/>
        </w:rPr>
      </w:pPr>
    </w:p>
    <w:p w14:paraId="068E1A63" w14:textId="77777777" w:rsidR="00E04C8A" w:rsidRDefault="008E1817">
      <w:pPr>
        <w:pStyle w:val="a3"/>
        <w:rPr>
          <w:lang w:val="sl-SI"/>
        </w:rPr>
      </w:pPr>
      <w:r>
        <w:rPr>
          <w:rFonts w:eastAsia="Times New Roman"/>
          <w:lang w:val="sl-SI"/>
        </w:rPr>
        <w:t xml:space="preserve">V študiji revmatoidnega artritisa II je bilo ocenjenih 544 bolnikov z zmerno do hudo aktivnim revmatoidnim artritisom, starih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18 let, pri katerih zdravljenje z vsaj enim imunomodulirajočim antirevmatičnim zdravilom ni bilo uspešno. Bolniki so 26 tednov dobivali odmerka 20 ali 40 mg adalimumaba s subkutanim injiciranjem vsak drugi teden, s placebom vsak vmesni teden ali vsak teden; placebo so dobivali vsak teden enako dolgo. Uporaba drugih antirevmatskih imunomodulirajočih zdravil ni bila dovoljena.</w:t>
      </w:r>
    </w:p>
    <w:p w14:paraId="14970B7A" w14:textId="77777777" w:rsidR="00E04C8A" w:rsidRDefault="00E04C8A">
      <w:pPr>
        <w:spacing w:before="13" w:line="240" w:lineRule="exact"/>
        <w:rPr>
          <w:sz w:val="24"/>
          <w:szCs w:val="24"/>
          <w:lang w:val="sl-SI"/>
        </w:rPr>
      </w:pPr>
    </w:p>
    <w:p w14:paraId="01A0140D" w14:textId="4D2C7A87" w:rsidR="00E04C8A" w:rsidRDefault="008E1817">
      <w:pPr>
        <w:pStyle w:val="a3"/>
        <w:rPr>
          <w:lang w:val="sl-SI"/>
        </w:rPr>
      </w:pPr>
      <w:r>
        <w:rPr>
          <w:rFonts w:eastAsia="Times New Roman"/>
          <w:lang w:val="sl-SI"/>
        </w:rPr>
        <w:t xml:space="preserve">V študiji revmatoidnega artritisa III je bilo ocenjeno 619 bolnikov z zmerno do zelo aktivnim revmatoidnim artritisom, starih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18 let, ki se niso učinkovito odzvali na odmerke metotreksata od 12,5 do 25 mg ali niso prenašali 10 mg metotreksata vsak teden. V tej študiji so bile tri skupine. Prva je 52 tednov vsak teden dobivala injekcije placeba, druga je 52 tednov vsak teden dobivala 20 mg adalimumaba, tretja pa je vsak drugi teden dobivala 40 mg adalimumaba in injekcije placeba vsak vmesni teden. Po zaključenih prvih 52 tednih so 457 bolnikov vključili v odprto nadaljevalno fazo, med katero so dobivali 40 mg adalimumba/MTX vsak drugi teden v obdobju do 10 let.</w:t>
      </w:r>
    </w:p>
    <w:p w14:paraId="752DEA32" w14:textId="77777777" w:rsidR="00E04C8A" w:rsidRDefault="00E04C8A">
      <w:pPr>
        <w:spacing w:before="13" w:line="240" w:lineRule="exact"/>
        <w:rPr>
          <w:sz w:val="24"/>
          <w:szCs w:val="24"/>
          <w:lang w:val="sl-SI"/>
        </w:rPr>
      </w:pPr>
    </w:p>
    <w:p w14:paraId="7D7E7832" w14:textId="77777777" w:rsidR="00E04C8A" w:rsidRDefault="008E1817">
      <w:pPr>
        <w:pStyle w:val="a3"/>
        <w:rPr>
          <w:lang w:val="sl-SI"/>
        </w:rPr>
      </w:pPr>
      <w:r>
        <w:rPr>
          <w:rFonts w:eastAsia="Times New Roman"/>
          <w:lang w:val="sl-SI"/>
        </w:rPr>
        <w:t>V študiji revmatoidnega artritisa IV je bila v prvi vrsti ocenjena varnost pri 636 bolnikih z zmerno do hudo aktivnim revmatoidnim artritisom, starih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18 let. Bolniki lahko pred tem še niso prejemali imunomodulirajočih antirevmatičnih zdravil ali pa so ohranili svojo prejšnjo revmatološko terapijo pod pogojem, da je bila ta terapija stabilna vsaj 28 dni. Terapije so vključevale metotreksat, leflunomid, hidroksiklorokin, sulfasalazin in/ali soli zlata. Bolnike so randomizirali na 40 mg adalimumaba ali placebo vsak drugi teden za 24 tednov.</w:t>
      </w:r>
    </w:p>
    <w:p w14:paraId="77D62174" w14:textId="77777777" w:rsidR="00E04C8A" w:rsidRDefault="00E04C8A">
      <w:pPr>
        <w:spacing w:before="11" w:line="240" w:lineRule="exact"/>
        <w:rPr>
          <w:sz w:val="24"/>
          <w:szCs w:val="24"/>
          <w:lang w:val="sl-SI"/>
        </w:rPr>
      </w:pPr>
    </w:p>
    <w:p w14:paraId="6CCE52C1" w14:textId="3E657B6A" w:rsidR="00E04C8A" w:rsidRDefault="008E1817">
      <w:pPr>
        <w:pStyle w:val="a3"/>
        <w:rPr>
          <w:lang w:val="sl-SI"/>
        </w:rPr>
      </w:pPr>
      <w:r>
        <w:rPr>
          <w:rFonts w:eastAsia="Times New Roman"/>
          <w:lang w:val="sl-SI"/>
        </w:rPr>
        <w:t>Študija revmatoidnega artritisa V je ocenila 799 odraslih bolnikov, ki še niso dobivali metotreksata, in so imeli zmerno do zelo aktiven zgoden revmatoidni artritis (povprečno trajanje bolezni manj kot 9 mesecev). Ta študija je ocenila učinkovitost kombiniranega zdravljenja z adalimumabom 40 mg vsak drugi teden/metotreksatom, monoterapija z adalimumabom 40 mg vsak drugi teden in monoterapijo z metotreksatom za zmanjšanje znakov in simptomov ter hitrosti napredovanja sklepne okvare pri revmatoidnem artritisu v obdobju 104 tednov. Po zaključenih prvih 104 tednih so 497 bolnikov vključili v odprto nadaljevalno fazo, med katero so še do 10 let dobivali 40 mg adalimumab vsak drugi teden.</w:t>
      </w:r>
    </w:p>
    <w:p w14:paraId="42499A71" w14:textId="77777777" w:rsidR="00E04C8A" w:rsidRDefault="00E04C8A">
      <w:pPr>
        <w:spacing w:before="13" w:line="240" w:lineRule="exact"/>
        <w:rPr>
          <w:sz w:val="24"/>
          <w:szCs w:val="24"/>
          <w:lang w:val="sl-SI"/>
        </w:rPr>
      </w:pPr>
    </w:p>
    <w:p w14:paraId="1CB6C349" w14:textId="77777777" w:rsidR="00E04C8A" w:rsidRDefault="008E1817">
      <w:pPr>
        <w:pStyle w:val="a3"/>
        <w:rPr>
          <w:lang w:val="sl-SI"/>
        </w:rPr>
      </w:pPr>
      <w:r>
        <w:rPr>
          <w:rFonts w:eastAsia="Times New Roman"/>
          <w:lang w:val="sl-SI"/>
        </w:rPr>
        <w:t>V študiji revmatoidnega artritisa VI in VII je bilo ocenjenih 60 bolnikov z zmerno do hudo aktivnim revmatoidnim artritisom, starih ≥ 18 let. Vključeni bolniki so bodisi trenutno uporabljali 40 mg adalimumaba/0,8 ml in so povprečno bolečino na mestu injiciranja ocenili kot najmanj 3 cm (merjena z 0–10-centimetrskim VAS) ali pa še niso prejemali biološkega zdravila in so začeli uporabljati adalimumab 40 mg/0,8 ml. Bolniki so bili randomizirani v en odmerek adalimumaba 40 mg/0,8 ml ali adalimumaba 40 mg/0,4 ml, čemur je sledilo enkratno injiciranje nasprotnega zdravila pri naslednjem odmerku.</w:t>
      </w:r>
    </w:p>
    <w:p w14:paraId="2A6E8004" w14:textId="77777777" w:rsidR="00E04C8A" w:rsidRDefault="00E04C8A">
      <w:pPr>
        <w:spacing w:before="14" w:line="240" w:lineRule="exact"/>
        <w:rPr>
          <w:sz w:val="24"/>
          <w:szCs w:val="24"/>
          <w:lang w:val="sl-SI"/>
        </w:rPr>
      </w:pPr>
    </w:p>
    <w:p w14:paraId="6C31F1A4" w14:textId="77777777" w:rsidR="00E04C8A" w:rsidRDefault="008E1817">
      <w:pPr>
        <w:pStyle w:val="a3"/>
        <w:rPr>
          <w:lang w:val="sl-SI"/>
        </w:rPr>
      </w:pPr>
      <w:r>
        <w:rPr>
          <w:rFonts w:eastAsia="Times New Roman"/>
          <w:lang w:val="sl-SI"/>
        </w:rPr>
        <w:t>Primarni opazovani dogodek v študijah revmatoidnega artritisa I, II in III ter sekundarni opazovani dogodek v študiji revmatoidnega artritisa IV je bil odstotek bolnikov, ki so po 24 oz. 26 tednih dosegli odziv 20 po ACR. Primarni opazovani dogodek študije revmatoidnega artritisa V je bil odstotek bolnikov, ki so do 52. tedna dosegli odziv ACR 50. V študijah III in V je bil dodatni primarni opazovani dogodek po 52 tednih upočasnitev napredovanja bolezni (ugotovljena z izvidi rentgenskega slikanja). Študija revmatoidnega artritisa III je imela kot primarni opazovani dogodek tudi spremembe v kakovosti življenja. Primarni opazovani dogodek v študijah RA VI in VII je bila bolečina na mestu injiciranja takoj po injiciranju, merjena z 0–10-centimetrskim VAS.</w:t>
      </w:r>
    </w:p>
    <w:p w14:paraId="531018C3" w14:textId="77777777" w:rsidR="00E04C8A" w:rsidRDefault="00E04C8A">
      <w:pPr>
        <w:spacing w:before="13" w:line="240" w:lineRule="exact"/>
        <w:rPr>
          <w:sz w:val="24"/>
          <w:szCs w:val="24"/>
          <w:lang w:val="sl-SI"/>
        </w:rPr>
      </w:pPr>
    </w:p>
    <w:p w14:paraId="2B92D82B" w14:textId="77777777" w:rsidR="00E04C8A" w:rsidRDefault="008E1817">
      <w:pPr>
        <w:rPr>
          <w:rFonts w:ascii="Times New Roman" w:eastAsia="Times New Roman" w:hAnsi="Times New Roman" w:cs="Times New Roman"/>
          <w:lang w:val="sl-SI"/>
        </w:rPr>
      </w:pPr>
      <w:r>
        <w:rPr>
          <w:rFonts w:ascii="Times New Roman" w:eastAsia="Times New Roman" w:hAnsi="Times New Roman" w:cs="Times New Roman"/>
          <w:i/>
          <w:iCs/>
          <w:spacing w:val="-1"/>
          <w:u w:val="single" w:color="000000"/>
          <w:lang w:val="sl-SI"/>
        </w:rPr>
        <w:t>Odziv po ACR</w:t>
      </w:r>
    </w:p>
    <w:p w14:paraId="3B7BAF9B" w14:textId="77777777" w:rsidR="00E04C8A" w:rsidRDefault="00E04C8A">
      <w:pPr>
        <w:spacing w:before="1" w:line="180" w:lineRule="exact"/>
        <w:rPr>
          <w:sz w:val="18"/>
          <w:szCs w:val="18"/>
          <w:lang w:val="sl-SI"/>
        </w:rPr>
      </w:pPr>
    </w:p>
    <w:p w14:paraId="130C99D0" w14:textId="54F1DA81" w:rsidR="00E04C8A" w:rsidRDefault="008E1817">
      <w:pPr>
        <w:pStyle w:val="a3"/>
        <w:rPr>
          <w:lang w:val="sl-SI"/>
        </w:rPr>
      </w:pPr>
      <w:r>
        <w:rPr>
          <w:rFonts w:eastAsia="Times New Roman"/>
          <w:lang w:val="sl-SI"/>
        </w:rPr>
        <w:t>Odstotek bolnikov, zdravljenih z adalimumabom, ki so dosegli odziv 20, 50 in 70 po ACR, se je v študijah revmatoidnega artritisa I, II in III skladal. Rezultati odmerka 40 mg vsak drugi teden so strnjeni v preglednici </w:t>
      </w:r>
      <w:r w:rsidR="00982DE1">
        <w:rPr>
          <w:rFonts w:eastAsia="Times New Roman"/>
          <w:lang w:val="sl-SI"/>
        </w:rPr>
        <w:t>8</w:t>
      </w:r>
      <w:r>
        <w:rPr>
          <w:rFonts w:eastAsia="Times New Roman"/>
          <w:lang w:val="sl-SI"/>
        </w:rPr>
        <w:t>.</w:t>
      </w:r>
    </w:p>
    <w:p w14:paraId="6575857F" w14:textId="77777777" w:rsidR="00E04C8A" w:rsidRDefault="00E04C8A">
      <w:pPr>
        <w:spacing w:before="15" w:line="240" w:lineRule="exact"/>
        <w:rPr>
          <w:sz w:val="24"/>
          <w:szCs w:val="24"/>
          <w:lang w:val="sl-SI"/>
        </w:rPr>
      </w:pPr>
    </w:p>
    <w:p w14:paraId="688F372B" w14:textId="5D587562" w:rsidR="00E04C8A" w:rsidRDefault="008E1817">
      <w:pPr>
        <w:pStyle w:val="a3"/>
        <w:jc w:val="center"/>
        <w:rPr>
          <w:b/>
          <w:lang w:val="sl-SI"/>
        </w:rPr>
      </w:pPr>
      <w:r>
        <w:rPr>
          <w:rFonts w:eastAsia="Times New Roman"/>
          <w:b/>
          <w:bCs/>
          <w:lang w:val="sl-SI"/>
        </w:rPr>
        <w:t xml:space="preserve">Preglednica </w:t>
      </w:r>
      <w:r w:rsidR="00982DE1">
        <w:rPr>
          <w:rFonts w:eastAsia="Times New Roman"/>
          <w:b/>
          <w:bCs/>
          <w:lang w:val="sl-SI"/>
        </w:rPr>
        <w:t>8</w:t>
      </w:r>
      <w:r>
        <w:rPr>
          <w:rFonts w:eastAsia="Times New Roman"/>
          <w:b/>
          <w:bCs/>
          <w:lang w:val="sl-SI"/>
        </w:rPr>
        <w:t>.</w:t>
      </w:r>
    </w:p>
    <w:p w14:paraId="59446B40" w14:textId="77777777" w:rsidR="00E04C8A" w:rsidRDefault="008E1817">
      <w:pPr>
        <w:pStyle w:val="a3"/>
        <w:jc w:val="center"/>
        <w:rPr>
          <w:b/>
          <w:lang w:val="sl-SI"/>
        </w:rPr>
      </w:pPr>
      <w:r>
        <w:rPr>
          <w:rFonts w:eastAsia="Times New Roman"/>
          <w:b/>
          <w:bCs/>
          <w:lang w:val="sl-SI"/>
        </w:rPr>
        <w:t xml:space="preserve">Odziv po ACR v študijah, kontroliranih s placebom </w:t>
      </w:r>
      <w:r>
        <w:rPr>
          <w:rFonts w:eastAsia="Times New Roman"/>
          <w:b/>
          <w:bCs/>
          <w:lang w:val="sl-SI"/>
        </w:rPr>
        <w:br/>
        <w:t>(odstotek bolnikov)</w:t>
      </w:r>
    </w:p>
    <w:p w14:paraId="30D34F0B" w14:textId="77777777" w:rsidR="00E04C8A" w:rsidRDefault="00E04C8A">
      <w:pPr>
        <w:spacing w:before="11" w:line="240" w:lineRule="exact"/>
        <w:rPr>
          <w:sz w:val="24"/>
          <w:szCs w:val="24"/>
          <w:lang w:val="sl-SI"/>
        </w:rPr>
      </w:pPr>
    </w:p>
    <w:tbl>
      <w:tblPr>
        <w:tblStyle w:val="TableNormal1"/>
        <w:tblW w:w="0" w:type="auto"/>
        <w:tblInd w:w="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12"/>
        <w:gridCol w:w="1276"/>
        <w:gridCol w:w="1381"/>
        <w:gridCol w:w="1273"/>
        <w:gridCol w:w="1288"/>
        <w:gridCol w:w="1151"/>
        <w:gridCol w:w="1544"/>
      </w:tblGrid>
      <w:tr w:rsidR="00E04C8A" w:rsidRPr="00652F18" w14:paraId="10D8559C" w14:textId="77777777" w:rsidTr="001452D7">
        <w:tc>
          <w:tcPr>
            <w:tcW w:w="1212" w:type="dxa"/>
            <w:vMerge w:val="restart"/>
          </w:tcPr>
          <w:p w14:paraId="358C15D7" w14:textId="77777777" w:rsidR="00E04C8A" w:rsidRDefault="008E1817">
            <w:pPr>
              <w:rPr>
                <w:rFonts w:ascii="Times New Roman" w:eastAsia="Times New Roman" w:hAnsi="Times New Roman" w:cs="Times New Roman"/>
                <w:lang w:val="sl-SI"/>
              </w:rPr>
            </w:pPr>
            <w:r>
              <w:rPr>
                <w:rFonts w:ascii="Times New Roman" w:eastAsia="Times New Roman" w:hAnsi="Times New Roman" w:cs="Times New Roman"/>
                <w:lang w:val="sl-SI"/>
              </w:rPr>
              <w:t>Odziv</w:t>
            </w:r>
          </w:p>
        </w:tc>
        <w:tc>
          <w:tcPr>
            <w:tcW w:w="2657" w:type="dxa"/>
            <w:gridSpan w:val="2"/>
            <w:tcBorders>
              <w:bottom w:val="single" w:sz="4" w:space="0" w:color="auto"/>
            </w:tcBorders>
            <w:vAlign w:val="center"/>
          </w:tcPr>
          <w:p w14:paraId="5A2E9F76" w14:textId="77777777" w:rsidR="00E04C8A" w:rsidRDefault="008E1817" w:rsidP="0089718D">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Študija revmatoidnega artritisa I</w:t>
            </w:r>
            <w:r>
              <w:rPr>
                <w:rFonts w:ascii="Times New Roman" w:eastAsia="Times New Roman" w:hAnsi="Times New Roman" w:cs="Times New Roman"/>
                <w:spacing w:val="-1"/>
                <w:vertAlign w:val="superscript"/>
                <w:lang w:val="sl-SI"/>
              </w:rPr>
              <w:t>a</w:t>
            </w:r>
            <w:r>
              <w:rPr>
                <w:rFonts w:ascii="Times New Roman" w:eastAsia="Times New Roman" w:hAnsi="Times New Roman" w:cs="Times New Roman"/>
                <w:spacing w:val="-1"/>
                <w:lang w:val="sl-SI"/>
              </w:rPr>
              <w:t>**</w:t>
            </w:r>
          </w:p>
        </w:tc>
        <w:tc>
          <w:tcPr>
            <w:tcW w:w="2561" w:type="dxa"/>
            <w:gridSpan w:val="2"/>
            <w:tcBorders>
              <w:bottom w:val="single" w:sz="4" w:space="0" w:color="auto"/>
            </w:tcBorders>
            <w:vAlign w:val="center"/>
          </w:tcPr>
          <w:p w14:paraId="49A86136" w14:textId="77777777" w:rsidR="00E04C8A" w:rsidRDefault="008E1817" w:rsidP="0089718D">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Študija revmatoidnega artritisa II</w:t>
            </w:r>
            <w:r>
              <w:rPr>
                <w:rFonts w:ascii="Times New Roman" w:eastAsia="Times New Roman" w:hAnsi="Times New Roman" w:cs="Times New Roman"/>
                <w:spacing w:val="-1"/>
                <w:vertAlign w:val="superscript"/>
                <w:lang w:val="sl-SI"/>
              </w:rPr>
              <w:t>a</w:t>
            </w:r>
            <w:r>
              <w:rPr>
                <w:rFonts w:ascii="Times New Roman" w:eastAsia="Times New Roman" w:hAnsi="Times New Roman" w:cs="Times New Roman"/>
                <w:spacing w:val="-1"/>
                <w:lang w:val="sl-SI"/>
              </w:rPr>
              <w:t>**</w:t>
            </w:r>
          </w:p>
        </w:tc>
        <w:tc>
          <w:tcPr>
            <w:tcW w:w="2695" w:type="dxa"/>
            <w:gridSpan w:val="2"/>
            <w:tcBorders>
              <w:bottom w:val="single" w:sz="4" w:space="0" w:color="auto"/>
            </w:tcBorders>
            <w:vAlign w:val="center"/>
          </w:tcPr>
          <w:p w14:paraId="5BA62B4F" w14:textId="77777777" w:rsidR="00E04C8A" w:rsidRDefault="008E1817" w:rsidP="0089718D">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Študija revmatoidnega artritisa III</w:t>
            </w:r>
            <w:r>
              <w:rPr>
                <w:rFonts w:ascii="Times New Roman" w:eastAsia="Times New Roman" w:hAnsi="Times New Roman" w:cs="Times New Roman"/>
                <w:spacing w:val="-1"/>
                <w:vertAlign w:val="superscript"/>
                <w:lang w:val="sl-SI"/>
              </w:rPr>
              <w:t>a</w:t>
            </w:r>
            <w:r>
              <w:rPr>
                <w:rFonts w:ascii="Times New Roman" w:eastAsia="Times New Roman" w:hAnsi="Times New Roman" w:cs="Times New Roman"/>
                <w:spacing w:val="-1"/>
                <w:lang w:val="sl-SI"/>
              </w:rPr>
              <w:t>**</w:t>
            </w:r>
          </w:p>
        </w:tc>
      </w:tr>
      <w:tr w:rsidR="00E04C8A" w14:paraId="5BF4B6B7" w14:textId="77777777" w:rsidTr="001452D7">
        <w:tc>
          <w:tcPr>
            <w:tcW w:w="1212" w:type="dxa"/>
            <w:vMerge/>
            <w:tcBorders>
              <w:bottom w:val="single" w:sz="4" w:space="0" w:color="auto"/>
            </w:tcBorders>
          </w:tcPr>
          <w:p w14:paraId="56590854" w14:textId="77777777" w:rsidR="00E04C8A" w:rsidRDefault="00E04C8A">
            <w:pPr>
              <w:rPr>
                <w:lang w:val="sl-SI"/>
              </w:rPr>
            </w:pPr>
          </w:p>
        </w:tc>
        <w:tc>
          <w:tcPr>
            <w:tcW w:w="1276" w:type="dxa"/>
            <w:tcBorders>
              <w:bottom w:val="single" w:sz="4" w:space="0" w:color="auto"/>
              <w:right w:val="nil"/>
            </w:tcBorders>
          </w:tcPr>
          <w:p w14:paraId="30A1635F" w14:textId="77777777" w:rsidR="00E04C8A" w:rsidRDefault="008E181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Placebo/</w:t>
            </w:r>
          </w:p>
          <w:p w14:paraId="06A9D53F" w14:textId="77777777" w:rsidR="009F7FA1" w:rsidRDefault="008E1817">
            <w:pPr>
              <w:pStyle w:val="TableParagraph"/>
              <w:spacing w:before="5" w:line="252" w:lineRule="exact"/>
              <w:ind w:right="226"/>
              <w:jc w:val="center"/>
              <w:rPr>
                <w:rFonts w:ascii="Times New Roman" w:eastAsia="Times New Roman" w:hAnsi="Times New Roman" w:cs="Times New Roman"/>
                <w:lang w:val="sl-SI"/>
              </w:rPr>
            </w:pPr>
            <w:r>
              <w:rPr>
                <w:rFonts w:ascii="Times New Roman" w:eastAsia="Times New Roman" w:hAnsi="Times New Roman" w:cs="Times New Roman"/>
                <w:lang w:val="sl-SI"/>
              </w:rPr>
              <w:t>MTX</w:t>
            </w:r>
            <w:r>
              <w:rPr>
                <w:rFonts w:ascii="Times New Roman" w:eastAsia="Times New Roman" w:hAnsi="Times New Roman" w:cs="Times New Roman"/>
                <w:vertAlign w:val="superscript"/>
                <w:lang w:val="sl-SI"/>
              </w:rPr>
              <w:t>c</w:t>
            </w:r>
            <w:r>
              <w:rPr>
                <w:rFonts w:ascii="Times New Roman" w:eastAsia="Times New Roman" w:hAnsi="Times New Roman" w:cs="Times New Roman"/>
                <w:lang w:val="sl-SI"/>
              </w:rPr>
              <w:t xml:space="preserve"> </w:t>
            </w:r>
          </w:p>
          <w:p w14:paraId="3A6DF9B8" w14:textId="772FFA7F" w:rsidR="00E04C8A" w:rsidRDefault="008E1817">
            <w:pPr>
              <w:pStyle w:val="TableParagraph"/>
              <w:spacing w:before="5" w:line="252" w:lineRule="exact"/>
              <w:ind w:right="226"/>
              <w:jc w:val="center"/>
              <w:rPr>
                <w:rFonts w:ascii="Times New Roman" w:eastAsia="Times New Roman" w:hAnsi="Times New Roman" w:cs="Times New Roman"/>
                <w:lang w:val="sl-SI"/>
              </w:rPr>
            </w:pPr>
            <w:r>
              <w:rPr>
                <w:rFonts w:ascii="Times New Roman" w:eastAsia="Times New Roman" w:hAnsi="Times New Roman" w:cs="Times New Roman"/>
                <w:lang w:val="sl-SI"/>
              </w:rPr>
              <w:t>n = 60</w:t>
            </w:r>
          </w:p>
        </w:tc>
        <w:tc>
          <w:tcPr>
            <w:tcW w:w="1381" w:type="dxa"/>
            <w:tcBorders>
              <w:left w:val="nil"/>
              <w:bottom w:val="single" w:sz="4" w:space="0" w:color="auto"/>
            </w:tcBorders>
          </w:tcPr>
          <w:p w14:paraId="554D89A2" w14:textId="77777777" w:rsidR="009F7FA1" w:rsidRDefault="008E1817">
            <w:pPr>
              <w:pStyle w:val="TableParagraph"/>
              <w:spacing w:line="246" w:lineRule="exact"/>
              <w:ind w:right="50"/>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Adalimumab</w:t>
            </w:r>
            <w:r>
              <w:rPr>
                <w:rFonts w:ascii="Times New Roman" w:eastAsia="Times New Roman" w:hAnsi="Times New Roman" w:cs="Times New Roman"/>
                <w:spacing w:val="-1"/>
                <w:vertAlign w:val="superscript"/>
                <w:lang w:val="sl-SI"/>
              </w:rPr>
              <w:t>b</w:t>
            </w:r>
            <w:r>
              <w:rPr>
                <w:rFonts w:ascii="Times New Roman" w:eastAsia="Times New Roman" w:hAnsi="Times New Roman" w:cs="Times New Roman"/>
                <w:spacing w:val="-1"/>
                <w:lang w:val="sl-SI"/>
              </w:rPr>
              <w:t>/</w:t>
            </w:r>
          </w:p>
          <w:p w14:paraId="2811E941" w14:textId="20DCE518" w:rsidR="00E04C8A" w:rsidRDefault="008E1817">
            <w:pPr>
              <w:pStyle w:val="TableParagraph"/>
              <w:spacing w:line="246" w:lineRule="exact"/>
              <w:ind w:right="50"/>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MTX</w:t>
            </w:r>
            <w:r>
              <w:rPr>
                <w:rFonts w:ascii="Times New Roman" w:eastAsia="Times New Roman" w:hAnsi="Times New Roman" w:cs="Times New Roman"/>
                <w:spacing w:val="-1"/>
                <w:vertAlign w:val="superscript"/>
                <w:lang w:val="sl-SI"/>
              </w:rPr>
              <w:t>c</w:t>
            </w:r>
          </w:p>
          <w:p w14:paraId="522E1B2F"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n = 63</w:t>
            </w:r>
          </w:p>
        </w:tc>
        <w:tc>
          <w:tcPr>
            <w:tcW w:w="1273" w:type="dxa"/>
            <w:tcBorders>
              <w:bottom w:val="single" w:sz="4" w:space="0" w:color="auto"/>
              <w:right w:val="nil"/>
            </w:tcBorders>
          </w:tcPr>
          <w:p w14:paraId="4DD5B93C" w14:textId="77777777" w:rsidR="00E04C8A" w:rsidRDefault="008E181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placebo</w:t>
            </w:r>
          </w:p>
          <w:p w14:paraId="1B300080"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n = 110</w:t>
            </w:r>
          </w:p>
        </w:tc>
        <w:tc>
          <w:tcPr>
            <w:tcW w:w="1288" w:type="dxa"/>
            <w:tcBorders>
              <w:left w:val="nil"/>
              <w:bottom w:val="single" w:sz="4" w:space="0" w:color="auto"/>
            </w:tcBorders>
          </w:tcPr>
          <w:p w14:paraId="1B8FEFD7" w14:textId="77777777" w:rsidR="00E04C8A" w:rsidRDefault="008E181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Adalimumab</w:t>
            </w:r>
            <w:r>
              <w:rPr>
                <w:rFonts w:ascii="Times New Roman" w:eastAsia="Times New Roman" w:hAnsi="Times New Roman" w:cs="Times New Roman"/>
                <w:spacing w:val="-1"/>
                <w:vertAlign w:val="superscript"/>
                <w:lang w:val="sl-SI"/>
              </w:rPr>
              <w:t>b</w:t>
            </w:r>
          </w:p>
          <w:p w14:paraId="7BF0CD90"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n = 113</w:t>
            </w:r>
          </w:p>
        </w:tc>
        <w:tc>
          <w:tcPr>
            <w:tcW w:w="1151" w:type="dxa"/>
            <w:tcBorders>
              <w:bottom w:val="single" w:sz="4" w:space="0" w:color="auto"/>
              <w:right w:val="nil"/>
            </w:tcBorders>
          </w:tcPr>
          <w:p w14:paraId="600B11EF" w14:textId="77777777" w:rsidR="00E04C8A" w:rsidRDefault="008E181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Placebo/</w:t>
            </w:r>
          </w:p>
          <w:p w14:paraId="0C59E1DF" w14:textId="77777777" w:rsidR="009F7FA1" w:rsidRDefault="008E1817">
            <w:pPr>
              <w:pStyle w:val="TableParagraph"/>
              <w:spacing w:line="252" w:lineRule="exact"/>
              <w:ind w:hanging="4"/>
              <w:jc w:val="center"/>
              <w:rPr>
                <w:rFonts w:ascii="Times New Roman" w:eastAsia="Times New Roman" w:hAnsi="Times New Roman" w:cs="Times New Roman"/>
                <w:lang w:val="sl-SI"/>
              </w:rPr>
            </w:pPr>
            <w:r>
              <w:rPr>
                <w:rFonts w:ascii="Times New Roman" w:eastAsia="Times New Roman" w:hAnsi="Times New Roman" w:cs="Times New Roman"/>
                <w:lang w:val="sl-SI"/>
              </w:rPr>
              <w:t>MTX</w:t>
            </w:r>
            <w:r>
              <w:rPr>
                <w:rFonts w:ascii="Times New Roman" w:eastAsia="Times New Roman" w:hAnsi="Times New Roman" w:cs="Times New Roman"/>
                <w:vertAlign w:val="superscript"/>
                <w:lang w:val="sl-SI"/>
              </w:rPr>
              <w:t>c</w:t>
            </w:r>
            <w:r>
              <w:rPr>
                <w:rFonts w:ascii="Times New Roman" w:eastAsia="Times New Roman" w:hAnsi="Times New Roman" w:cs="Times New Roman"/>
                <w:lang w:val="sl-SI"/>
              </w:rPr>
              <w:t xml:space="preserve"> </w:t>
            </w:r>
          </w:p>
          <w:p w14:paraId="23BBEB26" w14:textId="2AEE204D" w:rsidR="00E04C8A" w:rsidRDefault="008E1817">
            <w:pPr>
              <w:pStyle w:val="TableParagraph"/>
              <w:spacing w:line="252" w:lineRule="exact"/>
              <w:ind w:hanging="4"/>
              <w:jc w:val="center"/>
              <w:rPr>
                <w:rFonts w:ascii="Times New Roman" w:eastAsia="Times New Roman" w:hAnsi="Times New Roman" w:cs="Times New Roman"/>
                <w:lang w:val="sl-SI"/>
              </w:rPr>
            </w:pPr>
            <w:r>
              <w:rPr>
                <w:rFonts w:ascii="Times New Roman" w:eastAsia="Times New Roman" w:hAnsi="Times New Roman" w:cs="Times New Roman"/>
                <w:lang w:val="sl-SI"/>
              </w:rPr>
              <w:t>n = 200</w:t>
            </w:r>
          </w:p>
        </w:tc>
        <w:tc>
          <w:tcPr>
            <w:tcW w:w="1544" w:type="dxa"/>
            <w:tcBorders>
              <w:left w:val="nil"/>
              <w:bottom w:val="single" w:sz="4" w:space="0" w:color="auto"/>
            </w:tcBorders>
          </w:tcPr>
          <w:p w14:paraId="0E45E32E" w14:textId="77777777" w:rsidR="009F7FA1" w:rsidRDefault="008E1817">
            <w:pPr>
              <w:pStyle w:val="TableParagraph"/>
              <w:spacing w:line="246"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Adalimumab</w:t>
            </w:r>
            <w:r>
              <w:rPr>
                <w:rFonts w:ascii="Times New Roman" w:eastAsia="Times New Roman" w:hAnsi="Times New Roman" w:cs="Times New Roman"/>
                <w:spacing w:val="-1"/>
                <w:vertAlign w:val="superscript"/>
                <w:lang w:val="sl-SI"/>
              </w:rPr>
              <w:t>b</w:t>
            </w:r>
            <w:r>
              <w:rPr>
                <w:rFonts w:ascii="Times New Roman" w:eastAsia="Times New Roman" w:hAnsi="Times New Roman" w:cs="Times New Roman"/>
                <w:spacing w:val="-1"/>
                <w:lang w:val="sl-SI"/>
              </w:rPr>
              <w:t>/</w:t>
            </w:r>
          </w:p>
          <w:p w14:paraId="7B38C4CD" w14:textId="215D2AF6" w:rsidR="00E04C8A" w:rsidRDefault="008E181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MTX</w:t>
            </w:r>
            <w:r>
              <w:rPr>
                <w:rFonts w:ascii="Times New Roman" w:eastAsia="Times New Roman" w:hAnsi="Times New Roman" w:cs="Times New Roman"/>
                <w:spacing w:val="-1"/>
                <w:vertAlign w:val="superscript"/>
                <w:lang w:val="sl-SI"/>
              </w:rPr>
              <w:t>c</w:t>
            </w:r>
          </w:p>
          <w:p w14:paraId="4BE2EEEC"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n = 207</w:t>
            </w:r>
          </w:p>
        </w:tc>
      </w:tr>
      <w:tr w:rsidR="00E04C8A" w14:paraId="6BF6FAF2" w14:textId="77777777" w:rsidTr="001452D7">
        <w:tc>
          <w:tcPr>
            <w:tcW w:w="1212" w:type="dxa"/>
            <w:tcBorders>
              <w:bottom w:val="nil"/>
            </w:tcBorders>
          </w:tcPr>
          <w:p w14:paraId="5612624C" w14:textId="77777777" w:rsidR="00E04C8A" w:rsidRDefault="008E1817">
            <w:pPr>
              <w:pStyle w:val="TableParagraph"/>
              <w:spacing w:line="248"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ACR 20</w:t>
            </w:r>
          </w:p>
        </w:tc>
        <w:tc>
          <w:tcPr>
            <w:tcW w:w="1276" w:type="dxa"/>
            <w:vMerge w:val="restart"/>
            <w:tcBorders>
              <w:bottom w:val="nil"/>
              <w:right w:val="nil"/>
            </w:tcBorders>
          </w:tcPr>
          <w:p w14:paraId="1A51D2F5"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p w14:paraId="5016B035"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13,3 %</w:t>
            </w:r>
          </w:p>
        </w:tc>
        <w:tc>
          <w:tcPr>
            <w:tcW w:w="1381" w:type="dxa"/>
            <w:vMerge w:val="restart"/>
            <w:tcBorders>
              <w:left w:val="nil"/>
              <w:bottom w:val="nil"/>
            </w:tcBorders>
          </w:tcPr>
          <w:p w14:paraId="1172CBBB"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p w14:paraId="7BFE7CAD"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65,1 %</w:t>
            </w:r>
          </w:p>
        </w:tc>
        <w:tc>
          <w:tcPr>
            <w:tcW w:w="1273" w:type="dxa"/>
            <w:vMerge w:val="restart"/>
            <w:tcBorders>
              <w:bottom w:val="nil"/>
              <w:right w:val="nil"/>
            </w:tcBorders>
          </w:tcPr>
          <w:p w14:paraId="6D01FE71"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p w14:paraId="008B302A"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19,1 %</w:t>
            </w:r>
          </w:p>
        </w:tc>
        <w:tc>
          <w:tcPr>
            <w:tcW w:w="1288" w:type="dxa"/>
            <w:vMerge w:val="restart"/>
            <w:tcBorders>
              <w:left w:val="nil"/>
              <w:bottom w:val="nil"/>
            </w:tcBorders>
          </w:tcPr>
          <w:p w14:paraId="76C35927"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p w14:paraId="3F401937"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46,0 %</w:t>
            </w:r>
          </w:p>
        </w:tc>
        <w:tc>
          <w:tcPr>
            <w:tcW w:w="1151" w:type="dxa"/>
            <w:vMerge w:val="restart"/>
            <w:tcBorders>
              <w:bottom w:val="nil"/>
              <w:right w:val="nil"/>
            </w:tcBorders>
          </w:tcPr>
          <w:p w14:paraId="19143584"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p w14:paraId="3755B6F6"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29,5 %</w:t>
            </w:r>
          </w:p>
        </w:tc>
        <w:tc>
          <w:tcPr>
            <w:tcW w:w="1544" w:type="dxa"/>
            <w:vMerge w:val="restart"/>
            <w:tcBorders>
              <w:left w:val="nil"/>
              <w:bottom w:val="nil"/>
            </w:tcBorders>
          </w:tcPr>
          <w:p w14:paraId="6E58C312"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p w14:paraId="5E408339"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63,3 %</w:t>
            </w:r>
          </w:p>
        </w:tc>
      </w:tr>
      <w:tr w:rsidR="00E04C8A" w14:paraId="1BF1AC4E" w14:textId="77777777" w:rsidTr="001452D7">
        <w:tc>
          <w:tcPr>
            <w:tcW w:w="1212" w:type="dxa"/>
            <w:tcBorders>
              <w:top w:val="nil"/>
              <w:bottom w:val="nil"/>
            </w:tcBorders>
          </w:tcPr>
          <w:p w14:paraId="7D05FC90" w14:textId="77777777" w:rsidR="00E04C8A" w:rsidRDefault="008E1817">
            <w:pPr>
              <w:pStyle w:val="TableParagraph"/>
              <w:spacing w:line="241" w:lineRule="exact"/>
              <w:ind w:left="144"/>
              <w:rPr>
                <w:rFonts w:ascii="Times New Roman" w:eastAsia="Times New Roman" w:hAnsi="Times New Roman" w:cs="Times New Roman"/>
                <w:lang w:val="sl-SI"/>
              </w:rPr>
            </w:pPr>
            <w:r>
              <w:rPr>
                <w:rFonts w:ascii="Times New Roman" w:eastAsia="Times New Roman" w:hAnsi="Times New Roman" w:cs="Times New Roman"/>
                <w:lang w:val="sl-SI"/>
              </w:rPr>
              <w:t>6 mesecev</w:t>
            </w:r>
          </w:p>
        </w:tc>
        <w:tc>
          <w:tcPr>
            <w:tcW w:w="1276" w:type="dxa"/>
            <w:vMerge/>
            <w:tcBorders>
              <w:top w:val="nil"/>
              <w:bottom w:val="nil"/>
              <w:right w:val="nil"/>
            </w:tcBorders>
          </w:tcPr>
          <w:p w14:paraId="69B71AD1"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tc>
        <w:tc>
          <w:tcPr>
            <w:tcW w:w="1381" w:type="dxa"/>
            <w:vMerge/>
            <w:tcBorders>
              <w:top w:val="nil"/>
              <w:left w:val="nil"/>
              <w:bottom w:val="nil"/>
            </w:tcBorders>
          </w:tcPr>
          <w:p w14:paraId="308CC388"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tc>
        <w:tc>
          <w:tcPr>
            <w:tcW w:w="1273" w:type="dxa"/>
            <w:vMerge/>
            <w:tcBorders>
              <w:top w:val="nil"/>
              <w:bottom w:val="nil"/>
              <w:right w:val="nil"/>
            </w:tcBorders>
          </w:tcPr>
          <w:p w14:paraId="2335F8B2"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tc>
        <w:tc>
          <w:tcPr>
            <w:tcW w:w="1288" w:type="dxa"/>
            <w:vMerge/>
            <w:tcBorders>
              <w:top w:val="nil"/>
              <w:left w:val="nil"/>
              <w:bottom w:val="nil"/>
            </w:tcBorders>
          </w:tcPr>
          <w:p w14:paraId="689298A8"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tc>
        <w:tc>
          <w:tcPr>
            <w:tcW w:w="1151" w:type="dxa"/>
            <w:vMerge/>
            <w:tcBorders>
              <w:top w:val="nil"/>
              <w:bottom w:val="nil"/>
              <w:right w:val="nil"/>
            </w:tcBorders>
          </w:tcPr>
          <w:p w14:paraId="5AF7569F"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tc>
        <w:tc>
          <w:tcPr>
            <w:tcW w:w="1544" w:type="dxa"/>
            <w:vMerge/>
            <w:tcBorders>
              <w:top w:val="nil"/>
              <w:left w:val="nil"/>
              <w:bottom w:val="nil"/>
            </w:tcBorders>
          </w:tcPr>
          <w:p w14:paraId="5DC2F9B0"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tc>
      </w:tr>
      <w:tr w:rsidR="00E04C8A" w14:paraId="24B6F840" w14:textId="77777777" w:rsidTr="001452D7">
        <w:tc>
          <w:tcPr>
            <w:tcW w:w="1212" w:type="dxa"/>
            <w:tcBorders>
              <w:top w:val="nil"/>
              <w:bottom w:val="nil"/>
            </w:tcBorders>
          </w:tcPr>
          <w:p w14:paraId="216BFE3C" w14:textId="77777777" w:rsidR="00E04C8A" w:rsidRDefault="008E1817">
            <w:pPr>
              <w:pStyle w:val="TableParagraph"/>
              <w:spacing w:line="241" w:lineRule="exact"/>
              <w:ind w:left="144"/>
              <w:rPr>
                <w:rFonts w:ascii="Times New Roman" w:eastAsia="Times New Roman" w:hAnsi="Times New Roman" w:cs="Times New Roman"/>
                <w:lang w:val="sl-SI"/>
              </w:rPr>
            </w:pPr>
            <w:r>
              <w:rPr>
                <w:rFonts w:ascii="Times New Roman" w:eastAsia="Times New Roman" w:hAnsi="Times New Roman" w:cs="Times New Roman"/>
                <w:lang w:val="sl-SI"/>
              </w:rPr>
              <w:t>12 mesecev</w:t>
            </w:r>
          </w:p>
        </w:tc>
        <w:tc>
          <w:tcPr>
            <w:tcW w:w="1276" w:type="dxa"/>
            <w:tcBorders>
              <w:top w:val="nil"/>
              <w:bottom w:val="nil"/>
              <w:right w:val="nil"/>
            </w:tcBorders>
          </w:tcPr>
          <w:p w14:paraId="47050BBA"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381" w:type="dxa"/>
            <w:tcBorders>
              <w:top w:val="nil"/>
              <w:left w:val="nil"/>
              <w:bottom w:val="nil"/>
            </w:tcBorders>
          </w:tcPr>
          <w:p w14:paraId="279FC6CC"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273" w:type="dxa"/>
            <w:tcBorders>
              <w:top w:val="nil"/>
              <w:bottom w:val="nil"/>
              <w:right w:val="nil"/>
            </w:tcBorders>
          </w:tcPr>
          <w:p w14:paraId="379A4CFD"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288" w:type="dxa"/>
            <w:tcBorders>
              <w:top w:val="nil"/>
              <w:left w:val="nil"/>
              <w:bottom w:val="nil"/>
            </w:tcBorders>
          </w:tcPr>
          <w:p w14:paraId="35884753"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151" w:type="dxa"/>
            <w:tcBorders>
              <w:top w:val="nil"/>
              <w:bottom w:val="nil"/>
              <w:right w:val="nil"/>
            </w:tcBorders>
          </w:tcPr>
          <w:p w14:paraId="48250495" w14:textId="77777777" w:rsidR="00E04C8A" w:rsidRDefault="008E1817">
            <w:pPr>
              <w:pStyle w:val="TableParagraph"/>
              <w:spacing w:line="241" w:lineRule="exact"/>
              <w:ind w:left="344" w:right="103"/>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24,0 %</w:t>
            </w:r>
          </w:p>
        </w:tc>
        <w:tc>
          <w:tcPr>
            <w:tcW w:w="1544" w:type="dxa"/>
            <w:tcBorders>
              <w:top w:val="nil"/>
              <w:left w:val="nil"/>
              <w:bottom w:val="nil"/>
            </w:tcBorders>
          </w:tcPr>
          <w:p w14:paraId="4F2DA244" w14:textId="77777777" w:rsidR="00E04C8A" w:rsidRDefault="008E1817">
            <w:pPr>
              <w:pStyle w:val="TableParagraph"/>
              <w:spacing w:line="241" w:lineRule="exact"/>
              <w:ind w:left="567" w:right="103"/>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58,9 %</w:t>
            </w:r>
          </w:p>
        </w:tc>
      </w:tr>
      <w:tr w:rsidR="00E04C8A" w14:paraId="26A8DCAC" w14:textId="77777777" w:rsidTr="001452D7">
        <w:tc>
          <w:tcPr>
            <w:tcW w:w="1212" w:type="dxa"/>
            <w:tcBorders>
              <w:top w:val="nil"/>
              <w:bottom w:val="nil"/>
            </w:tcBorders>
          </w:tcPr>
          <w:p w14:paraId="1A5E7828" w14:textId="77777777" w:rsidR="00E04C8A" w:rsidRDefault="008E1817">
            <w:pPr>
              <w:pStyle w:val="TableParagraph"/>
              <w:spacing w:line="242"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ACR 50</w:t>
            </w:r>
          </w:p>
        </w:tc>
        <w:tc>
          <w:tcPr>
            <w:tcW w:w="1276" w:type="dxa"/>
            <w:tcBorders>
              <w:top w:val="nil"/>
              <w:bottom w:val="nil"/>
              <w:right w:val="nil"/>
            </w:tcBorders>
          </w:tcPr>
          <w:p w14:paraId="35346642"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tc>
        <w:tc>
          <w:tcPr>
            <w:tcW w:w="1381" w:type="dxa"/>
            <w:tcBorders>
              <w:top w:val="nil"/>
              <w:left w:val="nil"/>
              <w:bottom w:val="nil"/>
            </w:tcBorders>
          </w:tcPr>
          <w:p w14:paraId="3643AFA5"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tc>
        <w:tc>
          <w:tcPr>
            <w:tcW w:w="1273" w:type="dxa"/>
            <w:tcBorders>
              <w:top w:val="nil"/>
              <w:bottom w:val="nil"/>
              <w:right w:val="nil"/>
            </w:tcBorders>
          </w:tcPr>
          <w:p w14:paraId="5DB61339"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tc>
        <w:tc>
          <w:tcPr>
            <w:tcW w:w="1288" w:type="dxa"/>
            <w:tcBorders>
              <w:top w:val="nil"/>
              <w:left w:val="nil"/>
              <w:bottom w:val="nil"/>
            </w:tcBorders>
          </w:tcPr>
          <w:p w14:paraId="2D0C5A15"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tc>
        <w:tc>
          <w:tcPr>
            <w:tcW w:w="1151" w:type="dxa"/>
            <w:tcBorders>
              <w:top w:val="nil"/>
              <w:bottom w:val="nil"/>
              <w:right w:val="nil"/>
            </w:tcBorders>
          </w:tcPr>
          <w:p w14:paraId="4DE8B271"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tc>
        <w:tc>
          <w:tcPr>
            <w:tcW w:w="1544" w:type="dxa"/>
            <w:tcBorders>
              <w:top w:val="nil"/>
              <w:left w:val="nil"/>
              <w:bottom w:val="nil"/>
            </w:tcBorders>
          </w:tcPr>
          <w:p w14:paraId="73127895"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tc>
      </w:tr>
      <w:tr w:rsidR="00E04C8A" w14:paraId="3125F909" w14:textId="77777777" w:rsidTr="001452D7">
        <w:tc>
          <w:tcPr>
            <w:tcW w:w="1212" w:type="dxa"/>
            <w:tcBorders>
              <w:top w:val="nil"/>
              <w:bottom w:val="nil"/>
            </w:tcBorders>
          </w:tcPr>
          <w:p w14:paraId="372685BB" w14:textId="77777777" w:rsidR="00E04C8A" w:rsidRDefault="008E1817">
            <w:pPr>
              <w:pStyle w:val="TableParagraph"/>
              <w:spacing w:line="241" w:lineRule="exact"/>
              <w:ind w:left="144"/>
              <w:rPr>
                <w:rFonts w:ascii="Times New Roman" w:eastAsia="Times New Roman" w:hAnsi="Times New Roman" w:cs="Times New Roman"/>
                <w:lang w:val="sl-SI"/>
              </w:rPr>
            </w:pPr>
            <w:r>
              <w:rPr>
                <w:rFonts w:ascii="Times New Roman" w:eastAsia="Times New Roman" w:hAnsi="Times New Roman" w:cs="Times New Roman"/>
                <w:lang w:val="sl-SI"/>
              </w:rPr>
              <w:t>6 mesecev</w:t>
            </w:r>
          </w:p>
        </w:tc>
        <w:tc>
          <w:tcPr>
            <w:tcW w:w="1276" w:type="dxa"/>
            <w:tcBorders>
              <w:top w:val="nil"/>
              <w:bottom w:val="nil"/>
              <w:right w:val="nil"/>
            </w:tcBorders>
          </w:tcPr>
          <w:p w14:paraId="5BE52934"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6,7 %</w:t>
            </w:r>
          </w:p>
        </w:tc>
        <w:tc>
          <w:tcPr>
            <w:tcW w:w="1381" w:type="dxa"/>
            <w:tcBorders>
              <w:top w:val="nil"/>
              <w:left w:val="nil"/>
              <w:bottom w:val="nil"/>
            </w:tcBorders>
          </w:tcPr>
          <w:p w14:paraId="016A9AAB"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52,4 %</w:t>
            </w:r>
          </w:p>
        </w:tc>
        <w:tc>
          <w:tcPr>
            <w:tcW w:w="1273" w:type="dxa"/>
            <w:tcBorders>
              <w:top w:val="nil"/>
              <w:bottom w:val="nil"/>
              <w:right w:val="nil"/>
            </w:tcBorders>
          </w:tcPr>
          <w:p w14:paraId="71BC3F60"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8,2 %</w:t>
            </w:r>
          </w:p>
        </w:tc>
        <w:tc>
          <w:tcPr>
            <w:tcW w:w="1288" w:type="dxa"/>
            <w:tcBorders>
              <w:top w:val="nil"/>
              <w:left w:val="nil"/>
              <w:bottom w:val="nil"/>
            </w:tcBorders>
          </w:tcPr>
          <w:p w14:paraId="5DD83AFD"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22,1 %</w:t>
            </w:r>
          </w:p>
        </w:tc>
        <w:tc>
          <w:tcPr>
            <w:tcW w:w="1151" w:type="dxa"/>
            <w:tcBorders>
              <w:top w:val="nil"/>
              <w:bottom w:val="nil"/>
              <w:right w:val="nil"/>
            </w:tcBorders>
          </w:tcPr>
          <w:p w14:paraId="4B5BDDB1"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9,5 %</w:t>
            </w:r>
          </w:p>
        </w:tc>
        <w:tc>
          <w:tcPr>
            <w:tcW w:w="1544" w:type="dxa"/>
            <w:tcBorders>
              <w:top w:val="nil"/>
              <w:left w:val="nil"/>
              <w:bottom w:val="nil"/>
            </w:tcBorders>
          </w:tcPr>
          <w:p w14:paraId="1E54AAB7"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39,1 %</w:t>
            </w:r>
          </w:p>
        </w:tc>
      </w:tr>
      <w:tr w:rsidR="00E04C8A" w14:paraId="5676113D" w14:textId="77777777" w:rsidTr="001452D7">
        <w:tc>
          <w:tcPr>
            <w:tcW w:w="1212" w:type="dxa"/>
            <w:tcBorders>
              <w:top w:val="nil"/>
              <w:bottom w:val="nil"/>
            </w:tcBorders>
          </w:tcPr>
          <w:p w14:paraId="18CF9DD9" w14:textId="77777777" w:rsidR="00E04C8A" w:rsidRDefault="008E1817">
            <w:pPr>
              <w:pStyle w:val="TableParagraph"/>
              <w:spacing w:line="242" w:lineRule="exact"/>
              <w:ind w:left="144"/>
              <w:rPr>
                <w:rFonts w:ascii="Times New Roman" w:eastAsia="Times New Roman" w:hAnsi="Times New Roman" w:cs="Times New Roman"/>
                <w:lang w:val="sl-SI"/>
              </w:rPr>
            </w:pPr>
            <w:r>
              <w:rPr>
                <w:rFonts w:ascii="Times New Roman" w:eastAsia="Times New Roman" w:hAnsi="Times New Roman" w:cs="Times New Roman"/>
                <w:lang w:val="sl-SI"/>
              </w:rPr>
              <w:t>12 mesecev</w:t>
            </w:r>
          </w:p>
        </w:tc>
        <w:tc>
          <w:tcPr>
            <w:tcW w:w="1276" w:type="dxa"/>
            <w:tcBorders>
              <w:top w:val="nil"/>
              <w:bottom w:val="nil"/>
              <w:right w:val="nil"/>
            </w:tcBorders>
          </w:tcPr>
          <w:p w14:paraId="6FE73D8F"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381" w:type="dxa"/>
            <w:tcBorders>
              <w:top w:val="nil"/>
              <w:left w:val="nil"/>
              <w:bottom w:val="nil"/>
            </w:tcBorders>
          </w:tcPr>
          <w:p w14:paraId="15318BD7"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273" w:type="dxa"/>
            <w:tcBorders>
              <w:top w:val="nil"/>
              <w:bottom w:val="nil"/>
              <w:right w:val="nil"/>
            </w:tcBorders>
          </w:tcPr>
          <w:p w14:paraId="28CE785F"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288" w:type="dxa"/>
            <w:tcBorders>
              <w:top w:val="nil"/>
              <w:left w:val="nil"/>
              <w:bottom w:val="nil"/>
            </w:tcBorders>
          </w:tcPr>
          <w:p w14:paraId="13EC9002"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151" w:type="dxa"/>
            <w:tcBorders>
              <w:top w:val="nil"/>
              <w:bottom w:val="nil"/>
              <w:right w:val="nil"/>
            </w:tcBorders>
          </w:tcPr>
          <w:p w14:paraId="755D58BE"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9,5 %</w:t>
            </w:r>
          </w:p>
        </w:tc>
        <w:tc>
          <w:tcPr>
            <w:tcW w:w="1544" w:type="dxa"/>
            <w:tcBorders>
              <w:top w:val="nil"/>
              <w:left w:val="nil"/>
              <w:bottom w:val="nil"/>
            </w:tcBorders>
          </w:tcPr>
          <w:p w14:paraId="19225DD2"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41,5 %</w:t>
            </w:r>
          </w:p>
        </w:tc>
      </w:tr>
      <w:tr w:rsidR="00E04C8A" w14:paraId="3ADD7823" w14:textId="77777777" w:rsidTr="001452D7">
        <w:tc>
          <w:tcPr>
            <w:tcW w:w="1212" w:type="dxa"/>
            <w:tcBorders>
              <w:top w:val="nil"/>
              <w:bottom w:val="nil"/>
            </w:tcBorders>
          </w:tcPr>
          <w:p w14:paraId="0A8023BC" w14:textId="77777777" w:rsidR="00E04C8A" w:rsidRDefault="008E1817">
            <w:pPr>
              <w:pStyle w:val="TableParagraph"/>
              <w:spacing w:line="241"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ACR 70</w:t>
            </w:r>
          </w:p>
        </w:tc>
        <w:tc>
          <w:tcPr>
            <w:tcW w:w="1276" w:type="dxa"/>
            <w:tcBorders>
              <w:top w:val="nil"/>
              <w:bottom w:val="nil"/>
              <w:right w:val="nil"/>
            </w:tcBorders>
          </w:tcPr>
          <w:p w14:paraId="70E79D37"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tc>
        <w:tc>
          <w:tcPr>
            <w:tcW w:w="1381" w:type="dxa"/>
            <w:tcBorders>
              <w:top w:val="nil"/>
              <w:left w:val="nil"/>
              <w:bottom w:val="nil"/>
            </w:tcBorders>
          </w:tcPr>
          <w:p w14:paraId="0087307C"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tc>
        <w:tc>
          <w:tcPr>
            <w:tcW w:w="1273" w:type="dxa"/>
            <w:tcBorders>
              <w:top w:val="nil"/>
              <w:bottom w:val="nil"/>
              <w:right w:val="nil"/>
            </w:tcBorders>
          </w:tcPr>
          <w:p w14:paraId="5D5BAEEE"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tc>
        <w:tc>
          <w:tcPr>
            <w:tcW w:w="1288" w:type="dxa"/>
            <w:tcBorders>
              <w:top w:val="nil"/>
              <w:left w:val="nil"/>
              <w:bottom w:val="nil"/>
            </w:tcBorders>
          </w:tcPr>
          <w:p w14:paraId="2152CEE9"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tc>
        <w:tc>
          <w:tcPr>
            <w:tcW w:w="1151" w:type="dxa"/>
            <w:tcBorders>
              <w:top w:val="nil"/>
              <w:bottom w:val="nil"/>
              <w:right w:val="nil"/>
            </w:tcBorders>
          </w:tcPr>
          <w:p w14:paraId="00D8758C"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tc>
        <w:tc>
          <w:tcPr>
            <w:tcW w:w="1544" w:type="dxa"/>
            <w:tcBorders>
              <w:top w:val="nil"/>
              <w:left w:val="nil"/>
              <w:bottom w:val="nil"/>
            </w:tcBorders>
          </w:tcPr>
          <w:p w14:paraId="0B22387B" w14:textId="77777777" w:rsidR="00E04C8A" w:rsidRDefault="00E04C8A">
            <w:pPr>
              <w:pStyle w:val="TableParagraph"/>
              <w:spacing w:line="241" w:lineRule="exact"/>
              <w:ind w:left="178" w:right="103"/>
              <w:jc w:val="center"/>
              <w:rPr>
                <w:rFonts w:ascii="Times New Roman" w:eastAsia="Times New Roman" w:hAnsi="Times New Roman" w:cs="Times New Roman"/>
                <w:spacing w:val="-2"/>
                <w:lang w:val="sl-SI"/>
              </w:rPr>
            </w:pPr>
          </w:p>
        </w:tc>
      </w:tr>
      <w:tr w:rsidR="00E04C8A" w14:paraId="2F4C8385" w14:textId="77777777" w:rsidTr="001452D7">
        <w:tc>
          <w:tcPr>
            <w:tcW w:w="1212" w:type="dxa"/>
            <w:tcBorders>
              <w:top w:val="nil"/>
              <w:bottom w:val="nil"/>
            </w:tcBorders>
          </w:tcPr>
          <w:p w14:paraId="5D56B78F" w14:textId="77777777" w:rsidR="00E04C8A" w:rsidRDefault="008E1817">
            <w:pPr>
              <w:pStyle w:val="TableParagraph"/>
              <w:spacing w:line="242" w:lineRule="exact"/>
              <w:ind w:left="144"/>
              <w:rPr>
                <w:rFonts w:ascii="Times New Roman" w:eastAsia="Times New Roman" w:hAnsi="Times New Roman" w:cs="Times New Roman"/>
                <w:lang w:val="sl-SI"/>
              </w:rPr>
            </w:pPr>
            <w:r>
              <w:rPr>
                <w:rFonts w:ascii="Times New Roman" w:eastAsia="Times New Roman" w:hAnsi="Times New Roman" w:cs="Times New Roman"/>
                <w:lang w:val="sl-SI"/>
              </w:rPr>
              <w:t>6 mesecev</w:t>
            </w:r>
          </w:p>
        </w:tc>
        <w:tc>
          <w:tcPr>
            <w:tcW w:w="1276" w:type="dxa"/>
            <w:tcBorders>
              <w:top w:val="nil"/>
              <w:bottom w:val="nil"/>
              <w:right w:val="nil"/>
            </w:tcBorders>
          </w:tcPr>
          <w:p w14:paraId="62CCCD34"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3,3 %</w:t>
            </w:r>
          </w:p>
        </w:tc>
        <w:tc>
          <w:tcPr>
            <w:tcW w:w="1381" w:type="dxa"/>
            <w:tcBorders>
              <w:top w:val="nil"/>
              <w:left w:val="nil"/>
              <w:bottom w:val="nil"/>
            </w:tcBorders>
          </w:tcPr>
          <w:p w14:paraId="65E91F14"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23,8 %</w:t>
            </w:r>
          </w:p>
        </w:tc>
        <w:tc>
          <w:tcPr>
            <w:tcW w:w="1273" w:type="dxa"/>
            <w:tcBorders>
              <w:top w:val="nil"/>
              <w:bottom w:val="nil"/>
              <w:right w:val="nil"/>
            </w:tcBorders>
          </w:tcPr>
          <w:p w14:paraId="3B5A1E47"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1,8 %</w:t>
            </w:r>
          </w:p>
        </w:tc>
        <w:tc>
          <w:tcPr>
            <w:tcW w:w="1288" w:type="dxa"/>
            <w:tcBorders>
              <w:top w:val="nil"/>
              <w:left w:val="nil"/>
              <w:bottom w:val="nil"/>
            </w:tcBorders>
          </w:tcPr>
          <w:p w14:paraId="0B4865BC"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12,4 %</w:t>
            </w:r>
          </w:p>
        </w:tc>
        <w:tc>
          <w:tcPr>
            <w:tcW w:w="1151" w:type="dxa"/>
            <w:tcBorders>
              <w:top w:val="nil"/>
              <w:bottom w:val="nil"/>
              <w:right w:val="nil"/>
            </w:tcBorders>
          </w:tcPr>
          <w:p w14:paraId="73738BE6"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2,5 %</w:t>
            </w:r>
          </w:p>
        </w:tc>
        <w:tc>
          <w:tcPr>
            <w:tcW w:w="1544" w:type="dxa"/>
            <w:tcBorders>
              <w:top w:val="nil"/>
              <w:left w:val="nil"/>
              <w:bottom w:val="nil"/>
            </w:tcBorders>
          </w:tcPr>
          <w:p w14:paraId="32CAF602"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20,8 %</w:t>
            </w:r>
          </w:p>
        </w:tc>
      </w:tr>
      <w:tr w:rsidR="00E04C8A" w14:paraId="10A53AA7" w14:textId="77777777" w:rsidTr="001452D7">
        <w:tc>
          <w:tcPr>
            <w:tcW w:w="1212" w:type="dxa"/>
            <w:tcBorders>
              <w:top w:val="nil"/>
            </w:tcBorders>
          </w:tcPr>
          <w:p w14:paraId="255E4229" w14:textId="77777777" w:rsidR="00E04C8A" w:rsidRDefault="008E1817">
            <w:pPr>
              <w:pStyle w:val="TableParagraph"/>
              <w:spacing w:line="241" w:lineRule="exact"/>
              <w:ind w:left="144"/>
              <w:rPr>
                <w:rFonts w:ascii="Times New Roman" w:eastAsia="Times New Roman" w:hAnsi="Times New Roman" w:cs="Times New Roman"/>
                <w:lang w:val="sl-SI"/>
              </w:rPr>
            </w:pPr>
            <w:r>
              <w:rPr>
                <w:rFonts w:ascii="Times New Roman" w:eastAsia="Times New Roman" w:hAnsi="Times New Roman" w:cs="Times New Roman"/>
                <w:lang w:val="sl-SI"/>
              </w:rPr>
              <w:t>12 mesecev</w:t>
            </w:r>
          </w:p>
        </w:tc>
        <w:tc>
          <w:tcPr>
            <w:tcW w:w="1276" w:type="dxa"/>
            <w:tcBorders>
              <w:top w:val="nil"/>
              <w:right w:val="nil"/>
            </w:tcBorders>
          </w:tcPr>
          <w:p w14:paraId="2C1CE541"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381" w:type="dxa"/>
            <w:tcBorders>
              <w:top w:val="nil"/>
              <w:left w:val="nil"/>
            </w:tcBorders>
          </w:tcPr>
          <w:p w14:paraId="6B93B797"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273" w:type="dxa"/>
            <w:tcBorders>
              <w:top w:val="nil"/>
              <w:right w:val="nil"/>
            </w:tcBorders>
          </w:tcPr>
          <w:p w14:paraId="1CF718EA"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288" w:type="dxa"/>
            <w:tcBorders>
              <w:top w:val="nil"/>
              <w:left w:val="nil"/>
            </w:tcBorders>
          </w:tcPr>
          <w:p w14:paraId="4E8382A1"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151" w:type="dxa"/>
            <w:tcBorders>
              <w:top w:val="nil"/>
              <w:right w:val="nil"/>
            </w:tcBorders>
          </w:tcPr>
          <w:p w14:paraId="2637281E"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4,5 %</w:t>
            </w:r>
          </w:p>
        </w:tc>
        <w:tc>
          <w:tcPr>
            <w:tcW w:w="1544" w:type="dxa"/>
            <w:tcBorders>
              <w:top w:val="nil"/>
              <w:left w:val="nil"/>
            </w:tcBorders>
          </w:tcPr>
          <w:p w14:paraId="2D0AC145" w14:textId="77777777" w:rsidR="00E04C8A" w:rsidRDefault="008E181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23,2 %</w:t>
            </w:r>
          </w:p>
        </w:tc>
      </w:tr>
    </w:tbl>
    <w:p w14:paraId="2DC7D031" w14:textId="77777777" w:rsidR="00E04C8A" w:rsidRDefault="008E1817" w:rsidP="00721C46">
      <w:pPr>
        <w:pStyle w:val="a3"/>
        <w:numPr>
          <w:ilvl w:val="0"/>
          <w:numId w:val="0"/>
        </w:numPr>
        <w:ind w:leftChars="100" w:left="220"/>
        <w:rPr>
          <w:lang w:val="sl-SI"/>
        </w:rPr>
      </w:pPr>
      <w:r>
        <w:rPr>
          <w:rFonts w:eastAsia="Times New Roman"/>
          <w:position w:val="8"/>
          <w:vertAlign w:val="superscript"/>
          <w:lang w:val="sl-SI"/>
        </w:rPr>
        <w:t>a</w:t>
      </w:r>
      <w:r>
        <w:rPr>
          <w:rFonts w:eastAsia="Times New Roman"/>
          <w:position w:val="8"/>
          <w:lang w:val="sl-SI"/>
        </w:rPr>
        <w:t xml:space="preserve"> Študija revmatoidnega artritisa I po 24 tednih, študija revmatoidnega artritisa II po 26 tednih ter študija revmatoidnega artritisa III po 24 in 52 tednih</w:t>
      </w:r>
    </w:p>
    <w:p w14:paraId="658AB221" w14:textId="77777777" w:rsidR="00E04C8A" w:rsidRDefault="008E1817" w:rsidP="00721C46">
      <w:pPr>
        <w:pStyle w:val="a3"/>
        <w:numPr>
          <w:ilvl w:val="0"/>
          <w:numId w:val="0"/>
        </w:numPr>
        <w:ind w:leftChars="100" w:left="220"/>
        <w:rPr>
          <w:lang w:val="sl-SI"/>
        </w:rPr>
      </w:pPr>
      <w:r>
        <w:rPr>
          <w:rFonts w:eastAsia="Times New Roman"/>
          <w:position w:val="8"/>
          <w:vertAlign w:val="superscript"/>
          <w:lang w:val="sl-SI"/>
        </w:rPr>
        <w:t>b</w:t>
      </w:r>
      <w:r>
        <w:rPr>
          <w:rFonts w:eastAsia="Times New Roman"/>
          <w:position w:val="8"/>
          <w:lang w:val="sl-SI"/>
        </w:rPr>
        <w:t xml:space="preserve"> 40 mg adalimumaba vsak drugi teden</w:t>
      </w:r>
    </w:p>
    <w:p w14:paraId="14E07D06" w14:textId="77777777" w:rsidR="00E04C8A" w:rsidRDefault="008E1817" w:rsidP="00721C46">
      <w:pPr>
        <w:pStyle w:val="a3"/>
        <w:ind w:leftChars="100" w:left="220"/>
        <w:rPr>
          <w:lang w:val="sl-SI"/>
        </w:rPr>
      </w:pPr>
      <w:r>
        <w:rPr>
          <w:rFonts w:eastAsia="Times New Roman"/>
          <w:position w:val="8"/>
          <w:vertAlign w:val="superscript"/>
          <w:lang w:val="sl-SI"/>
        </w:rPr>
        <w:t>c</w:t>
      </w:r>
      <w:r>
        <w:rPr>
          <w:rFonts w:eastAsia="Times New Roman"/>
          <w:position w:val="8"/>
          <w:lang w:val="sl-SI"/>
        </w:rPr>
        <w:t xml:space="preserve"> MTX = metotreksat</w:t>
      </w:r>
    </w:p>
    <w:p w14:paraId="03290B47" w14:textId="77777777" w:rsidR="00E04C8A" w:rsidRDefault="008E1817" w:rsidP="00721C46">
      <w:pPr>
        <w:spacing w:before="1"/>
        <w:ind w:leftChars="100" w:left="220"/>
        <w:rPr>
          <w:rFonts w:ascii="Times New Roman" w:eastAsia="Times New Roman" w:hAnsi="Times New Roman" w:cs="Times New Roman"/>
          <w:lang w:val="sl-SI"/>
        </w:rPr>
      </w:pPr>
      <w:r>
        <w:rPr>
          <w:rFonts w:ascii="Times New Roman" w:eastAsia="Times New Roman" w:hAnsi="Times New Roman" w:cs="Times New Roman"/>
          <w:lang w:val="sl-SI"/>
        </w:rPr>
        <w:t>**p &lt; 0,01, adalimumab v primerjavi s</w:t>
      </w:r>
      <w:r>
        <w:rPr>
          <w:rFonts w:ascii="Times New Roman" w:eastAsia="Times New Roman" w:hAnsi="Times New Roman" w:cs="Times New Roman"/>
          <w:i/>
          <w:iCs/>
          <w:lang w:val="sl-SI"/>
        </w:rPr>
        <w:t xml:space="preserve"> </w:t>
      </w:r>
      <w:r>
        <w:rPr>
          <w:rFonts w:ascii="Times New Roman" w:eastAsia="Times New Roman" w:hAnsi="Times New Roman" w:cs="Times New Roman"/>
          <w:lang w:val="sl-SI"/>
        </w:rPr>
        <w:t>placebom</w:t>
      </w:r>
    </w:p>
    <w:p w14:paraId="58A249D4" w14:textId="77777777" w:rsidR="00E04C8A" w:rsidRDefault="00E04C8A">
      <w:pPr>
        <w:spacing w:before="1" w:line="180" w:lineRule="exact"/>
        <w:rPr>
          <w:sz w:val="18"/>
          <w:szCs w:val="18"/>
          <w:lang w:val="sl-SI"/>
        </w:rPr>
      </w:pPr>
    </w:p>
    <w:p w14:paraId="64F73C35" w14:textId="77777777" w:rsidR="00E04C8A" w:rsidRDefault="008E1817">
      <w:pPr>
        <w:pStyle w:val="a3"/>
        <w:rPr>
          <w:lang w:val="sl-SI"/>
        </w:rPr>
      </w:pPr>
      <w:r>
        <w:rPr>
          <w:rFonts w:eastAsia="Times New Roman"/>
          <w:lang w:val="sl-SI"/>
        </w:rPr>
        <w:t>V študijah revmatoidnega artritisa I–IV so se v primerjavi s placebom po 24 oz. 26 tednih izboljšali vsi posamezni elementi meril odziva po ACR (število bolečih in oteklih sklepov, zdravnikova in bolnikova ocena aktivnosti bolezni in bolečin, vrednost indeksa invalidnosti (HAQ) in vrednost CRP (mg/dl)). V študiji revmatoidnega artritisa III so se ta izboljšanja ohranila 52 tednov.</w:t>
      </w:r>
    </w:p>
    <w:p w14:paraId="7BCDA733" w14:textId="77777777" w:rsidR="00E04C8A" w:rsidRDefault="00E04C8A">
      <w:pPr>
        <w:spacing w:before="13" w:line="240" w:lineRule="exact"/>
        <w:rPr>
          <w:sz w:val="24"/>
          <w:szCs w:val="24"/>
          <w:lang w:val="sl-SI"/>
        </w:rPr>
      </w:pPr>
    </w:p>
    <w:p w14:paraId="1B944997" w14:textId="77777777" w:rsidR="00E04C8A" w:rsidRDefault="008E1817">
      <w:pPr>
        <w:pStyle w:val="a3"/>
        <w:rPr>
          <w:lang w:val="sl-SI"/>
        </w:rPr>
      </w:pPr>
      <w:r>
        <w:rPr>
          <w:rFonts w:eastAsia="Times New Roman"/>
          <w:lang w:val="sl-SI"/>
        </w:rPr>
        <w:t>V odprtem podaljšanju študije revmatoidnega artritisa III se je večina bolnikov, ki so se odzvali na ACR, odzivala še naprej v času sledenja do 10 let. Od 207 bolnikov, ki so bili randomizirani na adalimumab 40 mg vsak drugi teden, jih je 114 nadaljevalo zdravljenje z adalimumabom 40 mg vsak drugi teden še 5 let. Med temi je 86 bolnikov (75,4 %) imelo odziv 20 po ACR; 72 bolnikov (63,2 %) je imelo odziv 50 po ACR; in 41 bolnikov (36 %) je imelo odziv 70 po ACR. Od 207 bolnikov jih je 81 nadaljevalo zdravljenje z adalimumabom 40 mg vsak drugi teden še 10 let. Med temi je 64 bolnikov (79,0 %) imelo odziv 20 po ACR; 56 bolnikov (69,1 %) je imelo odziv 50 po ACR; in 43 bolnikov (53,1 %) je imelo odziv 70 po ACR.</w:t>
      </w:r>
    </w:p>
    <w:p w14:paraId="22D7D54A" w14:textId="77777777" w:rsidR="00E04C8A" w:rsidRDefault="00E04C8A">
      <w:pPr>
        <w:spacing w:before="17" w:line="240" w:lineRule="exact"/>
        <w:rPr>
          <w:sz w:val="24"/>
          <w:szCs w:val="24"/>
          <w:lang w:val="sl-SI"/>
        </w:rPr>
      </w:pPr>
    </w:p>
    <w:p w14:paraId="4D1E2A89" w14:textId="77777777" w:rsidR="00E04C8A" w:rsidRDefault="008E1817">
      <w:pPr>
        <w:pStyle w:val="a3"/>
        <w:rPr>
          <w:lang w:val="sl-SI"/>
        </w:rPr>
      </w:pPr>
      <w:r>
        <w:rPr>
          <w:rFonts w:eastAsia="Times New Roman"/>
          <w:lang w:val="sl-SI"/>
        </w:rPr>
        <w:t>V študiji revmatoidnega artritisa IV je bil odziv 20 po ACR pri bolnikih, zdravljenih z adalimumabom in standardno oskrbo, statistično značilno boljši kot pri bolnikih, zdravljenih s placebom in standardno oskrbo (p &lt; 0,001).</w:t>
      </w:r>
    </w:p>
    <w:p w14:paraId="19529B85" w14:textId="77777777" w:rsidR="00E04C8A" w:rsidRDefault="00E04C8A">
      <w:pPr>
        <w:spacing w:before="11" w:line="240" w:lineRule="exact"/>
        <w:rPr>
          <w:sz w:val="24"/>
          <w:szCs w:val="24"/>
          <w:lang w:val="sl-SI"/>
        </w:rPr>
      </w:pPr>
    </w:p>
    <w:p w14:paraId="1124F750" w14:textId="77777777" w:rsidR="00E04C8A" w:rsidRDefault="008E1817">
      <w:pPr>
        <w:pStyle w:val="a3"/>
        <w:rPr>
          <w:lang w:val="sl-SI"/>
        </w:rPr>
      </w:pPr>
      <w:r>
        <w:rPr>
          <w:rFonts w:eastAsia="Times New Roman"/>
          <w:lang w:val="sl-SI"/>
        </w:rPr>
        <w:t>V študijah revmatoidnega artritisa I-IV so bolniki, zdravljeni z adalimumabom, v primerjavi z bolniki, ki so prejemali placebo, dosegli statistično značilen odziv 20 in 50 po ACR že en do dva tedna po začetku zdravljenja.</w:t>
      </w:r>
    </w:p>
    <w:p w14:paraId="5230822A" w14:textId="77777777" w:rsidR="00E04C8A" w:rsidRDefault="00E04C8A">
      <w:pPr>
        <w:pStyle w:val="a3"/>
        <w:rPr>
          <w:lang w:val="sl-SI"/>
        </w:rPr>
      </w:pPr>
    </w:p>
    <w:p w14:paraId="29FE77C0" w14:textId="259C075F" w:rsidR="00E04C8A" w:rsidRDefault="008E1817">
      <w:pPr>
        <w:pStyle w:val="a3"/>
        <w:rPr>
          <w:lang w:val="sl-SI"/>
        </w:rPr>
      </w:pPr>
      <w:r>
        <w:rPr>
          <w:rFonts w:eastAsia="Times New Roman"/>
          <w:lang w:val="sl-SI"/>
        </w:rPr>
        <w:t>V študiji revmatoidnega artritisa V pri bolnikih z zgodnjim revmatoidnim artritisom, ki še niso dobivali metotreksata, je kombinirana terapija z adalimumabom in metotreksatom po 52 tednih prinesla hitrejše in značilno večje odzive ACR kakor monoterapija z metotreksatom ali monoterapija z adalimumabom odzivi pa so se ohranili do 104. tedna (glejte preglednico </w:t>
      </w:r>
      <w:r w:rsidR="00982DE1">
        <w:rPr>
          <w:rFonts w:eastAsia="Times New Roman"/>
          <w:lang w:val="sl-SI"/>
        </w:rPr>
        <w:t>9</w:t>
      </w:r>
      <w:r>
        <w:rPr>
          <w:rFonts w:eastAsia="Times New Roman"/>
          <w:lang w:val="sl-SI"/>
        </w:rPr>
        <w:t>).</w:t>
      </w:r>
    </w:p>
    <w:p w14:paraId="2244C935" w14:textId="77777777" w:rsidR="00E04C8A" w:rsidRDefault="00E04C8A">
      <w:pPr>
        <w:pStyle w:val="a3"/>
        <w:jc w:val="center"/>
        <w:rPr>
          <w:b/>
          <w:lang w:val="sl-SI"/>
        </w:rPr>
      </w:pPr>
    </w:p>
    <w:p w14:paraId="2369BB81" w14:textId="77777777" w:rsidR="00721C46" w:rsidRDefault="00721C46">
      <w:pPr>
        <w:pStyle w:val="a3"/>
        <w:jc w:val="center"/>
        <w:rPr>
          <w:b/>
          <w:lang w:val="sl-SI"/>
        </w:rPr>
      </w:pPr>
    </w:p>
    <w:p w14:paraId="5A2A970F" w14:textId="77777777" w:rsidR="00721C46" w:rsidRDefault="00721C46">
      <w:pPr>
        <w:pStyle w:val="a3"/>
        <w:jc w:val="center"/>
        <w:rPr>
          <w:b/>
          <w:lang w:val="sl-SI"/>
        </w:rPr>
      </w:pPr>
    </w:p>
    <w:p w14:paraId="43E7C288" w14:textId="6DD38806" w:rsidR="00E04C8A" w:rsidRDefault="008E1817">
      <w:pPr>
        <w:pStyle w:val="a3"/>
        <w:jc w:val="center"/>
        <w:rPr>
          <w:b/>
          <w:lang w:val="sl-SI"/>
        </w:rPr>
      </w:pPr>
      <w:r>
        <w:rPr>
          <w:rFonts w:eastAsia="Times New Roman"/>
          <w:b/>
          <w:bCs/>
          <w:lang w:val="sl-SI"/>
        </w:rPr>
        <w:lastRenderedPageBreak/>
        <w:t>Preglednica </w:t>
      </w:r>
      <w:r w:rsidR="00982DE1">
        <w:rPr>
          <w:rFonts w:eastAsia="Times New Roman"/>
          <w:b/>
          <w:bCs/>
          <w:lang w:val="sl-SI"/>
        </w:rPr>
        <w:t>9</w:t>
      </w:r>
      <w:r>
        <w:rPr>
          <w:rFonts w:eastAsia="Times New Roman"/>
          <w:b/>
          <w:bCs/>
          <w:lang w:val="sl-SI"/>
        </w:rPr>
        <w:t>.</w:t>
      </w:r>
    </w:p>
    <w:p w14:paraId="2D1EB1CD" w14:textId="77777777" w:rsidR="00E04C8A" w:rsidRDefault="008E1817">
      <w:pPr>
        <w:pStyle w:val="a3"/>
        <w:jc w:val="center"/>
        <w:rPr>
          <w:b/>
          <w:lang w:val="sl-SI"/>
        </w:rPr>
      </w:pPr>
      <w:r>
        <w:rPr>
          <w:rFonts w:eastAsia="Times New Roman"/>
          <w:b/>
          <w:bCs/>
          <w:lang w:val="sl-SI"/>
        </w:rPr>
        <w:t>Odzivi ACR v študiji revmatoidnega artritisa V</w:t>
      </w:r>
    </w:p>
    <w:p w14:paraId="0D97C983" w14:textId="77777777" w:rsidR="00E04C8A" w:rsidRDefault="008E1817">
      <w:pPr>
        <w:pStyle w:val="a3"/>
        <w:jc w:val="center"/>
        <w:rPr>
          <w:b/>
          <w:lang w:val="sl-SI"/>
        </w:rPr>
      </w:pPr>
      <w:r>
        <w:rPr>
          <w:rFonts w:eastAsia="Times New Roman"/>
          <w:b/>
          <w:bCs/>
          <w:lang w:val="sl-SI"/>
        </w:rPr>
        <w:t>Odstotek bolnikov</w:t>
      </w:r>
    </w:p>
    <w:p w14:paraId="131A575F" w14:textId="77777777" w:rsidR="00E04C8A" w:rsidRDefault="00E04C8A">
      <w:pPr>
        <w:pStyle w:val="a3"/>
        <w:jc w:val="center"/>
        <w:rPr>
          <w:b/>
          <w:lang w:val="sl-SI"/>
        </w:rPr>
      </w:pPr>
    </w:p>
    <w:tbl>
      <w:tblPr>
        <w:tblStyle w:val="TableNormal1"/>
        <w:tblW w:w="0" w:type="auto"/>
        <w:tblInd w:w="1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29"/>
        <w:gridCol w:w="992"/>
        <w:gridCol w:w="1418"/>
        <w:gridCol w:w="1984"/>
        <w:gridCol w:w="1236"/>
        <w:gridCol w:w="1174"/>
        <w:gridCol w:w="1216"/>
      </w:tblGrid>
      <w:tr w:rsidR="00E04C8A" w14:paraId="4C2045E3" w14:textId="77777777" w:rsidTr="001452D7">
        <w:tc>
          <w:tcPr>
            <w:tcW w:w="1229" w:type="dxa"/>
            <w:vAlign w:val="center"/>
          </w:tcPr>
          <w:p w14:paraId="74969480"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Odziv</w:t>
            </w:r>
          </w:p>
        </w:tc>
        <w:tc>
          <w:tcPr>
            <w:tcW w:w="992" w:type="dxa"/>
            <w:vAlign w:val="center"/>
          </w:tcPr>
          <w:p w14:paraId="4FCBED28" w14:textId="77777777" w:rsidR="00E04C8A" w:rsidRDefault="008E1817" w:rsidP="009F7FA1">
            <w:pPr>
              <w:pStyle w:val="TableParagraph"/>
              <w:spacing w:line="252" w:lineRule="exact"/>
              <w:ind w:firstLine="33"/>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MTX n = 257</w:t>
            </w:r>
          </w:p>
        </w:tc>
        <w:tc>
          <w:tcPr>
            <w:tcW w:w="1418" w:type="dxa"/>
            <w:vAlign w:val="center"/>
          </w:tcPr>
          <w:p w14:paraId="5D55FEB5" w14:textId="77777777" w:rsidR="00E04C8A" w:rsidRDefault="008E1817" w:rsidP="009F7FA1">
            <w:pPr>
              <w:pStyle w:val="TableParagraph"/>
              <w:spacing w:line="252" w:lineRule="exact"/>
              <w:ind w:firstLine="5"/>
              <w:jc w:val="center"/>
              <w:rPr>
                <w:rFonts w:ascii="Times New Roman" w:eastAsia="Times New Roman" w:hAnsi="Times New Roman" w:cs="Times New Roman"/>
                <w:lang w:val="sl-SI"/>
              </w:rPr>
            </w:pPr>
            <w:r>
              <w:rPr>
                <w:rFonts w:ascii="Times New Roman" w:eastAsia="Times New Roman" w:hAnsi="Times New Roman" w:cs="Times New Roman"/>
                <w:b/>
                <w:bCs/>
                <w:lang w:val="sl-SI"/>
              </w:rPr>
              <w:t>Adalimumab n = 274</w:t>
            </w:r>
          </w:p>
        </w:tc>
        <w:tc>
          <w:tcPr>
            <w:tcW w:w="1984" w:type="dxa"/>
            <w:vAlign w:val="center"/>
          </w:tcPr>
          <w:p w14:paraId="4719442A" w14:textId="77777777" w:rsidR="00E04C8A" w:rsidRDefault="008E1817" w:rsidP="009F7FA1">
            <w:pPr>
              <w:pStyle w:val="TableParagraph"/>
              <w:spacing w:line="252" w:lineRule="exact"/>
              <w:jc w:val="center"/>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Adalimumab/MTX</w:t>
            </w:r>
          </w:p>
          <w:p w14:paraId="2F58D401" w14:textId="77777777" w:rsidR="00E04C8A" w:rsidRDefault="008E1817" w:rsidP="009F7FA1">
            <w:pPr>
              <w:pStyle w:val="TableParagraph"/>
              <w:spacing w:line="252" w:lineRule="exact"/>
              <w:ind w:hanging="372"/>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268</w:t>
            </w:r>
          </w:p>
        </w:tc>
        <w:tc>
          <w:tcPr>
            <w:tcW w:w="1236" w:type="dxa"/>
            <w:vAlign w:val="center"/>
          </w:tcPr>
          <w:p w14:paraId="7DC9EE8B" w14:textId="77777777" w:rsidR="00E04C8A" w:rsidRDefault="008E1817" w:rsidP="009F7FA1">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Vrednost p</w:t>
            </w:r>
            <w:r>
              <w:rPr>
                <w:rFonts w:ascii="Times New Roman" w:eastAsia="Times New Roman" w:hAnsi="Times New Roman" w:cs="Times New Roman"/>
                <w:b/>
                <w:bCs/>
                <w:spacing w:val="-1"/>
                <w:vertAlign w:val="superscript"/>
                <w:lang w:val="sl-SI"/>
              </w:rPr>
              <w:t>a</w:t>
            </w:r>
          </w:p>
        </w:tc>
        <w:tc>
          <w:tcPr>
            <w:tcW w:w="1174" w:type="dxa"/>
            <w:vAlign w:val="center"/>
          </w:tcPr>
          <w:p w14:paraId="46D155F0" w14:textId="77777777" w:rsidR="00E04C8A" w:rsidRDefault="008E1817" w:rsidP="009F7FA1">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Vrednost p</w:t>
            </w:r>
            <w:r>
              <w:rPr>
                <w:rFonts w:ascii="Times New Roman" w:eastAsia="Times New Roman" w:hAnsi="Times New Roman" w:cs="Times New Roman"/>
                <w:b/>
                <w:bCs/>
                <w:spacing w:val="-1"/>
                <w:vertAlign w:val="superscript"/>
                <w:lang w:val="sl-SI"/>
              </w:rPr>
              <w:t>b</w:t>
            </w:r>
          </w:p>
        </w:tc>
        <w:tc>
          <w:tcPr>
            <w:tcW w:w="1216" w:type="dxa"/>
            <w:vAlign w:val="center"/>
          </w:tcPr>
          <w:p w14:paraId="67DAB360" w14:textId="77777777" w:rsidR="00E04C8A" w:rsidRDefault="008E1817" w:rsidP="009F7FA1">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Vrednost p</w:t>
            </w:r>
            <w:r>
              <w:rPr>
                <w:rFonts w:ascii="Times New Roman" w:eastAsia="Times New Roman" w:hAnsi="Times New Roman" w:cs="Times New Roman"/>
                <w:b/>
                <w:bCs/>
                <w:spacing w:val="-1"/>
                <w:vertAlign w:val="superscript"/>
                <w:lang w:val="sl-SI"/>
              </w:rPr>
              <w:t>c</w:t>
            </w:r>
          </w:p>
        </w:tc>
      </w:tr>
      <w:tr w:rsidR="00E04C8A" w14:paraId="03AAD164" w14:textId="77777777" w:rsidTr="001452D7">
        <w:tc>
          <w:tcPr>
            <w:tcW w:w="9249" w:type="dxa"/>
            <w:gridSpan w:val="7"/>
          </w:tcPr>
          <w:p w14:paraId="0D25F168" w14:textId="77777777" w:rsidR="00E04C8A" w:rsidRDefault="008E1817">
            <w:pPr>
              <w:rPr>
                <w:lang w:val="sl-SI"/>
              </w:rPr>
            </w:pPr>
            <w:r>
              <w:rPr>
                <w:rFonts w:ascii="Times New Roman" w:eastAsia="Times New Roman" w:hAnsi="Times New Roman" w:cs="Times New Roman"/>
                <w:spacing w:val="-1"/>
                <w:lang w:val="sl-SI"/>
              </w:rPr>
              <w:t>ACR 20</w:t>
            </w:r>
          </w:p>
        </w:tc>
      </w:tr>
      <w:tr w:rsidR="00E04C8A" w14:paraId="333FB271" w14:textId="77777777" w:rsidTr="001452D7">
        <w:tc>
          <w:tcPr>
            <w:tcW w:w="1229" w:type="dxa"/>
          </w:tcPr>
          <w:p w14:paraId="4B2F9C0E" w14:textId="77777777" w:rsidR="00E04C8A" w:rsidRDefault="008E1817">
            <w:pPr>
              <w:pStyle w:val="TableParagraph"/>
              <w:spacing w:line="248"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52. teden</w:t>
            </w:r>
          </w:p>
        </w:tc>
        <w:tc>
          <w:tcPr>
            <w:tcW w:w="992" w:type="dxa"/>
            <w:vAlign w:val="center"/>
          </w:tcPr>
          <w:p w14:paraId="7C829DCC"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62,6 %</w:t>
            </w:r>
          </w:p>
        </w:tc>
        <w:tc>
          <w:tcPr>
            <w:tcW w:w="1418" w:type="dxa"/>
            <w:vAlign w:val="center"/>
          </w:tcPr>
          <w:p w14:paraId="39EC9DB6"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54,4 %</w:t>
            </w:r>
          </w:p>
        </w:tc>
        <w:tc>
          <w:tcPr>
            <w:tcW w:w="1984" w:type="dxa"/>
            <w:vAlign w:val="center"/>
          </w:tcPr>
          <w:p w14:paraId="456B19AC"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72,8 %</w:t>
            </w:r>
          </w:p>
        </w:tc>
        <w:tc>
          <w:tcPr>
            <w:tcW w:w="1236" w:type="dxa"/>
            <w:vAlign w:val="center"/>
          </w:tcPr>
          <w:p w14:paraId="38C4AB0F"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0,013</w:t>
            </w:r>
          </w:p>
        </w:tc>
        <w:tc>
          <w:tcPr>
            <w:tcW w:w="1174" w:type="dxa"/>
            <w:vAlign w:val="center"/>
          </w:tcPr>
          <w:p w14:paraId="6BE3348A"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216" w:type="dxa"/>
            <w:vAlign w:val="center"/>
          </w:tcPr>
          <w:p w14:paraId="06638706"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0,043</w:t>
            </w:r>
          </w:p>
        </w:tc>
      </w:tr>
      <w:tr w:rsidR="00E04C8A" w14:paraId="51B910A9" w14:textId="77777777" w:rsidTr="001452D7">
        <w:tc>
          <w:tcPr>
            <w:tcW w:w="1229" w:type="dxa"/>
          </w:tcPr>
          <w:p w14:paraId="2DAD7AE9" w14:textId="77777777" w:rsidR="00E04C8A" w:rsidRDefault="008E1817">
            <w:pPr>
              <w:pStyle w:val="TableParagraph"/>
              <w:spacing w:line="248"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104. teden</w:t>
            </w:r>
          </w:p>
        </w:tc>
        <w:tc>
          <w:tcPr>
            <w:tcW w:w="992" w:type="dxa"/>
            <w:vAlign w:val="center"/>
          </w:tcPr>
          <w:p w14:paraId="7350F8A9"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56,0 %</w:t>
            </w:r>
          </w:p>
        </w:tc>
        <w:tc>
          <w:tcPr>
            <w:tcW w:w="1418" w:type="dxa"/>
            <w:vAlign w:val="center"/>
          </w:tcPr>
          <w:p w14:paraId="04605832"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49,3 %</w:t>
            </w:r>
          </w:p>
        </w:tc>
        <w:tc>
          <w:tcPr>
            <w:tcW w:w="1984" w:type="dxa"/>
            <w:vAlign w:val="center"/>
          </w:tcPr>
          <w:p w14:paraId="7F241FBF"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69,4 %</w:t>
            </w:r>
          </w:p>
        </w:tc>
        <w:tc>
          <w:tcPr>
            <w:tcW w:w="1236" w:type="dxa"/>
            <w:vAlign w:val="center"/>
          </w:tcPr>
          <w:p w14:paraId="27E2DB53"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0,002</w:t>
            </w:r>
          </w:p>
        </w:tc>
        <w:tc>
          <w:tcPr>
            <w:tcW w:w="1174" w:type="dxa"/>
            <w:vAlign w:val="center"/>
          </w:tcPr>
          <w:p w14:paraId="4504B939"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216" w:type="dxa"/>
            <w:vAlign w:val="center"/>
          </w:tcPr>
          <w:p w14:paraId="614290C7"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0,140</w:t>
            </w:r>
          </w:p>
        </w:tc>
      </w:tr>
      <w:tr w:rsidR="00E04C8A" w14:paraId="60F2F39C" w14:textId="77777777" w:rsidTr="001452D7">
        <w:tc>
          <w:tcPr>
            <w:tcW w:w="9249" w:type="dxa"/>
            <w:gridSpan w:val="7"/>
          </w:tcPr>
          <w:p w14:paraId="43C11297" w14:textId="77777777" w:rsidR="00E04C8A" w:rsidRDefault="008E1817">
            <w:pPr>
              <w:rPr>
                <w:lang w:val="sl-SI"/>
              </w:rPr>
            </w:pPr>
            <w:r>
              <w:rPr>
                <w:rFonts w:ascii="Times New Roman" w:eastAsia="Times New Roman" w:hAnsi="Times New Roman" w:cs="Times New Roman"/>
                <w:spacing w:val="-1"/>
                <w:lang w:val="sl-SI"/>
              </w:rPr>
              <w:t>ACR 50</w:t>
            </w:r>
          </w:p>
        </w:tc>
      </w:tr>
      <w:tr w:rsidR="00E04C8A" w14:paraId="6FFF1E55" w14:textId="77777777" w:rsidTr="001452D7">
        <w:tc>
          <w:tcPr>
            <w:tcW w:w="1229" w:type="dxa"/>
          </w:tcPr>
          <w:p w14:paraId="63788FD2" w14:textId="77777777" w:rsidR="00E04C8A" w:rsidRDefault="008E1817">
            <w:pPr>
              <w:pStyle w:val="TableParagraph"/>
              <w:spacing w:line="246"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52. teden</w:t>
            </w:r>
          </w:p>
        </w:tc>
        <w:tc>
          <w:tcPr>
            <w:tcW w:w="992" w:type="dxa"/>
            <w:vAlign w:val="center"/>
          </w:tcPr>
          <w:p w14:paraId="23325790"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45,9 %</w:t>
            </w:r>
          </w:p>
        </w:tc>
        <w:tc>
          <w:tcPr>
            <w:tcW w:w="1418" w:type="dxa"/>
            <w:vAlign w:val="center"/>
          </w:tcPr>
          <w:p w14:paraId="5D55F4D8"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41,2 %</w:t>
            </w:r>
          </w:p>
        </w:tc>
        <w:tc>
          <w:tcPr>
            <w:tcW w:w="1984" w:type="dxa"/>
            <w:vAlign w:val="center"/>
          </w:tcPr>
          <w:p w14:paraId="459EF1E3"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61,6 %</w:t>
            </w:r>
          </w:p>
        </w:tc>
        <w:tc>
          <w:tcPr>
            <w:tcW w:w="1236" w:type="dxa"/>
            <w:vAlign w:val="center"/>
          </w:tcPr>
          <w:p w14:paraId="7DB26F1F"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174" w:type="dxa"/>
            <w:vAlign w:val="center"/>
          </w:tcPr>
          <w:p w14:paraId="415DFA6A"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216" w:type="dxa"/>
            <w:vAlign w:val="center"/>
          </w:tcPr>
          <w:p w14:paraId="4D5C7B9D"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0,317</w:t>
            </w:r>
          </w:p>
        </w:tc>
      </w:tr>
      <w:tr w:rsidR="00E04C8A" w14:paraId="1E186E2D" w14:textId="77777777" w:rsidTr="001452D7">
        <w:tc>
          <w:tcPr>
            <w:tcW w:w="1229" w:type="dxa"/>
          </w:tcPr>
          <w:p w14:paraId="293B9D17" w14:textId="77777777" w:rsidR="00E04C8A" w:rsidRDefault="008E1817">
            <w:pPr>
              <w:pStyle w:val="TableParagraph"/>
              <w:spacing w:line="246"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104. teden</w:t>
            </w:r>
          </w:p>
        </w:tc>
        <w:tc>
          <w:tcPr>
            <w:tcW w:w="992" w:type="dxa"/>
            <w:vAlign w:val="center"/>
          </w:tcPr>
          <w:p w14:paraId="6F0638B8"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42,8 %</w:t>
            </w:r>
          </w:p>
        </w:tc>
        <w:tc>
          <w:tcPr>
            <w:tcW w:w="1418" w:type="dxa"/>
            <w:vAlign w:val="center"/>
          </w:tcPr>
          <w:p w14:paraId="5CBAE1FA"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36,9 %</w:t>
            </w:r>
          </w:p>
        </w:tc>
        <w:tc>
          <w:tcPr>
            <w:tcW w:w="1984" w:type="dxa"/>
            <w:vAlign w:val="center"/>
          </w:tcPr>
          <w:p w14:paraId="087C2CD5"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59,0 %</w:t>
            </w:r>
          </w:p>
        </w:tc>
        <w:tc>
          <w:tcPr>
            <w:tcW w:w="1236" w:type="dxa"/>
            <w:vAlign w:val="center"/>
          </w:tcPr>
          <w:p w14:paraId="1ED0A845"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174" w:type="dxa"/>
            <w:vAlign w:val="center"/>
          </w:tcPr>
          <w:p w14:paraId="45D41E15"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216" w:type="dxa"/>
            <w:vAlign w:val="center"/>
          </w:tcPr>
          <w:p w14:paraId="7592DC40"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0,162</w:t>
            </w:r>
          </w:p>
        </w:tc>
      </w:tr>
      <w:tr w:rsidR="00E04C8A" w14:paraId="1191CDE1" w14:textId="77777777" w:rsidTr="001452D7">
        <w:tc>
          <w:tcPr>
            <w:tcW w:w="9249" w:type="dxa"/>
            <w:gridSpan w:val="7"/>
          </w:tcPr>
          <w:p w14:paraId="2A476F9E" w14:textId="77777777" w:rsidR="00E04C8A" w:rsidRDefault="008E1817">
            <w:pPr>
              <w:rPr>
                <w:lang w:val="sl-SI"/>
              </w:rPr>
            </w:pPr>
            <w:r>
              <w:rPr>
                <w:rFonts w:ascii="Times New Roman" w:eastAsia="Times New Roman" w:hAnsi="Times New Roman" w:cs="Times New Roman"/>
                <w:spacing w:val="-1"/>
                <w:lang w:val="sl-SI"/>
              </w:rPr>
              <w:t>ACR 70</w:t>
            </w:r>
          </w:p>
        </w:tc>
      </w:tr>
      <w:tr w:rsidR="00E04C8A" w14:paraId="0783CA0A" w14:textId="77777777" w:rsidTr="001452D7">
        <w:tc>
          <w:tcPr>
            <w:tcW w:w="1229" w:type="dxa"/>
          </w:tcPr>
          <w:p w14:paraId="2193DD2C" w14:textId="77777777" w:rsidR="00E04C8A" w:rsidRDefault="008E1817">
            <w:pPr>
              <w:pStyle w:val="TableParagraph"/>
              <w:spacing w:line="248"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52. teden</w:t>
            </w:r>
          </w:p>
        </w:tc>
        <w:tc>
          <w:tcPr>
            <w:tcW w:w="992" w:type="dxa"/>
            <w:vAlign w:val="center"/>
          </w:tcPr>
          <w:p w14:paraId="4098AFCF"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27,2 %</w:t>
            </w:r>
          </w:p>
        </w:tc>
        <w:tc>
          <w:tcPr>
            <w:tcW w:w="1418" w:type="dxa"/>
            <w:vAlign w:val="center"/>
          </w:tcPr>
          <w:p w14:paraId="3C9D7556"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25,9 %</w:t>
            </w:r>
          </w:p>
        </w:tc>
        <w:tc>
          <w:tcPr>
            <w:tcW w:w="1984" w:type="dxa"/>
            <w:vAlign w:val="center"/>
          </w:tcPr>
          <w:p w14:paraId="7FAB359C"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45,5 %</w:t>
            </w:r>
          </w:p>
        </w:tc>
        <w:tc>
          <w:tcPr>
            <w:tcW w:w="1236" w:type="dxa"/>
            <w:vAlign w:val="center"/>
          </w:tcPr>
          <w:p w14:paraId="6634ABEA"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174" w:type="dxa"/>
            <w:vAlign w:val="center"/>
          </w:tcPr>
          <w:p w14:paraId="0DB40ECC"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216" w:type="dxa"/>
            <w:vAlign w:val="center"/>
          </w:tcPr>
          <w:p w14:paraId="4FA852F8"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0,656</w:t>
            </w:r>
          </w:p>
        </w:tc>
      </w:tr>
      <w:tr w:rsidR="00E04C8A" w14:paraId="73E9423E" w14:textId="77777777" w:rsidTr="001452D7">
        <w:tc>
          <w:tcPr>
            <w:tcW w:w="1229" w:type="dxa"/>
          </w:tcPr>
          <w:p w14:paraId="65EAA238" w14:textId="77777777" w:rsidR="00E04C8A" w:rsidRDefault="008E1817">
            <w:pPr>
              <w:pStyle w:val="TableParagraph"/>
              <w:spacing w:line="248"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104. teden</w:t>
            </w:r>
          </w:p>
        </w:tc>
        <w:tc>
          <w:tcPr>
            <w:tcW w:w="992" w:type="dxa"/>
            <w:vAlign w:val="center"/>
          </w:tcPr>
          <w:p w14:paraId="755E2E35"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28,4 %</w:t>
            </w:r>
          </w:p>
        </w:tc>
        <w:tc>
          <w:tcPr>
            <w:tcW w:w="1418" w:type="dxa"/>
            <w:vAlign w:val="center"/>
          </w:tcPr>
          <w:p w14:paraId="391FAEBA"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28,1 %</w:t>
            </w:r>
          </w:p>
        </w:tc>
        <w:tc>
          <w:tcPr>
            <w:tcW w:w="1984" w:type="dxa"/>
            <w:vAlign w:val="center"/>
          </w:tcPr>
          <w:p w14:paraId="0F7ED8A2"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46,6 %</w:t>
            </w:r>
          </w:p>
        </w:tc>
        <w:tc>
          <w:tcPr>
            <w:tcW w:w="1236" w:type="dxa"/>
            <w:vAlign w:val="center"/>
          </w:tcPr>
          <w:p w14:paraId="10498822"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174" w:type="dxa"/>
            <w:vAlign w:val="center"/>
          </w:tcPr>
          <w:p w14:paraId="6FF84C8D"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216" w:type="dxa"/>
            <w:vAlign w:val="center"/>
          </w:tcPr>
          <w:p w14:paraId="239DB303" w14:textId="77777777" w:rsidR="00E04C8A" w:rsidRDefault="008E1817" w:rsidP="009F7FA1">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0,864</w:t>
            </w:r>
          </w:p>
        </w:tc>
      </w:tr>
    </w:tbl>
    <w:p w14:paraId="569F41A7" w14:textId="77777777" w:rsidR="00E04C8A" w:rsidRDefault="008E1817" w:rsidP="00721C46">
      <w:pPr>
        <w:tabs>
          <w:tab w:val="left" w:pos="433"/>
        </w:tabs>
        <w:ind w:leftChars="100" w:left="220"/>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 xml:space="preserve">a </w:t>
      </w:r>
      <w:r>
        <w:rPr>
          <w:rFonts w:ascii="Times New Roman" w:eastAsia="Times New Roman" w:hAnsi="Times New Roman" w:cs="Times New Roman"/>
          <w:position w:val="8"/>
          <w:lang w:val="sl-SI"/>
        </w:rPr>
        <w:t>Vrednost p se nanaša na parno primerjavo monoterapije z metotreksatom in kombinirane terapije z adalimumabom/metotreksatom z Mann-Whitneyevim testom U.</w:t>
      </w:r>
    </w:p>
    <w:p w14:paraId="36A68AB2" w14:textId="77777777" w:rsidR="00E04C8A" w:rsidRDefault="008E1817" w:rsidP="00721C46">
      <w:pPr>
        <w:tabs>
          <w:tab w:val="left" w:pos="433"/>
        </w:tabs>
        <w:ind w:leftChars="100" w:left="220"/>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b</w:t>
      </w:r>
      <w:r>
        <w:rPr>
          <w:rFonts w:ascii="Times New Roman" w:eastAsia="Times New Roman" w:hAnsi="Times New Roman" w:cs="Times New Roman"/>
          <w:position w:val="8"/>
          <w:lang w:val="sl-SI"/>
        </w:rPr>
        <w:t xml:space="preserve"> Vrednost p se nanaša na parno primerjavo monoterapije z adalimumabom in kombinirane terapije z adalimumabom/metotreksatom z Mann-Whitneyevim testom U.</w:t>
      </w:r>
    </w:p>
    <w:p w14:paraId="2E239F23" w14:textId="77777777" w:rsidR="00E04C8A" w:rsidRDefault="008E1817" w:rsidP="00721C46">
      <w:pPr>
        <w:tabs>
          <w:tab w:val="left" w:pos="421"/>
        </w:tabs>
        <w:ind w:leftChars="100" w:left="220"/>
        <w:rPr>
          <w:lang w:val="sl-SI"/>
        </w:rPr>
      </w:pPr>
      <w:r>
        <w:rPr>
          <w:rFonts w:ascii="Times New Roman" w:eastAsia="Times New Roman" w:hAnsi="Times New Roman" w:cs="Times New Roman"/>
          <w:position w:val="8"/>
          <w:vertAlign w:val="superscript"/>
          <w:lang w:val="sl-SI"/>
        </w:rPr>
        <w:t>c</w:t>
      </w:r>
      <w:r>
        <w:rPr>
          <w:rFonts w:ascii="Times New Roman" w:eastAsia="Times New Roman" w:hAnsi="Times New Roman" w:cs="Times New Roman"/>
          <w:position w:val="8"/>
          <w:lang w:val="sl-SI"/>
        </w:rPr>
        <w:t xml:space="preserve"> Vrednost p se nanaša na parno primerjavo monoterapije z adalimumabom in monoterapije z metotreksatom z Mann-Whitneyevim testom U.</w:t>
      </w:r>
    </w:p>
    <w:p w14:paraId="279CDEB4" w14:textId="77777777" w:rsidR="00E04C8A" w:rsidRDefault="00E04C8A">
      <w:pPr>
        <w:spacing w:before="5"/>
        <w:rPr>
          <w:lang w:val="sl-SI"/>
        </w:rPr>
      </w:pPr>
    </w:p>
    <w:p w14:paraId="481862D3" w14:textId="77777777" w:rsidR="00E04C8A" w:rsidRDefault="008E1817">
      <w:pPr>
        <w:pStyle w:val="a3"/>
        <w:rPr>
          <w:lang w:val="sl-SI"/>
        </w:rPr>
      </w:pPr>
      <w:r>
        <w:rPr>
          <w:rFonts w:eastAsia="Times New Roman"/>
          <w:lang w:val="sl-SI"/>
        </w:rPr>
        <w:t>V odprtem podaljšanju študije revmatoidnega artritisa V so se stopnje odzivov po ACR ohranile tudi do 10 let. Od 542 bolnikov, ki so bili randomizirani na adalimumab 40 mg vsak drugi teden, jih je 170 nadaljevalo zdravljenje z adalimumabom 40 mg vsak drugi teden še 10 let. Med temi je 154 bolnikov (90,6 %) imelo odziv 20 po ACR; 127 bolnikov (74,7 %) je imelo odziv 50 po ACR; 102 bolnika (60,0 %) pa sta imela odziv 70 po ACR.</w:t>
      </w:r>
    </w:p>
    <w:p w14:paraId="6A9424C6" w14:textId="77777777" w:rsidR="00E04C8A" w:rsidRDefault="00E04C8A">
      <w:pPr>
        <w:spacing w:before="13" w:line="240" w:lineRule="exact"/>
        <w:rPr>
          <w:sz w:val="24"/>
          <w:szCs w:val="24"/>
          <w:lang w:val="sl-SI"/>
        </w:rPr>
      </w:pPr>
    </w:p>
    <w:p w14:paraId="50539DE4" w14:textId="563C5A56" w:rsidR="00E04C8A" w:rsidRDefault="008E1817">
      <w:pPr>
        <w:pStyle w:val="a3"/>
        <w:rPr>
          <w:lang w:val="sl-SI"/>
        </w:rPr>
      </w:pPr>
      <w:r>
        <w:rPr>
          <w:rFonts w:eastAsia="Times New Roman"/>
          <w:lang w:val="sl-SI"/>
        </w:rPr>
        <w:t>Po 52. tednih je klinično remisijo (DAS28 (CRP)</w:t>
      </w:r>
      <w:r w:rsidR="00306881">
        <w:rPr>
          <w:rFonts w:eastAsia="Times New Roman"/>
          <w:lang w:val="sl-SI"/>
        </w:rPr>
        <w:t xml:space="preserve"> </w:t>
      </w:r>
      <w:r>
        <w:rPr>
          <w:rFonts w:eastAsia="Times New Roman"/>
          <w:lang w:val="sl-SI"/>
        </w:rPr>
        <w:t>&lt; 2,6) doseglo 42,9 % bolnikov, ki so dobivali kombinirano terapijo z adalimumabom/metotreksatom, 20,6 % bolnikov, ki so dobivali metotreksat v monoterapiji, in 23,4 % bolnikov, ki so dobivali adalimumab v monoterapiji. Za doseganje nizkega stanja bolezni pri bolnikih z nedavno diagnosticiranim zmernim do hudim revmatoidnim artritisom je bila kombinirana terapija z adalimumabom in metotreksatom klinično in statistično boljša od monoterapije z metotreksatom (p &lt; 0,001) in monoterapije z adalimumabom (p &lt; 0,001). V obeh krakih z monoterapijo je bil odziv podoben (p = 0,447). Od 342 oseb, ki so bile od začetka randomizirane na monoterapijo z adalimumabom ali kombinirano zdravljenje z adalimumabom/metotreksat in so bile vključene v odprto podaljšanje študije, je 171 bolnikov zaključilo 10-letno zdravljenje z adalimumabom. Med temi je bilo 109 oseb (63,7 %) po 10 letih v stanju remisije.</w:t>
      </w:r>
    </w:p>
    <w:p w14:paraId="32DD0520" w14:textId="77777777" w:rsidR="00E04C8A" w:rsidRDefault="00E04C8A">
      <w:pPr>
        <w:pStyle w:val="a3"/>
        <w:rPr>
          <w:lang w:val="sl-SI"/>
        </w:rPr>
      </w:pPr>
    </w:p>
    <w:p w14:paraId="641A7989" w14:textId="77777777" w:rsidR="00E04C8A" w:rsidRDefault="008E1817">
      <w:pPr>
        <w:pStyle w:val="a3"/>
        <w:rPr>
          <w:rFonts w:eastAsia="Times New Roman"/>
          <w:lang w:val="sl-SI"/>
        </w:rPr>
      </w:pPr>
      <w:r>
        <w:rPr>
          <w:rFonts w:eastAsia="Times New Roman"/>
          <w:i/>
          <w:iCs/>
          <w:spacing w:val="-1"/>
          <w:u w:val="single" w:color="000000"/>
          <w:lang w:val="sl-SI"/>
        </w:rPr>
        <w:t>Rentgenografski odziv</w:t>
      </w:r>
    </w:p>
    <w:p w14:paraId="66B55F99" w14:textId="77777777" w:rsidR="00E04C8A" w:rsidRDefault="00E04C8A">
      <w:pPr>
        <w:pStyle w:val="a3"/>
        <w:rPr>
          <w:sz w:val="18"/>
          <w:szCs w:val="18"/>
          <w:lang w:val="sl-SI"/>
        </w:rPr>
      </w:pPr>
    </w:p>
    <w:p w14:paraId="572160D3" w14:textId="67163714" w:rsidR="00E04C8A" w:rsidRDefault="008E1817">
      <w:pPr>
        <w:pStyle w:val="a3"/>
        <w:rPr>
          <w:lang w:val="sl-SI"/>
        </w:rPr>
      </w:pPr>
      <w:r>
        <w:rPr>
          <w:rFonts w:eastAsia="Times New Roman"/>
          <w:lang w:val="sl-SI"/>
        </w:rPr>
        <w:t>Bolniki, ki so v študiji revmatoidnega artritisa III dobivali adalimumab, so imeli revmatoidni artritis v povprečju približno 11 let. V študiji so strukturno prizadetost sklepov ocenjevali rentgenografsko. Okvaro so izrazili kot spremembo modificirane celotne Sharpove ocene (TSS – Total Sharp Score) in njenih komponent, ocene erozij in ocene zožitve sklepne špranje. Pri bolnikih, ki so dobivali adalimumab in metotreksat, je bilo po 6 in 12 mesecih (glejte preglednico </w:t>
      </w:r>
      <w:r w:rsidR="00982DE1">
        <w:rPr>
          <w:rFonts w:eastAsia="Times New Roman"/>
          <w:lang w:val="sl-SI"/>
        </w:rPr>
        <w:t>10</w:t>
      </w:r>
      <w:r>
        <w:rPr>
          <w:rFonts w:eastAsia="Times New Roman"/>
          <w:lang w:val="sl-SI"/>
        </w:rPr>
        <w:t>) statistično značilno manj rentgenografskih znakov napredovanja kot pri bolnikih, ki so dobivali samo metotreksat.</w:t>
      </w:r>
    </w:p>
    <w:p w14:paraId="368C5C3D" w14:textId="77777777" w:rsidR="00E04C8A" w:rsidRDefault="00E04C8A">
      <w:pPr>
        <w:pStyle w:val="a3"/>
        <w:rPr>
          <w:lang w:val="sl-SI"/>
        </w:rPr>
      </w:pPr>
    </w:p>
    <w:p w14:paraId="41BB64FB" w14:textId="77777777" w:rsidR="00E04C8A" w:rsidRDefault="008E1817">
      <w:pPr>
        <w:pStyle w:val="a3"/>
        <w:rPr>
          <w:lang w:val="sl-SI"/>
        </w:rPr>
      </w:pPr>
      <w:r>
        <w:rPr>
          <w:rFonts w:eastAsia="Times New Roman"/>
          <w:lang w:val="sl-SI"/>
        </w:rPr>
        <w:t xml:space="preserve">V odprtem podaljšanju študije revmatoidnega artritisa III se upočasnitev napredovanja strukturne prizadetosti sklepov ohrani vseskozi 8 in 10 let v tej podskupini bolnikov. 81 od 207 bolnikov, ki so bili zdravljeni s 40 mg adalimumaba vsak drugi teden, so rentgenografsko ocenili po 8 letih. Med temi bolniki jih 48 ni kazalo napredovanja strukturne prizadetosti izražene s spremembo srednje celotne Sharpove ocene 0,5 ali manj od začetka študije. Po 10 letih so rentgenografsko ocenili 79 od 207 bolnikov, ki so bili </w:t>
      </w:r>
      <w:r>
        <w:rPr>
          <w:rFonts w:eastAsia="Times New Roman"/>
          <w:lang w:val="sl-SI"/>
        </w:rPr>
        <w:lastRenderedPageBreak/>
        <w:t>od začetka zdravljeni s 40 mg adalimumaba vsak drugi teden. Med njimi 40 bolnikov ni pokazalo napredovanja strukturne prizadetosti izražene s spremembo srednje Sharpove ocene 0,5 ali manj od začetka študije.</w:t>
      </w:r>
    </w:p>
    <w:p w14:paraId="4D1DBC56" w14:textId="77777777" w:rsidR="00E04C8A" w:rsidRDefault="00E04C8A">
      <w:pPr>
        <w:spacing w:before="18" w:line="240" w:lineRule="exact"/>
        <w:rPr>
          <w:sz w:val="24"/>
          <w:szCs w:val="24"/>
          <w:lang w:val="sl-SI"/>
        </w:rPr>
      </w:pPr>
    </w:p>
    <w:p w14:paraId="08CF1034" w14:textId="5A4BDF7E" w:rsidR="00E04C8A" w:rsidRDefault="008E1817">
      <w:pPr>
        <w:pStyle w:val="a3"/>
        <w:jc w:val="center"/>
        <w:rPr>
          <w:b/>
          <w:lang w:val="sl-SI"/>
        </w:rPr>
      </w:pPr>
      <w:r>
        <w:rPr>
          <w:rFonts w:eastAsia="Times New Roman"/>
          <w:b/>
          <w:bCs/>
          <w:lang w:val="sl-SI"/>
        </w:rPr>
        <w:t>Preglednica </w:t>
      </w:r>
      <w:r w:rsidR="00982DE1">
        <w:rPr>
          <w:rFonts w:eastAsia="Times New Roman"/>
          <w:b/>
          <w:bCs/>
          <w:lang w:val="sl-SI"/>
        </w:rPr>
        <w:t>10</w:t>
      </w:r>
      <w:r>
        <w:rPr>
          <w:rFonts w:eastAsia="Times New Roman"/>
          <w:b/>
          <w:bCs/>
          <w:lang w:val="sl-SI"/>
        </w:rPr>
        <w:t>.</w:t>
      </w:r>
    </w:p>
    <w:p w14:paraId="0AAD5005" w14:textId="77777777" w:rsidR="00E04C8A" w:rsidRDefault="008E1817">
      <w:pPr>
        <w:pStyle w:val="a3"/>
        <w:jc w:val="center"/>
        <w:rPr>
          <w:b/>
          <w:lang w:val="sl-SI"/>
        </w:rPr>
      </w:pPr>
      <w:r>
        <w:rPr>
          <w:rFonts w:eastAsia="Times New Roman"/>
          <w:b/>
          <w:bCs/>
          <w:lang w:val="sl-SI"/>
        </w:rPr>
        <w:t>Povprečne rentgenografske spremembe v 12 mesecih študije revmatoidnega artritisa III</w:t>
      </w:r>
    </w:p>
    <w:p w14:paraId="35E37AFA" w14:textId="77777777" w:rsidR="00E04C8A" w:rsidRDefault="00E04C8A">
      <w:pPr>
        <w:spacing w:before="14" w:line="240" w:lineRule="exact"/>
        <w:rPr>
          <w:sz w:val="24"/>
          <w:szCs w:val="24"/>
          <w:lang w:val="sl-SI"/>
        </w:rPr>
      </w:pPr>
    </w:p>
    <w:tbl>
      <w:tblPr>
        <w:tblStyle w:val="TableNormal1"/>
        <w:tblW w:w="5000" w:type="pct"/>
        <w:jc w:val="center"/>
        <w:tblLayout w:type="fixed"/>
        <w:tblLook w:val="01E0" w:firstRow="1" w:lastRow="1" w:firstColumn="1" w:lastColumn="1" w:noHBand="0" w:noVBand="0"/>
      </w:tblPr>
      <w:tblGrid>
        <w:gridCol w:w="2796"/>
        <w:gridCol w:w="1012"/>
        <w:gridCol w:w="1939"/>
        <w:gridCol w:w="2165"/>
        <w:gridCol w:w="1676"/>
      </w:tblGrid>
      <w:tr w:rsidR="00E04C8A" w14:paraId="5AC35E72" w14:textId="77777777" w:rsidTr="00721C46">
        <w:trPr>
          <w:jc w:val="center"/>
        </w:trPr>
        <w:tc>
          <w:tcPr>
            <w:tcW w:w="1458" w:type="pct"/>
            <w:tcBorders>
              <w:top w:val="single" w:sz="5" w:space="0" w:color="000000"/>
              <w:left w:val="single" w:sz="5" w:space="0" w:color="000000"/>
              <w:bottom w:val="single" w:sz="5" w:space="0" w:color="000000"/>
              <w:right w:val="single" w:sz="5" w:space="0" w:color="000000"/>
            </w:tcBorders>
            <w:vAlign w:val="center"/>
          </w:tcPr>
          <w:p w14:paraId="72F19445" w14:textId="77777777" w:rsidR="00E04C8A" w:rsidRDefault="00E04C8A">
            <w:pPr>
              <w:jc w:val="center"/>
              <w:rPr>
                <w:lang w:val="sl-SI"/>
              </w:rPr>
            </w:pPr>
          </w:p>
        </w:tc>
        <w:tc>
          <w:tcPr>
            <w:tcW w:w="528" w:type="pct"/>
            <w:tcBorders>
              <w:top w:val="single" w:sz="5" w:space="0" w:color="000000"/>
              <w:left w:val="single" w:sz="5" w:space="0" w:color="000000"/>
              <w:bottom w:val="single" w:sz="5" w:space="0" w:color="000000"/>
              <w:right w:val="single" w:sz="5" w:space="0" w:color="000000"/>
            </w:tcBorders>
            <w:vAlign w:val="center"/>
          </w:tcPr>
          <w:p w14:paraId="38D217E6" w14:textId="77777777" w:rsidR="00E04C8A" w:rsidRDefault="008E181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Placebo/</w:t>
            </w:r>
          </w:p>
          <w:p w14:paraId="6EEB9DB5" w14:textId="77777777" w:rsidR="00E04C8A" w:rsidRDefault="008E1817">
            <w:pPr>
              <w:pStyle w:val="TableParagraph"/>
              <w:spacing w:line="254"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MTX</w:t>
            </w:r>
            <w:r>
              <w:rPr>
                <w:rFonts w:ascii="Times New Roman" w:eastAsia="Times New Roman" w:hAnsi="Times New Roman" w:cs="Times New Roman"/>
                <w:vertAlign w:val="superscript"/>
                <w:lang w:val="sl-SI"/>
              </w:rPr>
              <w:t>a</w:t>
            </w:r>
          </w:p>
        </w:tc>
        <w:tc>
          <w:tcPr>
            <w:tcW w:w="1011" w:type="pct"/>
            <w:tcBorders>
              <w:top w:val="single" w:sz="5" w:space="0" w:color="000000"/>
              <w:left w:val="single" w:sz="5" w:space="0" w:color="000000"/>
              <w:bottom w:val="single" w:sz="5" w:space="0" w:color="000000"/>
              <w:right w:val="single" w:sz="5" w:space="0" w:color="000000"/>
            </w:tcBorders>
            <w:vAlign w:val="center"/>
          </w:tcPr>
          <w:p w14:paraId="600E09B6" w14:textId="77777777" w:rsidR="00E04C8A" w:rsidRDefault="008E181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Adalimumab/MTX</w:t>
            </w:r>
          </w:p>
          <w:p w14:paraId="159766C2" w14:textId="77777777" w:rsidR="00E04C8A" w:rsidRDefault="008E1817">
            <w:pPr>
              <w:pStyle w:val="TableParagraph"/>
              <w:spacing w:line="252" w:lineRule="exact"/>
              <w:ind w:hanging="63"/>
              <w:jc w:val="center"/>
              <w:rPr>
                <w:rFonts w:ascii="Times New Roman" w:eastAsia="Times New Roman" w:hAnsi="Times New Roman" w:cs="Times New Roman"/>
                <w:lang w:val="sl-SI"/>
              </w:rPr>
            </w:pPr>
            <w:r>
              <w:rPr>
                <w:rFonts w:ascii="Times New Roman" w:eastAsia="Times New Roman" w:hAnsi="Times New Roman" w:cs="Times New Roman"/>
                <w:lang w:val="sl-SI"/>
              </w:rPr>
              <w:t>40 mg vsak drugi teden</w:t>
            </w:r>
          </w:p>
        </w:tc>
        <w:tc>
          <w:tcPr>
            <w:tcW w:w="1129" w:type="pct"/>
            <w:tcBorders>
              <w:top w:val="single" w:sz="5" w:space="0" w:color="000000"/>
              <w:left w:val="single" w:sz="5" w:space="0" w:color="000000"/>
              <w:bottom w:val="single" w:sz="5" w:space="0" w:color="000000"/>
              <w:right w:val="single" w:sz="5" w:space="0" w:color="000000"/>
            </w:tcBorders>
            <w:vAlign w:val="center"/>
          </w:tcPr>
          <w:p w14:paraId="6C4DD992" w14:textId="77777777" w:rsidR="00E04C8A" w:rsidRDefault="008E181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Placebo/MTX-</w:t>
            </w:r>
          </w:p>
          <w:p w14:paraId="5863D558" w14:textId="77777777" w:rsidR="009F7FA1" w:rsidRDefault="008E1817">
            <w:pPr>
              <w:pStyle w:val="TableParagraph"/>
              <w:spacing w:line="237" w:lineRule="auto"/>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adalimumab/MTX </w:t>
            </w:r>
          </w:p>
          <w:p w14:paraId="01A09F9E" w14:textId="38921CB3" w:rsidR="00E04C8A" w:rsidRDefault="008E1817">
            <w:pPr>
              <w:pStyle w:val="TableParagraph"/>
              <w:spacing w:line="237" w:lineRule="auto"/>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(95-% interval zaupanja</w:t>
            </w:r>
            <w:r>
              <w:rPr>
                <w:rFonts w:ascii="Times New Roman" w:eastAsia="Times New Roman" w:hAnsi="Times New Roman" w:cs="Times New Roman"/>
                <w:spacing w:val="-1"/>
                <w:vertAlign w:val="superscript"/>
                <w:lang w:val="sl-SI"/>
              </w:rPr>
              <w:t>b</w:t>
            </w:r>
            <w:r>
              <w:rPr>
                <w:rFonts w:ascii="Times New Roman" w:eastAsia="Times New Roman" w:hAnsi="Times New Roman" w:cs="Times New Roman"/>
                <w:spacing w:val="-1"/>
                <w:lang w:val="sl-SI"/>
              </w:rPr>
              <w:t>)</w:t>
            </w:r>
          </w:p>
        </w:tc>
        <w:tc>
          <w:tcPr>
            <w:tcW w:w="874" w:type="pct"/>
            <w:tcBorders>
              <w:top w:val="single" w:sz="5" w:space="0" w:color="000000"/>
              <w:left w:val="single" w:sz="5" w:space="0" w:color="000000"/>
              <w:bottom w:val="single" w:sz="5" w:space="0" w:color="000000"/>
              <w:right w:val="single" w:sz="5" w:space="0" w:color="000000"/>
            </w:tcBorders>
            <w:vAlign w:val="center"/>
          </w:tcPr>
          <w:p w14:paraId="0A182155" w14:textId="77777777" w:rsidR="00E04C8A" w:rsidRDefault="008E181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Vrednost p</w:t>
            </w:r>
          </w:p>
        </w:tc>
      </w:tr>
      <w:tr w:rsidR="00E04C8A" w14:paraId="6589D137" w14:textId="77777777" w:rsidTr="00721C46">
        <w:trPr>
          <w:jc w:val="center"/>
        </w:trPr>
        <w:tc>
          <w:tcPr>
            <w:tcW w:w="1458" w:type="pct"/>
            <w:tcBorders>
              <w:top w:val="single" w:sz="5" w:space="0" w:color="000000"/>
              <w:left w:val="single" w:sz="5" w:space="0" w:color="000000"/>
              <w:bottom w:val="single" w:sz="5" w:space="0" w:color="000000"/>
              <w:right w:val="single" w:sz="5" w:space="0" w:color="000000"/>
            </w:tcBorders>
          </w:tcPr>
          <w:p w14:paraId="140B12F9" w14:textId="77777777" w:rsidR="00E04C8A" w:rsidRDefault="008E1817">
            <w:pPr>
              <w:pStyle w:val="TableParagraph"/>
              <w:spacing w:line="246" w:lineRule="exact"/>
              <w:ind w:left="243"/>
              <w:rPr>
                <w:rFonts w:ascii="Times New Roman" w:eastAsia="Times New Roman" w:hAnsi="Times New Roman" w:cs="Times New Roman"/>
                <w:lang w:val="sl-SI"/>
              </w:rPr>
            </w:pPr>
            <w:r>
              <w:rPr>
                <w:rFonts w:ascii="Times New Roman" w:eastAsia="Times New Roman" w:hAnsi="Times New Roman" w:cs="Times New Roman"/>
                <w:spacing w:val="-1"/>
                <w:lang w:val="sl-SI"/>
              </w:rPr>
              <w:t>Celotna Sharpova ocena</w:t>
            </w:r>
          </w:p>
        </w:tc>
        <w:tc>
          <w:tcPr>
            <w:tcW w:w="528" w:type="pct"/>
            <w:tcBorders>
              <w:top w:val="single" w:sz="5" w:space="0" w:color="000000"/>
              <w:left w:val="single" w:sz="5" w:space="0" w:color="000000"/>
              <w:bottom w:val="single" w:sz="5" w:space="0" w:color="000000"/>
              <w:right w:val="single" w:sz="5" w:space="0" w:color="000000"/>
            </w:tcBorders>
          </w:tcPr>
          <w:p w14:paraId="07E38445" w14:textId="77777777" w:rsidR="00E04C8A" w:rsidRDefault="008E1817">
            <w:pPr>
              <w:jc w:val="center"/>
              <w:rPr>
                <w:rFonts w:asciiTheme="majorBidi" w:hAnsiTheme="majorBidi" w:cstheme="majorBidi"/>
              </w:rPr>
            </w:pPr>
            <w:r>
              <w:rPr>
                <w:rFonts w:asciiTheme="majorBidi" w:hAnsiTheme="majorBidi" w:cstheme="majorBidi"/>
              </w:rPr>
              <w:t>2,7</w:t>
            </w:r>
          </w:p>
        </w:tc>
        <w:tc>
          <w:tcPr>
            <w:tcW w:w="1011" w:type="pct"/>
            <w:tcBorders>
              <w:top w:val="single" w:sz="5" w:space="0" w:color="000000"/>
              <w:left w:val="single" w:sz="5" w:space="0" w:color="000000"/>
              <w:bottom w:val="single" w:sz="5" w:space="0" w:color="000000"/>
              <w:right w:val="single" w:sz="5" w:space="0" w:color="000000"/>
            </w:tcBorders>
          </w:tcPr>
          <w:p w14:paraId="3E560C2E" w14:textId="77777777" w:rsidR="00E04C8A" w:rsidRDefault="008E1817">
            <w:pPr>
              <w:pStyle w:val="TableParagraph"/>
              <w:spacing w:line="246" w:lineRule="exact"/>
              <w:ind w:left="731" w:right="733"/>
              <w:jc w:val="center"/>
              <w:rPr>
                <w:rFonts w:ascii="Times New Roman" w:eastAsia="Times New Roman" w:hAnsi="Times New Roman" w:cs="Times New Roman"/>
                <w:lang w:val="sl-SI"/>
              </w:rPr>
            </w:pPr>
            <w:r>
              <w:rPr>
                <w:rFonts w:ascii="Times New Roman" w:eastAsia="Times New Roman" w:hAnsi="Times New Roman" w:cs="Times New Roman"/>
                <w:lang w:val="sl-SI"/>
              </w:rPr>
              <w:t>0,1</w:t>
            </w:r>
          </w:p>
        </w:tc>
        <w:tc>
          <w:tcPr>
            <w:tcW w:w="1129" w:type="pct"/>
            <w:tcBorders>
              <w:top w:val="single" w:sz="5" w:space="0" w:color="000000"/>
              <w:left w:val="single" w:sz="5" w:space="0" w:color="000000"/>
              <w:bottom w:val="single" w:sz="5" w:space="0" w:color="000000"/>
              <w:right w:val="single" w:sz="5" w:space="0" w:color="000000"/>
            </w:tcBorders>
          </w:tcPr>
          <w:p w14:paraId="061E14A2" w14:textId="77777777" w:rsidR="00E04C8A" w:rsidRDefault="008E1817">
            <w:pPr>
              <w:pStyle w:val="TableParagraph"/>
              <w:spacing w:line="246" w:lineRule="exact"/>
              <w:ind w:left="423"/>
              <w:rPr>
                <w:rFonts w:ascii="Times New Roman" w:eastAsia="Times New Roman" w:hAnsi="Times New Roman" w:cs="Times New Roman"/>
                <w:lang w:val="sl-SI"/>
              </w:rPr>
            </w:pPr>
            <w:r>
              <w:rPr>
                <w:rFonts w:ascii="Times New Roman" w:eastAsia="Times New Roman" w:hAnsi="Times New Roman" w:cs="Times New Roman"/>
                <w:spacing w:val="-1"/>
                <w:lang w:val="sl-SI"/>
              </w:rPr>
              <w:t>2,6 (1,4; 3,8)</w:t>
            </w:r>
          </w:p>
        </w:tc>
        <w:tc>
          <w:tcPr>
            <w:tcW w:w="874" w:type="pct"/>
            <w:tcBorders>
              <w:top w:val="single" w:sz="5" w:space="0" w:color="000000"/>
              <w:left w:val="single" w:sz="5" w:space="0" w:color="000000"/>
              <w:bottom w:val="single" w:sz="5" w:space="0" w:color="000000"/>
              <w:right w:val="single" w:sz="5" w:space="0" w:color="000000"/>
            </w:tcBorders>
          </w:tcPr>
          <w:p w14:paraId="4B0A4F1C" w14:textId="77777777" w:rsidR="00E04C8A" w:rsidRDefault="008E1817">
            <w:pPr>
              <w:pStyle w:val="TableParagraph"/>
              <w:spacing w:line="246" w:lineRule="exact"/>
              <w:ind w:left="399"/>
              <w:rPr>
                <w:rFonts w:ascii="Times New Roman" w:eastAsia="Times New Roman" w:hAnsi="Times New Roman" w:cs="Times New Roman"/>
                <w:lang w:val="sl-SI"/>
              </w:rPr>
            </w:pPr>
            <w:r>
              <w:rPr>
                <w:rFonts w:ascii="Times New Roman" w:eastAsia="Times New Roman" w:hAnsi="Times New Roman" w:cs="Times New Roman"/>
                <w:lang w:val="sl-SI"/>
              </w:rPr>
              <w:t>&lt; 0,001</w:t>
            </w:r>
            <w:r>
              <w:rPr>
                <w:rFonts w:ascii="Times New Roman" w:eastAsia="Times New Roman" w:hAnsi="Times New Roman" w:cs="Times New Roman"/>
                <w:vertAlign w:val="superscript"/>
                <w:lang w:val="sl-SI"/>
              </w:rPr>
              <w:t>c</w:t>
            </w:r>
          </w:p>
        </w:tc>
      </w:tr>
      <w:tr w:rsidR="00E04C8A" w14:paraId="78C5AD88" w14:textId="77777777" w:rsidTr="00721C46">
        <w:trPr>
          <w:jc w:val="center"/>
        </w:trPr>
        <w:tc>
          <w:tcPr>
            <w:tcW w:w="1458" w:type="pct"/>
            <w:tcBorders>
              <w:top w:val="single" w:sz="5" w:space="0" w:color="000000"/>
              <w:left w:val="single" w:sz="5" w:space="0" w:color="000000"/>
              <w:bottom w:val="single" w:sz="5" w:space="0" w:color="000000"/>
              <w:right w:val="single" w:sz="5" w:space="0" w:color="000000"/>
            </w:tcBorders>
          </w:tcPr>
          <w:p w14:paraId="732C2855" w14:textId="77777777" w:rsidR="00E04C8A" w:rsidRDefault="008E1817">
            <w:pPr>
              <w:pStyle w:val="TableParagraph"/>
              <w:spacing w:line="246" w:lineRule="exact"/>
              <w:ind w:left="435"/>
              <w:rPr>
                <w:rFonts w:ascii="Times New Roman" w:eastAsia="Times New Roman" w:hAnsi="Times New Roman" w:cs="Times New Roman"/>
                <w:lang w:val="sl-SI"/>
              </w:rPr>
            </w:pPr>
            <w:r>
              <w:rPr>
                <w:rFonts w:ascii="Times New Roman" w:eastAsia="Times New Roman" w:hAnsi="Times New Roman" w:cs="Times New Roman"/>
                <w:spacing w:val="-1"/>
                <w:lang w:val="sl-SI"/>
              </w:rPr>
              <w:t>Ocena erozij</w:t>
            </w:r>
          </w:p>
        </w:tc>
        <w:tc>
          <w:tcPr>
            <w:tcW w:w="528" w:type="pct"/>
            <w:tcBorders>
              <w:top w:val="single" w:sz="5" w:space="0" w:color="000000"/>
              <w:left w:val="single" w:sz="5" w:space="0" w:color="000000"/>
              <w:bottom w:val="single" w:sz="5" w:space="0" w:color="000000"/>
              <w:right w:val="single" w:sz="5" w:space="0" w:color="000000"/>
            </w:tcBorders>
          </w:tcPr>
          <w:p w14:paraId="001440AA" w14:textId="77777777" w:rsidR="00E04C8A" w:rsidRDefault="008E1817">
            <w:pPr>
              <w:jc w:val="center"/>
              <w:rPr>
                <w:rFonts w:asciiTheme="majorBidi" w:hAnsiTheme="majorBidi" w:cstheme="majorBidi"/>
              </w:rPr>
            </w:pPr>
            <w:r>
              <w:rPr>
                <w:rFonts w:asciiTheme="majorBidi" w:hAnsiTheme="majorBidi" w:cstheme="majorBidi"/>
              </w:rPr>
              <w:t>1,6</w:t>
            </w:r>
          </w:p>
        </w:tc>
        <w:tc>
          <w:tcPr>
            <w:tcW w:w="1011" w:type="pct"/>
            <w:tcBorders>
              <w:top w:val="single" w:sz="5" w:space="0" w:color="000000"/>
              <w:left w:val="single" w:sz="5" w:space="0" w:color="000000"/>
              <w:bottom w:val="single" w:sz="5" w:space="0" w:color="000000"/>
              <w:right w:val="single" w:sz="5" w:space="0" w:color="000000"/>
            </w:tcBorders>
          </w:tcPr>
          <w:p w14:paraId="24016FEF" w14:textId="77777777" w:rsidR="00E04C8A" w:rsidRDefault="008E1817">
            <w:pPr>
              <w:pStyle w:val="TableParagraph"/>
              <w:spacing w:line="246" w:lineRule="exact"/>
              <w:ind w:left="731" w:right="733"/>
              <w:jc w:val="center"/>
              <w:rPr>
                <w:rFonts w:ascii="Times New Roman" w:eastAsia="Times New Roman" w:hAnsi="Times New Roman" w:cs="Times New Roman"/>
                <w:lang w:val="sl-SI"/>
              </w:rPr>
            </w:pPr>
            <w:r>
              <w:rPr>
                <w:rFonts w:ascii="Times New Roman" w:eastAsia="Times New Roman" w:hAnsi="Times New Roman" w:cs="Times New Roman"/>
                <w:lang w:val="sl-SI"/>
              </w:rPr>
              <w:t>0,0</w:t>
            </w:r>
          </w:p>
        </w:tc>
        <w:tc>
          <w:tcPr>
            <w:tcW w:w="1129" w:type="pct"/>
            <w:tcBorders>
              <w:top w:val="single" w:sz="5" w:space="0" w:color="000000"/>
              <w:left w:val="single" w:sz="5" w:space="0" w:color="000000"/>
              <w:bottom w:val="single" w:sz="5" w:space="0" w:color="000000"/>
              <w:right w:val="single" w:sz="5" w:space="0" w:color="000000"/>
            </w:tcBorders>
          </w:tcPr>
          <w:p w14:paraId="662FE3D0" w14:textId="77777777" w:rsidR="00E04C8A" w:rsidRDefault="008E1817">
            <w:pPr>
              <w:pStyle w:val="TableParagraph"/>
              <w:spacing w:line="246" w:lineRule="exact"/>
              <w:ind w:left="423"/>
              <w:rPr>
                <w:rFonts w:ascii="Times New Roman" w:eastAsia="Times New Roman" w:hAnsi="Times New Roman" w:cs="Times New Roman"/>
                <w:lang w:val="sl-SI"/>
              </w:rPr>
            </w:pPr>
            <w:r>
              <w:rPr>
                <w:rFonts w:ascii="Times New Roman" w:eastAsia="Times New Roman" w:hAnsi="Times New Roman" w:cs="Times New Roman"/>
                <w:spacing w:val="-1"/>
                <w:lang w:val="sl-SI"/>
              </w:rPr>
              <w:t>1,6 (0,9; 2,2)</w:t>
            </w:r>
          </w:p>
        </w:tc>
        <w:tc>
          <w:tcPr>
            <w:tcW w:w="874" w:type="pct"/>
            <w:tcBorders>
              <w:top w:val="single" w:sz="5" w:space="0" w:color="000000"/>
              <w:left w:val="single" w:sz="5" w:space="0" w:color="000000"/>
              <w:bottom w:val="single" w:sz="5" w:space="0" w:color="000000"/>
              <w:right w:val="single" w:sz="5" w:space="0" w:color="000000"/>
            </w:tcBorders>
          </w:tcPr>
          <w:p w14:paraId="56438EAF" w14:textId="77777777" w:rsidR="00E04C8A" w:rsidRDefault="008E1817">
            <w:pPr>
              <w:pStyle w:val="TableParagraph"/>
              <w:spacing w:line="246" w:lineRule="exact"/>
              <w:ind w:left="431"/>
              <w:rPr>
                <w:rFonts w:ascii="Times New Roman" w:eastAsia="Times New Roman" w:hAnsi="Times New Roman" w:cs="Times New Roman"/>
                <w:lang w:val="sl-SI"/>
              </w:rPr>
            </w:pPr>
            <w:r>
              <w:rPr>
                <w:rFonts w:ascii="Times New Roman" w:eastAsia="Times New Roman" w:hAnsi="Times New Roman" w:cs="Times New Roman"/>
                <w:lang w:val="sl-SI"/>
              </w:rPr>
              <w:t>&lt; 0,001</w:t>
            </w:r>
          </w:p>
        </w:tc>
      </w:tr>
      <w:tr w:rsidR="00E04C8A" w14:paraId="04F1B369" w14:textId="77777777" w:rsidTr="00721C46">
        <w:trPr>
          <w:jc w:val="center"/>
        </w:trPr>
        <w:tc>
          <w:tcPr>
            <w:tcW w:w="1458" w:type="pct"/>
            <w:tcBorders>
              <w:top w:val="single" w:sz="5" w:space="0" w:color="000000"/>
              <w:left w:val="single" w:sz="5" w:space="0" w:color="000000"/>
              <w:bottom w:val="single" w:sz="5" w:space="0" w:color="000000"/>
              <w:right w:val="single" w:sz="5" w:space="0" w:color="000000"/>
            </w:tcBorders>
          </w:tcPr>
          <w:p w14:paraId="529F3211" w14:textId="77777777" w:rsidR="00E04C8A" w:rsidRDefault="008E1817">
            <w:pPr>
              <w:pStyle w:val="TableParagraph"/>
              <w:spacing w:line="246" w:lineRule="exact"/>
              <w:ind w:left="560"/>
              <w:rPr>
                <w:rFonts w:ascii="Times New Roman" w:eastAsia="Times New Roman" w:hAnsi="Times New Roman" w:cs="Times New Roman"/>
                <w:lang w:val="sl-SI"/>
              </w:rPr>
            </w:pPr>
            <w:r>
              <w:rPr>
                <w:rFonts w:ascii="Times New Roman" w:eastAsia="Times New Roman" w:hAnsi="Times New Roman" w:cs="Times New Roman"/>
                <w:spacing w:val="1"/>
                <w:lang w:val="sl-SI"/>
              </w:rPr>
              <w:t>Seštevek JSN</w:t>
            </w:r>
            <w:r>
              <w:rPr>
                <w:rFonts w:ascii="Times New Roman" w:eastAsia="Times New Roman" w:hAnsi="Times New Roman" w:cs="Times New Roman"/>
                <w:spacing w:val="1"/>
                <w:vertAlign w:val="superscript"/>
                <w:lang w:val="sl-SI"/>
              </w:rPr>
              <w:t>d</w:t>
            </w:r>
          </w:p>
        </w:tc>
        <w:tc>
          <w:tcPr>
            <w:tcW w:w="528" w:type="pct"/>
            <w:tcBorders>
              <w:top w:val="single" w:sz="5" w:space="0" w:color="000000"/>
              <w:left w:val="single" w:sz="5" w:space="0" w:color="000000"/>
              <w:bottom w:val="single" w:sz="5" w:space="0" w:color="000000"/>
              <w:right w:val="single" w:sz="5" w:space="0" w:color="000000"/>
            </w:tcBorders>
          </w:tcPr>
          <w:p w14:paraId="40509329" w14:textId="77777777" w:rsidR="00E04C8A" w:rsidRDefault="008E1817">
            <w:pPr>
              <w:jc w:val="center"/>
              <w:rPr>
                <w:rFonts w:asciiTheme="majorBidi" w:hAnsiTheme="majorBidi" w:cstheme="majorBidi"/>
              </w:rPr>
            </w:pPr>
            <w:r>
              <w:rPr>
                <w:rFonts w:asciiTheme="majorBidi" w:hAnsiTheme="majorBidi" w:cstheme="majorBidi"/>
              </w:rPr>
              <w:t>1,0</w:t>
            </w:r>
          </w:p>
        </w:tc>
        <w:tc>
          <w:tcPr>
            <w:tcW w:w="1011" w:type="pct"/>
            <w:tcBorders>
              <w:top w:val="single" w:sz="5" w:space="0" w:color="000000"/>
              <w:left w:val="single" w:sz="5" w:space="0" w:color="000000"/>
              <w:bottom w:val="single" w:sz="5" w:space="0" w:color="000000"/>
              <w:right w:val="single" w:sz="5" w:space="0" w:color="000000"/>
            </w:tcBorders>
          </w:tcPr>
          <w:p w14:paraId="6E2A75B1" w14:textId="77777777" w:rsidR="00E04C8A" w:rsidRDefault="008E1817">
            <w:pPr>
              <w:pStyle w:val="TableParagraph"/>
              <w:spacing w:line="246" w:lineRule="exact"/>
              <w:ind w:left="731" w:right="733"/>
              <w:jc w:val="center"/>
              <w:rPr>
                <w:rFonts w:ascii="Times New Roman" w:eastAsia="Times New Roman" w:hAnsi="Times New Roman" w:cs="Times New Roman"/>
                <w:lang w:val="sl-SI"/>
              </w:rPr>
            </w:pPr>
            <w:r>
              <w:rPr>
                <w:rFonts w:ascii="Times New Roman" w:eastAsia="Times New Roman" w:hAnsi="Times New Roman" w:cs="Times New Roman"/>
                <w:lang w:val="sl-SI"/>
              </w:rPr>
              <w:t>0,1</w:t>
            </w:r>
          </w:p>
        </w:tc>
        <w:tc>
          <w:tcPr>
            <w:tcW w:w="1129" w:type="pct"/>
            <w:tcBorders>
              <w:top w:val="single" w:sz="5" w:space="0" w:color="000000"/>
              <w:left w:val="single" w:sz="5" w:space="0" w:color="000000"/>
              <w:bottom w:val="single" w:sz="5" w:space="0" w:color="000000"/>
              <w:right w:val="single" w:sz="5" w:space="0" w:color="000000"/>
            </w:tcBorders>
          </w:tcPr>
          <w:p w14:paraId="6DF1F36B" w14:textId="77777777" w:rsidR="00E04C8A" w:rsidRDefault="008E1817">
            <w:pPr>
              <w:pStyle w:val="TableParagraph"/>
              <w:spacing w:line="246" w:lineRule="exact"/>
              <w:ind w:left="423"/>
              <w:rPr>
                <w:rFonts w:ascii="Times New Roman" w:eastAsia="Times New Roman" w:hAnsi="Times New Roman" w:cs="Times New Roman"/>
                <w:lang w:val="sl-SI"/>
              </w:rPr>
            </w:pPr>
            <w:r>
              <w:rPr>
                <w:rFonts w:ascii="Times New Roman" w:eastAsia="Times New Roman" w:hAnsi="Times New Roman" w:cs="Times New Roman"/>
                <w:spacing w:val="-1"/>
                <w:lang w:val="sl-SI"/>
              </w:rPr>
              <w:t>0,9 (0,3; 1,4)</w:t>
            </w:r>
          </w:p>
        </w:tc>
        <w:tc>
          <w:tcPr>
            <w:tcW w:w="874" w:type="pct"/>
            <w:tcBorders>
              <w:top w:val="single" w:sz="5" w:space="0" w:color="000000"/>
              <w:left w:val="single" w:sz="5" w:space="0" w:color="000000"/>
              <w:bottom w:val="single" w:sz="5" w:space="0" w:color="000000"/>
              <w:right w:val="single" w:sz="5" w:space="0" w:color="000000"/>
            </w:tcBorders>
          </w:tcPr>
          <w:p w14:paraId="76145444" w14:textId="77777777" w:rsidR="00E04C8A" w:rsidRDefault="008E1817">
            <w:pPr>
              <w:pStyle w:val="TableParagraph"/>
              <w:spacing w:line="246" w:lineRule="exact"/>
              <w:ind w:left="575"/>
              <w:rPr>
                <w:rFonts w:ascii="Times New Roman" w:eastAsia="Times New Roman" w:hAnsi="Times New Roman" w:cs="Times New Roman"/>
                <w:lang w:val="sl-SI"/>
              </w:rPr>
            </w:pPr>
            <w:r>
              <w:rPr>
                <w:rFonts w:ascii="Times New Roman" w:eastAsia="Times New Roman" w:hAnsi="Times New Roman" w:cs="Times New Roman"/>
                <w:lang w:val="sl-SI"/>
              </w:rPr>
              <w:t>0,002</w:t>
            </w:r>
          </w:p>
        </w:tc>
      </w:tr>
    </w:tbl>
    <w:p w14:paraId="477C7C9D" w14:textId="77777777" w:rsidR="00E04C8A" w:rsidRDefault="008E1817" w:rsidP="00474DFB">
      <w:pPr>
        <w:pStyle w:val="a3"/>
        <w:rPr>
          <w:lang w:val="sl-SI"/>
        </w:rPr>
      </w:pPr>
      <w:r>
        <w:rPr>
          <w:rFonts w:eastAsia="Times New Roman"/>
          <w:position w:val="8"/>
          <w:vertAlign w:val="superscript"/>
          <w:lang w:val="sl-SI"/>
        </w:rPr>
        <w:t xml:space="preserve">a </w:t>
      </w:r>
      <w:r>
        <w:rPr>
          <w:rFonts w:eastAsia="Times New Roman"/>
          <w:position w:val="8"/>
          <w:lang w:val="sl-SI"/>
        </w:rPr>
        <w:t>metotreksat</w:t>
      </w:r>
    </w:p>
    <w:p w14:paraId="0DC57917" w14:textId="77777777" w:rsidR="00E04C8A" w:rsidRDefault="008E1817" w:rsidP="00474DFB">
      <w:pPr>
        <w:pStyle w:val="a3"/>
        <w:rPr>
          <w:lang w:val="sl-SI"/>
        </w:rPr>
      </w:pPr>
      <w:r>
        <w:rPr>
          <w:rFonts w:eastAsia="Times New Roman"/>
          <w:position w:val="8"/>
          <w:vertAlign w:val="superscript"/>
          <w:lang w:val="sl-SI"/>
        </w:rPr>
        <w:t>b</w:t>
      </w:r>
      <w:r>
        <w:rPr>
          <w:rFonts w:eastAsia="Times New Roman"/>
          <w:position w:val="8"/>
          <w:lang w:val="sl-SI"/>
        </w:rPr>
        <w:t xml:space="preserve"> 95-% intervali zaupanja za razlike v spremembi ocen med metotreksatom in adalimumabom.</w:t>
      </w:r>
    </w:p>
    <w:p w14:paraId="6BC329F7" w14:textId="77777777" w:rsidR="00E04C8A" w:rsidRDefault="008E1817" w:rsidP="00474DFB">
      <w:pPr>
        <w:pStyle w:val="a3"/>
        <w:rPr>
          <w:lang w:val="sl-SI"/>
        </w:rPr>
      </w:pPr>
      <w:r>
        <w:rPr>
          <w:rFonts w:eastAsia="Times New Roman"/>
          <w:position w:val="8"/>
          <w:vertAlign w:val="superscript"/>
          <w:lang w:val="sl-SI"/>
        </w:rPr>
        <w:t>c</w:t>
      </w:r>
      <w:r>
        <w:rPr>
          <w:rFonts w:eastAsia="Times New Roman"/>
          <w:position w:val="8"/>
          <w:lang w:val="sl-SI"/>
        </w:rPr>
        <w:t xml:space="preserve"> na podlagi analize rangov</w:t>
      </w:r>
    </w:p>
    <w:p w14:paraId="392DD4ED" w14:textId="77777777" w:rsidR="00E04C8A" w:rsidRDefault="008E1817" w:rsidP="00474DFB">
      <w:pPr>
        <w:pStyle w:val="a3"/>
        <w:rPr>
          <w:lang w:val="sl-SI"/>
        </w:rPr>
      </w:pPr>
      <w:r>
        <w:rPr>
          <w:rFonts w:eastAsia="Times New Roman"/>
          <w:position w:val="8"/>
          <w:vertAlign w:val="superscript"/>
          <w:lang w:val="sl-SI"/>
        </w:rPr>
        <w:t>d</w:t>
      </w:r>
      <w:r>
        <w:rPr>
          <w:rFonts w:eastAsia="Times New Roman"/>
          <w:position w:val="8"/>
          <w:lang w:val="sl-SI"/>
        </w:rPr>
        <w:t xml:space="preserve"> zožitev sklepne špranje</w:t>
      </w:r>
    </w:p>
    <w:p w14:paraId="2E4E6D07" w14:textId="77777777" w:rsidR="00E04C8A" w:rsidRDefault="00E04C8A">
      <w:pPr>
        <w:spacing w:before="17" w:line="240" w:lineRule="exact"/>
        <w:rPr>
          <w:sz w:val="24"/>
          <w:szCs w:val="24"/>
          <w:lang w:val="sl-SI"/>
        </w:rPr>
      </w:pPr>
    </w:p>
    <w:p w14:paraId="11B972B9" w14:textId="2BC9CDD3" w:rsidR="00E04C8A" w:rsidRDefault="008E1817">
      <w:pPr>
        <w:pStyle w:val="a3"/>
        <w:rPr>
          <w:lang w:val="sl-SI"/>
        </w:rPr>
      </w:pPr>
      <w:r>
        <w:rPr>
          <w:rFonts w:eastAsia="Times New Roman"/>
          <w:lang w:val="sl-SI"/>
        </w:rPr>
        <w:t>V študiji revmatoidnega artritisa V so strukturno okvaro sklepov ocenili rentgenografsko in jo izrazili kot razliko v modificirani celotni Sharpovi oceni (glejte preglednico </w:t>
      </w:r>
      <w:r w:rsidR="00982DE1">
        <w:rPr>
          <w:rFonts w:eastAsia="Times New Roman"/>
          <w:lang w:val="sl-SI"/>
        </w:rPr>
        <w:t>11</w:t>
      </w:r>
      <w:r>
        <w:rPr>
          <w:rFonts w:eastAsia="Times New Roman"/>
          <w:lang w:val="sl-SI"/>
        </w:rPr>
        <w:t>).</w:t>
      </w:r>
    </w:p>
    <w:p w14:paraId="1272DA22" w14:textId="77777777" w:rsidR="00E04C8A" w:rsidRDefault="00E04C8A">
      <w:pPr>
        <w:spacing w:before="15" w:line="240" w:lineRule="exact"/>
        <w:rPr>
          <w:sz w:val="24"/>
          <w:szCs w:val="24"/>
          <w:lang w:val="sl-SI"/>
        </w:rPr>
      </w:pPr>
    </w:p>
    <w:p w14:paraId="5B27034C" w14:textId="77E9E473" w:rsidR="00E04C8A" w:rsidRDefault="008E1817">
      <w:pPr>
        <w:pStyle w:val="a3"/>
        <w:jc w:val="center"/>
        <w:rPr>
          <w:b/>
          <w:lang w:val="sl-SI"/>
        </w:rPr>
      </w:pPr>
      <w:r>
        <w:rPr>
          <w:rFonts w:eastAsia="Times New Roman"/>
          <w:b/>
          <w:bCs/>
          <w:lang w:val="sl-SI"/>
        </w:rPr>
        <w:t>Preglednica </w:t>
      </w:r>
      <w:r w:rsidR="00982DE1">
        <w:rPr>
          <w:rFonts w:eastAsia="Times New Roman"/>
          <w:b/>
          <w:bCs/>
          <w:lang w:val="sl-SI"/>
        </w:rPr>
        <w:t>11</w:t>
      </w:r>
      <w:r>
        <w:rPr>
          <w:rFonts w:eastAsia="Times New Roman"/>
          <w:b/>
          <w:bCs/>
          <w:lang w:val="sl-SI"/>
        </w:rPr>
        <w:t>.</w:t>
      </w:r>
    </w:p>
    <w:p w14:paraId="02B65640" w14:textId="77777777" w:rsidR="00E04C8A" w:rsidRDefault="008E1817">
      <w:pPr>
        <w:pStyle w:val="a3"/>
        <w:jc w:val="center"/>
        <w:rPr>
          <w:b/>
          <w:lang w:val="sl-SI"/>
        </w:rPr>
      </w:pPr>
      <w:r>
        <w:rPr>
          <w:rFonts w:eastAsia="Times New Roman"/>
          <w:b/>
          <w:bCs/>
          <w:lang w:val="sl-SI"/>
        </w:rPr>
        <w:t>Povprečne rentgenografske spremembe po 52 tednih študije revmatoidnega artritisa V</w:t>
      </w:r>
    </w:p>
    <w:p w14:paraId="28178E59" w14:textId="77777777" w:rsidR="00E04C8A" w:rsidRDefault="00E04C8A">
      <w:pPr>
        <w:spacing w:before="11" w:line="240" w:lineRule="exact"/>
        <w:rPr>
          <w:sz w:val="24"/>
          <w:szCs w:val="24"/>
          <w:lang w:val="sl-SI"/>
        </w:rPr>
      </w:pPr>
    </w:p>
    <w:tbl>
      <w:tblPr>
        <w:tblStyle w:val="TableNormal1"/>
        <w:tblW w:w="5000" w:type="pct"/>
        <w:tblLayout w:type="fixed"/>
        <w:tblLook w:val="01E0" w:firstRow="1" w:lastRow="1" w:firstColumn="1" w:lastColumn="1" w:noHBand="0" w:noVBand="0"/>
      </w:tblPr>
      <w:tblGrid>
        <w:gridCol w:w="1656"/>
        <w:gridCol w:w="1629"/>
        <w:gridCol w:w="1478"/>
        <w:gridCol w:w="1611"/>
        <w:gridCol w:w="1072"/>
        <w:gridCol w:w="1070"/>
        <w:gridCol w:w="1072"/>
      </w:tblGrid>
      <w:tr w:rsidR="00E04C8A" w14:paraId="3821F985" w14:textId="77777777" w:rsidTr="00721C46">
        <w:trPr>
          <w:trHeight w:val="1036"/>
        </w:trPr>
        <w:tc>
          <w:tcPr>
            <w:tcW w:w="863" w:type="pct"/>
            <w:tcBorders>
              <w:top w:val="single" w:sz="5" w:space="0" w:color="000000"/>
              <w:left w:val="single" w:sz="5" w:space="0" w:color="000000"/>
              <w:bottom w:val="single" w:sz="5" w:space="0" w:color="000000"/>
              <w:right w:val="single" w:sz="5" w:space="0" w:color="000000"/>
            </w:tcBorders>
          </w:tcPr>
          <w:p w14:paraId="2ABCAF8C" w14:textId="77777777" w:rsidR="00E04C8A" w:rsidRDefault="00E04C8A">
            <w:pPr>
              <w:rPr>
                <w:lang w:val="sl-SI"/>
              </w:rPr>
            </w:pPr>
          </w:p>
        </w:tc>
        <w:tc>
          <w:tcPr>
            <w:tcW w:w="849" w:type="pct"/>
            <w:tcBorders>
              <w:top w:val="single" w:sz="5" w:space="0" w:color="000000"/>
              <w:left w:val="single" w:sz="5" w:space="0" w:color="000000"/>
              <w:bottom w:val="single" w:sz="5" w:space="0" w:color="000000"/>
              <w:right w:val="single" w:sz="5" w:space="0" w:color="000000"/>
            </w:tcBorders>
          </w:tcPr>
          <w:p w14:paraId="67EFF1A6" w14:textId="77777777" w:rsidR="00135E34" w:rsidRDefault="008E1817">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Metotreksat </w:t>
            </w:r>
          </w:p>
          <w:p w14:paraId="1887B802" w14:textId="77777777" w:rsidR="00135E34" w:rsidRDefault="008E1817">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n = 257 </w:t>
            </w:r>
          </w:p>
          <w:p w14:paraId="23A755B8" w14:textId="184B36F3" w:rsidR="00E04C8A" w:rsidRDefault="008E1817">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(95-% </w:t>
            </w:r>
            <w:r>
              <w:rPr>
                <w:rFonts w:ascii="Times New Roman" w:eastAsia="Times New Roman" w:hAnsi="Times New Roman" w:cs="Times New Roman"/>
                <w:spacing w:val="-1"/>
                <w:lang w:val="sl-SI"/>
              </w:rPr>
              <w:t>interval zaupanja)</w:t>
            </w:r>
          </w:p>
        </w:tc>
        <w:tc>
          <w:tcPr>
            <w:tcW w:w="771" w:type="pct"/>
            <w:tcBorders>
              <w:top w:val="single" w:sz="5" w:space="0" w:color="000000"/>
              <w:left w:val="single" w:sz="5" w:space="0" w:color="000000"/>
              <w:bottom w:val="single" w:sz="5" w:space="0" w:color="000000"/>
              <w:right w:val="single" w:sz="5" w:space="0" w:color="000000"/>
            </w:tcBorders>
          </w:tcPr>
          <w:p w14:paraId="3ADFB07B" w14:textId="77777777" w:rsidR="00135E34" w:rsidRDefault="008E1817">
            <w:pPr>
              <w:pStyle w:val="TableParagraph"/>
              <w:ind w:left="113" w:right="113"/>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Adalimumab </w:t>
            </w:r>
          </w:p>
          <w:p w14:paraId="271A0543" w14:textId="77777777" w:rsidR="00135E34" w:rsidRDefault="008E1817">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n = 274 </w:t>
            </w:r>
          </w:p>
          <w:p w14:paraId="65902EBC" w14:textId="3CB28160" w:rsidR="00E04C8A" w:rsidRDefault="008E1817">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(95-% </w:t>
            </w:r>
            <w:r>
              <w:rPr>
                <w:rFonts w:ascii="Times New Roman" w:eastAsia="Times New Roman" w:hAnsi="Times New Roman" w:cs="Times New Roman"/>
                <w:spacing w:val="-1"/>
                <w:lang w:val="sl-SI"/>
              </w:rPr>
              <w:t>interval zaupanja)</w:t>
            </w:r>
          </w:p>
        </w:tc>
        <w:tc>
          <w:tcPr>
            <w:tcW w:w="840" w:type="pct"/>
            <w:tcBorders>
              <w:top w:val="single" w:sz="5" w:space="0" w:color="000000"/>
              <w:left w:val="single" w:sz="5" w:space="0" w:color="000000"/>
              <w:bottom w:val="single" w:sz="5" w:space="0" w:color="000000"/>
              <w:right w:val="single" w:sz="5" w:space="0" w:color="000000"/>
            </w:tcBorders>
          </w:tcPr>
          <w:p w14:paraId="675DD9A8" w14:textId="77777777" w:rsidR="00E04C8A" w:rsidRDefault="008E1817">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Adalimumab/MTX</w:t>
            </w:r>
          </w:p>
          <w:p w14:paraId="7AC327DA" w14:textId="77777777" w:rsidR="00135E34" w:rsidRDefault="008E1817">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n = 268 </w:t>
            </w:r>
          </w:p>
          <w:p w14:paraId="1673E96F" w14:textId="201C5A5B" w:rsidR="00E04C8A" w:rsidRDefault="008E1817">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(95-% </w:t>
            </w:r>
            <w:r>
              <w:rPr>
                <w:rFonts w:ascii="Times New Roman" w:eastAsia="Times New Roman" w:hAnsi="Times New Roman" w:cs="Times New Roman"/>
                <w:spacing w:val="-1"/>
                <w:lang w:val="sl-SI"/>
              </w:rPr>
              <w:t>interval zaupanja)</w:t>
            </w:r>
          </w:p>
        </w:tc>
        <w:tc>
          <w:tcPr>
            <w:tcW w:w="559" w:type="pct"/>
            <w:tcBorders>
              <w:top w:val="single" w:sz="5" w:space="0" w:color="000000"/>
              <w:left w:val="single" w:sz="5" w:space="0" w:color="000000"/>
              <w:bottom w:val="single" w:sz="5" w:space="0" w:color="000000"/>
              <w:right w:val="single" w:sz="5" w:space="0" w:color="000000"/>
            </w:tcBorders>
          </w:tcPr>
          <w:p w14:paraId="77CF1446" w14:textId="77777777" w:rsidR="00E04C8A" w:rsidRDefault="00E04C8A">
            <w:pPr>
              <w:pStyle w:val="TableParagraph"/>
              <w:spacing w:line="200" w:lineRule="exact"/>
              <w:rPr>
                <w:lang w:val="sl-SI"/>
              </w:rPr>
            </w:pPr>
          </w:p>
          <w:p w14:paraId="5E49B02C" w14:textId="77777777" w:rsidR="00E04C8A" w:rsidRDefault="008E1817">
            <w:pPr>
              <w:pStyle w:val="TableParagraph"/>
              <w:ind w:left="126"/>
              <w:rPr>
                <w:rFonts w:ascii="Times New Roman" w:eastAsia="Times New Roman" w:hAnsi="Times New Roman" w:cs="Times New Roman"/>
                <w:lang w:val="sl-SI"/>
              </w:rPr>
            </w:pPr>
            <w:r>
              <w:rPr>
                <w:rFonts w:ascii="Times New Roman" w:eastAsia="Times New Roman" w:hAnsi="Times New Roman" w:cs="Times New Roman"/>
                <w:lang w:val="sl-SI"/>
              </w:rPr>
              <w:t>Vrednost p</w:t>
            </w:r>
            <w:r>
              <w:rPr>
                <w:rFonts w:ascii="Times New Roman" w:eastAsia="Times New Roman" w:hAnsi="Times New Roman" w:cs="Times New Roman"/>
                <w:vertAlign w:val="superscript"/>
                <w:lang w:val="sl-SI"/>
              </w:rPr>
              <w:t>a</w:t>
            </w:r>
          </w:p>
        </w:tc>
        <w:tc>
          <w:tcPr>
            <w:tcW w:w="558" w:type="pct"/>
            <w:tcBorders>
              <w:top w:val="single" w:sz="5" w:space="0" w:color="000000"/>
              <w:left w:val="single" w:sz="5" w:space="0" w:color="000000"/>
              <w:bottom w:val="single" w:sz="5" w:space="0" w:color="000000"/>
              <w:right w:val="single" w:sz="5" w:space="0" w:color="000000"/>
            </w:tcBorders>
          </w:tcPr>
          <w:p w14:paraId="4BF873CE" w14:textId="77777777" w:rsidR="00E04C8A" w:rsidRDefault="00E04C8A">
            <w:pPr>
              <w:pStyle w:val="TableParagraph"/>
              <w:spacing w:line="200" w:lineRule="exact"/>
              <w:rPr>
                <w:lang w:val="sl-SI"/>
              </w:rPr>
            </w:pPr>
          </w:p>
          <w:p w14:paraId="157F8E4A" w14:textId="77777777" w:rsidR="00E04C8A" w:rsidRDefault="008E1817">
            <w:pPr>
              <w:pStyle w:val="TableParagraph"/>
              <w:ind w:left="121"/>
              <w:rPr>
                <w:rFonts w:ascii="Times New Roman" w:eastAsia="Times New Roman" w:hAnsi="Times New Roman" w:cs="Times New Roman"/>
                <w:lang w:val="sl-SI"/>
              </w:rPr>
            </w:pPr>
            <w:r>
              <w:rPr>
                <w:rFonts w:ascii="Times New Roman" w:eastAsia="Times New Roman" w:hAnsi="Times New Roman" w:cs="Times New Roman"/>
                <w:lang w:val="sl-SI"/>
              </w:rPr>
              <w:t>Vrednost p</w:t>
            </w:r>
            <w:r>
              <w:rPr>
                <w:rFonts w:ascii="Times New Roman" w:eastAsia="Times New Roman" w:hAnsi="Times New Roman" w:cs="Times New Roman"/>
                <w:vertAlign w:val="superscript"/>
                <w:lang w:val="sl-SI"/>
              </w:rPr>
              <w:t>b</w:t>
            </w:r>
          </w:p>
        </w:tc>
        <w:tc>
          <w:tcPr>
            <w:tcW w:w="559" w:type="pct"/>
            <w:tcBorders>
              <w:top w:val="single" w:sz="5" w:space="0" w:color="000000"/>
              <w:left w:val="single" w:sz="5" w:space="0" w:color="000000"/>
              <w:bottom w:val="single" w:sz="5" w:space="0" w:color="000000"/>
              <w:right w:val="single" w:sz="5" w:space="0" w:color="000000"/>
            </w:tcBorders>
          </w:tcPr>
          <w:p w14:paraId="5982684D" w14:textId="77777777" w:rsidR="00E04C8A" w:rsidRDefault="00E04C8A">
            <w:pPr>
              <w:pStyle w:val="TableParagraph"/>
              <w:spacing w:line="200" w:lineRule="exact"/>
              <w:rPr>
                <w:lang w:val="sl-SI"/>
              </w:rPr>
            </w:pPr>
          </w:p>
          <w:p w14:paraId="7AE82D62" w14:textId="77777777" w:rsidR="00E04C8A" w:rsidRDefault="008E1817">
            <w:pPr>
              <w:pStyle w:val="TableParagraph"/>
              <w:ind w:left="126"/>
              <w:rPr>
                <w:rFonts w:ascii="Times New Roman" w:eastAsia="Times New Roman" w:hAnsi="Times New Roman" w:cs="Times New Roman"/>
                <w:lang w:val="sl-SI"/>
              </w:rPr>
            </w:pPr>
            <w:r>
              <w:rPr>
                <w:rFonts w:ascii="Times New Roman" w:eastAsia="Times New Roman" w:hAnsi="Times New Roman" w:cs="Times New Roman"/>
                <w:lang w:val="sl-SI"/>
              </w:rPr>
              <w:t>Vrednost p</w:t>
            </w:r>
            <w:r>
              <w:rPr>
                <w:rFonts w:ascii="Times New Roman" w:eastAsia="Times New Roman" w:hAnsi="Times New Roman" w:cs="Times New Roman"/>
                <w:vertAlign w:val="superscript"/>
                <w:lang w:val="sl-SI"/>
              </w:rPr>
              <w:t>c</w:t>
            </w:r>
          </w:p>
        </w:tc>
      </w:tr>
      <w:tr w:rsidR="00E04C8A" w14:paraId="0713B9DC" w14:textId="77777777" w:rsidTr="00721C46">
        <w:trPr>
          <w:trHeight w:val="341"/>
        </w:trPr>
        <w:tc>
          <w:tcPr>
            <w:tcW w:w="863" w:type="pct"/>
            <w:tcBorders>
              <w:top w:val="single" w:sz="5" w:space="0" w:color="000000"/>
              <w:left w:val="single" w:sz="5" w:space="0" w:color="000000"/>
              <w:bottom w:val="single" w:sz="5" w:space="0" w:color="000000"/>
              <w:right w:val="single" w:sz="5" w:space="0" w:color="000000"/>
            </w:tcBorders>
          </w:tcPr>
          <w:p w14:paraId="40A60ACB" w14:textId="27AA040C" w:rsidR="00E04C8A" w:rsidRDefault="008E1817" w:rsidP="00135E34">
            <w:pPr>
              <w:pStyle w:val="TableParagraph"/>
              <w:spacing w:line="246" w:lineRule="exact"/>
              <w:ind w:right="179"/>
              <w:rPr>
                <w:rFonts w:ascii="Times New Roman" w:eastAsia="Times New Roman" w:hAnsi="Times New Roman" w:cs="Times New Roman"/>
                <w:lang w:val="sl-SI"/>
              </w:rPr>
            </w:pPr>
            <w:r>
              <w:rPr>
                <w:rFonts w:ascii="Times New Roman" w:eastAsia="Times New Roman" w:hAnsi="Times New Roman" w:cs="Times New Roman"/>
                <w:spacing w:val="-1"/>
                <w:lang w:val="sl-SI"/>
              </w:rPr>
              <w:t>Celotna Sharpova</w:t>
            </w:r>
            <w:r w:rsidR="00135E34">
              <w:rPr>
                <w:rFonts w:ascii="Times New Roman" w:hAnsi="Times New Roman" w:cs="Times New Roman" w:hint="eastAsia"/>
                <w:lang w:val="sl-SI" w:eastAsia="ko-KR"/>
              </w:rPr>
              <w:t xml:space="preserve"> </w:t>
            </w:r>
            <w:r>
              <w:rPr>
                <w:rFonts w:ascii="Times New Roman" w:eastAsia="Times New Roman" w:hAnsi="Times New Roman" w:cs="Times New Roman"/>
                <w:lang w:val="sl-SI"/>
              </w:rPr>
              <w:t>ocena</w:t>
            </w:r>
          </w:p>
        </w:tc>
        <w:tc>
          <w:tcPr>
            <w:tcW w:w="849" w:type="pct"/>
            <w:tcBorders>
              <w:top w:val="single" w:sz="5" w:space="0" w:color="000000"/>
              <w:left w:val="single" w:sz="5" w:space="0" w:color="000000"/>
              <w:bottom w:val="single" w:sz="5" w:space="0" w:color="000000"/>
              <w:right w:val="single" w:sz="5" w:space="0" w:color="000000"/>
            </w:tcBorders>
          </w:tcPr>
          <w:p w14:paraId="3CF8D827"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5,7 (4,2-7,3)</w:t>
            </w:r>
          </w:p>
        </w:tc>
        <w:tc>
          <w:tcPr>
            <w:tcW w:w="771" w:type="pct"/>
            <w:tcBorders>
              <w:top w:val="single" w:sz="5" w:space="0" w:color="000000"/>
              <w:left w:val="single" w:sz="5" w:space="0" w:color="000000"/>
              <w:bottom w:val="single" w:sz="5" w:space="0" w:color="000000"/>
              <w:right w:val="single" w:sz="5" w:space="0" w:color="000000"/>
            </w:tcBorders>
          </w:tcPr>
          <w:p w14:paraId="318911CE"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3,0 (1,7-4,3)</w:t>
            </w:r>
          </w:p>
        </w:tc>
        <w:tc>
          <w:tcPr>
            <w:tcW w:w="840" w:type="pct"/>
            <w:tcBorders>
              <w:top w:val="single" w:sz="5" w:space="0" w:color="000000"/>
              <w:left w:val="single" w:sz="5" w:space="0" w:color="000000"/>
              <w:bottom w:val="single" w:sz="5" w:space="0" w:color="000000"/>
              <w:right w:val="single" w:sz="5" w:space="0" w:color="000000"/>
            </w:tcBorders>
          </w:tcPr>
          <w:p w14:paraId="727CEA2B"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1,3 (0,5-2,1)</w:t>
            </w:r>
          </w:p>
        </w:tc>
        <w:tc>
          <w:tcPr>
            <w:tcW w:w="559" w:type="pct"/>
            <w:tcBorders>
              <w:top w:val="single" w:sz="5" w:space="0" w:color="000000"/>
              <w:left w:val="single" w:sz="5" w:space="0" w:color="000000"/>
              <w:bottom w:val="single" w:sz="5" w:space="0" w:color="000000"/>
              <w:right w:val="single" w:sz="5" w:space="0" w:color="000000"/>
            </w:tcBorders>
          </w:tcPr>
          <w:p w14:paraId="3D3067C3"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558" w:type="pct"/>
            <w:tcBorders>
              <w:top w:val="single" w:sz="5" w:space="0" w:color="000000"/>
              <w:left w:val="single" w:sz="5" w:space="0" w:color="000000"/>
              <w:bottom w:val="single" w:sz="5" w:space="0" w:color="000000"/>
              <w:right w:val="single" w:sz="5" w:space="0" w:color="000000"/>
            </w:tcBorders>
          </w:tcPr>
          <w:p w14:paraId="05096C4D"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0,0020</w:t>
            </w:r>
          </w:p>
        </w:tc>
        <w:tc>
          <w:tcPr>
            <w:tcW w:w="559" w:type="pct"/>
            <w:tcBorders>
              <w:top w:val="single" w:sz="5" w:space="0" w:color="000000"/>
              <w:left w:val="single" w:sz="5" w:space="0" w:color="000000"/>
              <w:bottom w:val="single" w:sz="5" w:space="0" w:color="000000"/>
              <w:right w:val="single" w:sz="5" w:space="0" w:color="000000"/>
            </w:tcBorders>
          </w:tcPr>
          <w:p w14:paraId="558C6BE3"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r>
      <w:tr w:rsidR="00E04C8A" w14:paraId="6DE7A7FB" w14:textId="77777777" w:rsidTr="00721C46">
        <w:trPr>
          <w:trHeight w:val="334"/>
        </w:trPr>
        <w:tc>
          <w:tcPr>
            <w:tcW w:w="863" w:type="pct"/>
            <w:tcBorders>
              <w:top w:val="single" w:sz="5" w:space="0" w:color="000000"/>
              <w:left w:val="single" w:sz="5" w:space="0" w:color="000000"/>
              <w:bottom w:val="single" w:sz="5" w:space="0" w:color="000000"/>
              <w:right w:val="single" w:sz="5" w:space="0" w:color="000000"/>
            </w:tcBorders>
          </w:tcPr>
          <w:p w14:paraId="1ACDF0F6" w14:textId="77777777" w:rsidR="00E04C8A" w:rsidRDefault="008E1817" w:rsidP="00135E34">
            <w:pPr>
              <w:pStyle w:val="TableParagraph"/>
              <w:spacing w:line="246"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Ocena erozij</w:t>
            </w:r>
          </w:p>
        </w:tc>
        <w:tc>
          <w:tcPr>
            <w:tcW w:w="849" w:type="pct"/>
            <w:tcBorders>
              <w:top w:val="single" w:sz="5" w:space="0" w:color="000000"/>
              <w:left w:val="single" w:sz="5" w:space="0" w:color="000000"/>
              <w:bottom w:val="single" w:sz="5" w:space="0" w:color="000000"/>
              <w:right w:val="single" w:sz="5" w:space="0" w:color="000000"/>
            </w:tcBorders>
          </w:tcPr>
          <w:p w14:paraId="69A1BE25"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3,7 (2,7-4,7)</w:t>
            </w:r>
          </w:p>
        </w:tc>
        <w:tc>
          <w:tcPr>
            <w:tcW w:w="771" w:type="pct"/>
            <w:tcBorders>
              <w:top w:val="single" w:sz="5" w:space="0" w:color="000000"/>
              <w:left w:val="single" w:sz="5" w:space="0" w:color="000000"/>
              <w:bottom w:val="single" w:sz="5" w:space="0" w:color="000000"/>
              <w:right w:val="single" w:sz="5" w:space="0" w:color="000000"/>
            </w:tcBorders>
          </w:tcPr>
          <w:p w14:paraId="7D0874CB"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1,7 (1,0-2,4)</w:t>
            </w:r>
          </w:p>
        </w:tc>
        <w:tc>
          <w:tcPr>
            <w:tcW w:w="840" w:type="pct"/>
            <w:tcBorders>
              <w:top w:val="single" w:sz="5" w:space="0" w:color="000000"/>
              <w:left w:val="single" w:sz="5" w:space="0" w:color="000000"/>
              <w:bottom w:val="single" w:sz="5" w:space="0" w:color="000000"/>
              <w:right w:val="single" w:sz="5" w:space="0" w:color="000000"/>
            </w:tcBorders>
          </w:tcPr>
          <w:p w14:paraId="48758A67"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0,8 (0,4-1,2)</w:t>
            </w:r>
          </w:p>
        </w:tc>
        <w:tc>
          <w:tcPr>
            <w:tcW w:w="559" w:type="pct"/>
            <w:tcBorders>
              <w:top w:val="single" w:sz="5" w:space="0" w:color="000000"/>
              <w:left w:val="single" w:sz="5" w:space="0" w:color="000000"/>
              <w:bottom w:val="single" w:sz="5" w:space="0" w:color="000000"/>
              <w:right w:val="single" w:sz="5" w:space="0" w:color="000000"/>
            </w:tcBorders>
          </w:tcPr>
          <w:p w14:paraId="604B7898"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558" w:type="pct"/>
            <w:tcBorders>
              <w:top w:val="single" w:sz="5" w:space="0" w:color="000000"/>
              <w:left w:val="single" w:sz="5" w:space="0" w:color="000000"/>
              <w:bottom w:val="single" w:sz="5" w:space="0" w:color="000000"/>
              <w:right w:val="single" w:sz="5" w:space="0" w:color="000000"/>
            </w:tcBorders>
          </w:tcPr>
          <w:p w14:paraId="4A5E3DA1"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0,0082</w:t>
            </w:r>
          </w:p>
        </w:tc>
        <w:tc>
          <w:tcPr>
            <w:tcW w:w="559" w:type="pct"/>
            <w:tcBorders>
              <w:top w:val="single" w:sz="5" w:space="0" w:color="000000"/>
              <w:left w:val="single" w:sz="5" w:space="0" w:color="000000"/>
              <w:bottom w:val="single" w:sz="5" w:space="0" w:color="000000"/>
              <w:right w:val="single" w:sz="5" w:space="0" w:color="000000"/>
            </w:tcBorders>
          </w:tcPr>
          <w:p w14:paraId="1C6F1E3C"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r>
      <w:tr w:rsidR="00E04C8A" w14:paraId="0211276E" w14:textId="77777777" w:rsidTr="00721C46">
        <w:trPr>
          <w:trHeight w:val="341"/>
        </w:trPr>
        <w:tc>
          <w:tcPr>
            <w:tcW w:w="863" w:type="pct"/>
            <w:tcBorders>
              <w:top w:val="single" w:sz="5" w:space="0" w:color="000000"/>
              <w:left w:val="single" w:sz="5" w:space="0" w:color="000000"/>
              <w:bottom w:val="single" w:sz="5" w:space="0" w:color="000000"/>
              <w:right w:val="single" w:sz="5" w:space="0" w:color="000000"/>
            </w:tcBorders>
          </w:tcPr>
          <w:p w14:paraId="6B242D42" w14:textId="77777777" w:rsidR="00E04C8A" w:rsidRDefault="008E1817" w:rsidP="00135E34">
            <w:pPr>
              <w:pStyle w:val="TableParagraph"/>
              <w:spacing w:line="246"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Seštevek JSN</w:t>
            </w:r>
          </w:p>
        </w:tc>
        <w:tc>
          <w:tcPr>
            <w:tcW w:w="849" w:type="pct"/>
            <w:tcBorders>
              <w:top w:val="single" w:sz="5" w:space="0" w:color="000000"/>
              <w:left w:val="single" w:sz="5" w:space="0" w:color="000000"/>
              <w:bottom w:val="single" w:sz="5" w:space="0" w:color="000000"/>
              <w:right w:val="single" w:sz="5" w:space="0" w:color="000000"/>
            </w:tcBorders>
          </w:tcPr>
          <w:p w14:paraId="65E93E87"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2,0 (1,2-2,8)</w:t>
            </w:r>
          </w:p>
        </w:tc>
        <w:tc>
          <w:tcPr>
            <w:tcW w:w="771" w:type="pct"/>
            <w:tcBorders>
              <w:top w:val="single" w:sz="5" w:space="0" w:color="000000"/>
              <w:left w:val="single" w:sz="5" w:space="0" w:color="000000"/>
              <w:bottom w:val="single" w:sz="5" w:space="0" w:color="000000"/>
              <w:right w:val="single" w:sz="5" w:space="0" w:color="000000"/>
            </w:tcBorders>
          </w:tcPr>
          <w:p w14:paraId="40109D21"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1,3 (0,5-2,1)</w:t>
            </w:r>
          </w:p>
        </w:tc>
        <w:tc>
          <w:tcPr>
            <w:tcW w:w="840" w:type="pct"/>
            <w:tcBorders>
              <w:top w:val="single" w:sz="5" w:space="0" w:color="000000"/>
              <w:left w:val="single" w:sz="5" w:space="0" w:color="000000"/>
              <w:bottom w:val="single" w:sz="5" w:space="0" w:color="000000"/>
              <w:right w:val="single" w:sz="5" w:space="0" w:color="000000"/>
            </w:tcBorders>
          </w:tcPr>
          <w:p w14:paraId="5868DDE4"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0,5 (0-1,0)</w:t>
            </w:r>
          </w:p>
        </w:tc>
        <w:tc>
          <w:tcPr>
            <w:tcW w:w="559" w:type="pct"/>
            <w:tcBorders>
              <w:top w:val="single" w:sz="5" w:space="0" w:color="000000"/>
              <w:left w:val="single" w:sz="5" w:space="0" w:color="000000"/>
              <w:bottom w:val="single" w:sz="5" w:space="0" w:color="000000"/>
              <w:right w:val="single" w:sz="5" w:space="0" w:color="000000"/>
            </w:tcBorders>
          </w:tcPr>
          <w:p w14:paraId="4A156B0A"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558" w:type="pct"/>
            <w:tcBorders>
              <w:top w:val="single" w:sz="5" w:space="0" w:color="000000"/>
              <w:left w:val="single" w:sz="5" w:space="0" w:color="000000"/>
              <w:bottom w:val="single" w:sz="5" w:space="0" w:color="000000"/>
              <w:right w:val="single" w:sz="5" w:space="0" w:color="000000"/>
            </w:tcBorders>
          </w:tcPr>
          <w:p w14:paraId="32B83819"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0,0037</w:t>
            </w:r>
          </w:p>
        </w:tc>
        <w:tc>
          <w:tcPr>
            <w:tcW w:w="559" w:type="pct"/>
            <w:tcBorders>
              <w:top w:val="single" w:sz="5" w:space="0" w:color="000000"/>
              <w:left w:val="single" w:sz="5" w:space="0" w:color="000000"/>
              <w:bottom w:val="single" w:sz="5" w:space="0" w:color="000000"/>
              <w:right w:val="single" w:sz="5" w:space="0" w:color="000000"/>
            </w:tcBorders>
          </w:tcPr>
          <w:p w14:paraId="604CEC46" w14:textId="77777777" w:rsidR="00E04C8A" w:rsidRDefault="008E1817" w:rsidP="009F7FA1">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0,151</w:t>
            </w:r>
          </w:p>
        </w:tc>
      </w:tr>
    </w:tbl>
    <w:p w14:paraId="67224CF3" w14:textId="77777777" w:rsidR="00E04C8A" w:rsidRDefault="008E1817">
      <w:pPr>
        <w:pStyle w:val="a3"/>
        <w:rPr>
          <w:lang w:val="sl-SI"/>
        </w:rPr>
      </w:pPr>
      <w:r>
        <w:rPr>
          <w:rFonts w:eastAsia="Times New Roman"/>
          <w:position w:val="8"/>
          <w:vertAlign w:val="superscript"/>
          <w:lang w:val="sl-SI"/>
        </w:rPr>
        <w:t>a</w:t>
      </w:r>
      <w:r>
        <w:rPr>
          <w:rFonts w:eastAsia="Times New Roman"/>
          <w:position w:val="8"/>
          <w:lang w:val="sl-SI"/>
        </w:rPr>
        <w:t xml:space="preserve"> Vrednost p se nanaša na parno primerjavo monoterapije z metotreksatom in kombinirane terapije z adalimumabom/metotreksatom z Mann-Whitneyevim testom U.</w:t>
      </w:r>
    </w:p>
    <w:p w14:paraId="29EEE3A4" w14:textId="77777777" w:rsidR="00E04C8A" w:rsidRDefault="008E1817">
      <w:pPr>
        <w:pStyle w:val="a3"/>
        <w:rPr>
          <w:lang w:val="sl-SI"/>
        </w:rPr>
      </w:pPr>
      <w:r>
        <w:rPr>
          <w:rFonts w:eastAsia="Times New Roman"/>
          <w:position w:val="8"/>
          <w:vertAlign w:val="superscript"/>
          <w:lang w:val="sl-SI"/>
        </w:rPr>
        <w:t>b</w:t>
      </w:r>
      <w:r>
        <w:rPr>
          <w:rFonts w:eastAsia="Times New Roman"/>
          <w:position w:val="8"/>
          <w:lang w:val="sl-SI"/>
        </w:rPr>
        <w:t xml:space="preserve"> Vrednost p se nanaša na parno primerjavo monoterapije z adalimumabom in kombinirane terapije z adalimumabom/metotreksatom z Mann-Whitneyevim testom U.</w:t>
      </w:r>
    </w:p>
    <w:p w14:paraId="4C9FE17F" w14:textId="77777777" w:rsidR="00E04C8A" w:rsidRDefault="008E1817">
      <w:pPr>
        <w:pStyle w:val="a3"/>
        <w:rPr>
          <w:lang w:val="sl-SI"/>
        </w:rPr>
      </w:pPr>
      <w:r>
        <w:rPr>
          <w:rFonts w:eastAsia="Times New Roman"/>
          <w:position w:val="8"/>
          <w:vertAlign w:val="superscript"/>
          <w:lang w:val="sl-SI"/>
        </w:rPr>
        <w:t>c</w:t>
      </w:r>
      <w:r>
        <w:rPr>
          <w:rFonts w:eastAsia="Times New Roman"/>
          <w:position w:val="8"/>
          <w:lang w:val="sl-SI"/>
        </w:rPr>
        <w:t xml:space="preserve"> Vrednost p se nanaša na parno primerjavo monoterapije z adalimumabom in monoterapije z metotreksatom z Mann-Whitneyevim testom U.</w:t>
      </w:r>
    </w:p>
    <w:p w14:paraId="2C9A9397" w14:textId="77777777" w:rsidR="00E04C8A" w:rsidRDefault="00E04C8A">
      <w:pPr>
        <w:spacing w:before="8" w:line="170" w:lineRule="exact"/>
        <w:rPr>
          <w:sz w:val="17"/>
          <w:szCs w:val="17"/>
          <w:lang w:val="sl-SI"/>
        </w:rPr>
      </w:pPr>
    </w:p>
    <w:p w14:paraId="411CC226" w14:textId="77777777" w:rsidR="00E04C8A" w:rsidRDefault="008E1817">
      <w:pPr>
        <w:pStyle w:val="a3"/>
        <w:rPr>
          <w:lang w:val="sl-SI"/>
        </w:rPr>
      </w:pPr>
      <w:r>
        <w:rPr>
          <w:rFonts w:eastAsia="Times New Roman"/>
          <w:lang w:val="sl-SI"/>
        </w:rPr>
        <w:t xml:space="preserve">Po 52 oz. 104 tednih zdravljenja je bil v skupini s kombinirano terapijo z adalimumabom in metotreksatom odstotek bolnikov brez napredovanja bolezni (sprememba prilagojene Sharpove ocene od izhodišča </w:t>
      </w:r>
      <w:r>
        <w:rPr>
          <w:rFonts w:ascii="Symbol" w:eastAsia="Symbol" w:hAnsi="Symbol" w:cs="Symbol"/>
          <w:lang w:val="sl-SI"/>
        </w:rPr>
        <w:sym w:font="Symbol" w:char="F0A3"/>
      </w:r>
      <w:r>
        <w:rPr>
          <w:rFonts w:ascii="Symbol" w:eastAsia="Symbol" w:hAnsi="Symbol" w:cs="Symbol"/>
          <w:lang w:val="sl-SI"/>
        </w:rPr>
        <w:sym w:font="Symbol" w:char="F020"/>
      </w:r>
      <w:r>
        <w:rPr>
          <w:rFonts w:eastAsia="Times New Roman"/>
          <w:lang w:val="sl-SI"/>
        </w:rPr>
        <w:t> 0,5) značilno večji (63,8 % oz. 61,2 %) kot v skupinah, ki sta prejemali monoterapijo z metotreksatom (37,4 % in 33,5 %, p &lt; 0,001) ali monoterapijo z adalimumabom (50,7 %, p &lt; 0,002, oz. 44,5 %, p &lt; 0,001).</w:t>
      </w:r>
    </w:p>
    <w:p w14:paraId="075111C9" w14:textId="77777777" w:rsidR="00E04C8A" w:rsidRDefault="00E04C8A">
      <w:pPr>
        <w:spacing w:before="10" w:line="240" w:lineRule="exact"/>
        <w:rPr>
          <w:sz w:val="24"/>
          <w:szCs w:val="24"/>
          <w:lang w:val="sl-SI"/>
        </w:rPr>
      </w:pPr>
    </w:p>
    <w:p w14:paraId="4C2407A9" w14:textId="77777777" w:rsidR="00E04C8A" w:rsidRDefault="008E1817">
      <w:pPr>
        <w:pStyle w:val="a3"/>
        <w:rPr>
          <w:lang w:val="sl-SI"/>
        </w:rPr>
      </w:pPr>
      <w:r>
        <w:rPr>
          <w:rFonts w:eastAsia="Times New Roman"/>
          <w:lang w:val="sl-SI"/>
        </w:rPr>
        <w:t>V odprtem podaljšanju študije revmatoidnega artritisa V je bila povprečna sprememba celotne Sharpove ocene v 10. letu pri bolnikih, ki so jih na začetku randomizirali na monoterapijo z metotreksatom, monoterapijo z adalimumabom in kombinacijo adalimumab/metotreksat, glede na izhodišče 10,8, 9,2 oz. 3,9. Ustrezni deleži bolnikov, ki niso imeli rentgenografskih znakov napredovanja, so bili 31,3 %, 23,7 % oz. 36,7 %.</w:t>
      </w:r>
    </w:p>
    <w:p w14:paraId="1D46CEB7" w14:textId="77777777" w:rsidR="00E04C8A" w:rsidRDefault="00E04C8A">
      <w:pPr>
        <w:pStyle w:val="a3"/>
        <w:rPr>
          <w:sz w:val="24"/>
          <w:szCs w:val="24"/>
          <w:lang w:val="sl-SI"/>
        </w:rPr>
      </w:pPr>
    </w:p>
    <w:p w14:paraId="407500AC" w14:textId="77777777" w:rsidR="00E04C8A" w:rsidRDefault="008E1817">
      <w:pPr>
        <w:pStyle w:val="a3"/>
        <w:rPr>
          <w:rFonts w:eastAsia="Times New Roman"/>
          <w:lang w:val="sl-SI"/>
        </w:rPr>
      </w:pPr>
      <w:r>
        <w:rPr>
          <w:rFonts w:eastAsia="Times New Roman"/>
          <w:i/>
          <w:iCs/>
          <w:spacing w:val="-1"/>
          <w:u w:val="single" w:color="000000"/>
          <w:lang w:val="sl-SI"/>
        </w:rPr>
        <w:lastRenderedPageBreak/>
        <w:t>Kakovost življenja in telesna funkcija</w:t>
      </w:r>
    </w:p>
    <w:p w14:paraId="63A7972E" w14:textId="77777777" w:rsidR="00E04C8A" w:rsidRDefault="00E04C8A">
      <w:pPr>
        <w:pStyle w:val="a3"/>
        <w:rPr>
          <w:sz w:val="18"/>
          <w:szCs w:val="18"/>
          <w:lang w:val="sl-SI"/>
        </w:rPr>
      </w:pPr>
    </w:p>
    <w:p w14:paraId="2F5FB19A" w14:textId="77777777" w:rsidR="00E04C8A" w:rsidRDefault="008E1817">
      <w:pPr>
        <w:pStyle w:val="a3"/>
        <w:rPr>
          <w:lang w:val="sl-SI"/>
        </w:rPr>
      </w:pPr>
      <w:r>
        <w:rPr>
          <w:rFonts w:eastAsia="Times New Roman"/>
          <w:lang w:val="sl-SI"/>
        </w:rPr>
        <w:t xml:space="preserve">Z zdravjem povezano kakovost življenja in telesno funkcijo so v štirih originalnih ustreznih in dobro kontroliranih študijah ocenjevali z indeksom invalidnosti z vprašalnikom HAQ (Health Assessment Questionnaire) in je bila v študiji revmatoidnega artritisa III vnaprej določen primarni opazovani dogodek po 52 tednih. V vseh štirih študijah se je indeks invalidnosti po vprašalniku HAQ od izhodišča do 6. meseca z vsemi odmerki/shemami adalimumaba izboljšal statistično značilno bolj kot s placebom; v </w:t>
      </w:r>
    </w:p>
    <w:p w14:paraId="052D3E63" w14:textId="77777777" w:rsidR="00E04C8A" w:rsidRDefault="008E1817">
      <w:pPr>
        <w:pStyle w:val="a3"/>
        <w:rPr>
          <w:lang w:val="sl-SI"/>
        </w:rPr>
      </w:pPr>
      <w:r>
        <w:rPr>
          <w:rFonts w:eastAsia="Times New Roman"/>
          <w:lang w:val="sl-SI"/>
        </w:rPr>
        <w:t>študiji revmatoidnega artritisa III so isto ugotovili po 52 tednih. Te izsledke podpirajo rezultati SF 36 (Short Form Health Survey) za vse odmerke/sheme adalimumaba v vseh štirih študijah, s statistično značilnim seštevkom PCS (Physical Component Summary) in statistično značilnima seštevkoma za področje bolečin in vitalnosti za odmerek 40 mg vsak drugi teden. V vseh treh študijah (študije revmatoidnega artritisa I, III in IV), v katerih so ocenjevali utrujenost s funkcijsko oceno terapije kronične bolezni (functional assessment of chronic illness therapy (FACIT)), so ugotovili statistično značilno zmanjšanje utrujenosti.</w:t>
      </w:r>
    </w:p>
    <w:p w14:paraId="33BEFC7C" w14:textId="77777777" w:rsidR="00E04C8A" w:rsidRDefault="00E04C8A">
      <w:pPr>
        <w:pStyle w:val="a3"/>
        <w:rPr>
          <w:sz w:val="24"/>
          <w:szCs w:val="24"/>
          <w:lang w:val="sl-SI"/>
        </w:rPr>
      </w:pPr>
    </w:p>
    <w:p w14:paraId="40E8F471" w14:textId="77777777" w:rsidR="00E04C8A" w:rsidRDefault="008E1817">
      <w:pPr>
        <w:pStyle w:val="a3"/>
        <w:rPr>
          <w:lang w:val="sl-SI"/>
        </w:rPr>
      </w:pPr>
      <w:r>
        <w:rPr>
          <w:rFonts w:eastAsia="Times New Roman"/>
          <w:lang w:val="sl-SI"/>
        </w:rPr>
        <w:t>V študiji revmatoidnega artritisa III se je pri večini bolnikov, ki so dosegli izboljšanje telesne funkcije in so nadaljevali zdravljenje, to izboljšanje ohranilo vseskozi do 520. tedna (120. meseca) odprte faze zdravljenja. Izboljšanje kvalitete življenja se je ocenjevalo do 156. tedna (36. meseca). V tem času se je izboljšanje tudi ohranjalo.</w:t>
      </w:r>
    </w:p>
    <w:p w14:paraId="43F67342" w14:textId="77777777" w:rsidR="00E04C8A" w:rsidRDefault="00E04C8A">
      <w:pPr>
        <w:pStyle w:val="a3"/>
        <w:rPr>
          <w:sz w:val="24"/>
          <w:szCs w:val="24"/>
          <w:lang w:val="sl-SI"/>
        </w:rPr>
      </w:pPr>
    </w:p>
    <w:p w14:paraId="60B08D81" w14:textId="77777777" w:rsidR="00E04C8A" w:rsidRDefault="008E1817">
      <w:pPr>
        <w:pStyle w:val="a3"/>
        <w:rPr>
          <w:lang w:val="sl-SI"/>
        </w:rPr>
      </w:pPr>
      <w:r>
        <w:rPr>
          <w:rFonts w:eastAsia="Times New Roman"/>
          <w:lang w:val="sl-SI"/>
        </w:rPr>
        <w:t xml:space="preserve">V študiji revmatoidnega artritisa V sta se indeks invalidnosti HAQ in telesna komponenta SF 36 ob kombinirani terapiji z adalimumabom in metotreksatom po 52 tednih izboljšala bolj (p &lt; 0,001) </w:t>
      </w:r>
      <w:r>
        <w:rPr>
          <w:rFonts w:eastAsia="Times New Roman"/>
          <w:i/>
          <w:iCs/>
          <w:lang w:val="sl-SI"/>
        </w:rPr>
        <w:t>kot ob</w:t>
      </w:r>
      <w:r>
        <w:rPr>
          <w:rFonts w:eastAsia="Times New Roman"/>
          <w:lang w:val="sl-SI"/>
        </w:rPr>
        <w:t xml:space="preserve"> monoterapiji z metotreksatom ali ob monoterapiji z adalimumabom; to se je ohranilo do 104. tedna. Med 250 osebami, ki so zaključile podaljšano odprto študijo, se je izboljšanje telesne funkcije ohranilo skozi 10 let zdravljenja.</w:t>
      </w:r>
    </w:p>
    <w:p w14:paraId="70318898" w14:textId="77777777" w:rsidR="00E04C8A" w:rsidRDefault="00E04C8A">
      <w:pPr>
        <w:pStyle w:val="a3"/>
        <w:rPr>
          <w:sz w:val="24"/>
          <w:szCs w:val="24"/>
          <w:lang w:val="sl-SI"/>
        </w:rPr>
      </w:pPr>
    </w:p>
    <w:p w14:paraId="37521D4A" w14:textId="77777777" w:rsidR="00E04C8A" w:rsidRDefault="008E1817">
      <w:pPr>
        <w:pStyle w:val="a3"/>
        <w:rPr>
          <w:rFonts w:eastAsia="Times New Roman"/>
          <w:lang w:val="sl-SI"/>
        </w:rPr>
      </w:pPr>
      <w:r>
        <w:rPr>
          <w:rFonts w:eastAsia="Times New Roman"/>
          <w:i/>
          <w:iCs/>
          <w:spacing w:val="-1"/>
          <w:u w:val="single" w:color="000000"/>
          <w:lang w:val="sl-SI"/>
        </w:rPr>
        <w:t>Bolečina na mestu injiciranja</w:t>
      </w:r>
    </w:p>
    <w:p w14:paraId="643A7347" w14:textId="77777777" w:rsidR="00E04C8A" w:rsidRDefault="00E04C8A">
      <w:pPr>
        <w:pStyle w:val="a3"/>
        <w:rPr>
          <w:sz w:val="18"/>
          <w:szCs w:val="18"/>
          <w:lang w:val="sl-SI"/>
        </w:rPr>
      </w:pPr>
    </w:p>
    <w:p w14:paraId="31654B01" w14:textId="77777777" w:rsidR="00E04C8A" w:rsidRDefault="008E1817">
      <w:pPr>
        <w:pStyle w:val="a3"/>
        <w:rPr>
          <w:lang w:val="sl-SI"/>
        </w:rPr>
      </w:pPr>
      <w:r>
        <w:rPr>
          <w:rFonts w:eastAsia="Times New Roman"/>
          <w:lang w:val="sl-SI"/>
        </w:rPr>
        <w:t>Pri združeni navzkrižni študiji RA VI in VII so takoj po odmerjanju opazili statistično pomembno razliko za bolečino na mestu injiciranja med adalimumabom 40 mg/0,8 ml in 40 mg/0,4 ml (povprečni VAS 3,7 cm v primerjavi z 1,2 cm, P &lt; 0,001). To predstavlja 84-odstotno zmanjšanje mediane bolečine na mestu injiciranja.</w:t>
      </w:r>
    </w:p>
    <w:p w14:paraId="1547F293" w14:textId="77777777" w:rsidR="00E04C8A" w:rsidRDefault="00E04C8A">
      <w:pPr>
        <w:pStyle w:val="a3"/>
        <w:rPr>
          <w:sz w:val="24"/>
          <w:szCs w:val="24"/>
          <w:lang w:val="sl-SI"/>
        </w:rPr>
      </w:pPr>
    </w:p>
    <w:p w14:paraId="0431B90A" w14:textId="77777777" w:rsidR="00E04C8A" w:rsidRDefault="008E1817">
      <w:pPr>
        <w:pStyle w:val="a3"/>
        <w:rPr>
          <w:rFonts w:eastAsia="Times New Roman"/>
          <w:i/>
          <w:spacing w:val="-1"/>
          <w:lang w:val="sl-SI"/>
        </w:rPr>
      </w:pPr>
      <w:r>
        <w:rPr>
          <w:rFonts w:eastAsia="Times New Roman"/>
          <w:i/>
          <w:iCs/>
          <w:spacing w:val="-1"/>
          <w:lang w:val="sl-SI"/>
        </w:rPr>
        <w:t>Aksialni spondiloartritis</w:t>
      </w:r>
    </w:p>
    <w:p w14:paraId="02945AA0" w14:textId="77777777" w:rsidR="00E04C8A" w:rsidRDefault="00E04C8A">
      <w:pPr>
        <w:pStyle w:val="a3"/>
        <w:rPr>
          <w:rFonts w:eastAsia="Times New Roman"/>
          <w:i/>
          <w:spacing w:val="-1"/>
          <w:lang w:val="sl-SI"/>
        </w:rPr>
      </w:pPr>
    </w:p>
    <w:p w14:paraId="10656320" w14:textId="77777777" w:rsidR="00E04C8A" w:rsidRDefault="008E1817">
      <w:pPr>
        <w:pStyle w:val="a3"/>
        <w:rPr>
          <w:rFonts w:eastAsia="Times New Roman"/>
          <w:i/>
          <w:spacing w:val="-1"/>
          <w:u w:val="single" w:color="000000"/>
          <w:lang w:val="sl-SI"/>
        </w:rPr>
      </w:pPr>
      <w:r>
        <w:rPr>
          <w:rFonts w:eastAsia="Times New Roman"/>
          <w:i/>
          <w:iCs/>
          <w:spacing w:val="-1"/>
          <w:u w:val="single" w:color="000000"/>
          <w:lang w:val="sl-SI"/>
        </w:rPr>
        <w:t>Ankilozirajoči spondilitis (AS)</w:t>
      </w:r>
    </w:p>
    <w:p w14:paraId="1C98828B" w14:textId="77777777" w:rsidR="00E04C8A" w:rsidRDefault="00E04C8A">
      <w:pPr>
        <w:pStyle w:val="a3"/>
        <w:rPr>
          <w:rFonts w:eastAsia="Times New Roman"/>
          <w:lang w:val="sl-SI"/>
        </w:rPr>
      </w:pPr>
    </w:p>
    <w:p w14:paraId="21D4D6A7" w14:textId="77777777" w:rsidR="00E04C8A" w:rsidRDefault="008E1817">
      <w:pPr>
        <w:pStyle w:val="a3"/>
        <w:rPr>
          <w:lang w:val="sl-SI"/>
        </w:rPr>
      </w:pPr>
      <w:r>
        <w:rPr>
          <w:rFonts w:eastAsia="Times New Roman"/>
          <w:lang w:val="sl-SI"/>
        </w:rPr>
        <w:t>Adalimumab 40 mg so vsak drugi teden ocenili v dveh randomiziranih 24-tedenskih dvojno slepih, s placebom kontroliranih študijah pri 393 bolnikih z aktivnim ankilozirajočim spondilitisom (povprečna izhodiščna ocena aktivnosti bolezni [indeks BASDAI (Bathov indeks bolezenske aktivnosti ankilozirajočega spondilitisa – Bath Ankylosing Spondylitis Disease Activity Index)] je bil v vseh skupinah 6,3), ki se niso ustrezno odzvali na konvencionalno terapijo. Devetinsedemdeset (20,1 %) bolnikov je sočasno dobivalo imunomodulacijska antirevmatična zdravila, 37 (9,4 %) bolnikov pa glukokortikoide. Slepljenemu obdobju je sledilo odprto obdobje, med katerim so bolniki dobivali 40 mg adalimumaba vsak drugi teden subkutano, do največ dodatnih 28 tednov. Preiskovanci (n = 215, 54,7 %), ki 12. ali 16. ali 20. teden niso dosegli ASAS 20, so začeli v predčasni odprti fazi dobivati 40 mg adalimumaba vsak drugi teden subkutano, v poznejših statističnih analizah dvojno slepe faza pa so bili obravnavani kot neodzivni bolniki.</w:t>
      </w:r>
    </w:p>
    <w:p w14:paraId="7D3B9B6E" w14:textId="77777777" w:rsidR="00E04C8A" w:rsidRDefault="00E04C8A">
      <w:pPr>
        <w:spacing w:before="13" w:line="240" w:lineRule="exact"/>
        <w:rPr>
          <w:sz w:val="24"/>
          <w:szCs w:val="24"/>
          <w:lang w:val="sl-SI"/>
        </w:rPr>
      </w:pPr>
    </w:p>
    <w:p w14:paraId="72C6D833" w14:textId="1A6B94EF" w:rsidR="00E04C8A" w:rsidRDefault="008E1817">
      <w:pPr>
        <w:pStyle w:val="a3"/>
        <w:rPr>
          <w:lang w:val="sl-SI"/>
        </w:rPr>
      </w:pPr>
      <w:r>
        <w:rPr>
          <w:rFonts w:eastAsia="Times New Roman"/>
          <w:lang w:val="sl-SI"/>
        </w:rPr>
        <w:t>Rezultati obsežnejše študije pri ankilozirajočem spondilitisu I pri 315 bolnikih so pri bolnikih, ki so dobivali adalimumab, pokazali statistično značilno izboljšanje znakov in simptomov ankilozirajočega spondilitisa v primerjavi s placebom. Značilen odziv so najprej opazili po 2 tednih in se je ohranil do 24. tedna (preglednica </w:t>
      </w:r>
      <w:r w:rsidR="00982DE1">
        <w:rPr>
          <w:rFonts w:eastAsia="Times New Roman"/>
          <w:lang w:val="sl-SI"/>
        </w:rPr>
        <w:t>12</w:t>
      </w:r>
      <w:r>
        <w:rPr>
          <w:rFonts w:eastAsia="Times New Roman"/>
          <w:lang w:val="sl-SI"/>
        </w:rPr>
        <w:t>).</w:t>
      </w:r>
    </w:p>
    <w:p w14:paraId="121CEBC6" w14:textId="77777777" w:rsidR="00E04C8A" w:rsidRDefault="00E04C8A">
      <w:pPr>
        <w:pStyle w:val="a3"/>
        <w:rPr>
          <w:lang w:val="sl-SI"/>
        </w:rPr>
      </w:pPr>
    </w:p>
    <w:p w14:paraId="7A8DD076" w14:textId="77777777" w:rsidR="00E04C8A" w:rsidRDefault="00E04C8A">
      <w:pPr>
        <w:pStyle w:val="a3"/>
        <w:jc w:val="center"/>
        <w:rPr>
          <w:b/>
          <w:lang w:val="sl-SI"/>
        </w:rPr>
      </w:pPr>
    </w:p>
    <w:p w14:paraId="2D832E49" w14:textId="2C3D62AD" w:rsidR="00E04C8A" w:rsidRDefault="008E1817">
      <w:pPr>
        <w:pStyle w:val="a3"/>
        <w:jc w:val="center"/>
        <w:rPr>
          <w:b/>
          <w:lang w:val="sl-SI"/>
        </w:rPr>
      </w:pPr>
      <w:r>
        <w:rPr>
          <w:rFonts w:eastAsia="Times New Roman"/>
          <w:b/>
          <w:bCs/>
          <w:lang w:val="sl-SI"/>
        </w:rPr>
        <w:lastRenderedPageBreak/>
        <w:t>Preglednica </w:t>
      </w:r>
      <w:r w:rsidR="00982DE1">
        <w:rPr>
          <w:rFonts w:eastAsia="Times New Roman"/>
          <w:b/>
          <w:bCs/>
          <w:lang w:val="sl-SI"/>
        </w:rPr>
        <w:t>12</w:t>
      </w:r>
    </w:p>
    <w:p w14:paraId="1C938442" w14:textId="77777777" w:rsidR="00E04C8A" w:rsidRDefault="008E1817">
      <w:pPr>
        <w:pStyle w:val="a3"/>
        <w:ind w:leftChars="550" w:left="1210" w:rightChars="550" w:right="1210"/>
        <w:jc w:val="center"/>
        <w:rPr>
          <w:b/>
          <w:lang w:val="sl-SI"/>
        </w:rPr>
      </w:pPr>
      <w:r>
        <w:rPr>
          <w:rFonts w:eastAsia="Times New Roman"/>
          <w:b/>
          <w:bCs/>
          <w:lang w:val="sl-SI"/>
        </w:rPr>
        <w:t>Odzivi učinkovitosti v študiji pri ankilozirajočem spondilitisu, kontrolirani s placebom – študija I Zmanjšanje znakov in simptomov</w:t>
      </w:r>
    </w:p>
    <w:p w14:paraId="6245945E" w14:textId="77777777" w:rsidR="00E04C8A" w:rsidRDefault="00E04C8A">
      <w:pPr>
        <w:pStyle w:val="a3"/>
        <w:jc w:val="center"/>
        <w:rPr>
          <w:b/>
          <w:lang w:val="sl-SI"/>
        </w:rPr>
      </w:pPr>
    </w:p>
    <w:tbl>
      <w:tblPr>
        <w:tblStyle w:val="ac"/>
        <w:tblW w:w="0" w:type="auto"/>
        <w:jc w:val="center"/>
        <w:tblLook w:val="04A0" w:firstRow="1" w:lastRow="0" w:firstColumn="1" w:lastColumn="0" w:noHBand="0" w:noVBand="1"/>
      </w:tblPr>
      <w:tblGrid>
        <w:gridCol w:w="2583"/>
        <w:gridCol w:w="2437"/>
        <w:gridCol w:w="2438"/>
      </w:tblGrid>
      <w:tr w:rsidR="00E04C8A" w14:paraId="5FDAF8C5" w14:textId="77777777" w:rsidTr="00721C46">
        <w:trPr>
          <w:trHeight w:val="497"/>
          <w:jc w:val="center"/>
        </w:trPr>
        <w:tc>
          <w:tcPr>
            <w:tcW w:w="2583" w:type="dxa"/>
          </w:tcPr>
          <w:p w14:paraId="2259C36D" w14:textId="77777777" w:rsidR="00E04C8A" w:rsidRDefault="008E1817">
            <w:pPr>
              <w:spacing w:before="11" w:line="240" w:lineRule="exact"/>
              <w:jc w:val="center"/>
              <w:rPr>
                <w:rFonts w:ascii="Times New Roman" w:hAnsi="Times New Roman" w:cs="Times New Roman"/>
                <w:b/>
                <w:lang w:val="sl-SI" w:eastAsia="ko-KR"/>
              </w:rPr>
            </w:pPr>
            <w:r>
              <w:rPr>
                <w:rFonts w:ascii="Times New Roman" w:eastAsia="Times New Roman" w:hAnsi="Times New Roman" w:cs="Times New Roman"/>
                <w:b/>
                <w:bCs/>
                <w:lang w:val="sl-SI" w:eastAsia="ko-KR"/>
              </w:rPr>
              <w:t>Odziv</w:t>
            </w:r>
          </w:p>
        </w:tc>
        <w:tc>
          <w:tcPr>
            <w:tcW w:w="2437" w:type="dxa"/>
          </w:tcPr>
          <w:p w14:paraId="68AAE7F0" w14:textId="49FF561F" w:rsidR="00E04C8A" w:rsidRDefault="008E1817">
            <w:pPr>
              <w:spacing w:before="11" w:line="240" w:lineRule="exact"/>
              <w:jc w:val="center"/>
              <w:rPr>
                <w:rFonts w:ascii="Times New Roman" w:hAnsi="Times New Roman" w:cs="Times New Roman"/>
                <w:b/>
                <w:lang w:val="sl-SI" w:eastAsia="ko-KR"/>
              </w:rPr>
            </w:pPr>
            <w:r>
              <w:rPr>
                <w:rFonts w:ascii="Times New Roman" w:eastAsia="Times New Roman" w:hAnsi="Times New Roman" w:cs="Times New Roman"/>
                <w:b/>
                <w:bCs/>
                <w:lang w:val="sl-SI" w:eastAsia="ko-KR"/>
              </w:rPr>
              <w:t>P</w:t>
            </w:r>
            <w:r w:rsidR="00306881">
              <w:rPr>
                <w:rFonts w:ascii="Times New Roman" w:eastAsia="Times New Roman" w:hAnsi="Times New Roman" w:cs="Times New Roman"/>
                <w:b/>
                <w:bCs/>
                <w:lang w:val="sl-SI" w:eastAsia="ko-KR"/>
              </w:rPr>
              <w:t>l</w:t>
            </w:r>
            <w:r>
              <w:rPr>
                <w:rFonts w:ascii="Times New Roman" w:eastAsia="Times New Roman" w:hAnsi="Times New Roman" w:cs="Times New Roman"/>
                <w:b/>
                <w:bCs/>
                <w:lang w:val="sl-SI" w:eastAsia="ko-KR"/>
              </w:rPr>
              <w:t>acebo</w:t>
            </w:r>
          </w:p>
          <w:p w14:paraId="7F90DCFE" w14:textId="77777777" w:rsidR="00E04C8A" w:rsidRDefault="008E1817">
            <w:pPr>
              <w:spacing w:before="11" w:line="240" w:lineRule="exact"/>
              <w:jc w:val="center"/>
              <w:rPr>
                <w:rFonts w:ascii="Times New Roman" w:hAnsi="Times New Roman" w:cs="Times New Roman"/>
                <w:b/>
                <w:lang w:val="sl-SI" w:eastAsia="ko-KR"/>
              </w:rPr>
            </w:pPr>
            <w:r>
              <w:rPr>
                <w:rFonts w:ascii="Times New Roman" w:eastAsia="Times New Roman" w:hAnsi="Times New Roman" w:cs="Times New Roman"/>
                <w:b/>
                <w:bCs/>
                <w:lang w:val="sl-SI" w:eastAsia="ko-KR"/>
              </w:rPr>
              <w:t>N = 107</w:t>
            </w:r>
          </w:p>
        </w:tc>
        <w:tc>
          <w:tcPr>
            <w:tcW w:w="2438" w:type="dxa"/>
          </w:tcPr>
          <w:p w14:paraId="737AF14F" w14:textId="77777777" w:rsidR="00E04C8A" w:rsidRDefault="008E1817">
            <w:pPr>
              <w:spacing w:before="11" w:line="240" w:lineRule="exact"/>
              <w:jc w:val="center"/>
              <w:rPr>
                <w:rFonts w:ascii="Times New Roman" w:hAnsi="Times New Roman" w:cs="Times New Roman"/>
                <w:b/>
                <w:lang w:val="sl-SI" w:eastAsia="ko-KR"/>
              </w:rPr>
            </w:pPr>
            <w:r>
              <w:rPr>
                <w:rFonts w:ascii="Times New Roman" w:eastAsia="Times New Roman" w:hAnsi="Times New Roman" w:cs="Times New Roman"/>
                <w:b/>
                <w:bCs/>
                <w:lang w:val="sl-SI" w:eastAsia="ko-KR"/>
              </w:rPr>
              <w:t>Adalimumab</w:t>
            </w:r>
          </w:p>
          <w:p w14:paraId="4E885969" w14:textId="77777777" w:rsidR="00E04C8A" w:rsidRDefault="008E1817">
            <w:pPr>
              <w:spacing w:before="11" w:line="240" w:lineRule="exact"/>
              <w:jc w:val="center"/>
              <w:rPr>
                <w:rFonts w:ascii="Times New Roman" w:hAnsi="Times New Roman" w:cs="Times New Roman"/>
                <w:b/>
                <w:lang w:val="sl-SI" w:eastAsia="ko-KR"/>
              </w:rPr>
            </w:pPr>
            <w:r>
              <w:rPr>
                <w:rFonts w:ascii="Times New Roman" w:eastAsia="Times New Roman" w:hAnsi="Times New Roman" w:cs="Times New Roman"/>
                <w:b/>
                <w:bCs/>
                <w:lang w:val="sl-SI" w:eastAsia="ko-KR"/>
              </w:rPr>
              <w:t>N = 208</w:t>
            </w:r>
          </w:p>
        </w:tc>
      </w:tr>
      <w:tr w:rsidR="00E04C8A" w14:paraId="37B73633" w14:textId="77777777" w:rsidTr="00721C46">
        <w:trPr>
          <w:trHeight w:val="248"/>
          <w:jc w:val="center"/>
        </w:trPr>
        <w:tc>
          <w:tcPr>
            <w:tcW w:w="2583" w:type="dxa"/>
          </w:tcPr>
          <w:p w14:paraId="6E867F6C" w14:textId="77777777" w:rsidR="00E04C8A" w:rsidRDefault="008E1817">
            <w:pPr>
              <w:spacing w:before="11" w:line="240" w:lineRule="exact"/>
              <w:rPr>
                <w:rFonts w:ascii="Times New Roman" w:hAnsi="Times New Roman" w:cs="Times New Roman"/>
                <w:lang w:val="sl-SI" w:eastAsia="ko-KR"/>
              </w:rPr>
            </w:pPr>
            <w:r>
              <w:rPr>
                <w:rFonts w:ascii="Times New Roman" w:eastAsia="Times New Roman" w:hAnsi="Times New Roman" w:cs="Times New Roman"/>
                <w:spacing w:val="-1"/>
                <w:lang w:val="sl-SI"/>
              </w:rPr>
              <w:t>ASAS</w:t>
            </w:r>
            <w:r>
              <w:rPr>
                <w:rFonts w:ascii="Times New Roman" w:eastAsia="Times New Roman" w:hAnsi="Times New Roman" w:cs="Times New Roman"/>
                <w:spacing w:val="-1"/>
                <w:vertAlign w:val="superscript"/>
                <w:lang w:val="sl-SI"/>
              </w:rPr>
              <w:t>a</w:t>
            </w:r>
            <w:r>
              <w:rPr>
                <w:rFonts w:ascii="Times New Roman" w:eastAsia="Times New Roman" w:hAnsi="Times New Roman" w:cs="Times New Roman"/>
                <w:spacing w:val="-1"/>
                <w:lang w:val="sl-SI"/>
              </w:rPr>
              <w:t xml:space="preserve"> 20</w:t>
            </w:r>
          </w:p>
        </w:tc>
        <w:tc>
          <w:tcPr>
            <w:tcW w:w="2437" w:type="dxa"/>
          </w:tcPr>
          <w:p w14:paraId="38D3349E" w14:textId="77777777" w:rsidR="00E04C8A" w:rsidRDefault="00E04C8A">
            <w:pPr>
              <w:spacing w:before="11" w:line="240" w:lineRule="exact"/>
              <w:rPr>
                <w:rFonts w:ascii="Times New Roman" w:hAnsi="Times New Roman" w:cs="Times New Roman"/>
                <w:lang w:val="sl-SI" w:eastAsia="ko-KR"/>
              </w:rPr>
            </w:pPr>
          </w:p>
        </w:tc>
        <w:tc>
          <w:tcPr>
            <w:tcW w:w="2438" w:type="dxa"/>
          </w:tcPr>
          <w:p w14:paraId="199657E9" w14:textId="77777777" w:rsidR="00E04C8A" w:rsidRDefault="00E04C8A">
            <w:pPr>
              <w:spacing w:before="11" w:line="240" w:lineRule="exact"/>
              <w:rPr>
                <w:rFonts w:ascii="Times New Roman" w:hAnsi="Times New Roman" w:cs="Times New Roman"/>
                <w:lang w:val="sl-SI" w:eastAsia="ko-KR"/>
              </w:rPr>
            </w:pPr>
          </w:p>
        </w:tc>
      </w:tr>
      <w:tr w:rsidR="00E04C8A" w14:paraId="6DC49A9D" w14:textId="77777777" w:rsidTr="00721C46">
        <w:trPr>
          <w:trHeight w:val="248"/>
          <w:jc w:val="center"/>
        </w:trPr>
        <w:tc>
          <w:tcPr>
            <w:tcW w:w="2583" w:type="dxa"/>
          </w:tcPr>
          <w:p w14:paraId="0AA710FB" w14:textId="77777777" w:rsidR="00E04C8A" w:rsidRDefault="008E1817">
            <w:pPr>
              <w:spacing w:before="11" w:line="240" w:lineRule="exact"/>
              <w:jc w:val="center"/>
              <w:rPr>
                <w:rFonts w:ascii="Times New Roman" w:hAnsi="Times New Roman" w:cs="Times New Roman"/>
                <w:lang w:val="sl-SI"/>
              </w:rPr>
            </w:pPr>
            <w:r>
              <w:rPr>
                <w:rFonts w:ascii="Times New Roman" w:eastAsia="Times New Roman" w:hAnsi="Times New Roman" w:cs="Times New Roman"/>
                <w:lang w:val="sl-SI"/>
              </w:rPr>
              <w:t>2. teden</w:t>
            </w:r>
          </w:p>
        </w:tc>
        <w:tc>
          <w:tcPr>
            <w:tcW w:w="2437" w:type="dxa"/>
          </w:tcPr>
          <w:p w14:paraId="4643277A" w14:textId="77777777" w:rsidR="00E04C8A" w:rsidRDefault="008E1817">
            <w:pPr>
              <w:spacing w:before="11" w:line="240" w:lineRule="exact"/>
              <w:jc w:val="center"/>
              <w:rPr>
                <w:rFonts w:ascii="Times New Roman" w:hAnsi="Times New Roman" w:cs="Times New Roman"/>
                <w:lang w:val="sl-SI"/>
              </w:rPr>
            </w:pPr>
            <w:r>
              <w:rPr>
                <w:rFonts w:ascii="Times New Roman" w:eastAsia="Times New Roman" w:hAnsi="Times New Roman" w:cs="Times New Roman"/>
                <w:lang w:val="sl-SI"/>
              </w:rPr>
              <w:t>16 %</w:t>
            </w:r>
          </w:p>
        </w:tc>
        <w:tc>
          <w:tcPr>
            <w:tcW w:w="2438" w:type="dxa"/>
          </w:tcPr>
          <w:p w14:paraId="194E594D" w14:textId="77777777" w:rsidR="00E04C8A" w:rsidRDefault="008E1817">
            <w:pPr>
              <w:spacing w:before="11" w:line="240" w:lineRule="exact"/>
              <w:jc w:val="center"/>
              <w:rPr>
                <w:rFonts w:ascii="Times New Roman" w:hAnsi="Times New Roman" w:cs="Times New Roman"/>
                <w:lang w:val="sl-SI"/>
              </w:rPr>
            </w:pPr>
            <w:r>
              <w:rPr>
                <w:rFonts w:ascii="Times New Roman" w:eastAsia="Times New Roman" w:hAnsi="Times New Roman" w:cs="Times New Roman"/>
                <w:lang w:val="sl-SI"/>
              </w:rPr>
              <w:t>42 %***</w:t>
            </w:r>
          </w:p>
        </w:tc>
      </w:tr>
      <w:tr w:rsidR="00E04C8A" w14:paraId="655E40B2" w14:textId="77777777" w:rsidTr="00721C46">
        <w:trPr>
          <w:trHeight w:val="258"/>
          <w:jc w:val="center"/>
        </w:trPr>
        <w:tc>
          <w:tcPr>
            <w:tcW w:w="2583" w:type="dxa"/>
          </w:tcPr>
          <w:p w14:paraId="2A6C695B" w14:textId="77777777" w:rsidR="00E04C8A" w:rsidRDefault="008E1817">
            <w:pPr>
              <w:spacing w:before="11" w:line="240" w:lineRule="exact"/>
              <w:jc w:val="center"/>
              <w:rPr>
                <w:rFonts w:ascii="Times New Roman" w:hAnsi="Times New Roman" w:cs="Times New Roman"/>
                <w:lang w:val="sl-SI"/>
              </w:rPr>
            </w:pPr>
            <w:r>
              <w:rPr>
                <w:rFonts w:ascii="Times New Roman" w:eastAsia="Times New Roman" w:hAnsi="Times New Roman" w:cs="Times New Roman"/>
                <w:lang w:val="sl-SI"/>
              </w:rPr>
              <w:t>12. teden</w:t>
            </w:r>
          </w:p>
        </w:tc>
        <w:tc>
          <w:tcPr>
            <w:tcW w:w="2437" w:type="dxa"/>
          </w:tcPr>
          <w:p w14:paraId="1C128654" w14:textId="77777777" w:rsidR="00E04C8A" w:rsidRDefault="008E1817">
            <w:pPr>
              <w:spacing w:before="11" w:line="240" w:lineRule="exact"/>
              <w:jc w:val="center"/>
              <w:rPr>
                <w:rFonts w:ascii="Times New Roman" w:hAnsi="Times New Roman" w:cs="Times New Roman"/>
                <w:lang w:val="sl-SI"/>
              </w:rPr>
            </w:pPr>
            <w:r>
              <w:rPr>
                <w:rFonts w:ascii="Times New Roman" w:eastAsia="Times New Roman" w:hAnsi="Times New Roman" w:cs="Times New Roman"/>
                <w:lang w:val="sl-SI"/>
              </w:rPr>
              <w:t>21 %</w:t>
            </w:r>
          </w:p>
        </w:tc>
        <w:tc>
          <w:tcPr>
            <w:tcW w:w="2438" w:type="dxa"/>
          </w:tcPr>
          <w:p w14:paraId="0DB7F5D2" w14:textId="77777777" w:rsidR="00E04C8A" w:rsidRDefault="008E1817">
            <w:pPr>
              <w:spacing w:before="11" w:line="240" w:lineRule="exact"/>
              <w:jc w:val="center"/>
              <w:rPr>
                <w:rFonts w:ascii="Times New Roman" w:hAnsi="Times New Roman" w:cs="Times New Roman"/>
                <w:lang w:val="sl-SI"/>
              </w:rPr>
            </w:pPr>
            <w:r>
              <w:rPr>
                <w:rFonts w:ascii="Times New Roman" w:eastAsia="Times New Roman" w:hAnsi="Times New Roman" w:cs="Times New Roman"/>
                <w:lang w:val="sl-SI"/>
              </w:rPr>
              <w:t>58 %***</w:t>
            </w:r>
          </w:p>
        </w:tc>
      </w:tr>
      <w:tr w:rsidR="00E04C8A" w14:paraId="03DC5EBE" w14:textId="77777777" w:rsidTr="00721C46">
        <w:trPr>
          <w:trHeight w:val="248"/>
          <w:jc w:val="center"/>
        </w:trPr>
        <w:tc>
          <w:tcPr>
            <w:tcW w:w="2583" w:type="dxa"/>
          </w:tcPr>
          <w:p w14:paraId="6BE4CA79" w14:textId="77777777" w:rsidR="00E04C8A" w:rsidRDefault="008E1817">
            <w:pPr>
              <w:spacing w:before="11" w:line="240" w:lineRule="exact"/>
              <w:jc w:val="center"/>
              <w:rPr>
                <w:rFonts w:ascii="Times New Roman" w:hAnsi="Times New Roman" w:cs="Times New Roman"/>
                <w:lang w:val="sl-SI"/>
              </w:rPr>
            </w:pPr>
            <w:r>
              <w:rPr>
                <w:rFonts w:ascii="Times New Roman" w:eastAsia="Times New Roman" w:hAnsi="Times New Roman" w:cs="Times New Roman"/>
                <w:lang w:val="sl-SI"/>
              </w:rPr>
              <w:t>24. teden</w:t>
            </w:r>
          </w:p>
        </w:tc>
        <w:tc>
          <w:tcPr>
            <w:tcW w:w="2437" w:type="dxa"/>
          </w:tcPr>
          <w:p w14:paraId="43386DAE" w14:textId="77777777" w:rsidR="00E04C8A" w:rsidRDefault="008E1817">
            <w:pPr>
              <w:spacing w:before="11" w:line="240" w:lineRule="exact"/>
              <w:jc w:val="center"/>
              <w:rPr>
                <w:rFonts w:ascii="Times New Roman" w:hAnsi="Times New Roman" w:cs="Times New Roman"/>
                <w:lang w:val="sl-SI"/>
              </w:rPr>
            </w:pPr>
            <w:r>
              <w:rPr>
                <w:rFonts w:ascii="Times New Roman" w:eastAsia="Times New Roman" w:hAnsi="Times New Roman" w:cs="Times New Roman"/>
                <w:lang w:val="sl-SI"/>
              </w:rPr>
              <w:t>19 %</w:t>
            </w:r>
          </w:p>
        </w:tc>
        <w:tc>
          <w:tcPr>
            <w:tcW w:w="2438" w:type="dxa"/>
          </w:tcPr>
          <w:p w14:paraId="66D49170" w14:textId="77777777" w:rsidR="00E04C8A" w:rsidRDefault="008E1817">
            <w:pPr>
              <w:spacing w:before="11" w:line="240" w:lineRule="exact"/>
              <w:jc w:val="center"/>
              <w:rPr>
                <w:rFonts w:ascii="Times New Roman" w:hAnsi="Times New Roman" w:cs="Times New Roman"/>
                <w:lang w:val="sl-SI"/>
              </w:rPr>
            </w:pPr>
            <w:r>
              <w:rPr>
                <w:rFonts w:ascii="Times New Roman" w:eastAsia="Times New Roman" w:hAnsi="Times New Roman" w:cs="Times New Roman"/>
                <w:lang w:val="sl-SI"/>
              </w:rPr>
              <w:t>51 %***</w:t>
            </w:r>
          </w:p>
        </w:tc>
      </w:tr>
      <w:tr w:rsidR="00E04C8A" w14:paraId="091B54E6" w14:textId="77777777" w:rsidTr="00721C46">
        <w:trPr>
          <w:trHeight w:val="248"/>
          <w:jc w:val="center"/>
        </w:trPr>
        <w:tc>
          <w:tcPr>
            <w:tcW w:w="2583" w:type="dxa"/>
          </w:tcPr>
          <w:p w14:paraId="382B4576" w14:textId="77777777" w:rsidR="00E04C8A" w:rsidRDefault="008E1817">
            <w:pPr>
              <w:spacing w:before="11" w:line="240" w:lineRule="exact"/>
              <w:rPr>
                <w:rFonts w:ascii="Times New Roman" w:hAnsi="Times New Roman" w:cs="Times New Roman"/>
                <w:lang w:val="sl-SI"/>
              </w:rPr>
            </w:pPr>
            <w:r>
              <w:rPr>
                <w:rFonts w:ascii="Times New Roman" w:eastAsia="Times New Roman" w:hAnsi="Times New Roman" w:cs="Times New Roman"/>
                <w:spacing w:val="-1"/>
                <w:lang w:val="sl-SI"/>
              </w:rPr>
              <w:t>ASAS 50</w:t>
            </w:r>
          </w:p>
        </w:tc>
        <w:tc>
          <w:tcPr>
            <w:tcW w:w="2437" w:type="dxa"/>
          </w:tcPr>
          <w:p w14:paraId="6F14A0AC" w14:textId="77777777" w:rsidR="00E04C8A" w:rsidRDefault="00E04C8A">
            <w:pPr>
              <w:spacing w:before="11" w:line="240" w:lineRule="exact"/>
              <w:rPr>
                <w:rFonts w:ascii="Times New Roman" w:hAnsi="Times New Roman" w:cs="Times New Roman"/>
                <w:lang w:val="sl-SI"/>
              </w:rPr>
            </w:pPr>
          </w:p>
        </w:tc>
        <w:tc>
          <w:tcPr>
            <w:tcW w:w="2438" w:type="dxa"/>
          </w:tcPr>
          <w:p w14:paraId="0564DA67" w14:textId="77777777" w:rsidR="00E04C8A" w:rsidRDefault="00E04C8A">
            <w:pPr>
              <w:spacing w:before="11" w:line="240" w:lineRule="exact"/>
              <w:rPr>
                <w:rFonts w:ascii="Times New Roman" w:hAnsi="Times New Roman" w:cs="Times New Roman"/>
                <w:lang w:val="sl-SI"/>
              </w:rPr>
            </w:pPr>
          </w:p>
        </w:tc>
      </w:tr>
      <w:tr w:rsidR="00E04C8A" w14:paraId="15EFA09A" w14:textId="77777777" w:rsidTr="00721C46">
        <w:trPr>
          <w:trHeight w:val="248"/>
          <w:jc w:val="center"/>
        </w:trPr>
        <w:tc>
          <w:tcPr>
            <w:tcW w:w="2583" w:type="dxa"/>
          </w:tcPr>
          <w:p w14:paraId="7894A6DC" w14:textId="77777777" w:rsidR="00E04C8A" w:rsidRDefault="008E1817">
            <w:pPr>
              <w:spacing w:before="11" w:line="240" w:lineRule="exact"/>
              <w:jc w:val="center"/>
              <w:rPr>
                <w:rFonts w:ascii="Times New Roman" w:hAnsi="Times New Roman" w:cs="Times New Roman"/>
                <w:lang w:val="sl-SI"/>
              </w:rPr>
            </w:pPr>
            <w:r>
              <w:rPr>
                <w:rFonts w:ascii="Times New Roman" w:eastAsia="Times New Roman" w:hAnsi="Times New Roman" w:cs="Times New Roman"/>
                <w:lang w:val="sl-SI"/>
              </w:rPr>
              <w:t>2. teden</w:t>
            </w:r>
          </w:p>
        </w:tc>
        <w:tc>
          <w:tcPr>
            <w:tcW w:w="2437" w:type="dxa"/>
          </w:tcPr>
          <w:p w14:paraId="79D245AC" w14:textId="77777777" w:rsidR="00E04C8A" w:rsidRDefault="008E1817">
            <w:pPr>
              <w:spacing w:before="11" w:line="240" w:lineRule="exact"/>
              <w:jc w:val="center"/>
              <w:rPr>
                <w:rFonts w:ascii="Times New Roman" w:hAnsi="Times New Roman" w:cs="Times New Roman"/>
                <w:lang w:val="sl-SI"/>
              </w:rPr>
            </w:pPr>
            <w:r>
              <w:rPr>
                <w:rFonts w:ascii="Times New Roman" w:eastAsia="Times New Roman" w:hAnsi="Times New Roman" w:cs="Times New Roman"/>
                <w:lang w:val="sl-SI"/>
              </w:rPr>
              <w:t>3 %</w:t>
            </w:r>
          </w:p>
        </w:tc>
        <w:tc>
          <w:tcPr>
            <w:tcW w:w="2438" w:type="dxa"/>
          </w:tcPr>
          <w:p w14:paraId="12C7CC27" w14:textId="77777777" w:rsidR="00E04C8A" w:rsidRDefault="008E1817">
            <w:pPr>
              <w:spacing w:before="11" w:line="240" w:lineRule="exact"/>
              <w:jc w:val="center"/>
              <w:rPr>
                <w:rFonts w:ascii="Times New Roman" w:hAnsi="Times New Roman" w:cs="Times New Roman"/>
                <w:lang w:val="sl-SI"/>
              </w:rPr>
            </w:pPr>
            <w:r>
              <w:rPr>
                <w:rFonts w:ascii="Times New Roman" w:eastAsia="Times New Roman" w:hAnsi="Times New Roman" w:cs="Times New Roman"/>
                <w:lang w:val="sl-SI"/>
              </w:rPr>
              <w:t>16 %***</w:t>
            </w:r>
          </w:p>
        </w:tc>
      </w:tr>
      <w:tr w:rsidR="00E04C8A" w14:paraId="45807AB8" w14:textId="77777777" w:rsidTr="00721C46">
        <w:trPr>
          <w:trHeight w:val="248"/>
          <w:jc w:val="center"/>
        </w:trPr>
        <w:tc>
          <w:tcPr>
            <w:tcW w:w="2583" w:type="dxa"/>
          </w:tcPr>
          <w:p w14:paraId="24F102C6"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12. teden</w:t>
            </w:r>
          </w:p>
        </w:tc>
        <w:tc>
          <w:tcPr>
            <w:tcW w:w="2437" w:type="dxa"/>
          </w:tcPr>
          <w:p w14:paraId="4D041CB4"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10 %</w:t>
            </w:r>
          </w:p>
        </w:tc>
        <w:tc>
          <w:tcPr>
            <w:tcW w:w="2438" w:type="dxa"/>
          </w:tcPr>
          <w:p w14:paraId="31CDF6C4"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38 %***</w:t>
            </w:r>
          </w:p>
        </w:tc>
      </w:tr>
      <w:tr w:rsidR="00E04C8A" w14:paraId="4079EA25" w14:textId="77777777" w:rsidTr="00721C46">
        <w:trPr>
          <w:trHeight w:val="248"/>
          <w:jc w:val="center"/>
        </w:trPr>
        <w:tc>
          <w:tcPr>
            <w:tcW w:w="2583" w:type="dxa"/>
          </w:tcPr>
          <w:p w14:paraId="6CF0C38D"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24. teden</w:t>
            </w:r>
          </w:p>
        </w:tc>
        <w:tc>
          <w:tcPr>
            <w:tcW w:w="2437" w:type="dxa"/>
          </w:tcPr>
          <w:p w14:paraId="6B8AE8D6"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11 %</w:t>
            </w:r>
          </w:p>
        </w:tc>
        <w:tc>
          <w:tcPr>
            <w:tcW w:w="2438" w:type="dxa"/>
          </w:tcPr>
          <w:p w14:paraId="4B135A3E"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35 %***</w:t>
            </w:r>
          </w:p>
        </w:tc>
      </w:tr>
      <w:tr w:rsidR="00E04C8A" w14:paraId="5109D50A" w14:textId="77777777" w:rsidTr="00721C46">
        <w:trPr>
          <w:trHeight w:val="248"/>
          <w:jc w:val="center"/>
        </w:trPr>
        <w:tc>
          <w:tcPr>
            <w:tcW w:w="2583" w:type="dxa"/>
          </w:tcPr>
          <w:p w14:paraId="20185D51" w14:textId="77777777" w:rsidR="00E04C8A" w:rsidRDefault="008E1817">
            <w:pPr>
              <w:spacing w:before="11" w:line="240"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ASAS 70</w:t>
            </w:r>
          </w:p>
        </w:tc>
        <w:tc>
          <w:tcPr>
            <w:tcW w:w="2437" w:type="dxa"/>
          </w:tcPr>
          <w:p w14:paraId="61C0B807" w14:textId="77777777" w:rsidR="00E04C8A" w:rsidRDefault="00E04C8A">
            <w:pPr>
              <w:spacing w:before="11" w:line="240" w:lineRule="exact"/>
              <w:rPr>
                <w:rFonts w:ascii="Times New Roman" w:eastAsia="Times New Roman" w:hAnsi="Times New Roman" w:cs="Times New Roman"/>
                <w:lang w:val="sl-SI"/>
              </w:rPr>
            </w:pPr>
          </w:p>
        </w:tc>
        <w:tc>
          <w:tcPr>
            <w:tcW w:w="2438" w:type="dxa"/>
          </w:tcPr>
          <w:p w14:paraId="3960C8F3" w14:textId="77777777" w:rsidR="00E04C8A" w:rsidRDefault="00E04C8A">
            <w:pPr>
              <w:spacing w:before="11" w:line="240" w:lineRule="exact"/>
              <w:rPr>
                <w:rFonts w:ascii="Times New Roman" w:eastAsia="Times New Roman" w:hAnsi="Times New Roman" w:cs="Times New Roman"/>
                <w:lang w:val="sl-SI"/>
              </w:rPr>
            </w:pPr>
          </w:p>
        </w:tc>
      </w:tr>
      <w:tr w:rsidR="00E04C8A" w14:paraId="30AB1301" w14:textId="77777777" w:rsidTr="00721C46">
        <w:trPr>
          <w:trHeight w:val="248"/>
          <w:jc w:val="center"/>
        </w:trPr>
        <w:tc>
          <w:tcPr>
            <w:tcW w:w="2583" w:type="dxa"/>
          </w:tcPr>
          <w:p w14:paraId="013EB468" w14:textId="77777777" w:rsidR="00E04C8A" w:rsidRDefault="008E1817">
            <w:pPr>
              <w:spacing w:before="11" w:line="240" w:lineRule="exact"/>
              <w:jc w:val="center"/>
              <w:rPr>
                <w:rFonts w:ascii="Times New Roman" w:eastAsia="Times New Roman" w:hAnsi="Times New Roman" w:cs="Times New Roman"/>
                <w:spacing w:val="-1"/>
                <w:lang w:val="sl-SI"/>
              </w:rPr>
            </w:pPr>
            <w:r>
              <w:rPr>
                <w:rFonts w:ascii="Times New Roman" w:eastAsia="Times New Roman" w:hAnsi="Times New Roman" w:cs="Times New Roman"/>
                <w:lang w:val="sl-SI"/>
              </w:rPr>
              <w:t>2. teden</w:t>
            </w:r>
          </w:p>
        </w:tc>
        <w:tc>
          <w:tcPr>
            <w:tcW w:w="2437" w:type="dxa"/>
          </w:tcPr>
          <w:p w14:paraId="5D9BB01A"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0 %</w:t>
            </w:r>
          </w:p>
        </w:tc>
        <w:tc>
          <w:tcPr>
            <w:tcW w:w="2438" w:type="dxa"/>
          </w:tcPr>
          <w:p w14:paraId="38BFC9BC"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7 %**</w:t>
            </w:r>
          </w:p>
        </w:tc>
      </w:tr>
      <w:tr w:rsidR="00E04C8A" w14:paraId="234BD105" w14:textId="77777777" w:rsidTr="00721C46">
        <w:trPr>
          <w:trHeight w:val="248"/>
          <w:jc w:val="center"/>
        </w:trPr>
        <w:tc>
          <w:tcPr>
            <w:tcW w:w="2583" w:type="dxa"/>
          </w:tcPr>
          <w:p w14:paraId="2E04E1CF"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12. teden</w:t>
            </w:r>
          </w:p>
        </w:tc>
        <w:tc>
          <w:tcPr>
            <w:tcW w:w="2437" w:type="dxa"/>
          </w:tcPr>
          <w:p w14:paraId="0C5790E1"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5 %</w:t>
            </w:r>
          </w:p>
        </w:tc>
        <w:tc>
          <w:tcPr>
            <w:tcW w:w="2438" w:type="dxa"/>
          </w:tcPr>
          <w:p w14:paraId="165DB094"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23 %***</w:t>
            </w:r>
          </w:p>
        </w:tc>
      </w:tr>
      <w:tr w:rsidR="00E04C8A" w14:paraId="75478E35" w14:textId="77777777" w:rsidTr="00721C46">
        <w:trPr>
          <w:trHeight w:val="248"/>
          <w:jc w:val="center"/>
        </w:trPr>
        <w:tc>
          <w:tcPr>
            <w:tcW w:w="2583" w:type="dxa"/>
          </w:tcPr>
          <w:p w14:paraId="2E9E6996"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24. teden</w:t>
            </w:r>
          </w:p>
        </w:tc>
        <w:tc>
          <w:tcPr>
            <w:tcW w:w="2437" w:type="dxa"/>
          </w:tcPr>
          <w:p w14:paraId="0E455EE3"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8 %</w:t>
            </w:r>
          </w:p>
        </w:tc>
        <w:tc>
          <w:tcPr>
            <w:tcW w:w="2438" w:type="dxa"/>
          </w:tcPr>
          <w:p w14:paraId="1655D135"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24 %***</w:t>
            </w:r>
          </w:p>
        </w:tc>
      </w:tr>
      <w:tr w:rsidR="00E04C8A" w14:paraId="7F0364E9" w14:textId="77777777" w:rsidTr="00721C46">
        <w:trPr>
          <w:trHeight w:val="258"/>
          <w:jc w:val="center"/>
        </w:trPr>
        <w:tc>
          <w:tcPr>
            <w:tcW w:w="2583" w:type="dxa"/>
          </w:tcPr>
          <w:p w14:paraId="55276AAF" w14:textId="77777777" w:rsidR="00E04C8A" w:rsidRDefault="00E04C8A">
            <w:pPr>
              <w:spacing w:before="11" w:line="240" w:lineRule="exact"/>
              <w:rPr>
                <w:rFonts w:ascii="Times New Roman" w:eastAsia="Times New Roman" w:hAnsi="Times New Roman" w:cs="Times New Roman"/>
                <w:lang w:val="sl-SI"/>
              </w:rPr>
            </w:pPr>
          </w:p>
        </w:tc>
        <w:tc>
          <w:tcPr>
            <w:tcW w:w="2437" w:type="dxa"/>
          </w:tcPr>
          <w:p w14:paraId="643496E9" w14:textId="77777777" w:rsidR="00E04C8A" w:rsidRDefault="00E04C8A">
            <w:pPr>
              <w:spacing w:before="11" w:line="240" w:lineRule="exact"/>
              <w:rPr>
                <w:rFonts w:ascii="Times New Roman" w:eastAsia="Times New Roman" w:hAnsi="Times New Roman" w:cs="Times New Roman"/>
                <w:lang w:val="sl-SI"/>
              </w:rPr>
            </w:pPr>
          </w:p>
        </w:tc>
        <w:tc>
          <w:tcPr>
            <w:tcW w:w="2438" w:type="dxa"/>
          </w:tcPr>
          <w:p w14:paraId="508E5298" w14:textId="77777777" w:rsidR="00E04C8A" w:rsidRDefault="00E04C8A">
            <w:pPr>
              <w:spacing w:before="11" w:line="240" w:lineRule="exact"/>
              <w:rPr>
                <w:rFonts w:ascii="Times New Roman" w:eastAsia="Times New Roman" w:hAnsi="Times New Roman" w:cs="Times New Roman"/>
                <w:lang w:val="sl-SI"/>
              </w:rPr>
            </w:pPr>
          </w:p>
        </w:tc>
      </w:tr>
      <w:tr w:rsidR="00E04C8A" w14:paraId="640CC2D6" w14:textId="77777777" w:rsidTr="00721C46">
        <w:trPr>
          <w:trHeight w:val="248"/>
          <w:jc w:val="center"/>
        </w:trPr>
        <w:tc>
          <w:tcPr>
            <w:tcW w:w="2583" w:type="dxa"/>
          </w:tcPr>
          <w:p w14:paraId="40433ABA" w14:textId="77777777" w:rsidR="00E04C8A" w:rsidRDefault="008E1817">
            <w:pPr>
              <w:spacing w:before="11" w:line="240"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BASDAI</w:t>
            </w:r>
            <w:r>
              <w:rPr>
                <w:rFonts w:ascii="Times New Roman" w:eastAsia="Times New Roman" w:hAnsi="Times New Roman" w:cs="Times New Roman"/>
                <w:spacing w:val="-1"/>
                <w:vertAlign w:val="superscript"/>
                <w:lang w:val="sl-SI"/>
              </w:rPr>
              <w:t>b</w:t>
            </w:r>
            <w:r>
              <w:rPr>
                <w:rFonts w:ascii="Times New Roman" w:eastAsia="Times New Roman" w:hAnsi="Times New Roman" w:cs="Times New Roman"/>
                <w:spacing w:val="-1"/>
                <w:lang w:val="sl-SI"/>
              </w:rPr>
              <w:t xml:space="preserve"> 50</w:t>
            </w:r>
          </w:p>
        </w:tc>
        <w:tc>
          <w:tcPr>
            <w:tcW w:w="2437" w:type="dxa"/>
          </w:tcPr>
          <w:p w14:paraId="6E30C39D" w14:textId="77777777" w:rsidR="00E04C8A" w:rsidRDefault="00E04C8A">
            <w:pPr>
              <w:spacing w:before="11" w:line="240" w:lineRule="exact"/>
              <w:rPr>
                <w:rFonts w:ascii="Times New Roman" w:eastAsia="Times New Roman" w:hAnsi="Times New Roman" w:cs="Times New Roman"/>
                <w:lang w:val="sl-SI"/>
              </w:rPr>
            </w:pPr>
          </w:p>
        </w:tc>
        <w:tc>
          <w:tcPr>
            <w:tcW w:w="2438" w:type="dxa"/>
          </w:tcPr>
          <w:p w14:paraId="5FCD5A44" w14:textId="77777777" w:rsidR="00E04C8A" w:rsidRDefault="00E04C8A">
            <w:pPr>
              <w:spacing w:before="11" w:line="240" w:lineRule="exact"/>
              <w:rPr>
                <w:rFonts w:ascii="Times New Roman" w:eastAsia="Times New Roman" w:hAnsi="Times New Roman" w:cs="Times New Roman"/>
                <w:lang w:val="sl-SI"/>
              </w:rPr>
            </w:pPr>
          </w:p>
        </w:tc>
      </w:tr>
      <w:tr w:rsidR="00E04C8A" w14:paraId="7A3CD42C" w14:textId="77777777" w:rsidTr="00721C46">
        <w:trPr>
          <w:trHeight w:val="248"/>
          <w:jc w:val="center"/>
        </w:trPr>
        <w:tc>
          <w:tcPr>
            <w:tcW w:w="2583" w:type="dxa"/>
          </w:tcPr>
          <w:p w14:paraId="589B674E" w14:textId="77777777" w:rsidR="00E04C8A" w:rsidRDefault="008E1817">
            <w:pPr>
              <w:spacing w:before="11" w:line="240" w:lineRule="exact"/>
              <w:jc w:val="center"/>
              <w:rPr>
                <w:rFonts w:ascii="Times New Roman" w:eastAsia="Times New Roman" w:hAnsi="Times New Roman" w:cs="Times New Roman"/>
                <w:spacing w:val="-1"/>
                <w:lang w:val="sl-SI"/>
              </w:rPr>
            </w:pPr>
            <w:r>
              <w:rPr>
                <w:rFonts w:ascii="Times New Roman" w:eastAsia="Times New Roman" w:hAnsi="Times New Roman" w:cs="Times New Roman"/>
                <w:lang w:val="sl-SI"/>
              </w:rPr>
              <w:t>2. teden</w:t>
            </w:r>
          </w:p>
        </w:tc>
        <w:tc>
          <w:tcPr>
            <w:tcW w:w="2437" w:type="dxa"/>
          </w:tcPr>
          <w:p w14:paraId="5CD6F3D3"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4 %</w:t>
            </w:r>
          </w:p>
        </w:tc>
        <w:tc>
          <w:tcPr>
            <w:tcW w:w="2438" w:type="dxa"/>
          </w:tcPr>
          <w:p w14:paraId="3D54D359"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20 %***</w:t>
            </w:r>
          </w:p>
        </w:tc>
      </w:tr>
      <w:tr w:rsidR="00E04C8A" w14:paraId="557DDAA4" w14:textId="77777777" w:rsidTr="00721C46">
        <w:trPr>
          <w:trHeight w:val="248"/>
          <w:jc w:val="center"/>
        </w:trPr>
        <w:tc>
          <w:tcPr>
            <w:tcW w:w="2583" w:type="dxa"/>
          </w:tcPr>
          <w:p w14:paraId="0AA489D5"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12. teden</w:t>
            </w:r>
          </w:p>
        </w:tc>
        <w:tc>
          <w:tcPr>
            <w:tcW w:w="2437" w:type="dxa"/>
          </w:tcPr>
          <w:p w14:paraId="65486EF1"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16 %</w:t>
            </w:r>
          </w:p>
        </w:tc>
        <w:tc>
          <w:tcPr>
            <w:tcW w:w="2438" w:type="dxa"/>
          </w:tcPr>
          <w:p w14:paraId="26D50718"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45 %***</w:t>
            </w:r>
          </w:p>
        </w:tc>
      </w:tr>
      <w:tr w:rsidR="00E04C8A" w14:paraId="6DCCCF7D" w14:textId="77777777" w:rsidTr="00721C46">
        <w:trPr>
          <w:trHeight w:val="248"/>
          <w:jc w:val="center"/>
        </w:trPr>
        <w:tc>
          <w:tcPr>
            <w:tcW w:w="2583" w:type="dxa"/>
          </w:tcPr>
          <w:p w14:paraId="5839A4E3"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24. teden</w:t>
            </w:r>
          </w:p>
        </w:tc>
        <w:tc>
          <w:tcPr>
            <w:tcW w:w="2437" w:type="dxa"/>
          </w:tcPr>
          <w:p w14:paraId="3677741A"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15 %</w:t>
            </w:r>
          </w:p>
        </w:tc>
        <w:tc>
          <w:tcPr>
            <w:tcW w:w="2438" w:type="dxa"/>
          </w:tcPr>
          <w:p w14:paraId="1FADE8E8" w14:textId="77777777" w:rsidR="00E04C8A" w:rsidRDefault="008E1817">
            <w:pPr>
              <w:spacing w:before="11"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42 %***</w:t>
            </w:r>
          </w:p>
        </w:tc>
      </w:tr>
    </w:tbl>
    <w:p w14:paraId="6540EBFD" w14:textId="77777777" w:rsidR="00E04C8A" w:rsidRDefault="008E1817" w:rsidP="00721C46">
      <w:pPr>
        <w:pStyle w:val="a3"/>
        <w:ind w:leftChars="500" w:left="1100"/>
        <w:rPr>
          <w:lang w:val="sl-SI"/>
        </w:rPr>
      </w:pPr>
      <w:r>
        <w:rPr>
          <w:rFonts w:eastAsia="Times New Roman"/>
          <w:lang w:val="sl-SI"/>
        </w:rPr>
        <w:t>***,** Statistično značilno pri p &lt; 0,001, &lt; 0,01 za vse primerjave med adalimumabom in placebom po 2, 12 in 24 tednih</w:t>
      </w:r>
    </w:p>
    <w:p w14:paraId="06AA333D" w14:textId="77777777" w:rsidR="00E04C8A" w:rsidRDefault="008E1817" w:rsidP="00721C46">
      <w:pPr>
        <w:pStyle w:val="a3"/>
        <w:ind w:leftChars="500" w:left="1100"/>
        <w:rPr>
          <w:lang w:val="sl-SI"/>
        </w:rPr>
      </w:pPr>
      <w:r>
        <w:rPr>
          <w:rFonts w:eastAsia="Times New Roman"/>
          <w:position w:val="8"/>
          <w:vertAlign w:val="superscript"/>
          <w:lang w:val="sl-SI"/>
        </w:rPr>
        <w:t xml:space="preserve">a </w:t>
      </w:r>
      <w:r>
        <w:rPr>
          <w:rFonts w:eastAsia="Times New Roman"/>
          <w:position w:val="8"/>
          <w:lang w:val="sl-SI"/>
        </w:rPr>
        <w:t>Ocene pri ankilozirajočem spondilitisu (Assessments in Ankylosing Spondylitis)</w:t>
      </w:r>
    </w:p>
    <w:p w14:paraId="4A7C54F8" w14:textId="77777777" w:rsidR="00E04C8A" w:rsidRDefault="008E1817" w:rsidP="00721C46">
      <w:pPr>
        <w:pStyle w:val="a3"/>
        <w:ind w:leftChars="500" w:left="1100"/>
        <w:rPr>
          <w:lang w:val="sl-SI"/>
        </w:rPr>
      </w:pPr>
      <w:r>
        <w:rPr>
          <w:rFonts w:eastAsia="Times New Roman"/>
          <w:position w:val="8"/>
          <w:vertAlign w:val="superscript"/>
          <w:lang w:val="sl-SI"/>
        </w:rPr>
        <w:t>b</w:t>
      </w:r>
      <w:r>
        <w:rPr>
          <w:rFonts w:eastAsia="Times New Roman"/>
          <w:position w:val="8"/>
          <w:lang w:val="sl-SI"/>
        </w:rPr>
        <w:t xml:space="preserve"> Bathov indeks bolezenske aktivnosti ankilozirajočega spondilitisa (Bath Ankylosing Spondylitis Disease Activity Index)</w:t>
      </w:r>
    </w:p>
    <w:p w14:paraId="1ED49592" w14:textId="77777777" w:rsidR="00E04C8A" w:rsidRDefault="00E04C8A">
      <w:pPr>
        <w:spacing w:before="17" w:line="240" w:lineRule="exact"/>
        <w:rPr>
          <w:sz w:val="24"/>
          <w:szCs w:val="24"/>
          <w:lang w:val="sl-SI"/>
        </w:rPr>
      </w:pPr>
    </w:p>
    <w:p w14:paraId="5C7AD5F5" w14:textId="77777777" w:rsidR="00E04C8A" w:rsidRDefault="008E1817">
      <w:pPr>
        <w:pStyle w:val="a3"/>
        <w:rPr>
          <w:lang w:val="sl-SI"/>
        </w:rPr>
      </w:pPr>
      <w:r>
        <w:rPr>
          <w:rFonts w:eastAsia="Times New Roman"/>
          <w:lang w:val="sl-SI"/>
        </w:rPr>
        <w:t>Bolniki, ki so dobivali adalimumab, so imeli po 12 tednih značilno večje izboljšanje (ki se je ohranilo do 24. tedna) SF36 in ASQoL (Vprašalnik o kakovosti življenja pri ankilozirajočem spondilitisu – Ankylosing Spondylitis Quality of Life Questionnaire).</w:t>
      </w:r>
    </w:p>
    <w:p w14:paraId="6F6F02A0" w14:textId="77777777" w:rsidR="00E04C8A" w:rsidRDefault="00E04C8A">
      <w:pPr>
        <w:pStyle w:val="a3"/>
        <w:rPr>
          <w:sz w:val="24"/>
          <w:szCs w:val="24"/>
          <w:lang w:val="sl-SI"/>
        </w:rPr>
      </w:pPr>
    </w:p>
    <w:p w14:paraId="10C4A02D" w14:textId="77777777" w:rsidR="00E04C8A" w:rsidRDefault="008E1817">
      <w:pPr>
        <w:pStyle w:val="a3"/>
        <w:rPr>
          <w:lang w:val="sl-SI"/>
        </w:rPr>
      </w:pPr>
      <w:r>
        <w:rPr>
          <w:rFonts w:eastAsia="Times New Roman"/>
          <w:lang w:val="sl-SI"/>
        </w:rPr>
        <w:t>Podobni trendi (ki pa niso bili vsi statistično značilni) so bili opazni v manjši, randomizirani, dvojno slepi, s placebom kontrolirani študiji pri ankilozirajočem spondilitisu II pri 82 odraslih bolnikih z aktivnim ankilozirajočim spondilitisom.</w:t>
      </w:r>
    </w:p>
    <w:p w14:paraId="62418F20" w14:textId="77777777" w:rsidR="00E04C8A" w:rsidRDefault="00E04C8A">
      <w:pPr>
        <w:pStyle w:val="a3"/>
        <w:rPr>
          <w:rFonts w:eastAsia="Times New Roman"/>
          <w:i/>
          <w:spacing w:val="-1"/>
          <w:u w:val="single" w:color="000000"/>
          <w:lang w:val="sl-SI"/>
        </w:rPr>
      </w:pPr>
    </w:p>
    <w:p w14:paraId="081CA1FC" w14:textId="77777777" w:rsidR="00E04C8A" w:rsidRDefault="008E1817">
      <w:pPr>
        <w:pStyle w:val="a3"/>
        <w:rPr>
          <w:rFonts w:eastAsia="Times New Roman"/>
          <w:lang w:val="sl-SI"/>
        </w:rPr>
      </w:pPr>
      <w:r>
        <w:rPr>
          <w:rFonts w:eastAsia="Times New Roman"/>
          <w:i/>
          <w:iCs/>
          <w:spacing w:val="-1"/>
          <w:u w:val="single" w:color="000000"/>
          <w:lang w:val="sl-SI"/>
        </w:rPr>
        <w:t>Aksialni spondiloartritis brez radiografskega dokaza za AS</w:t>
      </w:r>
    </w:p>
    <w:p w14:paraId="4D7EEE7A" w14:textId="77777777" w:rsidR="00E04C8A" w:rsidRDefault="00E04C8A">
      <w:pPr>
        <w:pStyle w:val="a3"/>
        <w:rPr>
          <w:sz w:val="18"/>
          <w:szCs w:val="18"/>
          <w:lang w:val="sl-SI"/>
        </w:rPr>
      </w:pPr>
    </w:p>
    <w:p w14:paraId="198FA56D" w14:textId="6462845C" w:rsidR="00E04C8A" w:rsidRDefault="008E1817">
      <w:pPr>
        <w:pStyle w:val="a3"/>
        <w:rPr>
          <w:lang w:val="sl-SI"/>
        </w:rPr>
      </w:pPr>
      <w:r>
        <w:rPr>
          <w:rFonts w:eastAsia="Times New Roman"/>
          <w:lang w:val="sl-SI"/>
        </w:rPr>
        <w:t>Varnost in učinkovitost adalimumaba so ocenili v dveh randomiziranih dvojno slepih, s placebom kontroliranih študijah pri bolnikih z ne-radiografskim aksialnim spondiloartritisom (nr-axSpA). Študija nr-axSpA I je proučila bolnike z aktivnim nr-axSpA. Študija nr-axSpA II je bila študija prenehanja zdravljenja pri bolnikih z aktivnim nr-axSpA, ki so med zdravljenjem z adalimumabom v odprti fazi zdravljenja dosegli remisijo.</w:t>
      </w:r>
    </w:p>
    <w:p w14:paraId="36C9F7AD" w14:textId="77777777" w:rsidR="00E04C8A" w:rsidRDefault="00E04C8A">
      <w:pPr>
        <w:pStyle w:val="a3"/>
        <w:rPr>
          <w:sz w:val="24"/>
          <w:szCs w:val="24"/>
          <w:lang w:val="sl-SI"/>
        </w:rPr>
      </w:pPr>
    </w:p>
    <w:p w14:paraId="7D2F80B6" w14:textId="77777777" w:rsidR="00E04C8A" w:rsidRDefault="008E1817">
      <w:pPr>
        <w:pStyle w:val="a3"/>
        <w:rPr>
          <w:lang w:val="sl-SI"/>
        </w:rPr>
      </w:pPr>
      <w:r>
        <w:rPr>
          <w:rFonts w:eastAsia="Times New Roman"/>
          <w:spacing w:val="-1"/>
          <w:lang w:val="sl-SI"/>
        </w:rPr>
        <w:t>Študija nr-axSpA I</w:t>
      </w:r>
    </w:p>
    <w:p w14:paraId="2269B04B" w14:textId="77777777" w:rsidR="00E04C8A" w:rsidRDefault="00E04C8A">
      <w:pPr>
        <w:pStyle w:val="a3"/>
        <w:rPr>
          <w:sz w:val="24"/>
          <w:szCs w:val="24"/>
          <w:lang w:val="sl-SI"/>
        </w:rPr>
      </w:pPr>
    </w:p>
    <w:p w14:paraId="4B9CEF8F" w14:textId="77777777" w:rsidR="00E04C8A" w:rsidRDefault="008E1817">
      <w:pPr>
        <w:pStyle w:val="a3"/>
        <w:rPr>
          <w:lang w:val="sl-SI"/>
        </w:rPr>
      </w:pPr>
      <w:r>
        <w:rPr>
          <w:rFonts w:eastAsia="Times New Roman"/>
          <w:lang w:val="sl-SI"/>
        </w:rPr>
        <w:t>Uporabo adalimumaba 40 mg vsak drugi teden so proučili v randomizirani, 12 tednov trajajoči, dvojno slepi, s placebom kontrolirani študiji nr-axSpA I pri 185 bolnikih z aktivnim nr-axSpA (srednja vrednost aktivnosti bolezni [Bath Ankylosing Spondylitis Disease Activity Index (BASDAI)] je bila 6,4 pri bolnikih zdravljenih z adalimumabom in 6,5 pri bolnikih na placebu), ki so nezadostno reagirali na ali niso prenašali vsaj enega NSAID ali s kontraindikacijo NSAID.</w:t>
      </w:r>
    </w:p>
    <w:p w14:paraId="5E9F1145" w14:textId="77777777" w:rsidR="00E04C8A" w:rsidRDefault="00E04C8A">
      <w:pPr>
        <w:pStyle w:val="a3"/>
        <w:rPr>
          <w:sz w:val="24"/>
          <w:szCs w:val="24"/>
          <w:lang w:val="sl-SI"/>
        </w:rPr>
      </w:pPr>
    </w:p>
    <w:p w14:paraId="1766797B" w14:textId="6397C3D8" w:rsidR="00E04C8A" w:rsidRDefault="008E1817">
      <w:pPr>
        <w:pStyle w:val="a3"/>
        <w:rPr>
          <w:lang w:val="sl-SI"/>
        </w:rPr>
      </w:pPr>
      <w:r>
        <w:rPr>
          <w:rFonts w:eastAsia="Times New Roman"/>
          <w:lang w:val="sl-SI"/>
        </w:rPr>
        <w:lastRenderedPageBreak/>
        <w:t>33 (18 %) bolnikov je bilo na začetku sočasno zdravljenih z modifikatorji bolezni ali protirevmatskimi zdravili in 146 (79 %) bolnikov z nesteroidnimi antirevmatiki. Dvojno slepemu obdobju je sledilo odprto obdobje, v katerem so bolniki prejemali adalimumab 40 mg vsak drug teden subkutano do dodatnih 144 tednov. Rezultati po 12. tednu so pokazali statistično pomembno izboljšanje znakov in simptomov aktivnega nr-axSpA pri bolnikih, ki so bili zdravljeni z adalimumabom v primerjavi s placebom (preglednica </w:t>
      </w:r>
      <w:r w:rsidR="00982DE1">
        <w:rPr>
          <w:rFonts w:eastAsia="Times New Roman"/>
          <w:lang w:val="sl-SI"/>
        </w:rPr>
        <w:t>13</w:t>
      </w:r>
      <w:r>
        <w:rPr>
          <w:rFonts w:eastAsia="Times New Roman"/>
          <w:lang w:val="sl-SI"/>
        </w:rPr>
        <w:t>).</w:t>
      </w:r>
    </w:p>
    <w:p w14:paraId="514F2F5C" w14:textId="77777777" w:rsidR="00E04C8A" w:rsidRDefault="00E04C8A">
      <w:pPr>
        <w:pStyle w:val="a3"/>
        <w:rPr>
          <w:sz w:val="24"/>
          <w:szCs w:val="24"/>
          <w:lang w:val="sl-SI"/>
        </w:rPr>
      </w:pPr>
    </w:p>
    <w:p w14:paraId="65D8C7CB" w14:textId="5041147A" w:rsidR="00E04C8A" w:rsidRDefault="008E1817">
      <w:pPr>
        <w:pStyle w:val="a3"/>
        <w:jc w:val="center"/>
        <w:rPr>
          <w:b/>
          <w:lang w:val="sl-SI"/>
        </w:rPr>
      </w:pPr>
      <w:r>
        <w:rPr>
          <w:rFonts w:eastAsia="Times New Roman"/>
          <w:b/>
          <w:bCs/>
          <w:lang w:val="sl-SI"/>
        </w:rPr>
        <w:t>Preglednica </w:t>
      </w:r>
      <w:r w:rsidR="00982DE1">
        <w:rPr>
          <w:rFonts w:eastAsia="Times New Roman"/>
          <w:b/>
          <w:bCs/>
          <w:lang w:val="sl-SI"/>
        </w:rPr>
        <w:t>13</w:t>
      </w:r>
    </w:p>
    <w:p w14:paraId="48759BC0" w14:textId="77777777" w:rsidR="00E04C8A" w:rsidRDefault="008E1817">
      <w:pPr>
        <w:pStyle w:val="a3"/>
        <w:jc w:val="center"/>
        <w:rPr>
          <w:rFonts w:eastAsia="Times New Roman"/>
          <w:b/>
          <w:bCs/>
          <w:lang w:val="sl-SI"/>
        </w:rPr>
      </w:pPr>
      <w:r>
        <w:rPr>
          <w:rFonts w:eastAsia="Times New Roman"/>
          <w:b/>
          <w:bCs/>
          <w:lang w:val="sl-SI"/>
        </w:rPr>
        <w:t>Odziv učinkovitosti v s placebom kontrolirani študiji nr-axSpA I</w:t>
      </w:r>
    </w:p>
    <w:p w14:paraId="123A415D" w14:textId="77777777" w:rsidR="00721C46" w:rsidRDefault="00721C46">
      <w:pPr>
        <w:pStyle w:val="a3"/>
        <w:jc w:val="center"/>
        <w:rPr>
          <w:b/>
          <w:lang w:val="sl-SI"/>
        </w:rPr>
      </w:pPr>
    </w:p>
    <w:tbl>
      <w:tblPr>
        <w:tblStyle w:val="ac"/>
        <w:tblW w:w="0" w:type="auto"/>
        <w:tblLook w:val="04A0" w:firstRow="1" w:lastRow="0" w:firstColumn="1" w:lastColumn="0" w:noHBand="0" w:noVBand="1"/>
      </w:tblPr>
      <w:tblGrid>
        <w:gridCol w:w="4520"/>
        <w:gridCol w:w="1872"/>
        <w:gridCol w:w="3198"/>
      </w:tblGrid>
      <w:tr w:rsidR="00E04C8A" w14:paraId="52C3F5B0" w14:textId="77777777">
        <w:tc>
          <w:tcPr>
            <w:tcW w:w="4531" w:type="dxa"/>
            <w:vAlign w:val="center"/>
          </w:tcPr>
          <w:p w14:paraId="62E4E8E5" w14:textId="77777777" w:rsidR="00E04C8A" w:rsidRDefault="008E1817">
            <w:pPr>
              <w:spacing w:before="14" w:line="240" w:lineRule="exact"/>
              <w:jc w:val="center"/>
              <w:rPr>
                <w:rFonts w:ascii="Times New Roman" w:hAnsi="Times New Roman" w:cs="Times New Roman"/>
                <w:b/>
                <w:lang w:val="sl-SI" w:eastAsia="ko-KR"/>
              </w:rPr>
            </w:pPr>
            <w:r>
              <w:rPr>
                <w:rFonts w:ascii="Times New Roman" w:eastAsia="Times New Roman" w:hAnsi="Times New Roman" w:cs="Times New Roman"/>
                <w:b/>
                <w:bCs/>
                <w:lang w:val="sl-SI" w:eastAsia="ko-KR"/>
              </w:rPr>
              <w:t>Dvojno slepa</w:t>
            </w:r>
          </w:p>
          <w:p w14:paraId="02C7725C" w14:textId="77777777" w:rsidR="00E04C8A" w:rsidRDefault="008E1817">
            <w:pPr>
              <w:spacing w:before="14" w:line="240" w:lineRule="exact"/>
              <w:jc w:val="center"/>
              <w:rPr>
                <w:rFonts w:ascii="Times New Roman" w:hAnsi="Times New Roman" w:cs="Times New Roman"/>
                <w:b/>
                <w:lang w:val="sl-SI" w:eastAsia="ko-KR"/>
              </w:rPr>
            </w:pPr>
            <w:r>
              <w:rPr>
                <w:rFonts w:ascii="Times New Roman" w:eastAsia="Times New Roman" w:hAnsi="Times New Roman" w:cs="Times New Roman"/>
                <w:b/>
                <w:bCs/>
                <w:lang w:val="sl-SI" w:eastAsia="ko-KR"/>
              </w:rPr>
              <w:t>Odziv v 12. tednu</w:t>
            </w:r>
          </w:p>
        </w:tc>
        <w:tc>
          <w:tcPr>
            <w:tcW w:w="1875" w:type="dxa"/>
            <w:vAlign w:val="center"/>
          </w:tcPr>
          <w:p w14:paraId="387AECBE" w14:textId="77777777" w:rsidR="00E04C8A" w:rsidRDefault="008E1817">
            <w:pPr>
              <w:spacing w:before="14" w:line="240" w:lineRule="exact"/>
              <w:jc w:val="center"/>
              <w:rPr>
                <w:rFonts w:ascii="Times New Roman" w:hAnsi="Times New Roman" w:cs="Times New Roman"/>
                <w:b/>
                <w:lang w:val="sl-SI" w:eastAsia="ko-KR"/>
              </w:rPr>
            </w:pPr>
            <w:r>
              <w:rPr>
                <w:rFonts w:ascii="Times New Roman" w:eastAsia="Times New Roman" w:hAnsi="Times New Roman" w:cs="Times New Roman"/>
                <w:b/>
                <w:bCs/>
                <w:lang w:val="sl-SI" w:eastAsia="ko-KR"/>
              </w:rPr>
              <w:t>Placebo</w:t>
            </w:r>
          </w:p>
          <w:p w14:paraId="5ED90D24" w14:textId="77777777" w:rsidR="00E04C8A" w:rsidRDefault="008E1817">
            <w:pPr>
              <w:spacing w:before="14" w:line="240" w:lineRule="exact"/>
              <w:jc w:val="center"/>
              <w:rPr>
                <w:rFonts w:ascii="Times New Roman" w:hAnsi="Times New Roman" w:cs="Times New Roman"/>
                <w:b/>
                <w:lang w:val="sl-SI" w:eastAsia="ko-KR"/>
              </w:rPr>
            </w:pPr>
            <w:r>
              <w:rPr>
                <w:rFonts w:ascii="Times New Roman" w:eastAsia="Times New Roman" w:hAnsi="Times New Roman" w:cs="Times New Roman"/>
                <w:b/>
                <w:bCs/>
                <w:lang w:val="sl-SI" w:eastAsia="ko-KR"/>
              </w:rPr>
              <w:t>N = 94</w:t>
            </w:r>
          </w:p>
        </w:tc>
        <w:tc>
          <w:tcPr>
            <w:tcW w:w="3204" w:type="dxa"/>
            <w:vAlign w:val="center"/>
          </w:tcPr>
          <w:p w14:paraId="47D9FFEF" w14:textId="77777777" w:rsidR="00E04C8A" w:rsidRDefault="008E1817">
            <w:pPr>
              <w:spacing w:before="14" w:line="240" w:lineRule="exact"/>
              <w:jc w:val="center"/>
              <w:rPr>
                <w:rFonts w:ascii="Times New Roman" w:hAnsi="Times New Roman" w:cs="Times New Roman"/>
                <w:b/>
                <w:lang w:val="sl-SI" w:eastAsia="ko-KR"/>
              </w:rPr>
            </w:pPr>
            <w:r>
              <w:rPr>
                <w:rFonts w:ascii="Times New Roman" w:eastAsia="Times New Roman" w:hAnsi="Times New Roman" w:cs="Times New Roman"/>
                <w:b/>
                <w:bCs/>
                <w:lang w:val="sl-SI" w:eastAsia="ko-KR"/>
              </w:rPr>
              <w:t>Adalimumab</w:t>
            </w:r>
          </w:p>
          <w:p w14:paraId="113C5635" w14:textId="77777777" w:rsidR="00E04C8A" w:rsidRDefault="008E1817">
            <w:pPr>
              <w:spacing w:before="14" w:line="240" w:lineRule="exact"/>
              <w:jc w:val="center"/>
              <w:rPr>
                <w:rFonts w:ascii="Times New Roman" w:hAnsi="Times New Roman" w:cs="Times New Roman"/>
                <w:b/>
                <w:lang w:val="sl-SI" w:eastAsia="ko-KR"/>
              </w:rPr>
            </w:pPr>
            <w:r>
              <w:rPr>
                <w:rFonts w:ascii="Times New Roman" w:eastAsia="Times New Roman" w:hAnsi="Times New Roman" w:cs="Times New Roman"/>
                <w:b/>
                <w:bCs/>
                <w:lang w:val="sl-SI" w:eastAsia="ko-KR"/>
              </w:rPr>
              <w:t>N = 91</w:t>
            </w:r>
          </w:p>
        </w:tc>
      </w:tr>
      <w:tr w:rsidR="00E04C8A" w14:paraId="4C4E7EB9" w14:textId="77777777">
        <w:tc>
          <w:tcPr>
            <w:tcW w:w="4531" w:type="dxa"/>
          </w:tcPr>
          <w:p w14:paraId="42B530E3" w14:textId="77777777" w:rsidR="00E04C8A" w:rsidRDefault="008E1817">
            <w:pPr>
              <w:spacing w:before="14" w:line="240" w:lineRule="exact"/>
              <w:rPr>
                <w:rFonts w:ascii="Times New Roman" w:hAnsi="Times New Roman" w:cs="Times New Roman"/>
                <w:lang w:val="sl-SI"/>
              </w:rPr>
            </w:pPr>
            <w:r>
              <w:rPr>
                <w:rFonts w:ascii="Times New Roman" w:eastAsia="Times New Roman" w:hAnsi="Times New Roman" w:cs="Times New Roman"/>
                <w:spacing w:val="-1"/>
                <w:lang w:val="sl-SI"/>
              </w:rPr>
              <w:t>ASAS</w:t>
            </w:r>
            <w:r>
              <w:rPr>
                <w:rFonts w:ascii="Times New Roman" w:eastAsia="Times New Roman" w:hAnsi="Times New Roman" w:cs="Times New Roman"/>
                <w:spacing w:val="-1"/>
                <w:vertAlign w:val="superscript"/>
                <w:lang w:val="sl-SI"/>
              </w:rPr>
              <w:t>a</w:t>
            </w:r>
            <w:r>
              <w:rPr>
                <w:rFonts w:ascii="Times New Roman" w:eastAsia="Times New Roman" w:hAnsi="Times New Roman" w:cs="Times New Roman"/>
                <w:spacing w:val="-1"/>
                <w:lang w:val="sl-SI"/>
              </w:rPr>
              <w:t xml:space="preserve"> 40</w:t>
            </w:r>
          </w:p>
        </w:tc>
        <w:tc>
          <w:tcPr>
            <w:tcW w:w="1875" w:type="dxa"/>
            <w:vAlign w:val="center"/>
          </w:tcPr>
          <w:p w14:paraId="3C214709" w14:textId="77777777" w:rsidR="00E04C8A" w:rsidRDefault="008E1817">
            <w:pPr>
              <w:spacing w:before="14" w:line="240" w:lineRule="exact"/>
              <w:jc w:val="center"/>
              <w:rPr>
                <w:rFonts w:ascii="Times New Roman" w:hAnsi="Times New Roman" w:cs="Times New Roman"/>
                <w:lang w:val="sl-SI"/>
              </w:rPr>
            </w:pPr>
            <w:r>
              <w:rPr>
                <w:rFonts w:ascii="Times New Roman" w:eastAsia="Times New Roman" w:hAnsi="Times New Roman" w:cs="Times New Roman"/>
                <w:lang w:val="sl-SI"/>
              </w:rPr>
              <w:t>15 %</w:t>
            </w:r>
          </w:p>
        </w:tc>
        <w:tc>
          <w:tcPr>
            <w:tcW w:w="3204" w:type="dxa"/>
            <w:vAlign w:val="center"/>
          </w:tcPr>
          <w:p w14:paraId="63AF048D" w14:textId="77777777" w:rsidR="00E04C8A" w:rsidRDefault="008E1817">
            <w:pPr>
              <w:spacing w:before="14" w:line="240" w:lineRule="exact"/>
              <w:jc w:val="center"/>
              <w:rPr>
                <w:rFonts w:ascii="Times New Roman" w:hAnsi="Times New Roman" w:cs="Times New Roman"/>
                <w:lang w:val="sl-SI"/>
              </w:rPr>
            </w:pPr>
            <w:r>
              <w:rPr>
                <w:rFonts w:ascii="Times New Roman" w:eastAsia="Times New Roman" w:hAnsi="Times New Roman" w:cs="Times New Roman"/>
                <w:lang w:val="sl-SI"/>
              </w:rPr>
              <w:t>36 %***</w:t>
            </w:r>
          </w:p>
        </w:tc>
      </w:tr>
      <w:tr w:rsidR="00E04C8A" w14:paraId="4E61FE9F" w14:textId="77777777">
        <w:tc>
          <w:tcPr>
            <w:tcW w:w="4531" w:type="dxa"/>
          </w:tcPr>
          <w:p w14:paraId="7A604F74" w14:textId="77777777" w:rsidR="00E04C8A" w:rsidRDefault="008E1817">
            <w:pPr>
              <w:spacing w:before="14" w:line="240" w:lineRule="exact"/>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ASAS 20</w:t>
            </w:r>
          </w:p>
        </w:tc>
        <w:tc>
          <w:tcPr>
            <w:tcW w:w="1875" w:type="dxa"/>
            <w:vAlign w:val="center"/>
          </w:tcPr>
          <w:p w14:paraId="5BD50395" w14:textId="77777777" w:rsidR="00E04C8A" w:rsidRDefault="008E1817">
            <w:pPr>
              <w:spacing w:before="14"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31 %</w:t>
            </w:r>
          </w:p>
        </w:tc>
        <w:tc>
          <w:tcPr>
            <w:tcW w:w="3204" w:type="dxa"/>
            <w:vAlign w:val="center"/>
          </w:tcPr>
          <w:p w14:paraId="15F76172" w14:textId="77777777" w:rsidR="00E04C8A" w:rsidRDefault="008E1817">
            <w:pPr>
              <w:spacing w:before="14"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52 %**</w:t>
            </w:r>
          </w:p>
        </w:tc>
      </w:tr>
      <w:tr w:rsidR="00E04C8A" w14:paraId="1A483F0C" w14:textId="77777777">
        <w:tc>
          <w:tcPr>
            <w:tcW w:w="4531" w:type="dxa"/>
          </w:tcPr>
          <w:p w14:paraId="2071FA0C" w14:textId="77777777" w:rsidR="00E04C8A" w:rsidRDefault="008E1817">
            <w:pPr>
              <w:spacing w:before="14" w:line="240" w:lineRule="exact"/>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ASAS 5/6</w:t>
            </w:r>
          </w:p>
        </w:tc>
        <w:tc>
          <w:tcPr>
            <w:tcW w:w="1875" w:type="dxa"/>
            <w:vAlign w:val="center"/>
          </w:tcPr>
          <w:p w14:paraId="4F92617F" w14:textId="77777777" w:rsidR="00E04C8A" w:rsidRDefault="008E1817">
            <w:pPr>
              <w:spacing w:before="14"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6 %</w:t>
            </w:r>
          </w:p>
        </w:tc>
        <w:tc>
          <w:tcPr>
            <w:tcW w:w="3204" w:type="dxa"/>
            <w:vAlign w:val="center"/>
          </w:tcPr>
          <w:p w14:paraId="3DB31563" w14:textId="77777777" w:rsidR="00E04C8A" w:rsidRDefault="008E1817">
            <w:pPr>
              <w:spacing w:before="14"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31 %***</w:t>
            </w:r>
          </w:p>
        </w:tc>
      </w:tr>
      <w:tr w:rsidR="00E04C8A" w14:paraId="5BB9C66D" w14:textId="77777777">
        <w:tc>
          <w:tcPr>
            <w:tcW w:w="4531" w:type="dxa"/>
          </w:tcPr>
          <w:p w14:paraId="60A77F28" w14:textId="77777777" w:rsidR="00E04C8A" w:rsidRDefault="008E1817">
            <w:pPr>
              <w:spacing w:before="14" w:line="240" w:lineRule="exact"/>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ASAS delno izboljšanje</w:t>
            </w:r>
          </w:p>
        </w:tc>
        <w:tc>
          <w:tcPr>
            <w:tcW w:w="1875" w:type="dxa"/>
            <w:vAlign w:val="center"/>
          </w:tcPr>
          <w:p w14:paraId="14C60C88" w14:textId="77777777" w:rsidR="00E04C8A" w:rsidRDefault="008E1817">
            <w:pPr>
              <w:spacing w:before="14"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5 %</w:t>
            </w:r>
          </w:p>
        </w:tc>
        <w:tc>
          <w:tcPr>
            <w:tcW w:w="3204" w:type="dxa"/>
            <w:vAlign w:val="center"/>
          </w:tcPr>
          <w:p w14:paraId="0CDB7F92" w14:textId="77777777" w:rsidR="00E04C8A" w:rsidRDefault="008E1817">
            <w:pPr>
              <w:spacing w:before="14"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16 %*</w:t>
            </w:r>
          </w:p>
        </w:tc>
      </w:tr>
      <w:tr w:rsidR="00E04C8A" w14:paraId="7550B364" w14:textId="77777777">
        <w:tc>
          <w:tcPr>
            <w:tcW w:w="4531" w:type="dxa"/>
          </w:tcPr>
          <w:p w14:paraId="00FE1AE5" w14:textId="77777777" w:rsidR="00E04C8A" w:rsidRDefault="008E1817">
            <w:pPr>
              <w:spacing w:before="14" w:line="240" w:lineRule="exact"/>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BASDAI</w:t>
            </w:r>
            <w:r>
              <w:rPr>
                <w:rFonts w:ascii="Times New Roman" w:eastAsia="Times New Roman" w:hAnsi="Times New Roman" w:cs="Times New Roman"/>
                <w:spacing w:val="-1"/>
                <w:vertAlign w:val="superscript"/>
                <w:lang w:val="sl-SI"/>
              </w:rPr>
              <w:t>b</w:t>
            </w:r>
            <w:r>
              <w:rPr>
                <w:rFonts w:ascii="Times New Roman" w:eastAsia="Times New Roman" w:hAnsi="Times New Roman" w:cs="Times New Roman"/>
                <w:spacing w:val="-1"/>
                <w:lang w:val="sl-SI"/>
              </w:rPr>
              <w:t xml:space="preserve"> 50</w:t>
            </w:r>
          </w:p>
        </w:tc>
        <w:tc>
          <w:tcPr>
            <w:tcW w:w="1875" w:type="dxa"/>
            <w:vAlign w:val="center"/>
          </w:tcPr>
          <w:p w14:paraId="2F5A67C2" w14:textId="77777777" w:rsidR="00E04C8A" w:rsidRDefault="008E1817">
            <w:pPr>
              <w:spacing w:before="14" w:line="240"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15 %</w:t>
            </w:r>
          </w:p>
        </w:tc>
        <w:tc>
          <w:tcPr>
            <w:tcW w:w="3204" w:type="dxa"/>
            <w:vAlign w:val="center"/>
          </w:tcPr>
          <w:p w14:paraId="3A4B4988" w14:textId="77777777" w:rsidR="00E04C8A" w:rsidRDefault="008E1817">
            <w:pPr>
              <w:spacing w:before="14" w:line="240"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35 %**</w:t>
            </w:r>
          </w:p>
        </w:tc>
      </w:tr>
      <w:tr w:rsidR="00E04C8A" w14:paraId="41942B3F" w14:textId="77777777">
        <w:tc>
          <w:tcPr>
            <w:tcW w:w="4531" w:type="dxa"/>
          </w:tcPr>
          <w:p w14:paraId="33FF08B4" w14:textId="77777777" w:rsidR="00E04C8A" w:rsidRDefault="008E1817">
            <w:pPr>
              <w:spacing w:before="14" w:line="240" w:lineRule="exact"/>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ASDAS</w:t>
            </w:r>
            <w:r>
              <w:rPr>
                <w:rFonts w:ascii="Times New Roman" w:eastAsia="Times New Roman" w:hAnsi="Times New Roman" w:cs="Times New Roman"/>
                <w:spacing w:val="-1"/>
                <w:vertAlign w:val="superscript"/>
                <w:lang w:val="sl-SI"/>
              </w:rPr>
              <w:t>c, d, e</w:t>
            </w:r>
          </w:p>
        </w:tc>
        <w:tc>
          <w:tcPr>
            <w:tcW w:w="1875" w:type="dxa"/>
            <w:vAlign w:val="center"/>
          </w:tcPr>
          <w:p w14:paraId="59FDA127" w14:textId="6BBB7272" w:rsidR="00E04C8A" w:rsidRDefault="002062E3">
            <w:pPr>
              <w:spacing w:before="14" w:line="240" w:lineRule="exact"/>
              <w:jc w:val="center"/>
              <w:rPr>
                <w:rFonts w:ascii="Times New Roman" w:eastAsia="Times New Roman" w:hAnsi="Times New Roman" w:cs="Times New Roman"/>
                <w:lang w:val="sl-SI"/>
              </w:rPr>
            </w:pPr>
            <w:r>
              <w:rPr>
                <w:rFonts w:ascii="Times New Roman" w:eastAsia="Times New Roman" w:hAnsi="Times New Roman" w:cs="Times New Roman"/>
                <w:spacing w:val="-4"/>
                <w:lang w:val="sl-SI"/>
              </w:rPr>
              <w:t>-</w:t>
            </w:r>
            <w:r w:rsidR="008E1817">
              <w:rPr>
                <w:rFonts w:ascii="Times New Roman" w:eastAsia="Times New Roman" w:hAnsi="Times New Roman" w:cs="Times New Roman"/>
                <w:spacing w:val="-4"/>
                <w:lang w:val="sl-SI"/>
              </w:rPr>
              <w:t>0,3</w:t>
            </w:r>
          </w:p>
        </w:tc>
        <w:tc>
          <w:tcPr>
            <w:tcW w:w="3204" w:type="dxa"/>
            <w:vAlign w:val="center"/>
          </w:tcPr>
          <w:p w14:paraId="721C451C" w14:textId="11226F5C" w:rsidR="00E04C8A" w:rsidRDefault="002062E3">
            <w:pPr>
              <w:spacing w:before="14" w:line="240"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4"/>
                <w:lang w:val="sl-SI"/>
              </w:rPr>
              <w:t>-</w:t>
            </w:r>
            <w:r w:rsidR="008E1817">
              <w:rPr>
                <w:rFonts w:ascii="Times New Roman" w:eastAsia="Times New Roman" w:hAnsi="Times New Roman" w:cs="Times New Roman"/>
                <w:spacing w:val="-4"/>
                <w:lang w:val="sl-SI"/>
              </w:rPr>
              <w:t>1,0***</w:t>
            </w:r>
          </w:p>
        </w:tc>
      </w:tr>
      <w:tr w:rsidR="00E04C8A" w14:paraId="1A785B76" w14:textId="77777777">
        <w:tc>
          <w:tcPr>
            <w:tcW w:w="4531" w:type="dxa"/>
          </w:tcPr>
          <w:p w14:paraId="6C4BF543" w14:textId="77777777" w:rsidR="00E04C8A" w:rsidRDefault="008E1817">
            <w:pPr>
              <w:spacing w:before="14" w:line="240" w:lineRule="exact"/>
              <w:rPr>
                <w:rFonts w:ascii="Times New Roman" w:eastAsia="Times New Roman" w:hAnsi="Times New Roman" w:cs="Times New Roman"/>
                <w:spacing w:val="-1"/>
                <w:position w:val="-7"/>
                <w:lang w:val="sl-SI"/>
              </w:rPr>
            </w:pPr>
            <w:r>
              <w:rPr>
                <w:rFonts w:ascii="Times New Roman" w:eastAsia="Times New Roman" w:hAnsi="Times New Roman" w:cs="Times New Roman"/>
                <w:spacing w:val="-1"/>
                <w:lang w:val="sl-SI"/>
              </w:rPr>
              <w:t>ASDAS neaktivna bolezen</w:t>
            </w:r>
          </w:p>
        </w:tc>
        <w:tc>
          <w:tcPr>
            <w:tcW w:w="1875" w:type="dxa"/>
            <w:vAlign w:val="center"/>
          </w:tcPr>
          <w:p w14:paraId="390D0254" w14:textId="77777777" w:rsidR="00E04C8A" w:rsidRDefault="008E1817">
            <w:pPr>
              <w:spacing w:before="14" w:line="240" w:lineRule="exact"/>
              <w:jc w:val="center"/>
              <w:rPr>
                <w:rFonts w:ascii="Times New Roman" w:eastAsia="Times New Roman" w:hAnsi="Times New Roman" w:cs="Times New Roman"/>
                <w:spacing w:val="-4"/>
                <w:lang w:val="sl-SI"/>
              </w:rPr>
            </w:pPr>
            <w:r>
              <w:rPr>
                <w:rFonts w:ascii="Times New Roman" w:eastAsia="Times New Roman" w:hAnsi="Times New Roman" w:cs="Times New Roman"/>
                <w:lang w:val="sl-SI"/>
              </w:rPr>
              <w:t>4 %</w:t>
            </w:r>
          </w:p>
        </w:tc>
        <w:tc>
          <w:tcPr>
            <w:tcW w:w="3204" w:type="dxa"/>
            <w:vAlign w:val="center"/>
          </w:tcPr>
          <w:p w14:paraId="431F1513" w14:textId="77777777" w:rsidR="00E04C8A" w:rsidRDefault="008E1817">
            <w:pPr>
              <w:spacing w:before="14" w:line="240" w:lineRule="exact"/>
              <w:jc w:val="center"/>
              <w:rPr>
                <w:rFonts w:ascii="Times New Roman" w:eastAsia="Times New Roman" w:hAnsi="Times New Roman" w:cs="Times New Roman"/>
                <w:spacing w:val="-4"/>
                <w:lang w:val="sl-SI"/>
              </w:rPr>
            </w:pPr>
            <w:r>
              <w:rPr>
                <w:rFonts w:ascii="Times New Roman" w:eastAsia="Times New Roman" w:hAnsi="Times New Roman" w:cs="Times New Roman"/>
                <w:lang w:val="sl-SI"/>
              </w:rPr>
              <w:t>24 %***</w:t>
            </w:r>
          </w:p>
        </w:tc>
      </w:tr>
      <w:tr w:rsidR="00E04C8A" w14:paraId="77B8C5D2" w14:textId="77777777">
        <w:tc>
          <w:tcPr>
            <w:tcW w:w="4531" w:type="dxa"/>
          </w:tcPr>
          <w:p w14:paraId="16598461" w14:textId="77777777" w:rsidR="00E04C8A" w:rsidRDefault="008E1817">
            <w:pPr>
              <w:spacing w:before="14" w:line="240" w:lineRule="exact"/>
              <w:rPr>
                <w:rFonts w:ascii="Times New Roman" w:eastAsia="Times New Roman" w:hAnsi="Times New Roman" w:cs="Times New Roman"/>
                <w:spacing w:val="-1"/>
                <w:lang w:val="sl-SI"/>
              </w:rPr>
            </w:pPr>
            <w:r>
              <w:rPr>
                <w:rFonts w:ascii="Times New Roman" w:eastAsia="Times New Roman" w:hAnsi="Times New Roman" w:cs="Times New Roman"/>
                <w:lang w:val="sl-SI"/>
              </w:rPr>
              <w:t>hs-CRP</w:t>
            </w:r>
            <w:r>
              <w:rPr>
                <w:rFonts w:ascii="Times New Roman" w:eastAsia="Times New Roman" w:hAnsi="Times New Roman" w:cs="Times New Roman"/>
                <w:vertAlign w:val="superscript"/>
                <w:lang w:val="sl-SI"/>
              </w:rPr>
              <w:t>d, f, g</w:t>
            </w:r>
          </w:p>
        </w:tc>
        <w:tc>
          <w:tcPr>
            <w:tcW w:w="1875" w:type="dxa"/>
            <w:vAlign w:val="center"/>
          </w:tcPr>
          <w:p w14:paraId="03382DCC" w14:textId="7116DE48" w:rsidR="00E04C8A" w:rsidRDefault="002062E3">
            <w:pPr>
              <w:spacing w:before="14" w:line="240" w:lineRule="exact"/>
              <w:jc w:val="center"/>
              <w:rPr>
                <w:rFonts w:ascii="Times New Roman" w:eastAsia="Times New Roman" w:hAnsi="Times New Roman" w:cs="Times New Roman"/>
                <w:lang w:val="sl-SI"/>
              </w:rPr>
            </w:pPr>
            <w:r>
              <w:rPr>
                <w:rFonts w:ascii="Times New Roman" w:eastAsia="Times New Roman" w:hAnsi="Times New Roman" w:cs="Times New Roman"/>
                <w:spacing w:val="-4"/>
                <w:lang w:val="sl-SI"/>
              </w:rPr>
              <w:t>-</w:t>
            </w:r>
            <w:r w:rsidR="008E1817">
              <w:rPr>
                <w:rFonts w:ascii="Times New Roman" w:eastAsia="Times New Roman" w:hAnsi="Times New Roman" w:cs="Times New Roman"/>
                <w:spacing w:val="-4"/>
                <w:lang w:val="sl-SI"/>
              </w:rPr>
              <w:t>0,3</w:t>
            </w:r>
          </w:p>
        </w:tc>
        <w:tc>
          <w:tcPr>
            <w:tcW w:w="3204" w:type="dxa"/>
            <w:vAlign w:val="center"/>
          </w:tcPr>
          <w:p w14:paraId="1D419333" w14:textId="155A6366" w:rsidR="00E04C8A" w:rsidRDefault="002062E3">
            <w:pPr>
              <w:spacing w:before="14" w:line="240" w:lineRule="exact"/>
              <w:jc w:val="center"/>
              <w:rPr>
                <w:rFonts w:ascii="Times New Roman" w:eastAsia="Times New Roman" w:hAnsi="Times New Roman" w:cs="Times New Roman"/>
                <w:lang w:val="sl-SI"/>
              </w:rPr>
            </w:pPr>
            <w:r>
              <w:rPr>
                <w:rFonts w:ascii="Times New Roman" w:eastAsia="Times New Roman" w:hAnsi="Times New Roman" w:cs="Times New Roman"/>
                <w:spacing w:val="-4"/>
                <w:lang w:val="sl-SI"/>
              </w:rPr>
              <w:t>-</w:t>
            </w:r>
            <w:r w:rsidR="008E1817">
              <w:rPr>
                <w:rFonts w:ascii="Times New Roman" w:eastAsia="Times New Roman" w:hAnsi="Times New Roman" w:cs="Times New Roman"/>
                <w:spacing w:val="-4"/>
                <w:lang w:val="sl-SI"/>
              </w:rPr>
              <w:t>4,7***</w:t>
            </w:r>
          </w:p>
        </w:tc>
      </w:tr>
      <w:tr w:rsidR="00E04C8A" w14:paraId="7B52627D" w14:textId="77777777">
        <w:tc>
          <w:tcPr>
            <w:tcW w:w="4531" w:type="dxa"/>
          </w:tcPr>
          <w:p w14:paraId="068A0646" w14:textId="77777777" w:rsidR="00E04C8A" w:rsidRDefault="008E1817">
            <w:pPr>
              <w:spacing w:before="14" w:line="240"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SPARCC</w:t>
            </w:r>
            <w:r>
              <w:rPr>
                <w:rFonts w:ascii="Times New Roman" w:eastAsia="Times New Roman" w:hAnsi="Times New Roman" w:cs="Times New Roman"/>
                <w:spacing w:val="-1"/>
                <w:vertAlign w:val="superscript"/>
                <w:lang w:val="sl-SI"/>
              </w:rPr>
              <w:t>h</w:t>
            </w:r>
            <w:r>
              <w:rPr>
                <w:rFonts w:ascii="Times New Roman" w:eastAsia="Times New Roman" w:hAnsi="Times New Roman" w:cs="Times New Roman"/>
                <w:spacing w:val="-1"/>
                <w:lang w:val="sl-SI"/>
              </w:rPr>
              <w:t xml:space="preserve"> MRI sakroiliakalnih sklepov</w:t>
            </w:r>
            <w:r>
              <w:rPr>
                <w:rFonts w:ascii="Times New Roman" w:eastAsia="Times New Roman" w:hAnsi="Times New Roman" w:cs="Times New Roman"/>
                <w:spacing w:val="-1"/>
                <w:vertAlign w:val="superscript"/>
                <w:lang w:val="sl-SI"/>
              </w:rPr>
              <w:t>d, i</w:t>
            </w:r>
          </w:p>
        </w:tc>
        <w:tc>
          <w:tcPr>
            <w:tcW w:w="1875" w:type="dxa"/>
            <w:vAlign w:val="center"/>
          </w:tcPr>
          <w:p w14:paraId="781F5E01" w14:textId="47A4019E" w:rsidR="00E04C8A" w:rsidRDefault="002062E3">
            <w:pPr>
              <w:spacing w:before="14" w:line="240" w:lineRule="exact"/>
              <w:jc w:val="center"/>
              <w:rPr>
                <w:rFonts w:ascii="Times New Roman" w:eastAsia="Times New Roman" w:hAnsi="Times New Roman" w:cs="Times New Roman"/>
                <w:spacing w:val="-4"/>
                <w:lang w:val="sl-SI"/>
              </w:rPr>
            </w:pPr>
            <w:r>
              <w:rPr>
                <w:rFonts w:ascii="Times New Roman" w:eastAsia="Times New Roman" w:hAnsi="Times New Roman" w:cs="Times New Roman"/>
                <w:spacing w:val="-4"/>
                <w:lang w:val="sl-SI"/>
              </w:rPr>
              <w:t>-</w:t>
            </w:r>
            <w:r w:rsidR="008E1817">
              <w:rPr>
                <w:rFonts w:ascii="Times New Roman" w:eastAsia="Times New Roman" w:hAnsi="Times New Roman" w:cs="Times New Roman"/>
                <w:spacing w:val="-4"/>
                <w:lang w:val="sl-SI"/>
              </w:rPr>
              <w:t>0,6</w:t>
            </w:r>
          </w:p>
        </w:tc>
        <w:tc>
          <w:tcPr>
            <w:tcW w:w="3204" w:type="dxa"/>
            <w:vAlign w:val="center"/>
          </w:tcPr>
          <w:p w14:paraId="66663D81" w14:textId="77777777" w:rsidR="00E04C8A" w:rsidRDefault="008E1817">
            <w:pPr>
              <w:spacing w:before="14" w:line="240" w:lineRule="exact"/>
              <w:jc w:val="center"/>
              <w:rPr>
                <w:rFonts w:ascii="Times New Roman" w:eastAsia="Times New Roman" w:hAnsi="Times New Roman" w:cs="Times New Roman"/>
                <w:spacing w:val="-4"/>
                <w:lang w:val="sl-SI"/>
              </w:rPr>
            </w:pPr>
            <w:r>
              <w:rPr>
                <w:rFonts w:ascii="Times New Roman" w:eastAsia="Times New Roman" w:hAnsi="Times New Roman" w:cs="Times New Roman"/>
                <w:spacing w:val="-4"/>
                <w:lang w:val="sl-SI"/>
              </w:rPr>
              <w:t>–3,2**</w:t>
            </w:r>
          </w:p>
        </w:tc>
      </w:tr>
      <w:tr w:rsidR="00E04C8A" w14:paraId="375D4DB8" w14:textId="77777777">
        <w:tc>
          <w:tcPr>
            <w:tcW w:w="4531" w:type="dxa"/>
          </w:tcPr>
          <w:p w14:paraId="22995371" w14:textId="77777777" w:rsidR="00E04C8A" w:rsidRDefault="008E1817">
            <w:pPr>
              <w:spacing w:before="14" w:line="240" w:lineRule="exact"/>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SPARCC MRI hrbtenjače</w:t>
            </w:r>
            <w:r>
              <w:rPr>
                <w:rFonts w:ascii="Times New Roman" w:eastAsia="Times New Roman" w:hAnsi="Times New Roman" w:cs="Times New Roman"/>
                <w:spacing w:val="-1"/>
                <w:vertAlign w:val="superscript"/>
                <w:lang w:val="sl-SI"/>
              </w:rPr>
              <w:t>d, j</w:t>
            </w:r>
          </w:p>
        </w:tc>
        <w:tc>
          <w:tcPr>
            <w:tcW w:w="1875" w:type="dxa"/>
            <w:vAlign w:val="center"/>
          </w:tcPr>
          <w:p w14:paraId="6F22DD9B" w14:textId="79DEE1C3" w:rsidR="00E04C8A" w:rsidRDefault="002062E3">
            <w:pPr>
              <w:spacing w:before="14" w:line="240" w:lineRule="exact"/>
              <w:jc w:val="center"/>
              <w:rPr>
                <w:rFonts w:ascii="Times New Roman" w:eastAsia="Times New Roman" w:hAnsi="Times New Roman" w:cs="Times New Roman"/>
                <w:spacing w:val="-4"/>
                <w:lang w:val="sl-SI"/>
              </w:rPr>
            </w:pPr>
            <w:r>
              <w:rPr>
                <w:rFonts w:ascii="Times New Roman" w:eastAsia="Times New Roman" w:hAnsi="Times New Roman" w:cs="Times New Roman"/>
                <w:spacing w:val="-4"/>
                <w:lang w:val="sl-SI"/>
              </w:rPr>
              <w:t>-</w:t>
            </w:r>
            <w:r w:rsidR="008E1817">
              <w:rPr>
                <w:rFonts w:ascii="Times New Roman" w:eastAsia="Times New Roman" w:hAnsi="Times New Roman" w:cs="Times New Roman"/>
                <w:spacing w:val="-4"/>
                <w:lang w:val="sl-SI"/>
              </w:rPr>
              <w:t>0,2</w:t>
            </w:r>
          </w:p>
        </w:tc>
        <w:tc>
          <w:tcPr>
            <w:tcW w:w="3204" w:type="dxa"/>
            <w:vAlign w:val="center"/>
          </w:tcPr>
          <w:p w14:paraId="279C6F0F" w14:textId="7687EE19" w:rsidR="00E04C8A" w:rsidRDefault="002062E3">
            <w:pPr>
              <w:spacing w:before="14" w:line="240" w:lineRule="exact"/>
              <w:jc w:val="center"/>
              <w:rPr>
                <w:rFonts w:ascii="Times New Roman" w:eastAsia="Times New Roman" w:hAnsi="Times New Roman" w:cs="Times New Roman"/>
                <w:spacing w:val="-4"/>
                <w:lang w:val="sl-SI"/>
              </w:rPr>
            </w:pPr>
            <w:r>
              <w:rPr>
                <w:rFonts w:ascii="Times New Roman" w:eastAsia="Times New Roman" w:hAnsi="Times New Roman" w:cs="Times New Roman"/>
                <w:spacing w:val="-4"/>
                <w:lang w:val="sl-SI"/>
              </w:rPr>
              <w:t>-</w:t>
            </w:r>
            <w:r w:rsidR="008E1817">
              <w:rPr>
                <w:rFonts w:ascii="Times New Roman" w:eastAsia="Times New Roman" w:hAnsi="Times New Roman" w:cs="Times New Roman"/>
                <w:spacing w:val="-4"/>
                <w:lang w:val="sl-SI"/>
              </w:rPr>
              <w:t>1,8 %</w:t>
            </w:r>
            <w:r w:rsidR="006970CB" w:rsidRPr="00772BF6">
              <w:rPr>
                <w:rFonts w:ascii="Times New Roman" w:eastAsia="Times New Roman" w:hAnsi="Times New Roman" w:cs="Times New Roman"/>
              </w:rPr>
              <w:t>**</w:t>
            </w:r>
          </w:p>
        </w:tc>
      </w:tr>
    </w:tbl>
    <w:p w14:paraId="117B5953" w14:textId="05C6DAFB" w:rsidR="00E04C8A" w:rsidRDefault="008E1817">
      <w:pPr>
        <w:pStyle w:val="a3"/>
        <w:rPr>
          <w:lang w:val="sl-SI"/>
        </w:rPr>
      </w:pPr>
      <w:r>
        <w:rPr>
          <w:rFonts w:eastAsia="Times New Roman"/>
          <w:position w:val="8"/>
          <w:vertAlign w:val="superscript"/>
          <w:lang w:val="sl-SI"/>
        </w:rPr>
        <w:t>a</w:t>
      </w:r>
      <w:r>
        <w:rPr>
          <w:rFonts w:eastAsia="Times New Roman"/>
          <w:position w:val="8"/>
          <w:lang w:val="sl-SI"/>
        </w:rPr>
        <w:t xml:space="preserve"> ASAS = ocena v spondiloartritičnem mednarodnem združenju (Assessment </w:t>
      </w:r>
      <w:r w:rsidR="006970CB">
        <w:rPr>
          <w:rFonts w:eastAsia="Times New Roman"/>
          <w:position w:val="8"/>
          <w:lang w:val="sl-SI"/>
        </w:rPr>
        <w:t>of</w:t>
      </w:r>
      <w:r>
        <w:rPr>
          <w:rFonts w:eastAsia="Times New Roman"/>
          <w:position w:val="8"/>
          <w:lang w:val="sl-SI"/>
        </w:rPr>
        <w:t xml:space="preserve"> SpondyloArthritis international Society)</w:t>
      </w:r>
    </w:p>
    <w:p w14:paraId="441E7196" w14:textId="77777777" w:rsidR="00E04C8A" w:rsidRDefault="008E1817">
      <w:pPr>
        <w:pStyle w:val="a3"/>
        <w:rPr>
          <w:lang w:val="sl-SI"/>
        </w:rPr>
      </w:pPr>
      <w:r>
        <w:rPr>
          <w:rFonts w:eastAsia="Times New Roman"/>
          <w:position w:val="8"/>
          <w:vertAlign w:val="superscript"/>
          <w:lang w:val="sl-SI"/>
        </w:rPr>
        <w:t>b</w:t>
      </w:r>
      <w:r>
        <w:rPr>
          <w:rFonts w:eastAsia="Times New Roman"/>
          <w:position w:val="8"/>
          <w:lang w:val="sl-SI"/>
        </w:rPr>
        <w:t xml:space="preserve"> Bathov indeks bolezenske aktivnosti ankilozirajočega spondilitisa (Bath Ankylosing Spondylitis Disease Activity Index)</w:t>
      </w:r>
    </w:p>
    <w:p w14:paraId="5EF85651" w14:textId="77777777" w:rsidR="00E04C8A" w:rsidRDefault="008E1817">
      <w:pPr>
        <w:pStyle w:val="a3"/>
        <w:rPr>
          <w:lang w:val="sl-SI"/>
        </w:rPr>
      </w:pPr>
      <w:r>
        <w:rPr>
          <w:rFonts w:eastAsia="Times New Roman"/>
          <w:position w:val="8"/>
          <w:vertAlign w:val="superscript"/>
          <w:lang w:val="sl-SI"/>
        </w:rPr>
        <w:t>c</w:t>
      </w:r>
      <w:r>
        <w:rPr>
          <w:rFonts w:eastAsia="Times New Roman"/>
          <w:position w:val="8"/>
          <w:lang w:val="sl-SI"/>
        </w:rPr>
        <w:t xml:space="preserve"> ASDAS = ocena bolezenske aktivnosti ankilozirajočega spondilitisa (Ankylosing Spondylitis Disease Activity Score)</w:t>
      </w:r>
    </w:p>
    <w:p w14:paraId="78143E8F" w14:textId="77777777" w:rsidR="00E04C8A" w:rsidRDefault="008E1817">
      <w:pPr>
        <w:pStyle w:val="a3"/>
        <w:rPr>
          <w:lang w:val="sl-SI"/>
        </w:rPr>
      </w:pPr>
      <w:r>
        <w:rPr>
          <w:rFonts w:eastAsia="Times New Roman"/>
          <w:position w:val="8"/>
          <w:vertAlign w:val="superscript"/>
          <w:lang w:val="sl-SI"/>
        </w:rPr>
        <w:t>d</w:t>
      </w:r>
      <w:r>
        <w:rPr>
          <w:rFonts w:eastAsia="Times New Roman"/>
          <w:position w:val="8"/>
          <w:lang w:val="sl-SI"/>
        </w:rPr>
        <w:t xml:space="preserve"> povprečna sprememba od začetka zdravljenja</w:t>
      </w:r>
    </w:p>
    <w:p w14:paraId="3BB0EBAF" w14:textId="77777777" w:rsidR="00E04C8A" w:rsidRDefault="008E1817">
      <w:pPr>
        <w:pStyle w:val="a3"/>
        <w:rPr>
          <w:lang w:val="sl-SI"/>
        </w:rPr>
      </w:pPr>
      <w:r>
        <w:rPr>
          <w:rFonts w:eastAsia="Times New Roman"/>
          <w:position w:val="8"/>
          <w:vertAlign w:val="superscript"/>
          <w:lang w:val="sl-SI"/>
        </w:rPr>
        <w:t xml:space="preserve">e </w:t>
      </w:r>
      <w:r>
        <w:rPr>
          <w:rFonts w:eastAsia="Times New Roman"/>
          <w:position w:val="8"/>
          <w:lang w:val="sl-SI"/>
        </w:rPr>
        <w:t>n = 91 placebo in n = 87 adalimumab</w:t>
      </w:r>
    </w:p>
    <w:p w14:paraId="0D4E7C9B" w14:textId="77777777" w:rsidR="00E04C8A" w:rsidRDefault="008E1817">
      <w:pPr>
        <w:pStyle w:val="a3"/>
        <w:rPr>
          <w:lang w:val="sl-SI"/>
        </w:rPr>
      </w:pPr>
      <w:r>
        <w:rPr>
          <w:rFonts w:eastAsia="Times New Roman"/>
          <w:position w:val="8"/>
          <w:vertAlign w:val="superscript"/>
          <w:lang w:val="sl-SI"/>
        </w:rPr>
        <w:t>f</w:t>
      </w:r>
      <w:r>
        <w:rPr>
          <w:rFonts w:eastAsia="Times New Roman"/>
          <w:position w:val="8"/>
          <w:lang w:val="sl-SI"/>
        </w:rPr>
        <w:t xml:space="preserve"> hs-CRP = C-reaktivni protein z veliko občutljivostjo (high sensitivity C-Reactive Protein) (mg/l)</w:t>
      </w:r>
    </w:p>
    <w:p w14:paraId="170F0C98" w14:textId="38CB8FD9" w:rsidR="00E04C8A" w:rsidRDefault="006970CB">
      <w:pPr>
        <w:pStyle w:val="a3"/>
        <w:rPr>
          <w:lang w:val="sl-SI"/>
        </w:rPr>
      </w:pPr>
      <w:r>
        <w:rPr>
          <w:rFonts w:eastAsia="Times New Roman"/>
          <w:position w:val="8"/>
          <w:vertAlign w:val="superscript"/>
          <w:lang w:val="sl-SI"/>
        </w:rPr>
        <w:t>g</w:t>
      </w:r>
      <w:r w:rsidR="008E1817">
        <w:rPr>
          <w:rFonts w:eastAsia="Times New Roman"/>
          <w:position w:val="8"/>
          <w:lang w:val="sl-SI"/>
        </w:rPr>
        <w:t xml:space="preserve"> n = 73 placebo in n = 70 adalimumab</w:t>
      </w:r>
    </w:p>
    <w:p w14:paraId="3762E53B" w14:textId="77777777" w:rsidR="00E04C8A" w:rsidRDefault="008E1817">
      <w:pPr>
        <w:pStyle w:val="a3"/>
        <w:rPr>
          <w:lang w:val="sl-SI"/>
        </w:rPr>
      </w:pPr>
      <w:r>
        <w:rPr>
          <w:rFonts w:eastAsia="Times New Roman"/>
          <w:position w:val="8"/>
          <w:vertAlign w:val="superscript"/>
          <w:lang w:val="sl-SI"/>
        </w:rPr>
        <w:t>h</w:t>
      </w:r>
      <w:r>
        <w:rPr>
          <w:rFonts w:eastAsia="Times New Roman"/>
          <w:position w:val="8"/>
          <w:lang w:val="sl-SI"/>
        </w:rPr>
        <w:t xml:space="preserve"> SPARCC = Kanadski raziskovalni konzorcij za spondiloartritis (Spondyloarthritis Research Consortium of Canada)</w:t>
      </w:r>
    </w:p>
    <w:p w14:paraId="6800E33F" w14:textId="77777777" w:rsidR="00E04C8A" w:rsidRDefault="008E1817">
      <w:pPr>
        <w:pStyle w:val="a3"/>
        <w:rPr>
          <w:lang w:val="sl-SI"/>
        </w:rPr>
      </w:pPr>
      <w:r>
        <w:rPr>
          <w:rFonts w:eastAsia="Times New Roman"/>
          <w:position w:val="8"/>
          <w:vertAlign w:val="superscript"/>
          <w:lang w:val="sl-SI"/>
        </w:rPr>
        <w:t>i</w:t>
      </w:r>
      <w:r>
        <w:rPr>
          <w:rFonts w:eastAsia="Times New Roman"/>
          <w:position w:val="8"/>
          <w:lang w:val="sl-SI"/>
        </w:rPr>
        <w:t xml:space="preserve"> n = 84 placebo in adalimumab</w:t>
      </w:r>
    </w:p>
    <w:p w14:paraId="051AC76D" w14:textId="77777777" w:rsidR="00E04C8A" w:rsidRDefault="008E1817">
      <w:pPr>
        <w:pStyle w:val="a3"/>
        <w:rPr>
          <w:lang w:val="sl-SI"/>
        </w:rPr>
      </w:pPr>
      <w:r>
        <w:rPr>
          <w:rFonts w:eastAsia="Times New Roman"/>
          <w:position w:val="8"/>
          <w:vertAlign w:val="superscript"/>
          <w:lang w:val="sl-SI"/>
        </w:rPr>
        <w:t xml:space="preserve">j </w:t>
      </w:r>
      <w:r>
        <w:rPr>
          <w:rFonts w:eastAsia="Times New Roman"/>
          <w:position w:val="8"/>
          <w:lang w:val="sl-SI"/>
        </w:rPr>
        <w:t>n = 82 placebo in n = 85 adalimumab</w:t>
      </w:r>
    </w:p>
    <w:p w14:paraId="6F614469" w14:textId="77777777" w:rsidR="00E04C8A" w:rsidRDefault="008E1817">
      <w:pPr>
        <w:pStyle w:val="a3"/>
        <w:ind w:left="990" w:hangingChars="450" w:hanging="990"/>
        <w:rPr>
          <w:lang w:val="sl-SI"/>
        </w:rPr>
      </w:pPr>
      <w:r>
        <w:rPr>
          <w:rFonts w:eastAsia="Times New Roman"/>
          <w:lang w:val="sl-SI"/>
        </w:rPr>
        <w:t>***,**</w:t>
      </w:r>
      <w:r w:rsidR="006970CB">
        <w:t>, *</w:t>
      </w:r>
      <w:r>
        <w:rPr>
          <w:rFonts w:eastAsia="Times New Roman"/>
          <w:lang w:val="sl-SI"/>
        </w:rPr>
        <w:t xml:space="preserve"> Statistično pomembno pri p &lt; 0,001, &lt; 0,01 in&lt; 0,05, v tem zaporedju, za vse primerjave med adalimumabom in placebom.</w:t>
      </w:r>
    </w:p>
    <w:p w14:paraId="018A699C" w14:textId="77777777" w:rsidR="00E04C8A" w:rsidRDefault="00E04C8A">
      <w:pPr>
        <w:spacing w:before="14" w:line="240" w:lineRule="exact"/>
        <w:rPr>
          <w:sz w:val="24"/>
          <w:szCs w:val="24"/>
          <w:lang w:val="sl-SI"/>
        </w:rPr>
      </w:pPr>
    </w:p>
    <w:p w14:paraId="360223B8" w14:textId="77777777" w:rsidR="00E04C8A" w:rsidRDefault="008E1817">
      <w:pPr>
        <w:pStyle w:val="a3"/>
        <w:rPr>
          <w:lang w:val="sl-SI"/>
        </w:rPr>
      </w:pPr>
      <w:r>
        <w:rPr>
          <w:rFonts w:eastAsia="Times New Roman"/>
          <w:lang w:val="sl-SI"/>
        </w:rPr>
        <w:t>Pri podaljšanih odprtih študijah se je pri zdravljenju z adalimumabom izboljšanje znakov in simptomov ohranjalo do 156. tedna.</w:t>
      </w:r>
    </w:p>
    <w:p w14:paraId="0B211D78" w14:textId="77777777" w:rsidR="00E04C8A" w:rsidRDefault="00E04C8A">
      <w:pPr>
        <w:spacing w:before="11" w:line="240" w:lineRule="exact"/>
        <w:rPr>
          <w:sz w:val="24"/>
          <w:szCs w:val="24"/>
          <w:lang w:val="sl-SI"/>
        </w:rPr>
      </w:pPr>
    </w:p>
    <w:p w14:paraId="10743873" w14:textId="77777777" w:rsidR="00E04C8A" w:rsidRDefault="008E1817">
      <w:pPr>
        <w:pStyle w:val="a3"/>
        <w:rPr>
          <w:lang w:val="sl-SI"/>
        </w:rPr>
      </w:pPr>
      <w:r>
        <w:rPr>
          <w:rFonts w:eastAsia="Times New Roman"/>
          <w:lang w:val="sl-SI"/>
        </w:rPr>
        <w:t>Zaviranje vnetja</w:t>
      </w:r>
    </w:p>
    <w:p w14:paraId="55A63B90" w14:textId="77777777" w:rsidR="00E04C8A" w:rsidRDefault="00E04C8A">
      <w:pPr>
        <w:spacing w:before="13" w:line="240" w:lineRule="exact"/>
        <w:rPr>
          <w:sz w:val="24"/>
          <w:szCs w:val="24"/>
          <w:lang w:val="sl-SI"/>
        </w:rPr>
      </w:pPr>
    </w:p>
    <w:p w14:paraId="6547EE75" w14:textId="77777777" w:rsidR="00E04C8A" w:rsidRDefault="008E1817">
      <w:pPr>
        <w:pStyle w:val="a3"/>
        <w:rPr>
          <w:lang w:val="sl-SI"/>
        </w:rPr>
      </w:pPr>
      <w:r>
        <w:rPr>
          <w:rFonts w:eastAsia="Times New Roman"/>
          <w:lang w:val="sl-SI"/>
        </w:rPr>
        <w:t>Statistično izboljšanje znakov vnetja, merjenih s C-reaktivnim proteinom z veliko občutljivostjo (hs-CRP) in z magnetno resonanco (MRI) sakroiliakalnih sklepov in hrbtenice, se je ohranilo pri bolnikih, zdravljenih z adalimumabom, do 156. tedna oz. do 104. tedna, v tem zaporedju.</w:t>
      </w:r>
    </w:p>
    <w:p w14:paraId="1393F4F8" w14:textId="77777777" w:rsidR="00E04C8A" w:rsidRDefault="00E04C8A">
      <w:pPr>
        <w:spacing w:before="11" w:line="240" w:lineRule="exact"/>
        <w:rPr>
          <w:sz w:val="24"/>
          <w:szCs w:val="24"/>
          <w:lang w:val="sl-SI"/>
        </w:rPr>
      </w:pPr>
    </w:p>
    <w:p w14:paraId="2E29883D" w14:textId="77777777" w:rsidR="00E04C8A" w:rsidRDefault="008E1817">
      <w:pPr>
        <w:pStyle w:val="a3"/>
        <w:rPr>
          <w:lang w:val="sl-SI"/>
        </w:rPr>
      </w:pPr>
      <w:r>
        <w:rPr>
          <w:rFonts w:eastAsia="Times New Roman"/>
          <w:lang w:val="sl-SI"/>
        </w:rPr>
        <w:t>Kakovost življenja in telesna funkcija</w:t>
      </w:r>
    </w:p>
    <w:p w14:paraId="0A5C6434" w14:textId="77777777" w:rsidR="00E04C8A" w:rsidRDefault="00E04C8A">
      <w:pPr>
        <w:spacing w:before="1" w:line="180" w:lineRule="exact"/>
        <w:rPr>
          <w:sz w:val="18"/>
          <w:szCs w:val="18"/>
          <w:lang w:val="sl-SI"/>
        </w:rPr>
      </w:pPr>
    </w:p>
    <w:p w14:paraId="157CE2C7" w14:textId="77777777" w:rsidR="00E04C8A" w:rsidRDefault="008E1817">
      <w:pPr>
        <w:pStyle w:val="a3"/>
        <w:rPr>
          <w:lang w:val="sl-SI"/>
        </w:rPr>
      </w:pPr>
      <w:r>
        <w:rPr>
          <w:rFonts w:eastAsia="Times New Roman"/>
          <w:lang w:val="sl-SI"/>
        </w:rPr>
        <w:t xml:space="preserve">Z zdravjem povezano kakovost življenja in telesno funkcijo so ocenjevali s pomočjo vprašalnikov HAQ-S in SF-36. Adalimumab je pokazal statistično večje izboljšanje skupnega števila točk v vprašalniku HAQ-S in </w:t>
      </w:r>
      <w:r>
        <w:rPr>
          <w:rFonts w:eastAsia="Times New Roman"/>
          <w:lang w:val="sl-SI"/>
        </w:rPr>
        <w:lastRenderedPageBreak/>
        <w:t>točk v telesni komponenti (Physical Component Score (PCS)) v SF-36 vprašalniku od začetka do 12. tedna v primerjavi s placebom. Izboljšanje z zdravjem povezane kakovosti življenja in telesne funkcije se je pri podaljšanih odprtih študijah ohranjalo do 156. tedna.</w:t>
      </w:r>
    </w:p>
    <w:p w14:paraId="7314B57F" w14:textId="77777777" w:rsidR="00E04C8A" w:rsidRDefault="00E04C8A">
      <w:pPr>
        <w:spacing w:before="13" w:line="240" w:lineRule="exact"/>
        <w:rPr>
          <w:sz w:val="24"/>
          <w:szCs w:val="24"/>
          <w:lang w:val="sl-SI"/>
        </w:rPr>
      </w:pPr>
    </w:p>
    <w:p w14:paraId="7C83B4BB" w14:textId="77777777" w:rsidR="00E04C8A" w:rsidRDefault="008E1817">
      <w:pPr>
        <w:pStyle w:val="a3"/>
        <w:rPr>
          <w:lang w:val="sl-SI"/>
        </w:rPr>
      </w:pPr>
      <w:r>
        <w:rPr>
          <w:rFonts w:eastAsia="Times New Roman"/>
          <w:spacing w:val="-1"/>
          <w:lang w:val="sl-SI"/>
        </w:rPr>
        <w:t>Študija nr-axSpA II</w:t>
      </w:r>
    </w:p>
    <w:p w14:paraId="63B963D7" w14:textId="77777777" w:rsidR="00E04C8A" w:rsidRDefault="00E04C8A">
      <w:pPr>
        <w:spacing w:before="14" w:line="240" w:lineRule="exact"/>
        <w:rPr>
          <w:sz w:val="24"/>
          <w:szCs w:val="24"/>
          <w:lang w:val="sl-SI"/>
        </w:rPr>
      </w:pPr>
    </w:p>
    <w:p w14:paraId="5A381D53" w14:textId="77777777" w:rsidR="00E04C8A" w:rsidRDefault="008E1817">
      <w:pPr>
        <w:pStyle w:val="a3"/>
        <w:rPr>
          <w:lang w:val="sl-SI"/>
        </w:rPr>
      </w:pPr>
      <w:r>
        <w:rPr>
          <w:rFonts w:eastAsia="Times New Roman"/>
          <w:lang w:val="sl-SI"/>
        </w:rPr>
        <w:t>673 bolnikov z aktivnim nr-axSpA (srednja vrednost aktivnosti bolezni [BASDAI] je bila 7,0), ki so nezadostno reagirali na vsaj dva NSAID ali niso prenašali NSAID ali s kontraindikacijo za NSAID, je bilo vključenih v odprto fazo študije nr-axSpA II, v kateri so prejemali adalimumab 40 mg vsak drugi teden 28 tednov.</w:t>
      </w:r>
    </w:p>
    <w:p w14:paraId="35C9DA69" w14:textId="77777777" w:rsidR="00E04C8A" w:rsidRDefault="00E04C8A">
      <w:pPr>
        <w:pStyle w:val="a3"/>
        <w:rPr>
          <w:lang w:val="sl-SI"/>
        </w:rPr>
      </w:pPr>
    </w:p>
    <w:p w14:paraId="1BCCBF25" w14:textId="77777777" w:rsidR="00E04C8A" w:rsidRDefault="008E1817">
      <w:pPr>
        <w:pStyle w:val="a3"/>
        <w:rPr>
          <w:lang w:val="sl-SI"/>
        </w:rPr>
      </w:pPr>
      <w:r>
        <w:rPr>
          <w:rFonts w:eastAsia="Times New Roman"/>
          <w:lang w:val="sl-SI"/>
        </w:rPr>
        <w:t>Ti bolniki so imeli tudi objektivne znake vnetja sakroiliakalnih sklepov ali hrbtenice na MRI ali povišan hs-CRP. Bolniki, ki so v odprti fazi dosegli trajno remisijo za vsaj 12 tednov (N = 305) (ASDAS &lt; 1,3 v 16., 20., 24. in 28. tednu), so bili nato randomizirani tako, da so prejemali bodisi nadaljevalno zdravljenje z adalimumabom 40 mg vsak drugi teden (N = 152) ali placebo (N = 153) dodatnih 40 tednov v dvojno slepem, s placebom kontroliranem obdobju (celotno trajanje študije 68 tednov). Preiskovanci, pri katerih je v dvojno slepem obdobju prišlo do ponovnega zagona bolezni, so kot rešilno zdravljenje prejemali adalimumab 40 mg vsak drug teden vsaj 12 tednov.</w:t>
      </w:r>
    </w:p>
    <w:p w14:paraId="18CDAF7B" w14:textId="77777777" w:rsidR="00E04C8A" w:rsidRDefault="00E04C8A">
      <w:pPr>
        <w:spacing w:before="14" w:line="240" w:lineRule="exact"/>
        <w:rPr>
          <w:sz w:val="24"/>
          <w:szCs w:val="24"/>
          <w:lang w:val="sl-SI"/>
        </w:rPr>
      </w:pPr>
    </w:p>
    <w:p w14:paraId="568D575C" w14:textId="34DF117F" w:rsidR="00474DFB" w:rsidRDefault="008E1817" w:rsidP="00721C46">
      <w:pPr>
        <w:pStyle w:val="a3"/>
        <w:rPr>
          <w:lang w:val="sl-SI"/>
        </w:rPr>
      </w:pPr>
      <w:r>
        <w:rPr>
          <w:rFonts w:eastAsia="Times New Roman"/>
          <w:lang w:val="sl-SI"/>
        </w:rPr>
        <w:t>Primarni opazovani dogodek kot merilo učinkovitosti je bil delež bolnikov brez ponovnega zagona bolezni do 68. tedna študije. Ponovni zagon bolezni je bil opredeljen kot ASDAS ≥ 2,1 pri dveh zaporednih obiskih štiri tedne narazen. Pri večjem deležu bolnikov, ki so prejemali adalimumab, v dvojno slepem obdobju ni prišlo do ponovnega zagona bolezni v primerjavi s tistimi, ki so prejemali placebo (70,4 % v primerjavi s 47,1 %, p &lt; 0,001) (slika 1).</w:t>
      </w:r>
    </w:p>
    <w:p w14:paraId="5E710015" w14:textId="77777777" w:rsidR="00474DFB" w:rsidRDefault="00474DFB" w:rsidP="00721C46">
      <w:pPr>
        <w:pStyle w:val="a3"/>
        <w:rPr>
          <w:lang w:val="sl-SI"/>
        </w:rPr>
      </w:pPr>
    </w:p>
    <w:p w14:paraId="4656B1E4" w14:textId="77777777" w:rsidR="00E04C8A" w:rsidRPr="007F4583" w:rsidRDefault="008E1817" w:rsidP="00721C46">
      <w:pPr>
        <w:pStyle w:val="a3"/>
        <w:jc w:val="center"/>
        <w:rPr>
          <w:b/>
          <w:lang w:val="sl-SI"/>
        </w:rPr>
      </w:pPr>
      <w:r>
        <w:rPr>
          <w:rFonts w:eastAsia="Times New Roman"/>
          <w:b/>
          <w:bCs/>
          <w:lang w:val="sl-SI"/>
        </w:rPr>
        <w:t>Slika 1: Kaplan-Meierjeve krivulje povzemajo čas do ponovnega zagona bolezni v študiji nr-axSpA II</w:t>
      </w:r>
      <w:r w:rsidR="00181934" w:rsidRPr="00181934">
        <w:rPr>
          <w:rFonts w:eastAsia="Times New Roman"/>
          <w:b/>
          <w:bCs/>
          <w:noProof/>
          <w:lang w:eastAsia="ko-KR"/>
        </w:rPr>
        <w:drawing>
          <wp:inline distT="0" distB="0" distL="0" distR="0" wp14:anchorId="70A8EBEC" wp14:editId="1B6FB97E">
            <wp:extent cx="6032500" cy="3602355"/>
            <wp:effectExtent l="0" t="0" r="6350" b="0"/>
            <wp:docPr id="89"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pic:cNvPicPr>
                      <a:picLocks noChangeAspect="1"/>
                    </pic:cNvPicPr>
                  </pic:nvPicPr>
                  <pic:blipFill>
                    <a:blip r:embed="rId14"/>
                    <a:stretch>
                      <a:fillRect/>
                    </a:stretch>
                  </pic:blipFill>
                  <pic:spPr>
                    <a:xfrm>
                      <a:off x="0" y="0"/>
                      <a:ext cx="6032500" cy="3602355"/>
                    </a:xfrm>
                    <a:prstGeom prst="rect">
                      <a:avLst/>
                    </a:prstGeom>
                  </pic:spPr>
                </pic:pic>
              </a:graphicData>
            </a:graphic>
          </wp:inline>
        </w:drawing>
      </w:r>
    </w:p>
    <w:p w14:paraId="06F3526C" w14:textId="77777777" w:rsidR="00181934" w:rsidRDefault="00181934">
      <w:pPr>
        <w:pStyle w:val="a3"/>
        <w:rPr>
          <w:rFonts w:eastAsia="Times New Roman"/>
          <w:sz w:val="20"/>
          <w:szCs w:val="20"/>
          <w:lang w:val="sl-SI"/>
        </w:rPr>
      </w:pPr>
    </w:p>
    <w:p w14:paraId="3DD0D85F" w14:textId="77777777" w:rsidR="00E04C8A" w:rsidRDefault="008E1817">
      <w:pPr>
        <w:pStyle w:val="a3"/>
        <w:rPr>
          <w:lang w:val="sl-SI"/>
        </w:rPr>
      </w:pPr>
      <w:r>
        <w:rPr>
          <w:rFonts w:eastAsia="Times New Roman"/>
          <w:lang w:val="sl-SI"/>
        </w:rPr>
        <w:t>Opomba: P = placebo (število rizičnih preiskovancev (zagon bolezni)); A = adalimumab (število rizičnih preiskovancev (zagon bolezni)).</w:t>
      </w:r>
    </w:p>
    <w:p w14:paraId="10098FCE" w14:textId="77777777" w:rsidR="00E04C8A" w:rsidRDefault="00E04C8A">
      <w:pPr>
        <w:spacing w:before="17" w:line="240" w:lineRule="exact"/>
        <w:rPr>
          <w:sz w:val="24"/>
          <w:szCs w:val="24"/>
          <w:lang w:val="sl-SI"/>
        </w:rPr>
      </w:pPr>
    </w:p>
    <w:p w14:paraId="4B286327" w14:textId="3E7063FB" w:rsidR="00E04C8A" w:rsidRDefault="008E1817">
      <w:pPr>
        <w:pStyle w:val="a3"/>
        <w:rPr>
          <w:lang w:val="sl-SI"/>
        </w:rPr>
      </w:pPr>
      <w:r>
        <w:rPr>
          <w:rFonts w:eastAsia="Times New Roman"/>
          <w:spacing w:val="1"/>
          <w:lang w:val="sl-SI"/>
        </w:rPr>
        <w:t xml:space="preserve">Med 68 bolniki iz skupine namenjene prenehanju zdravljenja, pri katerih je prišlo do ponovnega zagona bolezni, jih je 65 zaključilo 12 tednov trajajoče rešilno zdravljenje z adalimumabom, od tega jih je 37 (56,9 </w:t>
      </w:r>
      <w:r>
        <w:rPr>
          <w:rFonts w:eastAsia="Times New Roman"/>
          <w:spacing w:val="1"/>
          <w:lang w:val="sl-SI"/>
        </w:rPr>
        <w:lastRenderedPageBreak/>
        <w:t xml:space="preserve">%) </w:t>
      </w:r>
      <w:r>
        <w:rPr>
          <w:rFonts w:eastAsia="Times New Roman"/>
          <w:lang w:val="sl-SI"/>
        </w:rPr>
        <w:t>po 12 tednih ponovne odprte faze zdravljenja ponovno doseglo remisijo (ASDAS &lt; 1,3).</w:t>
      </w:r>
    </w:p>
    <w:p w14:paraId="6770B285" w14:textId="77777777" w:rsidR="00E04C8A" w:rsidRDefault="00E04C8A">
      <w:pPr>
        <w:spacing w:before="11" w:line="240" w:lineRule="exact"/>
        <w:rPr>
          <w:sz w:val="24"/>
          <w:szCs w:val="24"/>
          <w:lang w:val="sl-SI"/>
        </w:rPr>
      </w:pPr>
    </w:p>
    <w:p w14:paraId="697D92F9" w14:textId="57C62373" w:rsidR="00E04C8A" w:rsidRDefault="008E1817">
      <w:pPr>
        <w:pStyle w:val="a3"/>
        <w:rPr>
          <w:lang w:val="sl-SI"/>
        </w:rPr>
      </w:pPr>
      <w:r>
        <w:rPr>
          <w:rFonts w:eastAsia="Times New Roman"/>
          <w:spacing w:val="-2"/>
          <w:lang w:val="sl-SI"/>
        </w:rPr>
        <w:t>Rezultati do 68. tedna so pokazali statistično značilno izboljšanje znakov in simptomov aktivnega nr-axSpA pri bolnikih, ki so neprekinjeno prejemali adalimumab v primerjavi z bolniki, ki so bili v skupini za prenehanje zdravljenja v dvojno slepem obdobju študije (preglednica </w:t>
      </w:r>
      <w:r w:rsidR="00982DE1">
        <w:rPr>
          <w:rFonts w:eastAsia="Times New Roman"/>
          <w:spacing w:val="-2"/>
          <w:lang w:val="sl-SI"/>
        </w:rPr>
        <w:t>14</w:t>
      </w:r>
      <w:r>
        <w:rPr>
          <w:rFonts w:eastAsia="Times New Roman"/>
          <w:spacing w:val="-2"/>
          <w:lang w:val="sl-SI"/>
        </w:rPr>
        <w:t>).</w:t>
      </w:r>
    </w:p>
    <w:p w14:paraId="117C4190" w14:textId="5E857544" w:rsidR="00E04C8A" w:rsidRDefault="00E04C8A">
      <w:pPr>
        <w:rPr>
          <w:lang w:val="sl-SI"/>
        </w:rPr>
      </w:pPr>
    </w:p>
    <w:p w14:paraId="66EBE263" w14:textId="674AE20B" w:rsidR="00E04C8A" w:rsidRDefault="008E1817">
      <w:pPr>
        <w:pStyle w:val="a3"/>
        <w:jc w:val="center"/>
        <w:rPr>
          <w:b/>
          <w:lang w:val="sl-SI"/>
        </w:rPr>
      </w:pPr>
      <w:r>
        <w:rPr>
          <w:rFonts w:eastAsia="Times New Roman"/>
          <w:b/>
          <w:bCs/>
          <w:lang w:val="sl-SI"/>
        </w:rPr>
        <w:t>Preglednica </w:t>
      </w:r>
      <w:r w:rsidR="00982DE1">
        <w:rPr>
          <w:rFonts w:eastAsia="Times New Roman"/>
          <w:b/>
          <w:bCs/>
          <w:lang w:val="sl-SI"/>
        </w:rPr>
        <w:t>14</w:t>
      </w:r>
      <w:r>
        <w:rPr>
          <w:rFonts w:eastAsia="Times New Roman"/>
          <w:b/>
          <w:bCs/>
          <w:lang w:val="sl-SI"/>
        </w:rPr>
        <w:t>.</w:t>
      </w:r>
    </w:p>
    <w:p w14:paraId="0258EF32" w14:textId="77777777" w:rsidR="00E04C8A" w:rsidRDefault="008E1817">
      <w:pPr>
        <w:pStyle w:val="a3"/>
        <w:jc w:val="center"/>
        <w:rPr>
          <w:b/>
          <w:lang w:val="sl-SI"/>
        </w:rPr>
      </w:pPr>
      <w:r>
        <w:rPr>
          <w:rFonts w:eastAsia="Times New Roman"/>
          <w:b/>
          <w:bCs/>
          <w:lang w:val="sl-SI"/>
        </w:rPr>
        <w:t>Odziv učinkovitosti v s placebom kontroliranem obdobju študije nr-axSpA II</w:t>
      </w:r>
    </w:p>
    <w:p w14:paraId="28DD14FA" w14:textId="77777777" w:rsidR="00E04C8A" w:rsidRDefault="00E04C8A">
      <w:pPr>
        <w:spacing w:before="11" w:line="240" w:lineRule="exact"/>
        <w:rPr>
          <w:sz w:val="24"/>
          <w:szCs w:val="24"/>
          <w:lang w:val="sl-SI"/>
        </w:rPr>
      </w:pPr>
    </w:p>
    <w:tbl>
      <w:tblPr>
        <w:tblStyle w:val="TableNormal1"/>
        <w:tblW w:w="0" w:type="auto"/>
        <w:tblInd w:w="136" w:type="dxa"/>
        <w:tblLayout w:type="fixed"/>
        <w:tblLook w:val="01E0" w:firstRow="1" w:lastRow="1" w:firstColumn="1" w:lastColumn="1" w:noHBand="0" w:noVBand="0"/>
      </w:tblPr>
      <w:tblGrid>
        <w:gridCol w:w="5746"/>
        <w:gridCol w:w="1745"/>
        <w:gridCol w:w="1891"/>
      </w:tblGrid>
      <w:tr w:rsidR="00E04C8A" w14:paraId="6872D8AF" w14:textId="77777777" w:rsidTr="00721C46">
        <w:tc>
          <w:tcPr>
            <w:tcW w:w="5746" w:type="dxa"/>
            <w:tcBorders>
              <w:top w:val="single" w:sz="5" w:space="0" w:color="000000"/>
              <w:left w:val="single" w:sz="5" w:space="0" w:color="000000"/>
              <w:bottom w:val="single" w:sz="5" w:space="0" w:color="000000"/>
              <w:right w:val="single" w:sz="5" w:space="0" w:color="000000"/>
            </w:tcBorders>
          </w:tcPr>
          <w:p w14:paraId="447A7D0F" w14:textId="77777777" w:rsidR="00E04C8A" w:rsidRDefault="008E1817">
            <w:pPr>
              <w:pStyle w:val="TableParagraph"/>
              <w:spacing w:before="3" w:line="252" w:lineRule="exact"/>
              <w:ind w:left="63" w:right="3592"/>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 xml:space="preserve">Dvojno slepa </w:t>
            </w:r>
          </w:p>
          <w:p w14:paraId="2A1C88CF" w14:textId="77777777" w:rsidR="00E04C8A" w:rsidRDefault="008E1817">
            <w:pPr>
              <w:pStyle w:val="TableParagraph"/>
              <w:spacing w:before="3" w:line="252" w:lineRule="exact"/>
              <w:ind w:left="63" w:right="3592"/>
              <w:rPr>
                <w:rFonts w:ascii="Times New Roman" w:eastAsia="Times New Roman" w:hAnsi="Times New Roman" w:cs="Times New Roman"/>
                <w:lang w:val="sl-SI"/>
              </w:rPr>
            </w:pPr>
            <w:r>
              <w:rPr>
                <w:rFonts w:ascii="Times New Roman" w:eastAsia="Times New Roman" w:hAnsi="Times New Roman" w:cs="Times New Roman"/>
                <w:b/>
                <w:bCs/>
                <w:spacing w:val="-1"/>
                <w:lang w:val="sl-SI"/>
              </w:rPr>
              <w:t>Odziv v 68. tednu</w:t>
            </w:r>
          </w:p>
        </w:tc>
        <w:tc>
          <w:tcPr>
            <w:tcW w:w="1745" w:type="dxa"/>
            <w:tcBorders>
              <w:top w:val="single" w:sz="5" w:space="0" w:color="000000"/>
              <w:left w:val="single" w:sz="5" w:space="0" w:color="000000"/>
              <w:bottom w:val="single" w:sz="5" w:space="0" w:color="000000"/>
              <w:right w:val="single" w:sz="5" w:space="0" w:color="000000"/>
            </w:tcBorders>
          </w:tcPr>
          <w:p w14:paraId="55591F04" w14:textId="69891150" w:rsidR="002062E3" w:rsidRDefault="008E1817" w:rsidP="001452D7">
            <w:pPr>
              <w:pStyle w:val="TableParagraph"/>
              <w:spacing w:before="2" w:line="230" w:lineRule="exact"/>
              <w:ind w:leftChars="-1" w:left="-2" w:right="31" w:firstLineChars="31" w:firstLine="65"/>
              <w:jc w:val="center"/>
              <w:rPr>
                <w:rFonts w:ascii="Times New Roman" w:eastAsia="Times New Roman" w:hAnsi="Times New Roman" w:cs="Times New Roman"/>
                <w:b/>
                <w:bCs/>
                <w:w w:val="95"/>
                <w:lang w:val="sl-SI"/>
              </w:rPr>
            </w:pPr>
            <w:r>
              <w:rPr>
                <w:rFonts w:ascii="Times New Roman" w:eastAsia="Times New Roman" w:hAnsi="Times New Roman" w:cs="Times New Roman"/>
                <w:b/>
                <w:bCs/>
                <w:w w:val="95"/>
                <w:lang w:val="sl-SI"/>
              </w:rPr>
              <w:t>Placebo</w:t>
            </w:r>
          </w:p>
          <w:p w14:paraId="23B9374E" w14:textId="16FBCFA1" w:rsidR="00E04C8A" w:rsidRDefault="008E1817" w:rsidP="001452D7">
            <w:pPr>
              <w:pStyle w:val="TableParagraph"/>
              <w:spacing w:before="2" w:line="230" w:lineRule="exact"/>
              <w:ind w:leftChars="-1" w:left="-2" w:right="31" w:firstLineChars="31" w:firstLine="65"/>
              <w:jc w:val="center"/>
              <w:rPr>
                <w:rFonts w:ascii="Times New Roman" w:eastAsia="Times New Roman" w:hAnsi="Times New Roman" w:cs="Times New Roman"/>
                <w:lang w:val="sl-SI"/>
              </w:rPr>
            </w:pPr>
            <w:r>
              <w:rPr>
                <w:rFonts w:ascii="Times New Roman" w:eastAsia="Times New Roman" w:hAnsi="Times New Roman" w:cs="Times New Roman"/>
                <w:b/>
                <w:bCs/>
                <w:w w:val="95"/>
                <w:lang w:val="sl-SI"/>
              </w:rPr>
              <w:t>N = 153</w:t>
            </w:r>
          </w:p>
        </w:tc>
        <w:tc>
          <w:tcPr>
            <w:tcW w:w="1891" w:type="dxa"/>
            <w:tcBorders>
              <w:top w:val="single" w:sz="5" w:space="0" w:color="000000"/>
              <w:left w:val="single" w:sz="5" w:space="0" w:color="000000"/>
              <w:bottom w:val="single" w:sz="5" w:space="0" w:color="000000"/>
              <w:right w:val="single" w:sz="5" w:space="0" w:color="000000"/>
            </w:tcBorders>
          </w:tcPr>
          <w:p w14:paraId="138B7777" w14:textId="77777777" w:rsidR="00E04C8A" w:rsidRDefault="008E1817">
            <w:pPr>
              <w:pStyle w:val="TableParagraph"/>
              <w:spacing w:before="2" w:line="230" w:lineRule="exact"/>
              <w:ind w:left="113" w:right="113"/>
              <w:jc w:val="center"/>
              <w:rPr>
                <w:rFonts w:ascii="Times New Roman" w:eastAsia="Times New Roman" w:hAnsi="Times New Roman" w:cs="Times New Roman"/>
                <w:lang w:val="sl-SI"/>
              </w:rPr>
            </w:pPr>
            <w:r>
              <w:rPr>
                <w:rFonts w:ascii="Times New Roman" w:eastAsia="Times New Roman" w:hAnsi="Times New Roman" w:cs="Times New Roman"/>
                <w:b/>
                <w:bCs/>
                <w:w w:val="95"/>
                <w:lang w:val="sl-SI"/>
              </w:rPr>
              <w:t>Adalimumab N = 152</w:t>
            </w:r>
          </w:p>
        </w:tc>
      </w:tr>
      <w:tr w:rsidR="00E04C8A" w14:paraId="1BCF77CA" w14:textId="77777777" w:rsidTr="00721C46">
        <w:tc>
          <w:tcPr>
            <w:tcW w:w="5746" w:type="dxa"/>
            <w:tcBorders>
              <w:top w:val="single" w:sz="5" w:space="0" w:color="000000"/>
              <w:left w:val="single" w:sz="5" w:space="0" w:color="000000"/>
              <w:bottom w:val="single" w:sz="5" w:space="0" w:color="000000"/>
              <w:right w:val="single" w:sz="5" w:space="0" w:color="000000"/>
            </w:tcBorders>
          </w:tcPr>
          <w:p w14:paraId="18EFA438" w14:textId="77777777" w:rsidR="00E04C8A" w:rsidRDefault="008E1817">
            <w:pPr>
              <w:pStyle w:val="TableParagraph"/>
              <w:spacing w:line="248" w:lineRule="exact"/>
              <w:ind w:left="63" w:right="3592"/>
              <w:rPr>
                <w:rFonts w:ascii="Times New Roman" w:eastAsia="Times New Roman" w:hAnsi="Times New Roman" w:cs="Times New Roman"/>
                <w:lang w:val="sl-SI"/>
              </w:rPr>
            </w:pPr>
            <w:r>
              <w:rPr>
                <w:rFonts w:ascii="Times New Roman" w:eastAsia="Times New Roman" w:hAnsi="Times New Roman" w:cs="Times New Roman"/>
                <w:spacing w:val="-1"/>
                <w:lang w:val="sl-SI"/>
              </w:rPr>
              <w:t>ASAS</w:t>
            </w:r>
            <w:r>
              <w:rPr>
                <w:rFonts w:ascii="Times New Roman" w:eastAsia="Times New Roman" w:hAnsi="Times New Roman" w:cs="Times New Roman"/>
                <w:spacing w:val="-1"/>
                <w:vertAlign w:val="superscript"/>
                <w:lang w:val="sl-SI"/>
              </w:rPr>
              <w:t xml:space="preserve">a,b </w:t>
            </w:r>
            <w:r>
              <w:rPr>
                <w:rFonts w:ascii="Times New Roman" w:eastAsia="Times New Roman" w:hAnsi="Times New Roman" w:cs="Times New Roman"/>
                <w:spacing w:val="-1"/>
                <w:lang w:val="sl-SI"/>
              </w:rPr>
              <w:t>20</w:t>
            </w:r>
          </w:p>
        </w:tc>
        <w:tc>
          <w:tcPr>
            <w:tcW w:w="1745" w:type="dxa"/>
            <w:tcBorders>
              <w:top w:val="single" w:sz="5" w:space="0" w:color="000000"/>
              <w:left w:val="single" w:sz="5" w:space="0" w:color="000000"/>
              <w:bottom w:val="single" w:sz="5" w:space="0" w:color="000000"/>
              <w:right w:val="single" w:sz="5" w:space="0" w:color="000000"/>
            </w:tcBorders>
          </w:tcPr>
          <w:p w14:paraId="3C7BA860" w14:textId="77777777" w:rsidR="00E04C8A" w:rsidRDefault="008E1817" w:rsidP="001452D7">
            <w:pPr>
              <w:pStyle w:val="TableParagraph"/>
              <w:spacing w:line="248" w:lineRule="exact"/>
              <w:ind w:leftChars="-25" w:left="2" w:right="31" w:hangingChars="26" w:hanging="57"/>
              <w:jc w:val="center"/>
              <w:rPr>
                <w:rFonts w:ascii="Times New Roman" w:eastAsia="Times New Roman" w:hAnsi="Times New Roman" w:cs="Times New Roman"/>
                <w:lang w:val="sl-SI"/>
              </w:rPr>
            </w:pPr>
            <w:r>
              <w:rPr>
                <w:rFonts w:ascii="Times New Roman" w:eastAsia="Times New Roman" w:hAnsi="Times New Roman" w:cs="Times New Roman"/>
                <w:lang w:val="sl-SI"/>
              </w:rPr>
              <w:t>47,1 %</w:t>
            </w:r>
          </w:p>
        </w:tc>
        <w:tc>
          <w:tcPr>
            <w:tcW w:w="1891" w:type="dxa"/>
            <w:tcBorders>
              <w:top w:val="single" w:sz="5" w:space="0" w:color="000000"/>
              <w:left w:val="single" w:sz="5" w:space="0" w:color="000000"/>
              <w:bottom w:val="single" w:sz="5" w:space="0" w:color="000000"/>
              <w:right w:val="single" w:sz="5" w:space="0" w:color="000000"/>
            </w:tcBorders>
          </w:tcPr>
          <w:p w14:paraId="6EF72EE8" w14:textId="77777777" w:rsidR="00E04C8A" w:rsidRDefault="008E1817">
            <w:pPr>
              <w:pStyle w:val="TableParagraph"/>
              <w:spacing w:line="248" w:lineRule="exact"/>
              <w:ind w:left="491"/>
              <w:rPr>
                <w:rFonts w:ascii="Times New Roman" w:eastAsia="Times New Roman" w:hAnsi="Times New Roman" w:cs="Times New Roman"/>
                <w:lang w:val="sl-SI"/>
              </w:rPr>
            </w:pPr>
            <w:r>
              <w:rPr>
                <w:rFonts w:ascii="Times New Roman" w:eastAsia="Times New Roman" w:hAnsi="Times New Roman" w:cs="Times New Roman"/>
                <w:spacing w:val="-1"/>
                <w:lang w:val="sl-SI"/>
              </w:rPr>
              <w:t>70,4 %***</w:t>
            </w:r>
          </w:p>
        </w:tc>
      </w:tr>
      <w:tr w:rsidR="00E04C8A" w14:paraId="112D445B" w14:textId="77777777" w:rsidTr="00721C46">
        <w:tc>
          <w:tcPr>
            <w:tcW w:w="5746" w:type="dxa"/>
            <w:tcBorders>
              <w:top w:val="single" w:sz="5" w:space="0" w:color="000000"/>
              <w:left w:val="single" w:sz="5" w:space="0" w:color="000000"/>
              <w:bottom w:val="single" w:sz="5" w:space="0" w:color="000000"/>
              <w:right w:val="single" w:sz="5" w:space="0" w:color="000000"/>
            </w:tcBorders>
          </w:tcPr>
          <w:p w14:paraId="01333D74" w14:textId="77777777" w:rsidR="00E04C8A" w:rsidRDefault="008E1817">
            <w:pPr>
              <w:pStyle w:val="TableParagraph"/>
              <w:spacing w:line="246" w:lineRule="exact"/>
              <w:ind w:left="63" w:right="3592"/>
              <w:rPr>
                <w:rFonts w:ascii="Times New Roman" w:eastAsia="Times New Roman" w:hAnsi="Times New Roman" w:cs="Times New Roman"/>
                <w:lang w:val="sl-SI"/>
              </w:rPr>
            </w:pPr>
            <w:r>
              <w:rPr>
                <w:rFonts w:ascii="Times New Roman" w:eastAsia="Times New Roman" w:hAnsi="Times New Roman" w:cs="Times New Roman"/>
                <w:spacing w:val="-1"/>
                <w:lang w:val="sl-SI"/>
              </w:rPr>
              <w:t>ASAS</w:t>
            </w:r>
            <w:r>
              <w:rPr>
                <w:rFonts w:ascii="Times New Roman" w:eastAsia="Times New Roman" w:hAnsi="Times New Roman" w:cs="Times New Roman"/>
                <w:spacing w:val="-1"/>
                <w:vertAlign w:val="superscript"/>
                <w:lang w:val="sl-SI"/>
              </w:rPr>
              <w:t xml:space="preserve">a,b </w:t>
            </w:r>
            <w:r>
              <w:rPr>
                <w:rFonts w:ascii="Times New Roman" w:eastAsia="Times New Roman" w:hAnsi="Times New Roman" w:cs="Times New Roman"/>
                <w:spacing w:val="-1"/>
                <w:lang w:val="sl-SI"/>
              </w:rPr>
              <w:t>40</w:t>
            </w:r>
          </w:p>
        </w:tc>
        <w:tc>
          <w:tcPr>
            <w:tcW w:w="1745" w:type="dxa"/>
            <w:tcBorders>
              <w:top w:val="single" w:sz="5" w:space="0" w:color="000000"/>
              <w:left w:val="single" w:sz="5" w:space="0" w:color="000000"/>
              <w:bottom w:val="single" w:sz="5" w:space="0" w:color="000000"/>
              <w:right w:val="single" w:sz="5" w:space="0" w:color="000000"/>
            </w:tcBorders>
          </w:tcPr>
          <w:p w14:paraId="25C9400B" w14:textId="77777777" w:rsidR="00E04C8A" w:rsidRDefault="008E1817" w:rsidP="001452D7">
            <w:pPr>
              <w:pStyle w:val="TableParagraph"/>
              <w:spacing w:line="246" w:lineRule="exact"/>
              <w:ind w:leftChars="-25" w:left="2" w:right="31" w:hangingChars="26" w:hanging="57"/>
              <w:jc w:val="center"/>
              <w:rPr>
                <w:rFonts w:ascii="Times New Roman" w:eastAsia="Times New Roman" w:hAnsi="Times New Roman" w:cs="Times New Roman"/>
                <w:lang w:val="sl-SI"/>
              </w:rPr>
            </w:pPr>
            <w:r>
              <w:rPr>
                <w:rFonts w:ascii="Times New Roman" w:eastAsia="Times New Roman" w:hAnsi="Times New Roman" w:cs="Times New Roman"/>
                <w:lang w:val="sl-SI"/>
              </w:rPr>
              <w:t>45,8 %</w:t>
            </w:r>
          </w:p>
        </w:tc>
        <w:tc>
          <w:tcPr>
            <w:tcW w:w="1891" w:type="dxa"/>
            <w:tcBorders>
              <w:top w:val="single" w:sz="5" w:space="0" w:color="000000"/>
              <w:left w:val="single" w:sz="5" w:space="0" w:color="000000"/>
              <w:bottom w:val="single" w:sz="5" w:space="0" w:color="000000"/>
              <w:right w:val="single" w:sz="5" w:space="0" w:color="000000"/>
            </w:tcBorders>
          </w:tcPr>
          <w:p w14:paraId="34AAA29E" w14:textId="77777777" w:rsidR="00E04C8A" w:rsidRDefault="008E1817">
            <w:pPr>
              <w:pStyle w:val="TableParagraph"/>
              <w:spacing w:line="246" w:lineRule="exact"/>
              <w:ind w:left="491"/>
              <w:rPr>
                <w:rFonts w:ascii="Times New Roman" w:eastAsia="Times New Roman" w:hAnsi="Times New Roman" w:cs="Times New Roman"/>
                <w:lang w:val="sl-SI"/>
              </w:rPr>
            </w:pPr>
            <w:r>
              <w:rPr>
                <w:rFonts w:ascii="Times New Roman" w:eastAsia="Times New Roman" w:hAnsi="Times New Roman" w:cs="Times New Roman"/>
                <w:spacing w:val="-1"/>
                <w:lang w:val="sl-SI"/>
              </w:rPr>
              <w:t>65,8 %***</w:t>
            </w:r>
          </w:p>
        </w:tc>
      </w:tr>
      <w:tr w:rsidR="00E04C8A" w14:paraId="6B6BEBC0" w14:textId="77777777" w:rsidTr="00721C46">
        <w:tc>
          <w:tcPr>
            <w:tcW w:w="5746" w:type="dxa"/>
            <w:tcBorders>
              <w:top w:val="single" w:sz="5" w:space="0" w:color="000000"/>
              <w:left w:val="single" w:sz="5" w:space="0" w:color="000000"/>
              <w:bottom w:val="single" w:sz="5" w:space="0" w:color="000000"/>
              <w:right w:val="single" w:sz="5" w:space="0" w:color="000000"/>
            </w:tcBorders>
          </w:tcPr>
          <w:p w14:paraId="10A414B1" w14:textId="77777777" w:rsidR="00E04C8A" w:rsidRDefault="008E1817">
            <w:pPr>
              <w:pStyle w:val="TableParagraph"/>
              <w:spacing w:line="246" w:lineRule="exact"/>
              <w:ind w:left="63"/>
              <w:rPr>
                <w:rFonts w:ascii="Times New Roman" w:eastAsia="Times New Roman" w:hAnsi="Times New Roman" w:cs="Times New Roman"/>
                <w:lang w:val="sl-SI"/>
              </w:rPr>
            </w:pPr>
            <w:r>
              <w:rPr>
                <w:rFonts w:ascii="Times New Roman" w:eastAsia="Times New Roman" w:hAnsi="Times New Roman" w:cs="Times New Roman"/>
                <w:spacing w:val="-1"/>
                <w:lang w:val="sl-SI"/>
              </w:rPr>
              <w:t>ASAS</w:t>
            </w:r>
            <w:r>
              <w:rPr>
                <w:rFonts w:ascii="Times New Roman" w:eastAsia="Times New Roman" w:hAnsi="Times New Roman" w:cs="Times New Roman"/>
                <w:spacing w:val="-1"/>
                <w:vertAlign w:val="superscript"/>
                <w:lang w:val="sl-SI"/>
              </w:rPr>
              <w:t>a</w:t>
            </w:r>
            <w:r>
              <w:rPr>
                <w:rFonts w:ascii="Times New Roman" w:eastAsia="Times New Roman" w:hAnsi="Times New Roman" w:cs="Times New Roman"/>
                <w:spacing w:val="-1"/>
                <w:lang w:val="sl-SI"/>
              </w:rPr>
              <w:t xml:space="preserve"> delno izboljšanje</w:t>
            </w:r>
          </w:p>
        </w:tc>
        <w:tc>
          <w:tcPr>
            <w:tcW w:w="1745" w:type="dxa"/>
            <w:tcBorders>
              <w:top w:val="single" w:sz="5" w:space="0" w:color="000000"/>
              <w:left w:val="single" w:sz="5" w:space="0" w:color="000000"/>
              <w:bottom w:val="single" w:sz="5" w:space="0" w:color="000000"/>
              <w:right w:val="single" w:sz="5" w:space="0" w:color="000000"/>
            </w:tcBorders>
          </w:tcPr>
          <w:p w14:paraId="01BA79EC" w14:textId="77777777" w:rsidR="00E04C8A" w:rsidRDefault="008E1817" w:rsidP="001452D7">
            <w:pPr>
              <w:pStyle w:val="TableParagraph"/>
              <w:spacing w:line="246" w:lineRule="exact"/>
              <w:ind w:leftChars="-25" w:left="2" w:right="31" w:hangingChars="26" w:hanging="57"/>
              <w:jc w:val="center"/>
              <w:rPr>
                <w:rFonts w:ascii="Times New Roman" w:eastAsia="Times New Roman" w:hAnsi="Times New Roman" w:cs="Times New Roman"/>
                <w:lang w:val="sl-SI"/>
              </w:rPr>
            </w:pPr>
            <w:r>
              <w:rPr>
                <w:rFonts w:ascii="Times New Roman" w:eastAsia="Times New Roman" w:hAnsi="Times New Roman" w:cs="Times New Roman"/>
                <w:lang w:val="sl-SI"/>
              </w:rPr>
              <w:t>26,8 %</w:t>
            </w:r>
          </w:p>
        </w:tc>
        <w:tc>
          <w:tcPr>
            <w:tcW w:w="1891" w:type="dxa"/>
            <w:tcBorders>
              <w:top w:val="single" w:sz="5" w:space="0" w:color="000000"/>
              <w:left w:val="single" w:sz="5" w:space="0" w:color="000000"/>
              <w:bottom w:val="single" w:sz="5" w:space="0" w:color="000000"/>
              <w:right w:val="single" w:sz="5" w:space="0" w:color="000000"/>
            </w:tcBorders>
          </w:tcPr>
          <w:p w14:paraId="69E4039F" w14:textId="77777777" w:rsidR="00E04C8A" w:rsidRDefault="008E1817">
            <w:pPr>
              <w:pStyle w:val="TableParagraph"/>
              <w:spacing w:line="246" w:lineRule="exact"/>
              <w:ind w:left="546"/>
              <w:rPr>
                <w:rFonts w:ascii="Times New Roman" w:eastAsia="Times New Roman" w:hAnsi="Times New Roman" w:cs="Times New Roman"/>
                <w:lang w:val="sl-SI"/>
              </w:rPr>
            </w:pPr>
            <w:r>
              <w:rPr>
                <w:rFonts w:ascii="Times New Roman" w:eastAsia="Times New Roman" w:hAnsi="Times New Roman" w:cs="Times New Roman"/>
                <w:spacing w:val="-1"/>
                <w:lang w:val="sl-SI"/>
              </w:rPr>
              <w:t>42,1 %**</w:t>
            </w:r>
          </w:p>
        </w:tc>
      </w:tr>
      <w:tr w:rsidR="00E04C8A" w14:paraId="2815C8C4" w14:textId="77777777" w:rsidTr="00721C46">
        <w:tc>
          <w:tcPr>
            <w:tcW w:w="5746" w:type="dxa"/>
            <w:tcBorders>
              <w:top w:val="single" w:sz="5" w:space="0" w:color="000000"/>
              <w:left w:val="single" w:sz="5" w:space="0" w:color="000000"/>
              <w:bottom w:val="single" w:sz="5" w:space="0" w:color="000000"/>
              <w:right w:val="single" w:sz="5" w:space="0" w:color="000000"/>
            </w:tcBorders>
          </w:tcPr>
          <w:p w14:paraId="26401D03" w14:textId="77777777" w:rsidR="00E04C8A" w:rsidRDefault="008E1817">
            <w:pPr>
              <w:pStyle w:val="TableParagraph"/>
              <w:spacing w:line="246" w:lineRule="exact"/>
              <w:ind w:left="63"/>
              <w:rPr>
                <w:rFonts w:ascii="Times New Roman" w:eastAsia="Times New Roman" w:hAnsi="Times New Roman" w:cs="Times New Roman"/>
                <w:lang w:val="sl-SI"/>
              </w:rPr>
            </w:pPr>
            <w:r>
              <w:rPr>
                <w:rFonts w:ascii="Times New Roman" w:eastAsia="Times New Roman" w:hAnsi="Times New Roman" w:cs="Times New Roman"/>
                <w:spacing w:val="-1"/>
                <w:lang w:val="sl-SI"/>
              </w:rPr>
              <w:t>ASDAS</w:t>
            </w:r>
            <w:r>
              <w:rPr>
                <w:rFonts w:ascii="Times New Roman" w:eastAsia="Times New Roman" w:hAnsi="Times New Roman" w:cs="Times New Roman"/>
                <w:spacing w:val="-1"/>
                <w:vertAlign w:val="superscript"/>
                <w:lang w:val="sl-SI"/>
              </w:rPr>
              <w:t>c</w:t>
            </w:r>
            <w:r>
              <w:rPr>
                <w:rFonts w:ascii="Times New Roman" w:eastAsia="Times New Roman" w:hAnsi="Times New Roman" w:cs="Times New Roman"/>
                <w:spacing w:val="-1"/>
                <w:lang w:val="sl-SI"/>
              </w:rPr>
              <w:t xml:space="preserve"> neaktivna bolezen</w:t>
            </w:r>
          </w:p>
        </w:tc>
        <w:tc>
          <w:tcPr>
            <w:tcW w:w="1745" w:type="dxa"/>
            <w:tcBorders>
              <w:top w:val="single" w:sz="5" w:space="0" w:color="000000"/>
              <w:left w:val="single" w:sz="5" w:space="0" w:color="000000"/>
              <w:bottom w:val="single" w:sz="5" w:space="0" w:color="000000"/>
              <w:right w:val="single" w:sz="5" w:space="0" w:color="000000"/>
            </w:tcBorders>
          </w:tcPr>
          <w:p w14:paraId="04A5C41A" w14:textId="77777777" w:rsidR="00E04C8A" w:rsidRDefault="008E1817" w:rsidP="001452D7">
            <w:pPr>
              <w:pStyle w:val="TableParagraph"/>
              <w:spacing w:line="246" w:lineRule="exact"/>
              <w:ind w:leftChars="-25" w:left="2" w:right="31" w:hangingChars="26" w:hanging="57"/>
              <w:jc w:val="center"/>
              <w:rPr>
                <w:rFonts w:ascii="Times New Roman" w:eastAsia="Times New Roman" w:hAnsi="Times New Roman" w:cs="Times New Roman"/>
                <w:lang w:val="sl-SI"/>
              </w:rPr>
            </w:pPr>
            <w:r>
              <w:rPr>
                <w:rFonts w:ascii="Times New Roman" w:eastAsia="Times New Roman" w:hAnsi="Times New Roman" w:cs="Times New Roman"/>
                <w:lang w:val="sl-SI"/>
              </w:rPr>
              <w:t>33,3 %</w:t>
            </w:r>
          </w:p>
        </w:tc>
        <w:tc>
          <w:tcPr>
            <w:tcW w:w="1891" w:type="dxa"/>
            <w:tcBorders>
              <w:top w:val="single" w:sz="5" w:space="0" w:color="000000"/>
              <w:left w:val="single" w:sz="5" w:space="0" w:color="000000"/>
              <w:bottom w:val="single" w:sz="5" w:space="0" w:color="000000"/>
              <w:right w:val="single" w:sz="5" w:space="0" w:color="000000"/>
            </w:tcBorders>
          </w:tcPr>
          <w:p w14:paraId="6660BBE9" w14:textId="77777777" w:rsidR="00E04C8A" w:rsidRDefault="008E1817">
            <w:pPr>
              <w:pStyle w:val="TableParagraph"/>
              <w:spacing w:line="246" w:lineRule="exact"/>
              <w:ind w:left="491"/>
              <w:rPr>
                <w:rFonts w:ascii="Times New Roman" w:eastAsia="Times New Roman" w:hAnsi="Times New Roman" w:cs="Times New Roman"/>
                <w:lang w:val="sl-SI"/>
              </w:rPr>
            </w:pPr>
            <w:r>
              <w:rPr>
                <w:rFonts w:ascii="Times New Roman" w:eastAsia="Times New Roman" w:hAnsi="Times New Roman" w:cs="Times New Roman"/>
                <w:spacing w:val="-1"/>
                <w:lang w:val="sl-SI"/>
              </w:rPr>
              <w:t>57,2 %***</w:t>
            </w:r>
          </w:p>
        </w:tc>
      </w:tr>
      <w:tr w:rsidR="00E04C8A" w14:paraId="3D31A7BB" w14:textId="77777777" w:rsidTr="00721C46">
        <w:tc>
          <w:tcPr>
            <w:tcW w:w="5746" w:type="dxa"/>
            <w:tcBorders>
              <w:top w:val="single" w:sz="5" w:space="0" w:color="000000"/>
              <w:left w:val="single" w:sz="5" w:space="0" w:color="000000"/>
              <w:bottom w:val="single" w:sz="5" w:space="0" w:color="000000"/>
              <w:right w:val="single" w:sz="5" w:space="0" w:color="000000"/>
            </w:tcBorders>
          </w:tcPr>
          <w:p w14:paraId="66C3C8FD" w14:textId="77777777" w:rsidR="00E04C8A" w:rsidRDefault="008E1817">
            <w:pPr>
              <w:pStyle w:val="TableParagraph"/>
              <w:spacing w:line="246" w:lineRule="exact"/>
              <w:ind w:left="63" w:right="3592"/>
              <w:rPr>
                <w:rFonts w:ascii="Times New Roman" w:eastAsia="Times New Roman" w:hAnsi="Times New Roman" w:cs="Times New Roman"/>
                <w:lang w:val="sl-SI"/>
              </w:rPr>
            </w:pPr>
            <w:r>
              <w:rPr>
                <w:rFonts w:ascii="Times New Roman" w:eastAsia="Times New Roman" w:hAnsi="Times New Roman" w:cs="Times New Roman"/>
                <w:spacing w:val="-1"/>
                <w:lang w:val="sl-SI"/>
              </w:rPr>
              <w:t>Delni zagon bolezni</w:t>
            </w:r>
            <w:r>
              <w:rPr>
                <w:rFonts w:ascii="Times New Roman" w:eastAsia="Times New Roman" w:hAnsi="Times New Roman" w:cs="Times New Roman"/>
                <w:spacing w:val="-1"/>
                <w:vertAlign w:val="superscript"/>
                <w:lang w:val="sl-SI"/>
              </w:rPr>
              <w:t>d</w:t>
            </w:r>
          </w:p>
        </w:tc>
        <w:tc>
          <w:tcPr>
            <w:tcW w:w="1745" w:type="dxa"/>
            <w:tcBorders>
              <w:top w:val="single" w:sz="5" w:space="0" w:color="000000"/>
              <w:left w:val="single" w:sz="5" w:space="0" w:color="000000"/>
              <w:bottom w:val="single" w:sz="5" w:space="0" w:color="000000"/>
              <w:right w:val="single" w:sz="5" w:space="0" w:color="000000"/>
            </w:tcBorders>
          </w:tcPr>
          <w:p w14:paraId="00027E30" w14:textId="77777777" w:rsidR="00E04C8A" w:rsidRDefault="008E1817" w:rsidP="001452D7">
            <w:pPr>
              <w:pStyle w:val="TableParagraph"/>
              <w:spacing w:line="246" w:lineRule="exact"/>
              <w:ind w:leftChars="-25" w:left="2" w:right="31" w:hangingChars="26" w:hanging="57"/>
              <w:jc w:val="center"/>
              <w:rPr>
                <w:rFonts w:ascii="Times New Roman" w:eastAsia="Times New Roman" w:hAnsi="Times New Roman" w:cs="Times New Roman"/>
                <w:lang w:val="sl-SI"/>
              </w:rPr>
            </w:pPr>
            <w:r>
              <w:rPr>
                <w:rFonts w:ascii="Times New Roman" w:eastAsia="Times New Roman" w:hAnsi="Times New Roman" w:cs="Times New Roman"/>
                <w:lang w:val="sl-SI"/>
              </w:rPr>
              <w:t>64,1 %</w:t>
            </w:r>
          </w:p>
        </w:tc>
        <w:tc>
          <w:tcPr>
            <w:tcW w:w="1891" w:type="dxa"/>
            <w:tcBorders>
              <w:top w:val="single" w:sz="5" w:space="0" w:color="000000"/>
              <w:left w:val="single" w:sz="5" w:space="0" w:color="000000"/>
              <w:bottom w:val="single" w:sz="5" w:space="0" w:color="000000"/>
              <w:right w:val="single" w:sz="5" w:space="0" w:color="000000"/>
            </w:tcBorders>
          </w:tcPr>
          <w:p w14:paraId="7AAF969B" w14:textId="77777777" w:rsidR="00E04C8A" w:rsidRDefault="008E1817">
            <w:pPr>
              <w:pStyle w:val="TableParagraph"/>
              <w:spacing w:line="246" w:lineRule="exact"/>
              <w:ind w:left="491"/>
              <w:rPr>
                <w:rFonts w:ascii="Times New Roman" w:eastAsia="Times New Roman" w:hAnsi="Times New Roman" w:cs="Times New Roman"/>
                <w:lang w:val="sl-SI"/>
              </w:rPr>
            </w:pPr>
            <w:r>
              <w:rPr>
                <w:rFonts w:ascii="Times New Roman" w:eastAsia="Times New Roman" w:hAnsi="Times New Roman" w:cs="Times New Roman"/>
                <w:spacing w:val="-1"/>
                <w:lang w:val="sl-SI"/>
              </w:rPr>
              <w:t>40,8 %***</w:t>
            </w:r>
          </w:p>
        </w:tc>
      </w:tr>
    </w:tbl>
    <w:p w14:paraId="34FC7618" w14:textId="56BDA9B6" w:rsidR="00E04C8A" w:rsidRDefault="008E1817" w:rsidP="00721C46">
      <w:pPr>
        <w:pStyle w:val="a3"/>
        <w:ind w:leftChars="100" w:left="220"/>
        <w:rPr>
          <w:lang w:val="sl-SI"/>
        </w:rPr>
      </w:pPr>
      <w:r w:rsidRPr="00721C46">
        <w:rPr>
          <w:rFonts w:eastAsia="Times New Roman"/>
          <w:position w:val="8"/>
          <w:szCs w:val="14"/>
          <w:vertAlign w:val="superscript"/>
          <w:lang w:val="sl-SI"/>
        </w:rPr>
        <w:t>a</w:t>
      </w:r>
      <w:r>
        <w:rPr>
          <w:rFonts w:eastAsia="Times New Roman"/>
          <w:position w:val="8"/>
          <w:sz w:val="14"/>
          <w:szCs w:val="14"/>
          <w:lang w:val="sl-SI"/>
        </w:rPr>
        <w:t xml:space="preserve"> </w:t>
      </w:r>
      <w:r>
        <w:rPr>
          <w:rFonts w:eastAsia="Times New Roman"/>
          <w:position w:val="8"/>
          <w:lang w:val="sl-SI"/>
        </w:rPr>
        <w:t xml:space="preserve">ASAS = ocena v spondiloartritičnem mednarodnem združenju (Assessment </w:t>
      </w:r>
      <w:r w:rsidR="001407A2">
        <w:rPr>
          <w:rFonts w:eastAsia="Times New Roman"/>
          <w:position w:val="8"/>
          <w:lang w:val="sl-SI"/>
        </w:rPr>
        <w:t>of</w:t>
      </w:r>
      <w:r>
        <w:rPr>
          <w:rFonts w:eastAsia="Times New Roman"/>
          <w:position w:val="8"/>
          <w:lang w:val="sl-SI"/>
        </w:rPr>
        <w:t xml:space="preserve"> Spondyloarthritis international Society)</w:t>
      </w:r>
    </w:p>
    <w:p w14:paraId="544B434B" w14:textId="77777777" w:rsidR="00E04C8A" w:rsidRDefault="008E1817" w:rsidP="00721C46">
      <w:pPr>
        <w:pStyle w:val="a3"/>
        <w:ind w:leftChars="100" w:left="220"/>
        <w:rPr>
          <w:lang w:val="sl-SI"/>
        </w:rPr>
      </w:pPr>
      <w:r w:rsidRPr="00721C46">
        <w:rPr>
          <w:rFonts w:eastAsia="Times New Roman"/>
          <w:position w:val="8"/>
          <w:szCs w:val="14"/>
          <w:vertAlign w:val="superscript"/>
          <w:lang w:val="sl-SI"/>
        </w:rPr>
        <w:t>b</w:t>
      </w:r>
      <w:r>
        <w:rPr>
          <w:rFonts w:eastAsia="Times New Roman"/>
          <w:position w:val="8"/>
          <w:sz w:val="14"/>
          <w:szCs w:val="14"/>
          <w:lang w:val="sl-SI"/>
        </w:rPr>
        <w:t xml:space="preserve"> </w:t>
      </w:r>
      <w:r>
        <w:rPr>
          <w:rFonts w:eastAsia="Times New Roman"/>
          <w:position w:val="8"/>
          <w:lang w:val="sl-SI"/>
        </w:rPr>
        <w:t>izhodišče je določeno kot izhodišče odprte faze, ko imajo bolniki aktivno bolezen</w:t>
      </w:r>
    </w:p>
    <w:p w14:paraId="66618682" w14:textId="77777777" w:rsidR="00E04C8A" w:rsidRDefault="008E1817" w:rsidP="00721C46">
      <w:pPr>
        <w:pStyle w:val="a3"/>
        <w:ind w:leftChars="100" w:left="220"/>
        <w:rPr>
          <w:lang w:val="sl-SI"/>
        </w:rPr>
      </w:pPr>
      <w:r w:rsidRPr="00721C46">
        <w:rPr>
          <w:rFonts w:eastAsia="Times New Roman"/>
          <w:position w:val="8"/>
          <w:szCs w:val="14"/>
          <w:vertAlign w:val="superscript"/>
          <w:lang w:val="sl-SI"/>
        </w:rPr>
        <w:t>c</w:t>
      </w:r>
      <w:r>
        <w:rPr>
          <w:rFonts w:eastAsia="Times New Roman"/>
          <w:position w:val="8"/>
          <w:sz w:val="14"/>
          <w:szCs w:val="14"/>
          <w:lang w:val="sl-SI"/>
        </w:rPr>
        <w:t xml:space="preserve"> </w:t>
      </w:r>
      <w:r>
        <w:rPr>
          <w:rFonts w:eastAsia="Times New Roman"/>
          <w:position w:val="8"/>
          <w:lang w:val="sl-SI"/>
        </w:rPr>
        <w:t>ASDAS = ocena bolezenske aktivnosti ankilozirajočega spondilitisa (Ankylosing Spondylitis Disease Activity Score)</w:t>
      </w:r>
    </w:p>
    <w:p w14:paraId="46722981" w14:textId="77777777" w:rsidR="00E04C8A" w:rsidRDefault="008E1817" w:rsidP="00721C46">
      <w:pPr>
        <w:pStyle w:val="a3"/>
        <w:ind w:leftChars="100" w:left="220"/>
        <w:rPr>
          <w:lang w:val="sl-SI"/>
        </w:rPr>
      </w:pPr>
      <w:r w:rsidRPr="00721C46">
        <w:rPr>
          <w:rFonts w:eastAsia="Times New Roman"/>
          <w:position w:val="8"/>
          <w:szCs w:val="14"/>
          <w:vertAlign w:val="superscript"/>
          <w:lang w:val="sl-SI"/>
        </w:rPr>
        <w:t>d</w:t>
      </w:r>
      <w:r>
        <w:rPr>
          <w:rFonts w:eastAsia="Times New Roman"/>
          <w:position w:val="8"/>
          <w:sz w:val="14"/>
          <w:szCs w:val="14"/>
          <w:lang w:val="sl-SI"/>
        </w:rPr>
        <w:t xml:space="preserve"> </w:t>
      </w:r>
      <w:r>
        <w:rPr>
          <w:rFonts w:eastAsia="Times New Roman"/>
          <w:position w:val="8"/>
          <w:lang w:val="sl-SI"/>
        </w:rPr>
        <w:t>Delni zagon bolezni je določen kot ASDAS ≥ 1,3 vendar &lt; 2,1 pri dveh zaporednih obiskih.</w:t>
      </w:r>
    </w:p>
    <w:p w14:paraId="24AF1281" w14:textId="77777777" w:rsidR="00E04C8A" w:rsidRDefault="008E1817" w:rsidP="00721C46">
      <w:pPr>
        <w:pStyle w:val="a3"/>
        <w:ind w:leftChars="100" w:left="220"/>
        <w:rPr>
          <w:lang w:val="sl-SI"/>
        </w:rPr>
      </w:pPr>
      <w:r>
        <w:rPr>
          <w:rFonts w:eastAsia="Times New Roman"/>
          <w:lang w:val="sl-SI"/>
        </w:rPr>
        <w:t>***,** Statistično značilno s p &lt; 0,001 in &lt; 0,01 (v tem zaporedju) za vse primerjave med adalimumabom in placebom.</w:t>
      </w:r>
    </w:p>
    <w:p w14:paraId="6B65B421" w14:textId="77777777" w:rsidR="00E04C8A" w:rsidRDefault="00E04C8A">
      <w:pPr>
        <w:pStyle w:val="a3"/>
        <w:rPr>
          <w:lang w:val="sl-SI"/>
        </w:rPr>
      </w:pPr>
    </w:p>
    <w:p w14:paraId="37BC4AF4" w14:textId="77777777" w:rsidR="00E04C8A" w:rsidRDefault="008E1817">
      <w:pPr>
        <w:pStyle w:val="a3"/>
        <w:rPr>
          <w:rFonts w:eastAsia="Times New Roman"/>
          <w:lang w:val="sl-SI"/>
        </w:rPr>
      </w:pPr>
      <w:r>
        <w:rPr>
          <w:rFonts w:eastAsia="Times New Roman"/>
          <w:i/>
          <w:iCs/>
          <w:spacing w:val="-1"/>
          <w:lang w:val="sl-SI"/>
        </w:rPr>
        <w:t>Psoriatični artritis</w:t>
      </w:r>
    </w:p>
    <w:p w14:paraId="4D943AF2" w14:textId="77777777" w:rsidR="00E04C8A" w:rsidRDefault="00E04C8A">
      <w:pPr>
        <w:pStyle w:val="a3"/>
        <w:rPr>
          <w:sz w:val="24"/>
          <w:szCs w:val="24"/>
          <w:lang w:val="sl-SI"/>
        </w:rPr>
      </w:pPr>
    </w:p>
    <w:p w14:paraId="4AA63A9E" w14:textId="77777777" w:rsidR="00E04C8A" w:rsidRDefault="008E1817">
      <w:pPr>
        <w:pStyle w:val="a3"/>
        <w:rPr>
          <w:lang w:val="sl-SI"/>
        </w:rPr>
      </w:pPr>
      <w:r>
        <w:rPr>
          <w:rFonts w:eastAsia="Times New Roman"/>
          <w:lang w:val="sl-SI"/>
        </w:rPr>
        <w:t>Uporabo adalimumaba 40 mg vsak drugi teden so pri bolnikih z zmernim do hudim aktivnim psoriatičnim artritisom proučili v dveh s placebom kontroliranih študijah, študijah pri psoriatičnem artritisu I in II. Študija pri psoriatičnem artritisu I je trajala 24 tednov. V njej so zdravili 313 odraslih, ki se niso ustrezno odzvali na terapijo z nesteroidnimi protivnetnimi zdravili; približno 50 % od teh je jemalo metotreksat. Študija pri psoriatičnem artritisu II je trajala 12 tednov. V njej so zdravili 100 bolnikov, ki se niso ustrezno odzvali na imunomodulirajočo terapijo. Po koncu obeh študij so 383 bolnikov vključili v odprto nadaljevalno študijo, med katero so bolniki dobivali 40 mg adalimumab vsak drugi teden.</w:t>
      </w:r>
    </w:p>
    <w:p w14:paraId="66239E08" w14:textId="77777777" w:rsidR="00E04C8A" w:rsidRDefault="00E04C8A">
      <w:pPr>
        <w:pStyle w:val="a3"/>
        <w:rPr>
          <w:sz w:val="24"/>
          <w:szCs w:val="24"/>
          <w:lang w:val="sl-SI"/>
        </w:rPr>
      </w:pPr>
    </w:p>
    <w:p w14:paraId="7F72828D" w14:textId="77777777" w:rsidR="00E04C8A" w:rsidRDefault="008E1817">
      <w:pPr>
        <w:pStyle w:val="a3"/>
        <w:rPr>
          <w:lang w:val="sl-SI"/>
        </w:rPr>
      </w:pPr>
      <w:r>
        <w:rPr>
          <w:rFonts w:eastAsia="Times New Roman"/>
          <w:lang w:val="sl-SI"/>
        </w:rPr>
        <w:t>Zaradi majhnega števila bolnikov ni dovolj dokazov o učinkovitosti adalimumaba pri bolnikih s psoriatično artropatijo, podobno ankilozirajočemu spondilitisu.</w:t>
      </w:r>
    </w:p>
    <w:p w14:paraId="67075FC5" w14:textId="77777777" w:rsidR="00E04C8A" w:rsidRDefault="00E04C8A">
      <w:pPr>
        <w:spacing w:before="17" w:line="240" w:lineRule="exact"/>
        <w:rPr>
          <w:sz w:val="24"/>
          <w:szCs w:val="24"/>
          <w:lang w:val="sl-SI"/>
        </w:rPr>
      </w:pPr>
    </w:p>
    <w:p w14:paraId="20F1EED9" w14:textId="3ECEB615" w:rsidR="00E04C8A" w:rsidRDefault="008E1817">
      <w:pPr>
        <w:pStyle w:val="a3"/>
        <w:jc w:val="center"/>
        <w:rPr>
          <w:b/>
          <w:lang w:val="sl-SI"/>
        </w:rPr>
      </w:pPr>
      <w:r>
        <w:rPr>
          <w:rFonts w:eastAsia="Times New Roman"/>
          <w:b/>
          <w:bCs/>
          <w:lang w:val="sl-SI"/>
        </w:rPr>
        <w:t>Preglednica </w:t>
      </w:r>
      <w:r w:rsidR="00982DE1">
        <w:rPr>
          <w:rFonts w:eastAsia="Times New Roman"/>
          <w:b/>
          <w:bCs/>
          <w:lang w:val="sl-SI"/>
        </w:rPr>
        <w:t>15</w:t>
      </w:r>
    </w:p>
    <w:p w14:paraId="7C64ABFB" w14:textId="77777777" w:rsidR="00E04C8A" w:rsidRDefault="008E1817">
      <w:pPr>
        <w:pStyle w:val="a3"/>
        <w:jc w:val="center"/>
        <w:rPr>
          <w:b/>
          <w:lang w:val="sl-SI"/>
        </w:rPr>
      </w:pPr>
      <w:r>
        <w:rPr>
          <w:rFonts w:eastAsia="Times New Roman"/>
          <w:b/>
          <w:bCs/>
          <w:lang w:val="sl-SI"/>
        </w:rPr>
        <w:t>Odziv ACR v študijah pri psoriatičnem artritisu, kontroliranih s placebom (odstotek bolnikov)</w:t>
      </w:r>
    </w:p>
    <w:p w14:paraId="3D26C261" w14:textId="77777777" w:rsidR="00E04C8A" w:rsidRDefault="00E04C8A">
      <w:pPr>
        <w:pStyle w:val="a3"/>
        <w:jc w:val="center"/>
        <w:rPr>
          <w:b/>
          <w:lang w:val="sl-SI"/>
        </w:rPr>
      </w:pPr>
    </w:p>
    <w:tbl>
      <w:tblPr>
        <w:tblStyle w:val="ac"/>
        <w:tblW w:w="0" w:type="auto"/>
        <w:tblLook w:val="04A0" w:firstRow="1" w:lastRow="0" w:firstColumn="1" w:lastColumn="0" w:noHBand="0" w:noVBand="1"/>
      </w:tblPr>
      <w:tblGrid>
        <w:gridCol w:w="1910"/>
        <w:gridCol w:w="1910"/>
        <w:gridCol w:w="1910"/>
        <w:gridCol w:w="1910"/>
        <w:gridCol w:w="1910"/>
      </w:tblGrid>
      <w:tr w:rsidR="00E04C8A" w:rsidRPr="00AC7013" w14:paraId="3E2F8E3F" w14:textId="77777777">
        <w:tc>
          <w:tcPr>
            <w:tcW w:w="1910" w:type="dxa"/>
          </w:tcPr>
          <w:p w14:paraId="12FBE95E" w14:textId="77777777" w:rsidR="00E04C8A" w:rsidRDefault="00E04C8A">
            <w:pPr>
              <w:spacing w:before="11" w:line="240" w:lineRule="exact"/>
              <w:jc w:val="center"/>
              <w:rPr>
                <w:rFonts w:ascii="Times New Roman" w:hAnsi="Times New Roman" w:cs="Times New Roman"/>
                <w:b/>
                <w:lang w:val="sl-SI"/>
              </w:rPr>
            </w:pPr>
          </w:p>
        </w:tc>
        <w:tc>
          <w:tcPr>
            <w:tcW w:w="3820" w:type="dxa"/>
            <w:gridSpan w:val="2"/>
          </w:tcPr>
          <w:p w14:paraId="653484BA" w14:textId="77777777" w:rsidR="00E04C8A" w:rsidRDefault="008E1817">
            <w:pPr>
              <w:spacing w:before="11" w:line="240" w:lineRule="exact"/>
              <w:jc w:val="center"/>
              <w:rPr>
                <w:rFonts w:ascii="Times New Roman" w:hAnsi="Times New Roman" w:cs="Times New Roman"/>
                <w:b/>
                <w:lang w:val="sl-SI"/>
              </w:rPr>
            </w:pPr>
            <w:r>
              <w:rPr>
                <w:rFonts w:ascii="Times New Roman" w:eastAsia="Times New Roman" w:hAnsi="Times New Roman" w:cs="Times New Roman"/>
                <w:b/>
                <w:bCs/>
                <w:spacing w:val="-1"/>
                <w:lang w:val="sl-SI"/>
              </w:rPr>
              <w:t>Študija pri psoriatičnem artritisu I</w:t>
            </w:r>
          </w:p>
        </w:tc>
        <w:tc>
          <w:tcPr>
            <w:tcW w:w="3820" w:type="dxa"/>
            <w:gridSpan w:val="2"/>
          </w:tcPr>
          <w:p w14:paraId="2AD4BBA6" w14:textId="77777777" w:rsidR="00E04C8A" w:rsidRDefault="008E1817">
            <w:pPr>
              <w:spacing w:before="11" w:line="240" w:lineRule="exact"/>
              <w:jc w:val="center"/>
              <w:rPr>
                <w:rFonts w:ascii="Times New Roman" w:hAnsi="Times New Roman" w:cs="Times New Roman"/>
                <w:b/>
                <w:lang w:val="sl-SI"/>
              </w:rPr>
            </w:pPr>
            <w:r>
              <w:rPr>
                <w:rFonts w:ascii="Times New Roman" w:eastAsia="Times New Roman" w:hAnsi="Times New Roman" w:cs="Times New Roman"/>
                <w:b/>
                <w:bCs/>
                <w:spacing w:val="-1"/>
                <w:lang w:val="sl-SI"/>
              </w:rPr>
              <w:t>Študija pri psoriatičnem artritisu II</w:t>
            </w:r>
          </w:p>
        </w:tc>
      </w:tr>
      <w:tr w:rsidR="00E04C8A" w14:paraId="0A54D02E" w14:textId="77777777">
        <w:tc>
          <w:tcPr>
            <w:tcW w:w="1910" w:type="dxa"/>
            <w:tcBorders>
              <w:bottom w:val="single" w:sz="4" w:space="0" w:color="auto"/>
            </w:tcBorders>
          </w:tcPr>
          <w:p w14:paraId="4170D08B" w14:textId="77777777" w:rsidR="00E04C8A" w:rsidRDefault="008E1817">
            <w:pPr>
              <w:spacing w:before="11" w:line="240" w:lineRule="exact"/>
              <w:jc w:val="center"/>
              <w:rPr>
                <w:rFonts w:ascii="Times New Roman" w:hAnsi="Times New Roman" w:cs="Times New Roman"/>
                <w:b/>
                <w:lang w:val="sl-SI" w:eastAsia="ko-KR"/>
              </w:rPr>
            </w:pPr>
            <w:r>
              <w:rPr>
                <w:rFonts w:ascii="Times New Roman" w:eastAsia="Times New Roman" w:hAnsi="Times New Roman" w:cs="Times New Roman"/>
                <w:b/>
                <w:bCs/>
                <w:lang w:val="sl-SI" w:eastAsia="ko-KR"/>
              </w:rPr>
              <w:t>Odziv</w:t>
            </w:r>
          </w:p>
        </w:tc>
        <w:tc>
          <w:tcPr>
            <w:tcW w:w="1910" w:type="dxa"/>
            <w:tcBorders>
              <w:bottom w:val="single" w:sz="4" w:space="0" w:color="auto"/>
            </w:tcBorders>
          </w:tcPr>
          <w:p w14:paraId="1FFD2D2E" w14:textId="77777777" w:rsidR="00E04C8A" w:rsidRDefault="008E1817">
            <w:pPr>
              <w:spacing w:before="11" w:line="240" w:lineRule="exact"/>
              <w:jc w:val="center"/>
              <w:rPr>
                <w:rFonts w:ascii="Times New Roman" w:hAnsi="Times New Roman" w:cs="Times New Roman"/>
                <w:b/>
                <w:lang w:val="sl-SI" w:eastAsia="ko-KR"/>
              </w:rPr>
            </w:pPr>
            <w:r>
              <w:rPr>
                <w:rFonts w:ascii="Times New Roman" w:eastAsia="Times New Roman" w:hAnsi="Times New Roman" w:cs="Times New Roman"/>
                <w:b/>
                <w:bCs/>
                <w:lang w:val="sl-SI" w:eastAsia="ko-KR"/>
              </w:rPr>
              <w:t>Placebo</w:t>
            </w:r>
          </w:p>
          <w:p w14:paraId="4EBAF887" w14:textId="77777777" w:rsidR="00E04C8A" w:rsidRDefault="008E1817">
            <w:pPr>
              <w:spacing w:before="11" w:line="240" w:lineRule="exact"/>
              <w:jc w:val="center"/>
              <w:rPr>
                <w:rFonts w:ascii="Times New Roman" w:hAnsi="Times New Roman" w:cs="Times New Roman"/>
                <w:b/>
                <w:lang w:val="sl-SI" w:eastAsia="ko-KR"/>
              </w:rPr>
            </w:pPr>
            <w:r>
              <w:rPr>
                <w:rFonts w:ascii="Times New Roman" w:eastAsia="Times New Roman" w:hAnsi="Times New Roman" w:cs="Times New Roman"/>
                <w:b/>
                <w:bCs/>
                <w:lang w:val="sl-SI" w:eastAsia="ko-KR"/>
              </w:rPr>
              <w:t>N = 162</w:t>
            </w:r>
          </w:p>
        </w:tc>
        <w:tc>
          <w:tcPr>
            <w:tcW w:w="1910" w:type="dxa"/>
            <w:tcBorders>
              <w:bottom w:val="single" w:sz="4" w:space="0" w:color="auto"/>
            </w:tcBorders>
          </w:tcPr>
          <w:p w14:paraId="75DD436F" w14:textId="77777777" w:rsidR="00E04C8A" w:rsidRDefault="008E1817">
            <w:pPr>
              <w:spacing w:before="11" w:line="240" w:lineRule="exact"/>
              <w:jc w:val="center"/>
              <w:rPr>
                <w:rFonts w:ascii="Times New Roman" w:hAnsi="Times New Roman" w:cs="Times New Roman"/>
                <w:b/>
                <w:lang w:val="sl-SI" w:eastAsia="ko-KR"/>
              </w:rPr>
            </w:pPr>
            <w:r>
              <w:rPr>
                <w:rFonts w:ascii="Times New Roman" w:eastAsia="Times New Roman" w:hAnsi="Times New Roman" w:cs="Times New Roman"/>
                <w:b/>
                <w:bCs/>
                <w:lang w:val="sl-SI" w:eastAsia="ko-KR"/>
              </w:rPr>
              <w:t>Adalimumab</w:t>
            </w:r>
          </w:p>
          <w:p w14:paraId="4470E4D9" w14:textId="77777777" w:rsidR="00E04C8A" w:rsidRDefault="008E1817">
            <w:pPr>
              <w:spacing w:before="11" w:line="240" w:lineRule="exact"/>
              <w:jc w:val="center"/>
              <w:rPr>
                <w:rFonts w:ascii="Times New Roman" w:hAnsi="Times New Roman" w:cs="Times New Roman"/>
                <w:b/>
                <w:lang w:val="sl-SI" w:eastAsia="ko-KR"/>
              </w:rPr>
            </w:pPr>
            <w:r>
              <w:rPr>
                <w:rFonts w:ascii="Times New Roman" w:eastAsia="Times New Roman" w:hAnsi="Times New Roman" w:cs="Times New Roman"/>
                <w:b/>
                <w:bCs/>
                <w:lang w:val="sl-SI" w:eastAsia="ko-KR"/>
              </w:rPr>
              <w:t>N = 151</w:t>
            </w:r>
          </w:p>
        </w:tc>
        <w:tc>
          <w:tcPr>
            <w:tcW w:w="1910" w:type="dxa"/>
            <w:tcBorders>
              <w:bottom w:val="single" w:sz="4" w:space="0" w:color="auto"/>
            </w:tcBorders>
          </w:tcPr>
          <w:p w14:paraId="3A08257C" w14:textId="77777777" w:rsidR="00E04C8A" w:rsidRDefault="008E1817">
            <w:pPr>
              <w:spacing w:before="11" w:line="240" w:lineRule="exact"/>
              <w:jc w:val="center"/>
              <w:rPr>
                <w:rFonts w:ascii="Times New Roman" w:hAnsi="Times New Roman" w:cs="Times New Roman"/>
                <w:b/>
                <w:lang w:val="sl-SI" w:eastAsia="ko-KR"/>
              </w:rPr>
            </w:pPr>
            <w:r>
              <w:rPr>
                <w:rFonts w:ascii="Times New Roman" w:eastAsia="Times New Roman" w:hAnsi="Times New Roman" w:cs="Times New Roman"/>
                <w:b/>
                <w:bCs/>
                <w:lang w:val="sl-SI" w:eastAsia="ko-KR"/>
              </w:rPr>
              <w:t>Placebo</w:t>
            </w:r>
          </w:p>
          <w:p w14:paraId="6592D8EA" w14:textId="77777777" w:rsidR="00E04C8A" w:rsidRDefault="008E1817">
            <w:pPr>
              <w:spacing w:before="11" w:line="240" w:lineRule="exact"/>
              <w:jc w:val="center"/>
              <w:rPr>
                <w:rFonts w:ascii="Times New Roman" w:hAnsi="Times New Roman" w:cs="Times New Roman"/>
                <w:b/>
                <w:lang w:val="sl-SI" w:eastAsia="ko-KR"/>
              </w:rPr>
            </w:pPr>
            <w:r>
              <w:rPr>
                <w:rFonts w:ascii="Times New Roman" w:eastAsia="Times New Roman" w:hAnsi="Times New Roman" w:cs="Times New Roman"/>
                <w:b/>
                <w:bCs/>
                <w:lang w:val="sl-SI" w:eastAsia="ko-KR"/>
              </w:rPr>
              <w:t>N = 49</w:t>
            </w:r>
          </w:p>
        </w:tc>
        <w:tc>
          <w:tcPr>
            <w:tcW w:w="1910" w:type="dxa"/>
            <w:tcBorders>
              <w:bottom w:val="single" w:sz="4" w:space="0" w:color="auto"/>
            </w:tcBorders>
          </w:tcPr>
          <w:p w14:paraId="4D98852A" w14:textId="77777777" w:rsidR="00E04C8A" w:rsidRDefault="008E1817">
            <w:pPr>
              <w:spacing w:before="11" w:line="240" w:lineRule="exact"/>
              <w:jc w:val="center"/>
              <w:rPr>
                <w:rFonts w:ascii="Times New Roman" w:hAnsi="Times New Roman" w:cs="Times New Roman"/>
                <w:b/>
                <w:lang w:val="sl-SI" w:eastAsia="ko-KR"/>
              </w:rPr>
            </w:pPr>
            <w:r>
              <w:rPr>
                <w:rFonts w:ascii="Times New Roman" w:eastAsia="Times New Roman" w:hAnsi="Times New Roman" w:cs="Times New Roman"/>
                <w:b/>
                <w:bCs/>
                <w:lang w:val="sl-SI" w:eastAsia="ko-KR"/>
              </w:rPr>
              <w:t>Adalimumab</w:t>
            </w:r>
          </w:p>
          <w:p w14:paraId="6F397545" w14:textId="77777777" w:rsidR="00E04C8A" w:rsidRDefault="008E1817">
            <w:pPr>
              <w:spacing w:before="11" w:line="240" w:lineRule="exact"/>
              <w:jc w:val="center"/>
              <w:rPr>
                <w:rFonts w:ascii="Times New Roman" w:hAnsi="Times New Roman" w:cs="Times New Roman"/>
                <w:b/>
                <w:lang w:val="sl-SI" w:eastAsia="ko-KR"/>
              </w:rPr>
            </w:pPr>
            <w:r>
              <w:rPr>
                <w:rFonts w:ascii="Times New Roman" w:eastAsia="Times New Roman" w:hAnsi="Times New Roman" w:cs="Times New Roman"/>
                <w:b/>
                <w:bCs/>
                <w:lang w:val="sl-SI" w:eastAsia="ko-KR"/>
              </w:rPr>
              <w:t>N = 51</w:t>
            </w:r>
          </w:p>
        </w:tc>
      </w:tr>
      <w:tr w:rsidR="00E04C8A" w14:paraId="57EB099D" w14:textId="77777777">
        <w:tc>
          <w:tcPr>
            <w:tcW w:w="1910" w:type="dxa"/>
            <w:tcBorders>
              <w:top w:val="single" w:sz="4" w:space="0" w:color="auto"/>
              <w:left w:val="single" w:sz="4" w:space="0" w:color="auto"/>
              <w:bottom w:val="nil"/>
              <w:right w:val="single" w:sz="4" w:space="0" w:color="auto"/>
            </w:tcBorders>
          </w:tcPr>
          <w:p w14:paraId="72C32EC7" w14:textId="77777777" w:rsidR="00E04C8A" w:rsidRDefault="008E1817">
            <w:pPr>
              <w:spacing w:before="11" w:line="240" w:lineRule="exact"/>
              <w:rPr>
                <w:rFonts w:ascii="Times New Roman" w:hAnsi="Times New Roman" w:cs="Times New Roman"/>
                <w:lang w:val="sl-SI" w:eastAsia="ko-KR"/>
              </w:rPr>
            </w:pPr>
            <w:r>
              <w:rPr>
                <w:rFonts w:ascii="Times New Roman" w:eastAsia="Times New Roman" w:hAnsi="Times New Roman" w:cs="Times New Roman"/>
                <w:lang w:val="sl-SI" w:eastAsia="ko-KR"/>
              </w:rPr>
              <w:t>ACR 20</w:t>
            </w:r>
          </w:p>
        </w:tc>
        <w:tc>
          <w:tcPr>
            <w:tcW w:w="1910" w:type="dxa"/>
            <w:tcBorders>
              <w:top w:val="single" w:sz="4" w:space="0" w:color="auto"/>
              <w:left w:val="single" w:sz="4" w:space="0" w:color="auto"/>
              <w:bottom w:val="nil"/>
              <w:right w:val="single" w:sz="4" w:space="0" w:color="auto"/>
            </w:tcBorders>
          </w:tcPr>
          <w:p w14:paraId="44E67FBB" w14:textId="77777777" w:rsidR="00E04C8A" w:rsidRDefault="00E04C8A">
            <w:pPr>
              <w:spacing w:before="11" w:line="240" w:lineRule="exact"/>
              <w:rPr>
                <w:rFonts w:ascii="Times New Roman" w:hAnsi="Times New Roman" w:cs="Times New Roman"/>
                <w:lang w:val="sl-SI" w:eastAsia="ko-KR"/>
              </w:rPr>
            </w:pPr>
          </w:p>
        </w:tc>
        <w:tc>
          <w:tcPr>
            <w:tcW w:w="1910" w:type="dxa"/>
            <w:tcBorders>
              <w:top w:val="single" w:sz="4" w:space="0" w:color="auto"/>
              <w:left w:val="single" w:sz="4" w:space="0" w:color="auto"/>
              <w:bottom w:val="nil"/>
              <w:right w:val="single" w:sz="4" w:space="0" w:color="auto"/>
            </w:tcBorders>
          </w:tcPr>
          <w:p w14:paraId="59BEF117" w14:textId="77777777" w:rsidR="00E04C8A" w:rsidRDefault="00E04C8A">
            <w:pPr>
              <w:spacing w:before="11" w:line="240" w:lineRule="exact"/>
              <w:rPr>
                <w:rFonts w:ascii="Times New Roman" w:hAnsi="Times New Roman" w:cs="Times New Roman"/>
                <w:lang w:val="sl-SI"/>
              </w:rPr>
            </w:pPr>
          </w:p>
        </w:tc>
        <w:tc>
          <w:tcPr>
            <w:tcW w:w="1910" w:type="dxa"/>
            <w:tcBorders>
              <w:top w:val="single" w:sz="4" w:space="0" w:color="auto"/>
              <w:left w:val="single" w:sz="4" w:space="0" w:color="auto"/>
              <w:bottom w:val="nil"/>
              <w:right w:val="single" w:sz="4" w:space="0" w:color="auto"/>
            </w:tcBorders>
          </w:tcPr>
          <w:p w14:paraId="0D33D620" w14:textId="77777777" w:rsidR="00E04C8A" w:rsidRDefault="00E04C8A">
            <w:pPr>
              <w:spacing w:before="11" w:line="240" w:lineRule="exact"/>
              <w:rPr>
                <w:rFonts w:ascii="Times New Roman" w:hAnsi="Times New Roman" w:cs="Times New Roman"/>
                <w:lang w:val="sl-SI"/>
              </w:rPr>
            </w:pPr>
          </w:p>
        </w:tc>
        <w:tc>
          <w:tcPr>
            <w:tcW w:w="1910" w:type="dxa"/>
            <w:tcBorders>
              <w:top w:val="single" w:sz="4" w:space="0" w:color="auto"/>
              <w:left w:val="single" w:sz="4" w:space="0" w:color="auto"/>
              <w:bottom w:val="nil"/>
              <w:right w:val="single" w:sz="4" w:space="0" w:color="auto"/>
            </w:tcBorders>
          </w:tcPr>
          <w:p w14:paraId="18AA4A24" w14:textId="77777777" w:rsidR="00E04C8A" w:rsidRDefault="00E04C8A">
            <w:pPr>
              <w:spacing w:before="11" w:line="240" w:lineRule="exact"/>
              <w:rPr>
                <w:rFonts w:ascii="Times New Roman" w:hAnsi="Times New Roman" w:cs="Times New Roman"/>
                <w:lang w:val="sl-SI"/>
              </w:rPr>
            </w:pPr>
          </w:p>
        </w:tc>
      </w:tr>
      <w:tr w:rsidR="00E04C8A" w14:paraId="2B025F91" w14:textId="77777777">
        <w:tc>
          <w:tcPr>
            <w:tcW w:w="1910" w:type="dxa"/>
            <w:tcBorders>
              <w:top w:val="nil"/>
              <w:left w:val="single" w:sz="4" w:space="0" w:color="auto"/>
              <w:bottom w:val="nil"/>
              <w:right w:val="single" w:sz="4" w:space="0" w:color="auto"/>
            </w:tcBorders>
          </w:tcPr>
          <w:p w14:paraId="6EDCB143" w14:textId="77777777" w:rsidR="00E04C8A" w:rsidRDefault="008E1817">
            <w:pPr>
              <w:spacing w:before="11" w:line="240" w:lineRule="exact"/>
              <w:jc w:val="right"/>
              <w:rPr>
                <w:rFonts w:ascii="Times New Roman" w:hAnsi="Times New Roman" w:cs="Times New Roman"/>
                <w:lang w:val="sl-SI" w:eastAsia="ko-KR"/>
              </w:rPr>
            </w:pPr>
            <w:r>
              <w:rPr>
                <w:rFonts w:ascii="Times New Roman" w:eastAsia="Times New Roman" w:hAnsi="Times New Roman" w:cs="Times New Roman"/>
                <w:lang w:val="sl-SI" w:eastAsia="ko-KR"/>
              </w:rPr>
              <w:t>12. teden</w:t>
            </w:r>
          </w:p>
        </w:tc>
        <w:tc>
          <w:tcPr>
            <w:tcW w:w="1910" w:type="dxa"/>
            <w:tcBorders>
              <w:top w:val="nil"/>
              <w:left w:val="single" w:sz="4" w:space="0" w:color="auto"/>
              <w:bottom w:val="nil"/>
              <w:right w:val="single" w:sz="4" w:space="0" w:color="auto"/>
            </w:tcBorders>
          </w:tcPr>
          <w:p w14:paraId="23894064"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14 %</w:t>
            </w:r>
          </w:p>
        </w:tc>
        <w:tc>
          <w:tcPr>
            <w:tcW w:w="1910" w:type="dxa"/>
            <w:tcBorders>
              <w:top w:val="nil"/>
              <w:left w:val="single" w:sz="4" w:space="0" w:color="auto"/>
              <w:bottom w:val="nil"/>
              <w:right w:val="single" w:sz="4" w:space="0" w:color="auto"/>
            </w:tcBorders>
          </w:tcPr>
          <w:p w14:paraId="63780947"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58 %***</w:t>
            </w:r>
          </w:p>
        </w:tc>
        <w:tc>
          <w:tcPr>
            <w:tcW w:w="1910" w:type="dxa"/>
            <w:tcBorders>
              <w:top w:val="nil"/>
              <w:left w:val="single" w:sz="4" w:space="0" w:color="auto"/>
              <w:bottom w:val="nil"/>
              <w:right w:val="single" w:sz="4" w:space="0" w:color="auto"/>
            </w:tcBorders>
          </w:tcPr>
          <w:p w14:paraId="0F08D78A"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16 %</w:t>
            </w:r>
          </w:p>
        </w:tc>
        <w:tc>
          <w:tcPr>
            <w:tcW w:w="1910" w:type="dxa"/>
            <w:tcBorders>
              <w:top w:val="nil"/>
              <w:left w:val="single" w:sz="4" w:space="0" w:color="auto"/>
              <w:bottom w:val="nil"/>
              <w:right w:val="single" w:sz="4" w:space="0" w:color="auto"/>
            </w:tcBorders>
          </w:tcPr>
          <w:p w14:paraId="61418E71"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39 %*</w:t>
            </w:r>
          </w:p>
        </w:tc>
      </w:tr>
      <w:tr w:rsidR="00E04C8A" w14:paraId="0A9CB7CC" w14:textId="77777777">
        <w:tc>
          <w:tcPr>
            <w:tcW w:w="1910" w:type="dxa"/>
            <w:tcBorders>
              <w:top w:val="nil"/>
              <w:left w:val="single" w:sz="4" w:space="0" w:color="auto"/>
              <w:bottom w:val="nil"/>
              <w:right w:val="single" w:sz="4" w:space="0" w:color="auto"/>
            </w:tcBorders>
          </w:tcPr>
          <w:p w14:paraId="15190157" w14:textId="77777777" w:rsidR="00E04C8A" w:rsidRDefault="008E1817">
            <w:pPr>
              <w:spacing w:before="11" w:line="240" w:lineRule="exact"/>
              <w:jc w:val="right"/>
              <w:rPr>
                <w:rFonts w:ascii="Times New Roman" w:hAnsi="Times New Roman" w:cs="Times New Roman"/>
                <w:lang w:val="sl-SI" w:eastAsia="ko-KR"/>
              </w:rPr>
            </w:pPr>
            <w:r>
              <w:rPr>
                <w:rFonts w:ascii="Times New Roman" w:eastAsia="Times New Roman" w:hAnsi="Times New Roman" w:cs="Times New Roman"/>
                <w:lang w:val="sl-SI" w:eastAsia="ko-KR"/>
              </w:rPr>
              <w:t>24. teden</w:t>
            </w:r>
          </w:p>
        </w:tc>
        <w:tc>
          <w:tcPr>
            <w:tcW w:w="1910" w:type="dxa"/>
            <w:tcBorders>
              <w:top w:val="nil"/>
              <w:left w:val="single" w:sz="4" w:space="0" w:color="auto"/>
              <w:bottom w:val="nil"/>
              <w:right w:val="single" w:sz="4" w:space="0" w:color="auto"/>
            </w:tcBorders>
          </w:tcPr>
          <w:p w14:paraId="7B551AE7"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15 %</w:t>
            </w:r>
          </w:p>
        </w:tc>
        <w:tc>
          <w:tcPr>
            <w:tcW w:w="1910" w:type="dxa"/>
            <w:tcBorders>
              <w:top w:val="nil"/>
              <w:left w:val="single" w:sz="4" w:space="0" w:color="auto"/>
              <w:bottom w:val="nil"/>
              <w:right w:val="single" w:sz="4" w:space="0" w:color="auto"/>
            </w:tcBorders>
          </w:tcPr>
          <w:p w14:paraId="0AF607E2"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57 %***</w:t>
            </w:r>
          </w:p>
        </w:tc>
        <w:tc>
          <w:tcPr>
            <w:tcW w:w="1910" w:type="dxa"/>
            <w:tcBorders>
              <w:top w:val="nil"/>
              <w:left w:val="single" w:sz="4" w:space="0" w:color="auto"/>
              <w:bottom w:val="nil"/>
              <w:right w:val="single" w:sz="4" w:space="0" w:color="auto"/>
            </w:tcBorders>
          </w:tcPr>
          <w:p w14:paraId="1B99153D"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np</w:t>
            </w:r>
          </w:p>
        </w:tc>
        <w:tc>
          <w:tcPr>
            <w:tcW w:w="1910" w:type="dxa"/>
            <w:tcBorders>
              <w:top w:val="nil"/>
              <w:left w:val="single" w:sz="4" w:space="0" w:color="auto"/>
              <w:bottom w:val="nil"/>
              <w:right w:val="single" w:sz="4" w:space="0" w:color="auto"/>
            </w:tcBorders>
          </w:tcPr>
          <w:p w14:paraId="5AD0781C"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np</w:t>
            </w:r>
          </w:p>
        </w:tc>
      </w:tr>
      <w:tr w:rsidR="00E04C8A" w14:paraId="0156A578" w14:textId="77777777">
        <w:tc>
          <w:tcPr>
            <w:tcW w:w="1910" w:type="dxa"/>
            <w:tcBorders>
              <w:top w:val="nil"/>
              <w:left w:val="single" w:sz="4" w:space="0" w:color="auto"/>
              <w:bottom w:val="nil"/>
              <w:right w:val="single" w:sz="4" w:space="0" w:color="auto"/>
            </w:tcBorders>
          </w:tcPr>
          <w:p w14:paraId="3943B69F" w14:textId="77777777" w:rsidR="00E04C8A" w:rsidRDefault="008E1817">
            <w:pPr>
              <w:spacing w:before="11" w:line="240" w:lineRule="exact"/>
              <w:rPr>
                <w:rFonts w:ascii="Times New Roman" w:hAnsi="Times New Roman" w:cs="Times New Roman"/>
                <w:lang w:val="sl-SI" w:eastAsia="ko-KR"/>
              </w:rPr>
            </w:pPr>
            <w:r>
              <w:rPr>
                <w:rFonts w:ascii="Times New Roman" w:eastAsia="Times New Roman" w:hAnsi="Times New Roman" w:cs="Times New Roman"/>
                <w:lang w:val="sl-SI" w:eastAsia="ko-KR"/>
              </w:rPr>
              <w:t>ACR 50</w:t>
            </w:r>
          </w:p>
        </w:tc>
        <w:tc>
          <w:tcPr>
            <w:tcW w:w="1910" w:type="dxa"/>
            <w:tcBorders>
              <w:top w:val="nil"/>
              <w:left w:val="single" w:sz="4" w:space="0" w:color="auto"/>
              <w:bottom w:val="nil"/>
              <w:right w:val="single" w:sz="4" w:space="0" w:color="auto"/>
            </w:tcBorders>
          </w:tcPr>
          <w:p w14:paraId="75C1BD5D" w14:textId="77777777" w:rsidR="00E04C8A" w:rsidRDefault="00E04C8A">
            <w:pPr>
              <w:spacing w:before="11" w:line="240" w:lineRule="exact"/>
              <w:jc w:val="center"/>
              <w:rPr>
                <w:rFonts w:ascii="Times New Roman" w:hAnsi="Times New Roman" w:cs="Times New Roman"/>
                <w:lang w:val="sl-SI"/>
              </w:rPr>
            </w:pPr>
          </w:p>
        </w:tc>
        <w:tc>
          <w:tcPr>
            <w:tcW w:w="1910" w:type="dxa"/>
            <w:tcBorders>
              <w:top w:val="nil"/>
              <w:left w:val="single" w:sz="4" w:space="0" w:color="auto"/>
              <w:bottom w:val="nil"/>
              <w:right w:val="single" w:sz="4" w:space="0" w:color="auto"/>
            </w:tcBorders>
          </w:tcPr>
          <w:p w14:paraId="248A7D31" w14:textId="77777777" w:rsidR="00E04C8A" w:rsidRDefault="00E04C8A">
            <w:pPr>
              <w:spacing w:before="11" w:line="240" w:lineRule="exact"/>
              <w:jc w:val="center"/>
              <w:rPr>
                <w:rFonts w:ascii="Times New Roman" w:hAnsi="Times New Roman" w:cs="Times New Roman"/>
                <w:lang w:val="sl-SI"/>
              </w:rPr>
            </w:pPr>
          </w:p>
        </w:tc>
        <w:tc>
          <w:tcPr>
            <w:tcW w:w="1910" w:type="dxa"/>
            <w:tcBorders>
              <w:top w:val="nil"/>
              <w:left w:val="single" w:sz="4" w:space="0" w:color="auto"/>
              <w:bottom w:val="nil"/>
              <w:right w:val="single" w:sz="4" w:space="0" w:color="auto"/>
            </w:tcBorders>
          </w:tcPr>
          <w:p w14:paraId="6FF1838F" w14:textId="77777777" w:rsidR="00E04C8A" w:rsidRDefault="00E04C8A">
            <w:pPr>
              <w:spacing w:before="11" w:line="240" w:lineRule="exact"/>
              <w:jc w:val="center"/>
              <w:rPr>
                <w:rFonts w:ascii="Times New Roman" w:hAnsi="Times New Roman" w:cs="Times New Roman"/>
                <w:lang w:val="sl-SI"/>
              </w:rPr>
            </w:pPr>
          </w:p>
        </w:tc>
        <w:tc>
          <w:tcPr>
            <w:tcW w:w="1910" w:type="dxa"/>
            <w:tcBorders>
              <w:top w:val="nil"/>
              <w:left w:val="single" w:sz="4" w:space="0" w:color="auto"/>
              <w:bottom w:val="nil"/>
              <w:right w:val="single" w:sz="4" w:space="0" w:color="auto"/>
            </w:tcBorders>
          </w:tcPr>
          <w:p w14:paraId="1F50FF16" w14:textId="77777777" w:rsidR="00E04C8A" w:rsidRDefault="00E04C8A">
            <w:pPr>
              <w:spacing w:before="11" w:line="240" w:lineRule="exact"/>
              <w:jc w:val="center"/>
              <w:rPr>
                <w:rFonts w:ascii="Times New Roman" w:hAnsi="Times New Roman" w:cs="Times New Roman"/>
                <w:lang w:val="sl-SI"/>
              </w:rPr>
            </w:pPr>
          </w:p>
        </w:tc>
      </w:tr>
      <w:tr w:rsidR="00E04C8A" w14:paraId="7414FB92" w14:textId="77777777">
        <w:tc>
          <w:tcPr>
            <w:tcW w:w="1910" w:type="dxa"/>
            <w:tcBorders>
              <w:top w:val="nil"/>
              <w:left w:val="single" w:sz="4" w:space="0" w:color="auto"/>
              <w:bottom w:val="nil"/>
              <w:right w:val="single" w:sz="4" w:space="0" w:color="auto"/>
            </w:tcBorders>
          </w:tcPr>
          <w:p w14:paraId="7416A217" w14:textId="77777777" w:rsidR="00E04C8A" w:rsidRDefault="008E1817">
            <w:pPr>
              <w:spacing w:before="11" w:line="240" w:lineRule="exact"/>
              <w:jc w:val="right"/>
              <w:rPr>
                <w:rFonts w:ascii="Times New Roman" w:hAnsi="Times New Roman" w:cs="Times New Roman"/>
                <w:lang w:val="sl-SI"/>
              </w:rPr>
            </w:pPr>
            <w:r>
              <w:rPr>
                <w:rFonts w:ascii="Times New Roman" w:eastAsia="Times New Roman" w:hAnsi="Times New Roman" w:cs="Times New Roman"/>
                <w:lang w:val="sl-SI" w:eastAsia="ko-KR"/>
              </w:rPr>
              <w:t>12. teden</w:t>
            </w:r>
          </w:p>
        </w:tc>
        <w:tc>
          <w:tcPr>
            <w:tcW w:w="1910" w:type="dxa"/>
            <w:tcBorders>
              <w:top w:val="nil"/>
              <w:left w:val="single" w:sz="4" w:space="0" w:color="auto"/>
              <w:bottom w:val="nil"/>
              <w:right w:val="single" w:sz="4" w:space="0" w:color="auto"/>
            </w:tcBorders>
          </w:tcPr>
          <w:p w14:paraId="235540B9"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4 %</w:t>
            </w:r>
          </w:p>
        </w:tc>
        <w:tc>
          <w:tcPr>
            <w:tcW w:w="1910" w:type="dxa"/>
            <w:tcBorders>
              <w:top w:val="nil"/>
              <w:left w:val="single" w:sz="4" w:space="0" w:color="auto"/>
              <w:bottom w:val="nil"/>
              <w:right w:val="single" w:sz="4" w:space="0" w:color="auto"/>
            </w:tcBorders>
          </w:tcPr>
          <w:p w14:paraId="18A0BBAC"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36 %***</w:t>
            </w:r>
          </w:p>
        </w:tc>
        <w:tc>
          <w:tcPr>
            <w:tcW w:w="1910" w:type="dxa"/>
            <w:tcBorders>
              <w:top w:val="nil"/>
              <w:left w:val="single" w:sz="4" w:space="0" w:color="auto"/>
              <w:bottom w:val="nil"/>
              <w:right w:val="single" w:sz="4" w:space="0" w:color="auto"/>
            </w:tcBorders>
          </w:tcPr>
          <w:p w14:paraId="694C6D61"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2 %</w:t>
            </w:r>
          </w:p>
        </w:tc>
        <w:tc>
          <w:tcPr>
            <w:tcW w:w="1910" w:type="dxa"/>
            <w:tcBorders>
              <w:top w:val="nil"/>
              <w:left w:val="single" w:sz="4" w:space="0" w:color="auto"/>
              <w:bottom w:val="nil"/>
              <w:right w:val="single" w:sz="4" w:space="0" w:color="auto"/>
            </w:tcBorders>
          </w:tcPr>
          <w:p w14:paraId="340D0F69"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25 %***</w:t>
            </w:r>
          </w:p>
        </w:tc>
      </w:tr>
      <w:tr w:rsidR="00E04C8A" w14:paraId="0B3B0473" w14:textId="77777777">
        <w:tc>
          <w:tcPr>
            <w:tcW w:w="1910" w:type="dxa"/>
            <w:tcBorders>
              <w:top w:val="nil"/>
              <w:left w:val="single" w:sz="4" w:space="0" w:color="auto"/>
              <w:bottom w:val="nil"/>
              <w:right w:val="single" w:sz="4" w:space="0" w:color="auto"/>
            </w:tcBorders>
          </w:tcPr>
          <w:p w14:paraId="6403F45E" w14:textId="77777777" w:rsidR="00E04C8A" w:rsidRDefault="008E1817">
            <w:pPr>
              <w:spacing w:before="11" w:line="240" w:lineRule="exact"/>
              <w:jc w:val="right"/>
              <w:rPr>
                <w:rFonts w:ascii="Times New Roman" w:hAnsi="Times New Roman" w:cs="Times New Roman"/>
                <w:lang w:val="sl-SI"/>
              </w:rPr>
            </w:pPr>
            <w:r>
              <w:rPr>
                <w:rFonts w:ascii="Times New Roman" w:eastAsia="Times New Roman" w:hAnsi="Times New Roman" w:cs="Times New Roman"/>
                <w:lang w:val="sl-SI" w:eastAsia="ko-KR"/>
              </w:rPr>
              <w:t>24. teden</w:t>
            </w:r>
          </w:p>
        </w:tc>
        <w:tc>
          <w:tcPr>
            <w:tcW w:w="1910" w:type="dxa"/>
            <w:tcBorders>
              <w:top w:val="nil"/>
              <w:left w:val="single" w:sz="4" w:space="0" w:color="auto"/>
              <w:bottom w:val="nil"/>
              <w:right w:val="single" w:sz="4" w:space="0" w:color="auto"/>
            </w:tcBorders>
          </w:tcPr>
          <w:p w14:paraId="06C29C62"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6 %</w:t>
            </w:r>
          </w:p>
        </w:tc>
        <w:tc>
          <w:tcPr>
            <w:tcW w:w="1910" w:type="dxa"/>
            <w:tcBorders>
              <w:top w:val="nil"/>
              <w:left w:val="single" w:sz="4" w:space="0" w:color="auto"/>
              <w:bottom w:val="nil"/>
              <w:right w:val="single" w:sz="4" w:space="0" w:color="auto"/>
            </w:tcBorders>
          </w:tcPr>
          <w:p w14:paraId="72F61418"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39 %*</w:t>
            </w:r>
            <w:r w:rsidR="001407A2" w:rsidRPr="00ED76F7">
              <w:rPr>
                <w:rFonts w:ascii="Times New Roman" w:hAnsi="Times New Roman" w:cs="Times New Roman"/>
                <w:lang w:eastAsia="ko-KR"/>
              </w:rPr>
              <w:t>**</w:t>
            </w:r>
          </w:p>
        </w:tc>
        <w:tc>
          <w:tcPr>
            <w:tcW w:w="1910" w:type="dxa"/>
            <w:tcBorders>
              <w:top w:val="nil"/>
              <w:left w:val="single" w:sz="4" w:space="0" w:color="auto"/>
              <w:bottom w:val="nil"/>
              <w:right w:val="single" w:sz="4" w:space="0" w:color="auto"/>
            </w:tcBorders>
          </w:tcPr>
          <w:p w14:paraId="656DDB45"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np</w:t>
            </w:r>
          </w:p>
        </w:tc>
        <w:tc>
          <w:tcPr>
            <w:tcW w:w="1910" w:type="dxa"/>
            <w:tcBorders>
              <w:top w:val="nil"/>
              <w:left w:val="single" w:sz="4" w:space="0" w:color="auto"/>
              <w:bottom w:val="nil"/>
              <w:right w:val="single" w:sz="4" w:space="0" w:color="auto"/>
            </w:tcBorders>
          </w:tcPr>
          <w:p w14:paraId="4281DE54"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np</w:t>
            </w:r>
          </w:p>
        </w:tc>
      </w:tr>
      <w:tr w:rsidR="00E04C8A" w14:paraId="064262A0" w14:textId="77777777">
        <w:tc>
          <w:tcPr>
            <w:tcW w:w="1910" w:type="dxa"/>
            <w:tcBorders>
              <w:top w:val="nil"/>
              <w:left w:val="single" w:sz="4" w:space="0" w:color="auto"/>
              <w:bottom w:val="nil"/>
              <w:right w:val="single" w:sz="4" w:space="0" w:color="auto"/>
            </w:tcBorders>
          </w:tcPr>
          <w:p w14:paraId="722671A3" w14:textId="77777777" w:rsidR="00E04C8A" w:rsidRDefault="008E1817">
            <w:pPr>
              <w:spacing w:before="11" w:line="240" w:lineRule="exact"/>
              <w:rPr>
                <w:rFonts w:ascii="Times New Roman" w:hAnsi="Times New Roman" w:cs="Times New Roman"/>
                <w:lang w:val="sl-SI" w:eastAsia="ko-KR"/>
              </w:rPr>
            </w:pPr>
            <w:r>
              <w:rPr>
                <w:rFonts w:ascii="Times New Roman" w:eastAsia="Times New Roman" w:hAnsi="Times New Roman" w:cs="Times New Roman"/>
                <w:lang w:val="sl-SI" w:eastAsia="ko-KR"/>
              </w:rPr>
              <w:t>ACR 70</w:t>
            </w:r>
          </w:p>
        </w:tc>
        <w:tc>
          <w:tcPr>
            <w:tcW w:w="1910" w:type="dxa"/>
            <w:tcBorders>
              <w:top w:val="nil"/>
              <w:left w:val="single" w:sz="4" w:space="0" w:color="auto"/>
              <w:bottom w:val="nil"/>
              <w:right w:val="single" w:sz="4" w:space="0" w:color="auto"/>
            </w:tcBorders>
          </w:tcPr>
          <w:p w14:paraId="47E26D74" w14:textId="77777777" w:rsidR="00E04C8A" w:rsidRDefault="00E04C8A">
            <w:pPr>
              <w:spacing w:before="11" w:line="240" w:lineRule="exact"/>
              <w:jc w:val="center"/>
              <w:rPr>
                <w:rFonts w:ascii="Times New Roman" w:hAnsi="Times New Roman" w:cs="Times New Roman"/>
                <w:lang w:val="sl-SI"/>
              </w:rPr>
            </w:pPr>
          </w:p>
        </w:tc>
        <w:tc>
          <w:tcPr>
            <w:tcW w:w="1910" w:type="dxa"/>
            <w:tcBorders>
              <w:top w:val="nil"/>
              <w:left w:val="single" w:sz="4" w:space="0" w:color="auto"/>
              <w:bottom w:val="nil"/>
              <w:right w:val="single" w:sz="4" w:space="0" w:color="auto"/>
            </w:tcBorders>
          </w:tcPr>
          <w:p w14:paraId="548DE311" w14:textId="77777777" w:rsidR="00E04C8A" w:rsidRDefault="00E04C8A">
            <w:pPr>
              <w:spacing w:before="11" w:line="240" w:lineRule="exact"/>
              <w:jc w:val="center"/>
              <w:rPr>
                <w:rFonts w:ascii="Times New Roman" w:hAnsi="Times New Roman" w:cs="Times New Roman"/>
                <w:lang w:val="sl-SI"/>
              </w:rPr>
            </w:pPr>
          </w:p>
        </w:tc>
        <w:tc>
          <w:tcPr>
            <w:tcW w:w="1910" w:type="dxa"/>
            <w:tcBorders>
              <w:top w:val="nil"/>
              <w:left w:val="single" w:sz="4" w:space="0" w:color="auto"/>
              <w:bottom w:val="nil"/>
              <w:right w:val="single" w:sz="4" w:space="0" w:color="auto"/>
            </w:tcBorders>
          </w:tcPr>
          <w:p w14:paraId="624CDA8A" w14:textId="77777777" w:rsidR="00E04C8A" w:rsidRDefault="00E04C8A">
            <w:pPr>
              <w:spacing w:before="11" w:line="240" w:lineRule="exact"/>
              <w:jc w:val="center"/>
              <w:rPr>
                <w:rFonts w:ascii="Times New Roman" w:hAnsi="Times New Roman" w:cs="Times New Roman"/>
                <w:lang w:val="sl-SI"/>
              </w:rPr>
            </w:pPr>
          </w:p>
        </w:tc>
        <w:tc>
          <w:tcPr>
            <w:tcW w:w="1910" w:type="dxa"/>
            <w:tcBorders>
              <w:top w:val="nil"/>
              <w:left w:val="single" w:sz="4" w:space="0" w:color="auto"/>
              <w:bottom w:val="nil"/>
              <w:right w:val="single" w:sz="4" w:space="0" w:color="auto"/>
            </w:tcBorders>
          </w:tcPr>
          <w:p w14:paraId="3968D865" w14:textId="77777777" w:rsidR="00E04C8A" w:rsidRDefault="00E04C8A">
            <w:pPr>
              <w:spacing w:before="11" w:line="240" w:lineRule="exact"/>
              <w:jc w:val="center"/>
              <w:rPr>
                <w:rFonts w:ascii="Times New Roman" w:hAnsi="Times New Roman" w:cs="Times New Roman"/>
                <w:lang w:val="sl-SI"/>
              </w:rPr>
            </w:pPr>
          </w:p>
        </w:tc>
      </w:tr>
      <w:tr w:rsidR="00E04C8A" w14:paraId="378DEE81" w14:textId="77777777">
        <w:tc>
          <w:tcPr>
            <w:tcW w:w="1910" w:type="dxa"/>
            <w:tcBorders>
              <w:top w:val="nil"/>
              <w:left w:val="single" w:sz="4" w:space="0" w:color="auto"/>
              <w:bottom w:val="nil"/>
              <w:right w:val="single" w:sz="4" w:space="0" w:color="auto"/>
            </w:tcBorders>
          </w:tcPr>
          <w:p w14:paraId="3BCE55FD" w14:textId="77777777" w:rsidR="00E04C8A" w:rsidRDefault="008E1817">
            <w:pPr>
              <w:spacing w:before="11" w:line="240" w:lineRule="exact"/>
              <w:jc w:val="right"/>
              <w:rPr>
                <w:rFonts w:ascii="Times New Roman" w:hAnsi="Times New Roman" w:cs="Times New Roman"/>
                <w:lang w:val="sl-SI" w:eastAsia="ko-KR"/>
              </w:rPr>
            </w:pPr>
            <w:r>
              <w:rPr>
                <w:rFonts w:ascii="Times New Roman" w:eastAsia="Times New Roman" w:hAnsi="Times New Roman" w:cs="Times New Roman"/>
                <w:lang w:val="sl-SI" w:eastAsia="ko-KR"/>
              </w:rPr>
              <w:t>12. teden</w:t>
            </w:r>
          </w:p>
        </w:tc>
        <w:tc>
          <w:tcPr>
            <w:tcW w:w="1910" w:type="dxa"/>
            <w:tcBorders>
              <w:top w:val="nil"/>
              <w:left w:val="single" w:sz="4" w:space="0" w:color="auto"/>
              <w:bottom w:val="nil"/>
              <w:right w:val="single" w:sz="4" w:space="0" w:color="auto"/>
            </w:tcBorders>
          </w:tcPr>
          <w:p w14:paraId="75C597C9"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1 %</w:t>
            </w:r>
          </w:p>
        </w:tc>
        <w:tc>
          <w:tcPr>
            <w:tcW w:w="1910" w:type="dxa"/>
            <w:tcBorders>
              <w:top w:val="nil"/>
              <w:left w:val="single" w:sz="4" w:space="0" w:color="auto"/>
              <w:bottom w:val="nil"/>
              <w:right w:val="single" w:sz="4" w:space="0" w:color="auto"/>
            </w:tcBorders>
          </w:tcPr>
          <w:p w14:paraId="385CE1CC"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20 %***</w:t>
            </w:r>
          </w:p>
        </w:tc>
        <w:tc>
          <w:tcPr>
            <w:tcW w:w="1910" w:type="dxa"/>
            <w:tcBorders>
              <w:top w:val="nil"/>
              <w:left w:val="single" w:sz="4" w:space="0" w:color="auto"/>
              <w:bottom w:val="nil"/>
              <w:right w:val="single" w:sz="4" w:space="0" w:color="auto"/>
            </w:tcBorders>
          </w:tcPr>
          <w:p w14:paraId="5E4F189D"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0 %</w:t>
            </w:r>
          </w:p>
        </w:tc>
        <w:tc>
          <w:tcPr>
            <w:tcW w:w="1910" w:type="dxa"/>
            <w:tcBorders>
              <w:top w:val="nil"/>
              <w:left w:val="single" w:sz="4" w:space="0" w:color="auto"/>
              <w:bottom w:val="nil"/>
              <w:right w:val="single" w:sz="4" w:space="0" w:color="auto"/>
            </w:tcBorders>
          </w:tcPr>
          <w:p w14:paraId="1B702025"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14 %*</w:t>
            </w:r>
          </w:p>
        </w:tc>
      </w:tr>
      <w:tr w:rsidR="00E04C8A" w14:paraId="72BFDD52" w14:textId="77777777">
        <w:tc>
          <w:tcPr>
            <w:tcW w:w="1910" w:type="dxa"/>
            <w:tcBorders>
              <w:top w:val="nil"/>
              <w:left w:val="single" w:sz="4" w:space="0" w:color="auto"/>
              <w:bottom w:val="single" w:sz="4" w:space="0" w:color="auto"/>
              <w:right w:val="single" w:sz="4" w:space="0" w:color="auto"/>
            </w:tcBorders>
          </w:tcPr>
          <w:p w14:paraId="5B039424" w14:textId="77777777" w:rsidR="00E04C8A" w:rsidRDefault="008E1817">
            <w:pPr>
              <w:spacing w:before="11" w:line="240" w:lineRule="exact"/>
              <w:jc w:val="right"/>
              <w:rPr>
                <w:rFonts w:ascii="Times New Roman" w:hAnsi="Times New Roman" w:cs="Times New Roman"/>
                <w:lang w:val="sl-SI" w:eastAsia="ko-KR"/>
              </w:rPr>
            </w:pPr>
            <w:r>
              <w:rPr>
                <w:rFonts w:ascii="Times New Roman" w:eastAsia="Times New Roman" w:hAnsi="Times New Roman" w:cs="Times New Roman"/>
                <w:lang w:val="sl-SI" w:eastAsia="ko-KR"/>
              </w:rPr>
              <w:t>24. teden</w:t>
            </w:r>
          </w:p>
        </w:tc>
        <w:tc>
          <w:tcPr>
            <w:tcW w:w="1910" w:type="dxa"/>
            <w:tcBorders>
              <w:top w:val="nil"/>
              <w:left w:val="single" w:sz="4" w:space="0" w:color="auto"/>
              <w:bottom w:val="single" w:sz="4" w:space="0" w:color="auto"/>
              <w:right w:val="single" w:sz="4" w:space="0" w:color="auto"/>
            </w:tcBorders>
          </w:tcPr>
          <w:p w14:paraId="33571BA5"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1 %</w:t>
            </w:r>
          </w:p>
        </w:tc>
        <w:tc>
          <w:tcPr>
            <w:tcW w:w="1910" w:type="dxa"/>
            <w:tcBorders>
              <w:top w:val="nil"/>
              <w:left w:val="single" w:sz="4" w:space="0" w:color="auto"/>
              <w:bottom w:val="single" w:sz="4" w:space="0" w:color="auto"/>
              <w:right w:val="single" w:sz="4" w:space="0" w:color="auto"/>
            </w:tcBorders>
          </w:tcPr>
          <w:p w14:paraId="2FCC585E"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23 %***</w:t>
            </w:r>
          </w:p>
        </w:tc>
        <w:tc>
          <w:tcPr>
            <w:tcW w:w="1910" w:type="dxa"/>
            <w:tcBorders>
              <w:top w:val="nil"/>
              <w:left w:val="single" w:sz="4" w:space="0" w:color="auto"/>
              <w:bottom w:val="single" w:sz="4" w:space="0" w:color="auto"/>
              <w:right w:val="single" w:sz="4" w:space="0" w:color="auto"/>
            </w:tcBorders>
          </w:tcPr>
          <w:p w14:paraId="4D66D64E"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np</w:t>
            </w:r>
          </w:p>
        </w:tc>
        <w:tc>
          <w:tcPr>
            <w:tcW w:w="1910" w:type="dxa"/>
            <w:tcBorders>
              <w:top w:val="nil"/>
              <w:left w:val="single" w:sz="4" w:space="0" w:color="auto"/>
              <w:bottom w:val="single" w:sz="4" w:space="0" w:color="auto"/>
              <w:right w:val="single" w:sz="4" w:space="0" w:color="auto"/>
            </w:tcBorders>
          </w:tcPr>
          <w:p w14:paraId="7D384519" w14:textId="77777777" w:rsidR="00E04C8A" w:rsidRDefault="008E1817">
            <w:pPr>
              <w:spacing w:before="11" w:line="240" w:lineRule="exact"/>
              <w:jc w:val="center"/>
              <w:rPr>
                <w:rFonts w:ascii="Times New Roman" w:hAnsi="Times New Roman" w:cs="Times New Roman"/>
                <w:lang w:val="sl-SI" w:eastAsia="ko-KR"/>
              </w:rPr>
            </w:pPr>
            <w:r>
              <w:rPr>
                <w:rFonts w:ascii="Times New Roman" w:eastAsia="Times New Roman" w:hAnsi="Times New Roman" w:cs="Times New Roman"/>
                <w:lang w:val="sl-SI" w:eastAsia="ko-KR"/>
              </w:rPr>
              <w:t>np</w:t>
            </w:r>
          </w:p>
        </w:tc>
      </w:tr>
    </w:tbl>
    <w:p w14:paraId="459A7BC3" w14:textId="45249A3C" w:rsidR="00E04C8A" w:rsidRDefault="008E1817">
      <w:pPr>
        <w:pStyle w:val="a3"/>
        <w:rPr>
          <w:lang w:val="sl-SI"/>
        </w:rPr>
      </w:pPr>
      <w:r>
        <w:rPr>
          <w:rFonts w:eastAsia="Times New Roman"/>
          <w:lang w:val="sl-SI"/>
        </w:rPr>
        <w:lastRenderedPageBreak/>
        <w:t>*</w:t>
      </w:r>
      <w:r w:rsidR="001407A2" w:rsidRPr="00ED76F7">
        <w:rPr>
          <w:lang w:eastAsia="ko-KR"/>
        </w:rPr>
        <w:t>**</w:t>
      </w:r>
      <w:r w:rsidR="001407A2">
        <w:rPr>
          <w:lang w:eastAsia="ko-KR"/>
        </w:rPr>
        <w:tab/>
      </w:r>
      <w:r>
        <w:rPr>
          <w:rFonts w:eastAsia="Times New Roman"/>
          <w:lang w:val="sl-SI"/>
        </w:rPr>
        <w:t>p &lt; 0,001 za vse primerjave med adalimumabom in placebom</w:t>
      </w:r>
    </w:p>
    <w:p w14:paraId="320867DB" w14:textId="77777777" w:rsidR="0016539A" w:rsidRDefault="008E1817">
      <w:pPr>
        <w:pStyle w:val="a3"/>
        <w:rPr>
          <w:rFonts w:eastAsia="Times New Roman"/>
          <w:lang w:val="sl-SI"/>
        </w:rPr>
      </w:pPr>
      <w:r>
        <w:rPr>
          <w:rFonts w:eastAsia="Times New Roman"/>
          <w:lang w:val="sl-SI"/>
        </w:rPr>
        <w:t>*</w:t>
      </w:r>
      <w:r w:rsidR="001407A2">
        <w:rPr>
          <w:rFonts w:eastAsia="Times New Roman"/>
          <w:lang w:val="sl-SI"/>
        </w:rPr>
        <w:tab/>
      </w:r>
      <w:r>
        <w:rPr>
          <w:rFonts w:eastAsia="Times New Roman"/>
          <w:lang w:val="sl-SI"/>
        </w:rPr>
        <w:t>p &lt; 0,05 za vse primerjave med adalimumabom in placebom</w:t>
      </w:r>
    </w:p>
    <w:p w14:paraId="528AD41C" w14:textId="30E4882B" w:rsidR="00E04C8A" w:rsidRDefault="008E1817">
      <w:pPr>
        <w:pStyle w:val="a3"/>
        <w:rPr>
          <w:lang w:val="sl-SI"/>
        </w:rPr>
      </w:pPr>
      <w:r>
        <w:rPr>
          <w:rFonts w:eastAsia="Times New Roman"/>
          <w:lang w:val="sl-SI"/>
        </w:rPr>
        <w:t>np – ne pride v poštev</w:t>
      </w:r>
    </w:p>
    <w:p w14:paraId="32F82212" w14:textId="77777777" w:rsidR="00E04C8A" w:rsidRDefault="00E04C8A">
      <w:pPr>
        <w:spacing w:before="6" w:line="170" w:lineRule="exact"/>
        <w:rPr>
          <w:sz w:val="17"/>
          <w:szCs w:val="17"/>
          <w:lang w:val="sl-SI"/>
        </w:rPr>
      </w:pPr>
    </w:p>
    <w:p w14:paraId="743FD597" w14:textId="77777777" w:rsidR="00E04C8A" w:rsidRDefault="008E1817">
      <w:pPr>
        <w:pStyle w:val="a3"/>
        <w:rPr>
          <w:lang w:val="sl-SI"/>
        </w:rPr>
      </w:pPr>
      <w:r>
        <w:rPr>
          <w:rFonts w:eastAsia="Times New Roman"/>
          <w:lang w:val="sl-SI"/>
        </w:rPr>
        <w:t>Odzivi ACR v študiji pri psoriatičnem artritisu I so bili podobni ob sočasni terapiji z metotreksatom in brez nje. Odziv po ACR se je v odprti nadaljevalni študiji ohranil do 136 tednov.</w:t>
      </w:r>
    </w:p>
    <w:p w14:paraId="4FF205E1" w14:textId="77777777" w:rsidR="00E04C8A" w:rsidRDefault="00E04C8A">
      <w:pPr>
        <w:pStyle w:val="a3"/>
        <w:rPr>
          <w:lang w:val="sl-SI"/>
        </w:rPr>
      </w:pPr>
    </w:p>
    <w:p w14:paraId="12D864AE" w14:textId="77777777" w:rsidR="00E04C8A" w:rsidRDefault="008E1817">
      <w:pPr>
        <w:pStyle w:val="a3"/>
        <w:rPr>
          <w:lang w:val="sl-SI"/>
        </w:rPr>
      </w:pPr>
      <w:r>
        <w:rPr>
          <w:rFonts w:eastAsia="Times New Roman"/>
          <w:lang w:val="sl-SI"/>
        </w:rPr>
        <w:t>Rentgenografske spremembe so ocenjevali v študijah psoriatičnega artritisa. Rentgenske posnetke dlani, zapestij in stopal so naredili izhodiščno in 24. teden med dvojno slepim obdobjem, med katerim so bolniki dobivali adalimumab ali placebo, in 48. teden, ko so vsi bolniki odprto dobivali adalimumab. Za oceno so uporabili modificirani celotni seštevek po Sharpu (modified Total Sharp Score, mTSS), ki je vključil distalne interfalangealne sklepe (tj. ni bil enak TSS, ki se uporablja za revmatoidni artritis).</w:t>
      </w:r>
    </w:p>
    <w:p w14:paraId="129B15D2" w14:textId="77777777" w:rsidR="00E04C8A" w:rsidRDefault="00E04C8A">
      <w:pPr>
        <w:spacing w:before="17" w:line="240" w:lineRule="exact"/>
        <w:rPr>
          <w:sz w:val="24"/>
          <w:szCs w:val="24"/>
          <w:lang w:val="sl-SI"/>
        </w:rPr>
      </w:pPr>
    </w:p>
    <w:p w14:paraId="62A0CC04" w14:textId="77777777" w:rsidR="00E04C8A" w:rsidRDefault="008E1817">
      <w:pPr>
        <w:pStyle w:val="a3"/>
        <w:rPr>
          <w:lang w:val="sl-SI"/>
        </w:rPr>
      </w:pPr>
      <w:r>
        <w:rPr>
          <w:rFonts w:eastAsia="Times New Roman"/>
          <w:lang w:val="sl-SI"/>
        </w:rPr>
        <w:t>V primerjavi s placebom je zdravljenje z adalimumabom upočasnilo hitrost napredovanja prizadetosti perifernih sklepov, ocenjeno s spremembo mTSS od izhodišča. Sprememba je bila (povprečje ± standardni odklon) 0,8 ± 2,5 v skupini s placebom (po 24 tednih) in 0,0 ± 1,9; (p &lt; 0,001) v skupini z adalimumabom (po 48 tednih).</w:t>
      </w:r>
    </w:p>
    <w:p w14:paraId="4DBF8E2B" w14:textId="77777777" w:rsidR="00E04C8A" w:rsidRDefault="00E04C8A">
      <w:pPr>
        <w:spacing w:before="11" w:line="240" w:lineRule="exact"/>
        <w:rPr>
          <w:sz w:val="24"/>
          <w:szCs w:val="24"/>
          <w:lang w:val="sl-SI"/>
        </w:rPr>
      </w:pPr>
    </w:p>
    <w:p w14:paraId="48BDE3DC" w14:textId="77777777" w:rsidR="00E04C8A" w:rsidRDefault="008E1817">
      <w:pPr>
        <w:pStyle w:val="a3"/>
        <w:rPr>
          <w:lang w:val="sl-SI"/>
        </w:rPr>
      </w:pPr>
      <w:r>
        <w:rPr>
          <w:rFonts w:eastAsia="Times New Roman"/>
          <w:lang w:val="sl-SI"/>
        </w:rPr>
        <w:t>Pri 84 % preiskovancev, ki so dobivali adalimumab in od izhodišča do 48. tedna niso imeli rentgenografsko vidnega napredovanja (n = 102), se takšno napredovanje tudi do 144. tedna zdravljenja ni pojavilo.</w:t>
      </w:r>
    </w:p>
    <w:p w14:paraId="37DB3967" w14:textId="77777777" w:rsidR="00E04C8A" w:rsidRDefault="00E04C8A">
      <w:pPr>
        <w:pStyle w:val="a3"/>
        <w:rPr>
          <w:lang w:val="sl-SI"/>
        </w:rPr>
      </w:pPr>
    </w:p>
    <w:p w14:paraId="7035ED05" w14:textId="77777777" w:rsidR="00E04C8A" w:rsidRDefault="008E1817">
      <w:pPr>
        <w:pStyle w:val="a3"/>
        <w:rPr>
          <w:lang w:val="sl-SI"/>
        </w:rPr>
      </w:pPr>
      <w:r>
        <w:rPr>
          <w:rFonts w:eastAsia="Times New Roman"/>
          <w:lang w:val="sl-SI"/>
        </w:rPr>
        <w:t>Ob zdravljenju z adalimumabom so v primerjavi s placebom 24. teden ugotovili statistično značilno izboljšanje telesnega delovanja, ocenjeno s HAQ in vprašalnikom SF 36 (Short Form Health Survey). Izboljšanje telesnega delovanja je trajalo še med odprto nadaljevalno študijo do 136. tedna.</w:t>
      </w:r>
    </w:p>
    <w:p w14:paraId="46F87714" w14:textId="77777777" w:rsidR="007E758B" w:rsidRDefault="007E758B">
      <w:pPr>
        <w:pStyle w:val="a3"/>
        <w:rPr>
          <w:sz w:val="24"/>
          <w:szCs w:val="24"/>
          <w:lang w:val="sl-SI"/>
        </w:rPr>
      </w:pPr>
    </w:p>
    <w:p w14:paraId="36EAC5D8" w14:textId="77777777" w:rsidR="00E04C8A" w:rsidRDefault="008E1817">
      <w:pPr>
        <w:pStyle w:val="a3"/>
        <w:rPr>
          <w:rFonts w:eastAsia="Times New Roman"/>
          <w:lang w:val="sl-SI"/>
        </w:rPr>
      </w:pPr>
      <w:r>
        <w:rPr>
          <w:rFonts w:eastAsia="Times New Roman"/>
          <w:i/>
          <w:iCs/>
          <w:spacing w:val="-1"/>
          <w:lang w:val="sl-SI"/>
        </w:rPr>
        <w:t>Psoriaza</w:t>
      </w:r>
    </w:p>
    <w:p w14:paraId="67B4B440" w14:textId="77777777" w:rsidR="00E04C8A" w:rsidRDefault="00E04C8A">
      <w:pPr>
        <w:pStyle w:val="a3"/>
        <w:rPr>
          <w:sz w:val="24"/>
          <w:szCs w:val="24"/>
          <w:lang w:val="sl-SI"/>
        </w:rPr>
      </w:pPr>
    </w:p>
    <w:p w14:paraId="1A73F1B7" w14:textId="327CA593" w:rsidR="00E04C8A" w:rsidRDefault="008E1817">
      <w:pPr>
        <w:pStyle w:val="a3"/>
        <w:rPr>
          <w:lang w:val="sl-SI"/>
        </w:rPr>
      </w:pPr>
      <w:r>
        <w:rPr>
          <w:rFonts w:eastAsia="Times New Roman"/>
          <w:lang w:val="sl-SI"/>
        </w:rPr>
        <w:t xml:space="preserve">Varnost in učinkovitost adalimumaba so v randomiziranih, dvojno slepih študijah raziskali pri odraslih bolnikih s kronično psoriazo v plakih (zajete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 xml:space="preserve"> 10 % telesne površine ter indeksom obsežnosti in izrazitosti psoriaze (PASI – Psoriasis Area and Severity Index)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 xml:space="preserve"> 12 ali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 10), ki so bili kandidati za sistemsko zdravljenje ali fototerapijo. 73 % bolnikov, vključenih v študiji pri psoriazi I in II, je predhodno dobivalo sistemsko zdravljenje ali fototerapijo. Varnost in učinkovitost adalimumaba so raziskali tudi v randomizirani dvojno slepi študiji pri odraslih bolnikih z zmerno do hudo kronično psoriazo v plakih s sočasno psoriazo na dlaneh in/ali stopalih, ki so bili kandidati za sistemsko zdravljenje (Študija pri psoriazi III).</w:t>
      </w:r>
    </w:p>
    <w:p w14:paraId="6D0CB39F" w14:textId="77777777" w:rsidR="00E04C8A" w:rsidRDefault="00E04C8A">
      <w:pPr>
        <w:pStyle w:val="a3"/>
        <w:rPr>
          <w:lang w:val="sl-SI"/>
        </w:rPr>
      </w:pPr>
    </w:p>
    <w:p w14:paraId="1B53D92B" w14:textId="72E8BE4F" w:rsidR="00E04C8A" w:rsidRDefault="008E1817">
      <w:pPr>
        <w:pStyle w:val="a3"/>
        <w:rPr>
          <w:lang w:val="sl-SI"/>
        </w:rPr>
      </w:pPr>
      <w:r>
        <w:rPr>
          <w:rFonts w:eastAsia="Times New Roman"/>
          <w:lang w:val="sl-SI"/>
        </w:rPr>
        <w:t xml:space="preserve">Študija pri psoriazi I (REVEAL) je ocenila 1212 bolnikov v treh obdobjih zdravljenja. V obdobju A so bolniki dobivali placebo ali adalimumab v začetnem odmerku 80 mg in potem 40 mg vsak drugi teden, začenši en teden po začetnem odmerku. Po 16 tednih zdravljenja so bolniki, ki so dosegli odziv PASI vsaj 75 (izboljšanje ocene PASI za vsaj 75 % glede na izhodišče), vstopili v obdobje B, med katerim so v odprti študiji dobivali 40 mg adalimumaba vsak drugi teden. Bolnike, ki so imeli 33. teden ohranjen odziv </w:t>
      </w:r>
      <w:r>
        <w:rPr>
          <w:rFonts w:ascii="Symbol" w:eastAsia="Symbol" w:hAnsi="Symbol" w:cs="Symbol"/>
          <w:lang w:val="sl-SI"/>
        </w:rPr>
        <w:sym w:font="Symbol" w:char="F0B3"/>
      </w:r>
      <w:r>
        <w:rPr>
          <w:rFonts w:eastAsia="Times New Roman"/>
          <w:lang w:val="sl-SI"/>
        </w:rPr>
        <w:t>PASI 75 in so bili v obdobju A randomizirani na aktivno terapijo, so med obdobjem C ponovno randomizirali tako, da so dodatnih 19 tednov dobivali 40 mg adalimumaba ali placebo vsak drugi teden . V vseh terapevtskih skupinah je bila povprečna izhodiščna ocena PASI 18,9, izhodiščna zdravnikova globalna ocena (PGA – Physician's Global Assessment) pa je segala od "zmerne" (53 % vključenih preiskovancev) do "hude" (41 %) in "zelo hude" (6 %).</w:t>
      </w:r>
    </w:p>
    <w:p w14:paraId="7ABF0A94" w14:textId="77777777" w:rsidR="00E04C8A" w:rsidRDefault="00E04C8A">
      <w:pPr>
        <w:spacing w:before="14" w:line="240" w:lineRule="exact"/>
        <w:rPr>
          <w:sz w:val="24"/>
          <w:szCs w:val="24"/>
          <w:lang w:val="sl-SI"/>
        </w:rPr>
      </w:pPr>
    </w:p>
    <w:p w14:paraId="0E05C64E" w14:textId="77777777" w:rsidR="00E04C8A" w:rsidRDefault="008E1817">
      <w:pPr>
        <w:pStyle w:val="a3"/>
        <w:rPr>
          <w:lang w:val="sl-SI"/>
        </w:rPr>
      </w:pPr>
      <w:r>
        <w:rPr>
          <w:rFonts w:eastAsia="Times New Roman"/>
          <w:lang w:val="sl-SI"/>
        </w:rPr>
        <w:t xml:space="preserve">Študija pri psoriazi II (CHAMPION) je primerjala učinkovitost in varnost adalimumaba z metotreksatom in placebom pri 271 bolnikih. Bolniki so dobivali placebo, začetni odmerek 7,5 mg metotreksata z nadaljnjim povečevanjem odmerka do 12. tedna; do največjega odmerka 25 mg, ali začetni odmerek 80 mg adalimumaba in potem 40 mg vsak drugi teden (začenši en teden po začetnem odmerku) 16 tednov. Podatkov za primerjavo adalimumaba in metotreksata med več kot 16-tedenskim zdravljenjem ni. Bolnikom, ki so dobivali metotreksat in so 8. in/ali 12. teden dosegli odziv </w:t>
      </w:r>
      <w:r>
        <w:rPr>
          <w:rFonts w:ascii="Symbol" w:eastAsia="Symbol" w:hAnsi="Symbol" w:cs="Symbol"/>
          <w:lang w:val="sl-SI"/>
        </w:rPr>
        <w:sym w:font="Symbol" w:char="F0B3"/>
      </w:r>
      <w:r>
        <w:rPr>
          <w:rFonts w:eastAsia="Times New Roman"/>
          <w:lang w:val="sl-SI"/>
        </w:rPr>
        <w:t>PASI 50, odmerka niso več povečevali. V vseh terapevtskih skupinah je bila povprečna izhodiščna ocena PASI 19,7, izhodiščna PGA pa je segala od "blage" (&lt; 1 %), "zmerne" (48 %) in "hude" (46 %) do "zelo hude" (6 %).</w:t>
      </w:r>
    </w:p>
    <w:p w14:paraId="0E955F9A" w14:textId="77777777" w:rsidR="00E04C8A" w:rsidRDefault="00E04C8A">
      <w:pPr>
        <w:spacing w:before="17" w:line="240" w:lineRule="exact"/>
        <w:rPr>
          <w:sz w:val="24"/>
          <w:szCs w:val="24"/>
          <w:lang w:val="sl-SI"/>
        </w:rPr>
      </w:pPr>
    </w:p>
    <w:p w14:paraId="13815271" w14:textId="77777777" w:rsidR="00E04C8A" w:rsidRDefault="008E1817">
      <w:pPr>
        <w:pStyle w:val="a3"/>
        <w:rPr>
          <w:lang w:val="sl-SI"/>
        </w:rPr>
      </w:pPr>
      <w:r>
        <w:rPr>
          <w:rFonts w:eastAsia="Times New Roman"/>
          <w:lang w:val="sl-SI"/>
        </w:rPr>
        <w:t>Bolniki, ki so sodelovali v študijah psoriaze 2. in 3. faze, so bili lahko vključeni v odprto podaljšano preskušanje, v katerem so adalimumab prejemali vsaj še dodatnih 108 tednov.</w:t>
      </w:r>
    </w:p>
    <w:p w14:paraId="63447511" w14:textId="77777777" w:rsidR="00E04C8A" w:rsidRDefault="00E04C8A">
      <w:pPr>
        <w:spacing w:before="14" w:line="240" w:lineRule="exact"/>
        <w:rPr>
          <w:sz w:val="24"/>
          <w:szCs w:val="24"/>
          <w:lang w:val="sl-SI"/>
        </w:rPr>
      </w:pPr>
    </w:p>
    <w:p w14:paraId="544BF9F9" w14:textId="07FA44AE" w:rsidR="00E04C8A" w:rsidRDefault="008E1817">
      <w:pPr>
        <w:pStyle w:val="a3"/>
        <w:rPr>
          <w:lang w:val="sl-SI"/>
        </w:rPr>
      </w:pPr>
      <w:r>
        <w:rPr>
          <w:rFonts w:eastAsia="Times New Roman"/>
          <w:lang w:val="sl-SI"/>
        </w:rPr>
        <w:t>V študijah pri psoriazi I in II je bil primarni opazovani dogodek delež bolnikov, ki so od izhodišča do 16. tedna dosegli PASI 75 (glejte preglednici </w:t>
      </w:r>
      <w:r w:rsidR="00982DE1">
        <w:rPr>
          <w:rFonts w:eastAsia="Times New Roman"/>
          <w:lang w:val="sl-SI"/>
        </w:rPr>
        <w:t xml:space="preserve">16 </w:t>
      </w:r>
      <w:r>
        <w:rPr>
          <w:rFonts w:eastAsia="Times New Roman"/>
          <w:lang w:val="sl-SI"/>
        </w:rPr>
        <w:t>in </w:t>
      </w:r>
      <w:r w:rsidR="00982DE1">
        <w:rPr>
          <w:rFonts w:eastAsia="Times New Roman"/>
          <w:lang w:val="sl-SI"/>
        </w:rPr>
        <w:t>17</w:t>
      </w:r>
      <w:r>
        <w:rPr>
          <w:rFonts w:eastAsia="Times New Roman"/>
          <w:lang w:val="sl-SI"/>
        </w:rPr>
        <w:t>).</w:t>
      </w:r>
    </w:p>
    <w:p w14:paraId="01C19569" w14:textId="77777777" w:rsidR="00E04C8A" w:rsidRDefault="00E04C8A">
      <w:pPr>
        <w:pStyle w:val="a3"/>
        <w:jc w:val="center"/>
        <w:rPr>
          <w:rFonts w:eastAsia="Times New Roman"/>
          <w:b/>
          <w:bCs/>
          <w:lang w:val="sl-SI"/>
        </w:rPr>
      </w:pPr>
    </w:p>
    <w:p w14:paraId="7A8D8959" w14:textId="27298939" w:rsidR="00E04C8A" w:rsidRDefault="008E1817">
      <w:pPr>
        <w:pStyle w:val="a3"/>
        <w:jc w:val="center"/>
        <w:rPr>
          <w:b/>
          <w:lang w:val="sl-SI"/>
        </w:rPr>
      </w:pPr>
      <w:r>
        <w:rPr>
          <w:rFonts w:eastAsia="Times New Roman"/>
          <w:b/>
          <w:bCs/>
          <w:lang w:val="sl-SI"/>
        </w:rPr>
        <w:t>Preglednica </w:t>
      </w:r>
      <w:r w:rsidR="00982DE1">
        <w:rPr>
          <w:rFonts w:eastAsia="Times New Roman"/>
          <w:b/>
          <w:bCs/>
          <w:lang w:val="sl-SI"/>
        </w:rPr>
        <w:t>16</w:t>
      </w:r>
    </w:p>
    <w:p w14:paraId="22DB21FC" w14:textId="77777777" w:rsidR="00E04C8A" w:rsidRDefault="008E1817">
      <w:pPr>
        <w:pStyle w:val="a3"/>
        <w:jc w:val="center"/>
        <w:rPr>
          <w:b/>
          <w:lang w:val="sl-SI"/>
        </w:rPr>
      </w:pPr>
      <w:r>
        <w:rPr>
          <w:rFonts w:eastAsia="Times New Roman"/>
          <w:b/>
          <w:bCs/>
          <w:lang w:val="sl-SI"/>
        </w:rPr>
        <w:t>Študija pri psoriazi I (REVEAL) Rezultati učinkovitosti po 16 tednih</w:t>
      </w:r>
    </w:p>
    <w:tbl>
      <w:tblPr>
        <w:tblStyle w:val="TableNormal1"/>
        <w:tblW w:w="8743" w:type="dxa"/>
        <w:jc w:val="center"/>
        <w:tblLayout w:type="fixed"/>
        <w:tblLook w:val="01E0" w:firstRow="1" w:lastRow="1" w:firstColumn="1" w:lastColumn="1" w:noHBand="0" w:noVBand="0"/>
      </w:tblPr>
      <w:tblGrid>
        <w:gridCol w:w="3220"/>
        <w:gridCol w:w="2086"/>
        <w:gridCol w:w="3437"/>
      </w:tblGrid>
      <w:tr w:rsidR="00E04C8A" w14:paraId="5A121D52" w14:textId="77777777" w:rsidTr="001452D7">
        <w:trPr>
          <w:jc w:val="center"/>
        </w:trPr>
        <w:tc>
          <w:tcPr>
            <w:tcW w:w="3220" w:type="dxa"/>
            <w:tcBorders>
              <w:top w:val="single" w:sz="5" w:space="0" w:color="000000"/>
              <w:left w:val="single" w:sz="5" w:space="0" w:color="000000"/>
              <w:bottom w:val="single" w:sz="5" w:space="0" w:color="000000"/>
              <w:right w:val="single" w:sz="5" w:space="0" w:color="000000"/>
            </w:tcBorders>
          </w:tcPr>
          <w:p w14:paraId="4BB37452" w14:textId="77777777" w:rsidR="00E04C8A" w:rsidRDefault="00E04C8A">
            <w:pPr>
              <w:rPr>
                <w:lang w:val="sl-SI"/>
              </w:rPr>
            </w:pPr>
          </w:p>
        </w:tc>
        <w:tc>
          <w:tcPr>
            <w:tcW w:w="2086" w:type="dxa"/>
            <w:tcBorders>
              <w:top w:val="single" w:sz="5" w:space="0" w:color="000000"/>
              <w:left w:val="single" w:sz="5" w:space="0" w:color="000000"/>
              <w:bottom w:val="single" w:sz="5" w:space="0" w:color="000000"/>
              <w:right w:val="single" w:sz="5" w:space="0" w:color="000000"/>
            </w:tcBorders>
          </w:tcPr>
          <w:p w14:paraId="64EBE24E" w14:textId="77777777" w:rsidR="007E758B" w:rsidRDefault="008E1817" w:rsidP="001452D7">
            <w:pPr>
              <w:pStyle w:val="TableParagraph"/>
              <w:spacing w:before="3"/>
              <w:ind w:leftChars="14" w:left="31" w:rightChars="29" w:right="64"/>
              <w:jc w:val="center"/>
              <w:rPr>
                <w:rFonts w:ascii="Times New Roman" w:eastAsia="Times New Roman" w:hAnsi="Times New Roman" w:cs="Times New Roman"/>
                <w:b/>
                <w:bCs/>
                <w:lang w:val="sl-SI"/>
              </w:rPr>
            </w:pPr>
            <w:r>
              <w:rPr>
                <w:rFonts w:ascii="Times New Roman" w:eastAsia="Times New Roman" w:hAnsi="Times New Roman" w:cs="Times New Roman"/>
                <w:b/>
                <w:bCs/>
                <w:lang w:val="sl-SI"/>
              </w:rPr>
              <w:t xml:space="preserve">Placebo </w:t>
            </w:r>
          </w:p>
          <w:p w14:paraId="3E825B56" w14:textId="60CE49A3" w:rsidR="00E04C8A" w:rsidRDefault="008E1817" w:rsidP="001452D7">
            <w:pPr>
              <w:pStyle w:val="TableParagraph"/>
              <w:spacing w:before="3"/>
              <w:ind w:leftChars="14" w:left="31" w:rightChars="29" w:right="64"/>
              <w:jc w:val="center"/>
              <w:rPr>
                <w:rFonts w:ascii="Times New Roman" w:eastAsia="Times New Roman" w:hAnsi="Times New Roman" w:cs="Times New Roman"/>
                <w:b/>
                <w:bCs/>
                <w:spacing w:val="-1"/>
                <w:lang w:val="sl-SI"/>
              </w:rPr>
            </w:pPr>
            <w:r>
              <w:rPr>
                <w:rFonts w:ascii="Times New Roman" w:eastAsia="Times New Roman" w:hAnsi="Times New Roman" w:cs="Times New Roman"/>
                <w:b/>
                <w:bCs/>
                <w:lang w:val="sl-SI"/>
              </w:rPr>
              <w:t>N = 398</w:t>
            </w:r>
          </w:p>
          <w:p w14:paraId="29F6BB26" w14:textId="77777777" w:rsidR="00E04C8A" w:rsidRDefault="008E1817" w:rsidP="001452D7">
            <w:pPr>
              <w:pStyle w:val="TableParagraph"/>
              <w:spacing w:before="3"/>
              <w:ind w:leftChars="14" w:left="91" w:rightChars="29" w:right="64" w:hanging="60"/>
              <w:jc w:val="center"/>
              <w:rPr>
                <w:rFonts w:ascii="Times New Roman" w:eastAsia="Times New Roman" w:hAnsi="Times New Roman" w:cs="Times New Roman"/>
                <w:lang w:val="sl-SI"/>
              </w:rPr>
            </w:pPr>
            <w:r>
              <w:rPr>
                <w:rFonts w:ascii="Times New Roman" w:eastAsia="Times New Roman" w:hAnsi="Times New Roman" w:cs="Times New Roman"/>
                <w:b/>
                <w:bCs/>
                <w:lang w:val="sl-SI"/>
              </w:rPr>
              <w:t>n (%)</w:t>
            </w:r>
          </w:p>
        </w:tc>
        <w:tc>
          <w:tcPr>
            <w:tcW w:w="3437" w:type="dxa"/>
            <w:tcBorders>
              <w:top w:val="single" w:sz="5" w:space="0" w:color="000000"/>
              <w:left w:val="single" w:sz="5" w:space="0" w:color="000000"/>
              <w:bottom w:val="single" w:sz="5" w:space="0" w:color="000000"/>
              <w:right w:val="single" w:sz="5" w:space="0" w:color="000000"/>
            </w:tcBorders>
          </w:tcPr>
          <w:p w14:paraId="79767086" w14:textId="77777777" w:rsidR="00E04C8A" w:rsidRDefault="008E1817" w:rsidP="001452D7">
            <w:pPr>
              <w:pStyle w:val="TableParagraph"/>
              <w:ind w:leftChars="51" w:left="112" w:rightChars="51" w:right="112"/>
              <w:jc w:val="center"/>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Adalimumab 40 mg vsak 2. teden</w:t>
            </w:r>
          </w:p>
          <w:p w14:paraId="4FC7CF12" w14:textId="60968948" w:rsidR="00E04C8A" w:rsidRDefault="008E1817" w:rsidP="001452D7">
            <w:pPr>
              <w:pStyle w:val="TableParagraph"/>
              <w:spacing w:before="3"/>
              <w:ind w:leftChars="51" w:left="112" w:rightChars="51" w:right="112"/>
              <w:jc w:val="center"/>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N = 814</w:t>
            </w:r>
          </w:p>
          <w:p w14:paraId="3F5FD243" w14:textId="77777777" w:rsidR="00E04C8A" w:rsidRDefault="008E1817" w:rsidP="001452D7">
            <w:pPr>
              <w:pStyle w:val="TableParagraph"/>
              <w:spacing w:before="3"/>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b/>
                <w:bCs/>
                <w:lang w:val="sl-SI"/>
              </w:rPr>
              <w:t>n (%)</w:t>
            </w:r>
          </w:p>
        </w:tc>
      </w:tr>
      <w:tr w:rsidR="00E04C8A" w14:paraId="53233A3A" w14:textId="77777777" w:rsidTr="001452D7">
        <w:trPr>
          <w:jc w:val="center"/>
        </w:trPr>
        <w:tc>
          <w:tcPr>
            <w:tcW w:w="3220" w:type="dxa"/>
            <w:tcBorders>
              <w:top w:val="single" w:sz="5" w:space="0" w:color="000000"/>
              <w:left w:val="single" w:sz="5" w:space="0" w:color="000000"/>
              <w:bottom w:val="single" w:sz="5" w:space="0" w:color="000000"/>
              <w:right w:val="single" w:sz="5" w:space="0" w:color="000000"/>
            </w:tcBorders>
          </w:tcPr>
          <w:p w14:paraId="03FBA97C" w14:textId="77777777" w:rsidR="00E04C8A" w:rsidRDefault="008E1817">
            <w:pPr>
              <w:pStyle w:val="TableParagraph"/>
              <w:ind w:left="320"/>
              <w:rPr>
                <w:rFonts w:ascii="Times New Roman" w:eastAsia="Times New Roman" w:hAnsi="Times New Roman" w:cs="Times New Roman"/>
                <w:lang w:val="sl-SI"/>
              </w:rPr>
            </w:pPr>
            <w:r>
              <w:rPr>
                <w:rFonts w:ascii="Symbol" w:eastAsia="Symbol" w:hAnsi="Symbol" w:cs="Symbol"/>
                <w:b/>
                <w:bCs/>
                <w:lang w:val="sl-SI"/>
              </w:rPr>
              <w:sym w:font="Symbol" w:char="F0B3"/>
            </w:r>
            <w:r>
              <w:rPr>
                <w:rFonts w:ascii="Symbol" w:eastAsia="Symbol" w:hAnsi="Symbol" w:cs="Symbol"/>
                <w:b/>
                <w:bCs/>
                <w:lang w:val="sl-SI"/>
              </w:rPr>
              <w:sym w:font="Symbol" w:char="F020"/>
            </w:r>
            <w:r>
              <w:rPr>
                <w:rFonts w:ascii="Times New Roman" w:eastAsia="Times New Roman" w:hAnsi="Times New Roman" w:cs="Times New Roman"/>
                <w:b/>
                <w:bCs/>
                <w:lang w:val="sl-SI"/>
              </w:rPr>
              <w:t>PASI 75</w:t>
            </w:r>
            <w:r>
              <w:rPr>
                <w:rFonts w:ascii="Times New Roman" w:eastAsia="Times New Roman" w:hAnsi="Times New Roman" w:cs="Times New Roman"/>
                <w:b/>
                <w:bCs/>
                <w:vertAlign w:val="superscript"/>
                <w:lang w:val="sl-SI"/>
              </w:rPr>
              <w:t>a</w:t>
            </w:r>
          </w:p>
        </w:tc>
        <w:tc>
          <w:tcPr>
            <w:tcW w:w="2086" w:type="dxa"/>
            <w:tcBorders>
              <w:top w:val="single" w:sz="5" w:space="0" w:color="000000"/>
              <w:left w:val="single" w:sz="5" w:space="0" w:color="000000"/>
              <w:bottom w:val="single" w:sz="5" w:space="0" w:color="000000"/>
              <w:right w:val="single" w:sz="5" w:space="0" w:color="000000"/>
            </w:tcBorders>
          </w:tcPr>
          <w:p w14:paraId="68A1B397" w14:textId="77777777" w:rsidR="00E04C8A" w:rsidRDefault="008E1817" w:rsidP="001452D7">
            <w:pPr>
              <w:pStyle w:val="TableParagraph"/>
              <w:ind w:leftChars="14" w:left="31" w:rightChars="29" w:right="64"/>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26 (6,5)</w:t>
            </w:r>
          </w:p>
        </w:tc>
        <w:tc>
          <w:tcPr>
            <w:tcW w:w="3437" w:type="dxa"/>
            <w:tcBorders>
              <w:top w:val="single" w:sz="5" w:space="0" w:color="000000"/>
              <w:left w:val="single" w:sz="5" w:space="0" w:color="000000"/>
              <w:bottom w:val="single" w:sz="5" w:space="0" w:color="000000"/>
              <w:right w:val="single" w:sz="5" w:space="0" w:color="000000"/>
            </w:tcBorders>
          </w:tcPr>
          <w:p w14:paraId="1E7394E1" w14:textId="77777777" w:rsidR="00E04C8A" w:rsidRDefault="008E1817" w:rsidP="001452D7">
            <w:pPr>
              <w:pStyle w:val="TableParagraph"/>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578 (70.9)</w:t>
            </w:r>
            <w:r>
              <w:rPr>
                <w:rFonts w:ascii="Times New Roman" w:eastAsia="Times New Roman" w:hAnsi="Times New Roman" w:cs="Times New Roman"/>
                <w:spacing w:val="-1"/>
                <w:vertAlign w:val="superscript"/>
                <w:lang w:val="sl-SI"/>
              </w:rPr>
              <w:t>b</w:t>
            </w:r>
          </w:p>
        </w:tc>
      </w:tr>
      <w:tr w:rsidR="00E04C8A" w14:paraId="20C8A6D8" w14:textId="77777777" w:rsidTr="001452D7">
        <w:trPr>
          <w:jc w:val="center"/>
        </w:trPr>
        <w:tc>
          <w:tcPr>
            <w:tcW w:w="3220" w:type="dxa"/>
            <w:tcBorders>
              <w:top w:val="single" w:sz="5" w:space="0" w:color="000000"/>
              <w:left w:val="single" w:sz="5" w:space="0" w:color="000000"/>
              <w:bottom w:val="single" w:sz="5" w:space="0" w:color="000000"/>
              <w:right w:val="single" w:sz="5" w:space="0" w:color="000000"/>
            </w:tcBorders>
          </w:tcPr>
          <w:p w14:paraId="097DAFA5" w14:textId="77777777" w:rsidR="00E04C8A" w:rsidRDefault="008E1817">
            <w:pPr>
              <w:pStyle w:val="TableParagraph"/>
              <w:ind w:left="323"/>
              <w:rPr>
                <w:rFonts w:ascii="Times New Roman" w:eastAsia="Times New Roman" w:hAnsi="Times New Roman" w:cs="Times New Roman"/>
                <w:lang w:val="sl-SI"/>
              </w:rPr>
            </w:pPr>
            <w:r>
              <w:rPr>
                <w:rFonts w:ascii="Times New Roman" w:eastAsia="Times New Roman" w:hAnsi="Times New Roman" w:cs="Times New Roman"/>
                <w:b/>
                <w:bCs/>
                <w:spacing w:val="-1"/>
                <w:lang w:val="sl-SI"/>
              </w:rPr>
              <w:t>PASI 100</w:t>
            </w:r>
          </w:p>
        </w:tc>
        <w:tc>
          <w:tcPr>
            <w:tcW w:w="2086" w:type="dxa"/>
            <w:tcBorders>
              <w:top w:val="single" w:sz="5" w:space="0" w:color="000000"/>
              <w:left w:val="single" w:sz="5" w:space="0" w:color="000000"/>
              <w:bottom w:val="single" w:sz="5" w:space="0" w:color="000000"/>
              <w:right w:val="single" w:sz="5" w:space="0" w:color="000000"/>
            </w:tcBorders>
          </w:tcPr>
          <w:p w14:paraId="35C807FC" w14:textId="77777777" w:rsidR="00E04C8A" w:rsidRDefault="008E1817" w:rsidP="001452D7">
            <w:pPr>
              <w:pStyle w:val="TableParagraph"/>
              <w:ind w:leftChars="14" w:left="31" w:rightChars="29" w:right="64"/>
              <w:jc w:val="center"/>
              <w:rPr>
                <w:rFonts w:ascii="Times New Roman" w:eastAsia="Times New Roman" w:hAnsi="Times New Roman" w:cs="Times New Roman"/>
                <w:lang w:val="sl-SI"/>
              </w:rPr>
            </w:pPr>
            <w:r>
              <w:rPr>
                <w:rFonts w:ascii="Times New Roman" w:eastAsia="Times New Roman" w:hAnsi="Times New Roman" w:cs="Times New Roman"/>
                <w:lang w:val="sl-SI"/>
              </w:rPr>
              <w:t>3 (0,8)</w:t>
            </w:r>
          </w:p>
        </w:tc>
        <w:tc>
          <w:tcPr>
            <w:tcW w:w="3437" w:type="dxa"/>
            <w:tcBorders>
              <w:top w:val="single" w:sz="5" w:space="0" w:color="000000"/>
              <w:left w:val="single" w:sz="5" w:space="0" w:color="000000"/>
              <w:bottom w:val="single" w:sz="5" w:space="0" w:color="000000"/>
              <w:right w:val="single" w:sz="5" w:space="0" w:color="000000"/>
            </w:tcBorders>
          </w:tcPr>
          <w:p w14:paraId="55E72D7B" w14:textId="77777777" w:rsidR="00E04C8A" w:rsidRDefault="008E1817" w:rsidP="001452D7">
            <w:pPr>
              <w:pStyle w:val="TableParagraph"/>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163 (20,0)</w:t>
            </w:r>
            <w:r>
              <w:rPr>
                <w:rFonts w:ascii="Times New Roman" w:eastAsia="Times New Roman" w:hAnsi="Times New Roman" w:cs="Times New Roman"/>
                <w:spacing w:val="-1"/>
                <w:vertAlign w:val="superscript"/>
                <w:lang w:val="sl-SI"/>
              </w:rPr>
              <w:t>b</w:t>
            </w:r>
          </w:p>
        </w:tc>
      </w:tr>
      <w:tr w:rsidR="00E04C8A" w14:paraId="7778D24B" w14:textId="77777777" w:rsidTr="001452D7">
        <w:trPr>
          <w:jc w:val="center"/>
        </w:trPr>
        <w:tc>
          <w:tcPr>
            <w:tcW w:w="3220" w:type="dxa"/>
            <w:tcBorders>
              <w:top w:val="single" w:sz="5" w:space="0" w:color="000000"/>
              <w:left w:val="single" w:sz="5" w:space="0" w:color="000000"/>
              <w:bottom w:val="single" w:sz="5" w:space="0" w:color="000000"/>
              <w:right w:val="single" w:sz="5" w:space="0" w:color="000000"/>
            </w:tcBorders>
          </w:tcPr>
          <w:p w14:paraId="4CB57A2B" w14:textId="77777777" w:rsidR="00E04C8A" w:rsidRDefault="008E1817">
            <w:pPr>
              <w:pStyle w:val="TableParagraph"/>
              <w:ind w:left="323"/>
              <w:rPr>
                <w:rFonts w:ascii="Times New Roman" w:eastAsia="Times New Roman" w:hAnsi="Times New Roman" w:cs="Times New Roman"/>
                <w:lang w:val="sl-SI"/>
              </w:rPr>
            </w:pPr>
            <w:r>
              <w:rPr>
                <w:rFonts w:ascii="Times New Roman" w:eastAsia="Times New Roman" w:hAnsi="Times New Roman" w:cs="Times New Roman"/>
                <w:b/>
                <w:bCs/>
                <w:spacing w:val="-1"/>
                <w:lang w:val="sl-SI"/>
              </w:rPr>
              <w:t>PGA: čisto/minimalno</w:t>
            </w:r>
          </w:p>
        </w:tc>
        <w:tc>
          <w:tcPr>
            <w:tcW w:w="2086" w:type="dxa"/>
            <w:tcBorders>
              <w:top w:val="single" w:sz="5" w:space="0" w:color="000000"/>
              <w:left w:val="single" w:sz="5" w:space="0" w:color="000000"/>
              <w:bottom w:val="single" w:sz="5" w:space="0" w:color="000000"/>
              <w:right w:val="single" w:sz="5" w:space="0" w:color="000000"/>
            </w:tcBorders>
          </w:tcPr>
          <w:p w14:paraId="691CAB52" w14:textId="77777777" w:rsidR="00E04C8A" w:rsidRDefault="008E1817" w:rsidP="001452D7">
            <w:pPr>
              <w:pStyle w:val="TableParagraph"/>
              <w:ind w:leftChars="14" w:left="31" w:rightChars="29" w:right="64"/>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17 (4,3)</w:t>
            </w:r>
          </w:p>
        </w:tc>
        <w:tc>
          <w:tcPr>
            <w:tcW w:w="3437" w:type="dxa"/>
            <w:tcBorders>
              <w:top w:val="single" w:sz="5" w:space="0" w:color="000000"/>
              <w:left w:val="single" w:sz="5" w:space="0" w:color="000000"/>
              <w:bottom w:val="single" w:sz="5" w:space="0" w:color="000000"/>
              <w:right w:val="single" w:sz="5" w:space="0" w:color="000000"/>
            </w:tcBorders>
          </w:tcPr>
          <w:p w14:paraId="0BE5519E" w14:textId="77777777" w:rsidR="00E04C8A" w:rsidRDefault="008E1817" w:rsidP="001452D7">
            <w:pPr>
              <w:pStyle w:val="TableParagraph"/>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506 (62,2)</w:t>
            </w:r>
            <w:r>
              <w:rPr>
                <w:rFonts w:ascii="Times New Roman" w:eastAsia="Times New Roman" w:hAnsi="Times New Roman" w:cs="Times New Roman"/>
                <w:spacing w:val="-1"/>
                <w:vertAlign w:val="superscript"/>
                <w:lang w:val="sl-SI"/>
              </w:rPr>
              <w:t>b</w:t>
            </w:r>
          </w:p>
        </w:tc>
      </w:tr>
      <w:tr w:rsidR="00E04C8A" w14:paraId="7E999CE1" w14:textId="77777777" w:rsidTr="001452D7">
        <w:trPr>
          <w:jc w:val="center"/>
        </w:trPr>
        <w:tc>
          <w:tcPr>
            <w:tcW w:w="8743" w:type="dxa"/>
            <w:gridSpan w:val="3"/>
            <w:tcBorders>
              <w:top w:val="single" w:sz="5" w:space="0" w:color="000000"/>
              <w:left w:val="single" w:sz="5" w:space="0" w:color="000000"/>
              <w:bottom w:val="single" w:sz="5" w:space="0" w:color="000000"/>
              <w:right w:val="single" w:sz="5" w:space="0" w:color="000000"/>
            </w:tcBorders>
          </w:tcPr>
          <w:p w14:paraId="7128746A" w14:textId="77777777" w:rsidR="00E04C8A" w:rsidRDefault="008E1817">
            <w:pPr>
              <w:pStyle w:val="TableParagraph"/>
              <w:ind w:left="102"/>
              <w:rPr>
                <w:rFonts w:ascii="Times New Roman" w:eastAsia="Times New Roman" w:hAnsi="Times New Roman" w:cs="Times New Roman"/>
                <w:lang w:val="sl-SI"/>
              </w:rPr>
            </w:pPr>
            <w:r w:rsidRPr="001452D7">
              <w:rPr>
                <w:rFonts w:ascii="Times New Roman" w:eastAsia="Times New Roman" w:hAnsi="Times New Roman" w:cs="Times New Roman"/>
                <w:vertAlign w:val="superscript"/>
                <w:lang w:val="sl-SI"/>
              </w:rPr>
              <w:t>a</w:t>
            </w:r>
            <w:r w:rsidRPr="001452D7">
              <w:rPr>
                <w:rFonts w:ascii="Times New Roman" w:eastAsia="Times New Roman" w:hAnsi="Times New Roman" w:cs="Times New Roman"/>
                <w:lang w:val="sl-SI"/>
              </w:rPr>
              <w:t xml:space="preserve"> Odstotek bolnikov, ki so dosegli odziv PASI 75, je bil izračunan kot delež, korigiran za center.</w:t>
            </w:r>
          </w:p>
          <w:p w14:paraId="3806F960" w14:textId="77777777" w:rsidR="00E04C8A" w:rsidRDefault="008E1817">
            <w:pPr>
              <w:pStyle w:val="TableParagraph"/>
              <w:ind w:left="102"/>
              <w:rPr>
                <w:rFonts w:ascii="Times New Roman" w:eastAsia="Times New Roman" w:hAnsi="Times New Roman" w:cs="Times New Roman"/>
                <w:lang w:val="sl-SI"/>
              </w:rPr>
            </w:pPr>
            <w:r w:rsidRPr="001452D7">
              <w:rPr>
                <w:rFonts w:ascii="Times New Roman" w:eastAsia="Times New Roman" w:hAnsi="Times New Roman" w:cs="Times New Roman"/>
                <w:vertAlign w:val="superscript"/>
                <w:lang w:val="sl-SI"/>
              </w:rPr>
              <w:t>b</w:t>
            </w:r>
            <w:r w:rsidRPr="001452D7">
              <w:rPr>
                <w:rFonts w:ascii="Times New Roman" w:eastAsia="Times New Roman" w:hAnsi="Times New Roman" w:cs="Times New Roman"/>
                <w:lang w:val="sl-SI"/>
              </w:rPr>
              <w:t xml:space="preserve"> p &lt; 0,001, adalimumab v primerjavi s placebom</w:t>
            </w:r>
          </w:p>
        </w:tc>
      </w:tr>
    </w:tbl>
    <w:p w14:paraId="26C64DED" w14:textId="1CA7973B" w:rsidR="007E758B" w:rsidRDefault="007E758B">
      <w:pPr>
        <w:rPr>
          <w:rFonts w:ascii="Times New Roman" w:eastAsia="Times New Roman" w:hAnsi="Times New Roman" w:cs="Times New Roman"/>
          <w:b/>
          <w:bCs/>
          <w:lang w:val="sl-SI"/>
        </w:rPr>
      </w:pPr>
    </w:p>
    <w:p w14:paraId="5AFA93CE" w14:textId="756E6284" w:rsidR="00E04C8A" w:rsidRDefault="008E1817" w:rsidP="00982DE1">
      <w:pPr>
        <w:pStyle w:val="a3"/>
        <w:keepNext/>
        <w:keepLines/>
        <w:jc w:val="center"/>
        <w:rPr>
          <w:b/>
          <w:lang w:val="sl-SI"/>
        </w:rPr>
      </w:pPr>
      <w:r>
        <w:rPr>
          <w:rFonts w:eastAsia="Times New Roman"/>
          <w:b/>
          <w:bCs/>
          <w:lang w:val="sl-SI"/>
        </w:rPr>
        <w:t>Preglednica </w:t>
      </w:r>
      <w:r w:rsidR="00982DE1">
        <w:rPr>
          <w:rFonts w:eastAsia="Times New Roman"/>
          <w:b/>
          <w:bCs/>
          <w:lang w:val="sl-SI"/>
        </w:rPr>
        <w:t>17</w:t>
      </w:r>
    </w:p>
    <w:p w14:paraId="5A052585" w14:textId="77777777" w:rsidR="00E04C8A" w:rsidRDefault="008E1817">
      <w:pPr>
        <w:pStyle w:val="a3"/>
        <w:jc w:val="center"/>
        <w:rPr>
          <w:rFonts w:eastAsia="Times New Roman"/>
          <w:b/>
          <w:bCs/>
          <w:lang w:val="sl-SI"/>
        </w:rPr>
      </w:pPr>
      <w:r>
        <w:rPr>
          <w:rFonts w:eastAsia="Times New Roman"/>
          <w:b/>
          <w:bCs/>
          <w:lang w:val="sl-SI"/>
        </w:rPr>
        <w:t>Študija pri psoriazi II (CHAMPION) Rezultati učinkovitosti po 16 tednih</w:t>
      </w:r>
    </w:p>
    <w:p w14:paraId="0217C7D6" w14:textId="77777777" w:rsidR="00721C46" w:rsidRDefault="00721C46">
      <w:pPr>
        <w:pStyle w:val="a3"/>
        <w:jc w:val="center"/>
        <w:rPr>
          <w:b/>
          <w:lang w:val="sl-SI"/>
        </w:rPr>
      </w:pPr>
    </w:p>
    <w:tbl>
      <w:tblPr>
        <w:tblStyle w:val="ac"/>
        <w:tblW w:w="9439" w:type="dxa"/>
        <w:tblInd w:w="111" w:type="dxa"/>
        <w:tblLayout w:type="fixed"/>
        <w:tblLook w:val="04A0" w:firstRow="1" w:lastRow="0" w:firstColumn="1" w:lastColumn="0" w:noHBand="0" w:noVBand="1"/>
      </w:tblPr>
      <w:tblGrid>
        <w:gridCol w:w="2436"/>
        <w:gridCol w:w="2055"/>
        <w:gridCol w:w="2197"/>
        <w:gridCol w:w="2751"/>
      </w:tblGrid>
      <w:tr w:rsidR="00E04C8A" w14:paraId="02BE585F" w14:textId="77777777" w:rsidTr="001452D7">
        <w:tc>
          <w:tcPr>
            <w:tcW w:w="2436" w:type="dxa"/>
            <w:vAlign w:val="center"/>
          </w:tcPr>
          <w:p w14:paraId="127D376F" w14:textId="77777777" w:rsidR="00E04C8A" w:rsidRDefault="00E04C8A">
            <w:pPr>
              <w:pStyle w:val="a3"/>
              <w:rPr>
                <w:lang w:val="sl-SI"/>
              </w:rPr>
            </w:pPr>
          </w:p>
        </w:tc>
        <w:tc>
          <w:tcPr>
            <w:tcW w:w="2055" w:type="dxa"/>
            <w:vAlign w:val="center"/>
          </w:tcPr>
          <w:p w14:paraId="68C4682D" w14:textId="77777777" w:rsidR="00E04C8A" w:rsidRDefault="008E1817">
            <w:pPr>
              <w:pStyle w:val="TableParagraph"/>
              <w:spacing w:before="4"/>
              <w:ind w:left="459" w:right="459"/>
              <w:jc w:val="center"/>
              <w:rPr>
                <w:rFonts w:ascii="Times New Roman" w:eastAsia="Times New Roman" w:hAnsi="Times New Roman" w:cs="Times New Roman"/>
                <w:b/>
                <w:bCs/>
                <w:spacing w:val="-1"/>
                <w:lang w:val="sl-SI"/>
              </w:rPr>
            </w:pPr>
            <w:r>
              <w:rPr>
                <w:rFonts w:ascii="Times New Roman" w:eastAsia="Times New Roman" w:hAnsi="Times New Roman" w:cs="Times New Roman"/>
                <w:b/>
                <w:bCs/>
                <w:lang w:val="sl-SI"/>
              </w:rPr>
              <w:t>Placebo N = 53</w:t>
            </w:r>
          </w:p>
          <w:p w14:paraId="51DD71CB" w14:textId="77777777" w:rsidR="00E04C8A" w:rsidRDefault="008E1817">
            <w:pPr>
              <w:pStyle w:val="TableParagraph"/>
              <w:spacing w:before="4"/>
              <w:ind w:left="459" w:right="459"/>
              <w:jc w:val="center"/>
              <w:rPr>
                <w:b/>
                <w:lang w:val="sl-SI"/>
              </w:rPr>
            </w:pPr>
            <w:r>
              <w:rPr>
                <w:rFonts w:ascii="Times New Roman" w:eastAsia="Times New Roman" w:hAnsi="Times New Roman" w:cs="Times New Roman"/>
                <w:b/>
                <w:bCs/>
                <w:lang w:val="sl-SI"/>
              </w:rPr>
              <w:t>n (%)</w:t>
            </w:r>
          </w:p>
        </w:tc>
        <w:tc>
          <w:tcPr>
            <w:tcW w:w="2197" w:type="dxa"/>
            <w:vAlign w:val="center"/>
          </w:tcPr>
          <w:p w14:paraId="376364B8" w14:textId="77777777" w:rsidR="00E04C8A" w:rsidRDefault="008E1817">
            <w:pPr>
              <w:pStyle w:val="a3"/>
              <w:jc w:val="center"/>
              <w:rPr>
                <w:b/>
                <w:lang w:val="sl-SI"/>
              </w:rPr>
            </w:pPr>
            <w:r>
              <w:rPr>
                <w:rFonts w:eastAsia="Times New Roman"/>
                <w:b/>
                <w:bCs/>
                <w:lang w:val="sl-SI"/>
              </w:rPr>
              <w:t>Metotreksat</w:t>
            </w:r>
          </w:p>
          <w:p w14:paraId="7B1BB6DD" w14:textId="77777777" w:rsidR="00E04C8A" w:rsidRDefault="008E1817">
            <w:pPr>
              <w:pStyle w:val="a3"/>
              <w:jc w:val="center"/>
              <w:rPr>
                <w:b/>
                <w:lang w:val="sl-SI"/>
              </w:rPr>
            </w:pPr>
            <w:r>
              <w:rPr>
                <w:rFonts w:eastAsia="Times New Roman"/>
                <w:b/>
                <w:bCs/>
                <w:lang w:val="sl-SI"/>
              </w:rPr>
              <w:t>N = 110</w:t>
            </w:r>
          </w:p>
          <w:p w14:paraId="71433C2F" w14:textId="77777777" w:rsidR="00E04C8A" w:rsidRDefault="008E1817">
            <w:pPr>
              <w:pStyle w:val="a3"/>
              <w:jc w:val="center"/>
              <w:rPr>
                <w:lang w:val="sl-SI"/>
              </w:rPr>
            </w:pPr>
            <w:r>
              <w:rPr>
                <w:rFonts w:eastAsia="Times New Roman"/>
                <w:b/>
                <w:bCs/>
                <w:lang w:val="sl-SI"/>
              </w:rPr>
              <w:t>n (%)</w:t>
            </w:r>
          </w:p>
        </w:tc>
        <w:tc>
          <w:tcPr>
            <w:tcW w:w="2751" w:type="dxa"/>
            <w:vAlign w:val="center"/>
          </w:tcPr>
          <w:p w14:paraId="3B68D9AD" w14:textId="77777777" w:rsidR="00E04C8A" w:rsidRDefault="008E1817">
            <w:pPr>
              <w:pStyle w:val="TableParagraph"/>
              <w:spacing w:before="4"/>
              <w:ind w:left="113" w:right="113"/>
              <w:jc w:val="center"/>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Adalimumab 40 mg vsak 2. teden</w:t>
            </w:r>
          </w:p>
          <w:p w14:paraId="40738C67" w14:textId="77777777" w:rsidR="00E04C8A" w:rsidRDefault="008E1817">
            <w:pPr>
              <w:pStyle w:val="TableParagraph"/>
              <w:spacing w:before="4"/>
              <w:ind w:left="113" w:right="113"/>
              <w:jc w:val="center"/>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N = 108</w:t>
            </w:r>
          </w:p>
          <w:p w14:paraId="2BDE1AFE" w14:textId="77777777" w:rsidR="00E04C8A" w:rsidRDefault="008E1817">
            <w:pPr>
              <w:pStyle w:val="TableParagraph"/>
              <w:spacing w:before="4"/>
              <w:ind w:left="113" w:right="113"/>
              <w:jc w:val="center"/>
              <w:rPr>
                <w:rFonts w:ascii="Times New Roman" w:eastAsia="Times New Roman" w:hAnsi="Times New Roman" w:cs="Times New Roman"/>
                <w:lang w:val="sl-SI"/>
              </w:rPr>
            </w:pPr>
            <w:r>
              <w:rPr>
                <w:rFonts w:ascii="Times New Roman" w:eastAsia="Times New Roman" w:hAnsi="Times New Roman" w:cs="Times New Roman"/>
                <w:b/>
                <w:bCs/>
                <w:lang w:val="sl-SI"/>
              </w:rPr>
              <w:t>n (%)</w:t>
            </w:r>
          </w:p>
        </w:tc>
      </w:tr>
      <w:tr w:rsidR="00E04C8A" w14:paraId="466A72F7" w14:textId="77777777" w:rsidTr="001452D7">
        <w:tc>
          <w:tcPr>
            <w:tcW w:w="2436" w:type="dxa"/>
          </w:tcPr>
          <w:p w14:paraId="5B50DCAC" w14:textId="77777777" w:rsidR="00E04C8A" w:rsidRPr="001452D7" w:rsidRDefault="008E1817">
            <w:pPr>
              <w:pStyle w:val="a3"/>
              <w:rPr>
                <w:b/>
                <w:lang w:val="sl-SI"/>
              </w:rPr>
            </w:pPr>
            <w:r w:rsidRPr="001452D7">
              <w:rPr>
                <w:rFonts w:ascii="Symbol" w:eastAsia="Symbol" w:hAnsi="Symbol" w:cs="Symbol"/>
                <w:b/>
                <w:lang w:val="sl-SI"/>
              </w:rPr>
              <w:sym w:font="Symbol" w:char="F0B3"/>
            </w:r>
            <w:r w:rsidRPr="001452D7">
              <w:rPr>
                <w:rFonts w:ascii="Symbol" w:eastAsia="Symbol" w:hAnsi="Symbol" w:cs="Symbol"/>
                <w:b/>
                <w:lang w:val="sl-SI"/>
              </w:rPr>
              <w:sym w:font="Symbol" w:char="F020"/>
            </w:r>
            <w:r w:rsidRPr="001452D7">
              <w:rPr>
                <w:rFonts w:eastAsia="Times New Roman"/>
                <w:b/>
                <w:lang w:val="sl-SI"/>
              </w:rPr>
              <w:t>PASI 75</w:t>
            </w:r>
          </w:p>
        </w:tc>
        <w:tc>
          <w:tcPr>
            <w:tcW w:w="2055" w:type="dxa"/>
          </w:tcPr>
          <w:p w14:paraId="482E9A1D" w14:textId="77777777" w:rsidR="00E04C8A" w:rsidRDefault="008E1817">
            <w:pPr>
              <w:pStyle w:val="a3"/>
              <w:jc w:val="center"/>
              <w:rPr>
                <w:b/>
                <w:lang w:val="sl-SI"/>
              </w:rPr>
            </w:pPr>
            <w:r>
              <w:rPr>
                <w:rFonts w:eastAsia="Times New Roman"/>
                <w:lang w:val="sl-SI"/>
              </w:rPr>
              <w:t>10 (18,9)</w:t>
            </w:r>
          </w:p>
        </w:tc>
        <w:tc>
          <w:tcPr>
            <w:tcW w:w="2197" w:type="dxa"/>
          </w:tcPr>
          <w:p w14:paraId="3EDB1D08" w14:textId="77777777" w:rsidR="00E04C8A" w:rsidRDefault="008E1817">
            <w:pPr>
              <w:pStyle w:val="a3"/>
              <w:jc w:val="center"/>
              <w:rPr>
                <w:b/>
                <w:lang w:val="sl-SI"/>
              </w:rPr>
            </w:pPr>
            <w:r>
              <w:rPr>
                <w:rFonts w:eastAsia="Times New Roman"/>
                <w:lang w:val="sl-SI"/>
              </w:rPr>
              <w:t>39 (35,5)</w:t>
            </w:r>
          </w:p>
        </w:tc>
        <w:tc>
          <w:tcPr>
            <w:tcW w:w="2751" w:type="dxa"/>
          </w:tcPr>
          <w:p w14:paraId="76F59538" w14:textId="77777777" w:rsidR="00E04C8A" w:rsidRDefault="008E1817">
            <w:pPr>
              <w:pStyle w:val="a3"/>
              <w:jc w:val="center"/>
              <w:rPr>
                <w:b/>
                <w:lang w:val="sl-SI"/>
              </w:rPr>
            </w:pPr>
            <w:r>
              <w:rPr>
                <w:rFonts w:eastAsia="Times New Roman"/>
                <w:spacing w:val="-1"/>
                <w:lang w:val="sl-SI"/>
              </w:rPr>
              <w:t xml:space="preserve">86 (79,6) </w:t>
            </w:r>
            <w:r>
              <w:rPr>
                <w:rFonts w:eastAsia="Times New Roman"/>
                <w:spacing w:val="-1"/>
                <w:vertAlign w:val="superscript"/>
                <w:lang w:val="sl-SI"/>
              </w:rPr>
              <w:t>a, b</w:t>
            </w:r>
          </w:p>
        </w:tc>
      </w:tr>
      <w:tr w:rsidR="00E04C8A" w14:paraId="595141F7" w14:textId="77777777" w:rsidTr="001452D7">
        <w:tc>
          <w:tcPr>
            <w:tcW w:w="2436" w:type="dxa"/>
          </w:tcPr>
          <w:p w14:paraId="7CC93DAD" w14:textId="77777777" w:rsidR="00E04C8A" w:rsidRPr="001452D7" w:rsidRDefault="008E1817">
            <w:pPr>
              <w:pStyle w:val="a3"/>
              <w:rPr>
                <w:b/>
                <w:lang w:val="sl-SI"/>
              </w:rPr>
            </w:pPr>
            <w:r w:rsidRPr="001452D7">
              <w:rPr>
                <w:rFonts w:eastAsia="Times New Roman"/>
                <w:b/>
                <w:lang w:val="sl-SI"/>
              </w:rPr>
              <w:t>PASI 100</w:t>
            </w:r>
          </w:p>
        </w:tc>
        <w:tc>
          <w:tcPr>
            <w:tcW w:w="2055" w:type="dxa"/>
          </w:tcPr>
          <w:p w14:paraId="4F500EC8" w14:textId="77777777" w:rsidR="00E04C8A" w:rsidRDefault="008E1817">
            <w:pPr>
              <w:pStyle w:val="a3"/>
              <w:jc w:val="center"/>
              <w:rPr>
                <w:b/>
                <w:lang w:val="sl-SI"/>
              </w:rPr>
            </w:pPr>
            <w:r>
              <w:rPr>
                <w:rFonts w:eastAsia="Times New Roman"/>
                <w:lang w:val="sl-SI"/>
              </w:rPr>
              <w:t>1 (1,9)</w:t>
            </w:r>
          </w:p>
        </w:tc>
        <w:tc>
          <w:tcPr>
            <w:tcW w:w="2197" w:type="dxa"/>
          </w:tcPr>
          <w:p w14:paraId="4D53EF17" w14:textId="77777777" w:rsidR="00E04C8A" w:rsidRDefault="008E1817">
            <w:pPr>
              <w:pStyle w:val="a3"/>
              <w:jc w:val="center"/>
              <w:rPr>
                <w:b/>
                <w:lang w:val="sl-SI"/>
              </w:rPr>
            </w:pPr>
            <w:r>
              <w:rPr>
                <w:rFonts w:eastAsia="Times New Roman"/>
                <w:lang w:val="sl-SI"/>
              </w:rPr>
              <w:t>8 (7,3)</w:t>
            </w:r>
          </w:p>
        </w:tc>
        <w:tc>
          <w:tcPr>
            <w:tcW w:w="2751" w:type="dxa"/>
          </w:tcPr>
          <w:p w14:paraId="2808166E" w14:textId="77777777" w:rsidR="00E04C8A" w:rsidRDefault="008E1817">
            <w:pPr>
              <w:pStyle w:val="a3"/>
              <w:jc w:val="center"/>
              <w:rPr>
                <w:b/>
                <w:lang w:val="sl-SI"/>
              </w:rPr>
            </w:pPr>
            <w:r>
              <w:rPr>
                <w:rFonts w:eastAsia="Times New Roman"/>
                <w:spacing w:val="-1"/>
                <w:lang w:val="sl-SI"/>
              </w:rPr>
              <w:t xml:space="preserve">18 (16.7) </w:t>
            </w:r>
            <w:r>
              <w:rPr>
                <w:rFonts w:eastAsia="Times New Roman"/>
                <w:spacing w:val="-1"/>
                <w:vertAlign w:val="superscript"/>
                <w:lang w:val="sl-SI"/>
              </w:rPr>
              <w:t>c, d</w:t>
            </w:r>
          </w:p>
        </w:tc>
      </w:tr>
      <w:tr w:rsidR="00E04C8A" w14:paraId="7A74F90E" w14:textId="77777777" w:rsidTr="001452D7">
        <w:tc>
          <w:tcPr>
            <w:tcW w:w="2436" w:type="dxa"/>
          </w:tcPr>
          <w:p w14:paraId="1D5C8FED" w14:textId="77777777" w:rsidR="00E04C8A" w:rsidRDefault="008E1817">
            <w:pPr>
              <w:pStyle w:val="TableParagraph"/>
              <w:rPr>
                <w:b/>
                <w:lang w:val="sl-SI"/>
              </w:rPr>
            </w:pPr>
            <w:r>
              <w:rPr>
                <w:rFonts w:ascii="Times New Roman" w:eastAsia="Times New Roman" w:hAnsi="Times New Roman" w:cs="Times New Roman"/>
                <w:b/>
                <w:bCs/>
                <w:lang w:val="sl-SI"/>
              </w:rPr>
              <w:t>PGA: čisto/minimalno</w:t>
            </w:r>
          </w:p>
        </w:tc>
        <w:tc>
          <w:tcPr>
            <w:tcW w:w="2055" w:type="dxa"/>
          </w:tcPr>
          <w:p w14:paraId="030A3FDB" w14:textId="77777777" w:rsidR="00E04C8A" w:rsidRDefault="008E1817">
            <w:pPr>
              <w:pStyle w:val="a3"/>
              <w:jc w:val="center"/>
              <w:rPr>
                <w:b/>
                <w:lang w:val="sl-SI"/>
              </w:rPr>
            </w:pPr>
            <w:r>
              <w:rPr>
                <w:rFonts w:eastAsia="Times New Roman"/>
                <w:lang w:val="sl-SI"/>
              </w:rPr>
              <w:t>6 (11.3)</w:t>
            </w:r>
          </w:p>
        </w:tc>
        <w:tc>
          <w:tcPr>
            <w:tcW w:w="2197" w:type="dxa"/>
          </w:tcPr>
          <w:p w14:paraId="3B407659" w14:textId="77777777" w:rsidR="00E04C8A" w:rsidRDefault="008E1817">
            <w:pPr>
              <w:pStyle w:val="a3"/>
              <w:jc w:val="center"/>
              <w:rPr>
                <w:b/>
                <w:lang w:val="sl-SI"/>
              </w:rPr>
            </w:pPr>
            <w:r>
              <w:rPr>
                <w:rFonts w:eastAsia="Times New Roman"/>
                <w:lang w:val="sl-SI"/>
              </w:rPr>
              <w:t>33 (30,0)</w:t>
            </w:r>
          </w:p>
        </w:tc>
        <w:tc>
          <w:tcPr>
            <w:tcW w:w="2751" w:type="dxa"/>
          </w:tcPr>
          <w:p w14:paraId="3308FA3E" w14:textId="77777777" w:rsidR="00E04C8A" w:rsidRDefault="008E1817">
            <w:pPr>
              <w:pStyle w:val="a3"/>
              <w:jc w:val="center"/>
              <w:rPr>
                <w:b/>
                <w:lang w:val="sl-SI"/>
              </w:rPr>
            </w:pPr>
            <w:r>
              <w:rPr>
                <w:rFonts w:eastAsia="Times New Roman"/>
                <w:spacing w:val="-1"/>
                <w:lang w:val="sl-SI"/>
              </w:rPr>
              <w:t xml:space="preserve">79 (73,1) </w:t>
            </w:r>
            <w:r>
              <w:rPr>
                <w:rFonts w:eastAsia="Times New Roman"/>
                <w:spacing w:val="-1"/>
                <w:vertAlign w:val="superscript"/>
                <w:lang w:val="sl-SI"/>
              </w:rPr>
              <w:t>a, b</w:t>
            </w:r>
          </w:p>
        </w:tc>
      </w:tr>
      <w:tr w:rsidR="00E04C8A" w:rsidRPr="00652F18" w14:paraId="5409A7FA" w14:textId="77777777">
        <w:tc>
          <w:tcPr>
            <w:tcW w:w="9439" w:type="dxa"/>
            <w:gridSpan w:val="4"/>
          </w:tcPr>
          <w:p w14:paraId="74839ACC" w14:textId="77777777" w:rsidR="00E04C8A" w:rsidRDefault="008E1817">
            <w:pPr>
              <w:pStyle w:val="TableParagraph"/>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a</w:t>
            </w:r>
            <w:r>
              <w:rPr>
                <w:rFonts w:ascii="Times New Roman" w:eastAsia="Times New Roman" w:hAnsi="Times New Roman" w:cs="Times New Roman"/>
                <w:position w:val="8"/>
                <w:lang w:val="sl-SI"/>
              </w:rPr>
              <w:t xml:space="preserve"> p &lt; 0,001 adalimumab v primerjavi s placebom</w:t>
            </w:r>
          </w:p>
          <w:p w14:paraId="77D6891B" w14:textId="77777777" w:rsidR="00E04C8A" w:rsidRDefault="008E1817">
            <w:pPr>
              <w:pStyle w:val="TableParagraph"/>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b</w:t>
            </w:r>
            <w:r>
              <w:rPr>
                <w:rFonts w:ascii="Times New Roman" w:eastAsia="Times New Roman" w:hAnsi="Times New Roman" w:cs="Times New Roman"/>
                <w:position w:val="8"/>
                <w:lang w:val="sl-SI"/>
              </w:rPr>
              <w:t xml:space="preserve"> p &lt; 0,001 adalimumab v primerjavi z metotreksatom</w:t>
            </w:r>
          </w:p>
          <w:p w14:paraId="7C56BA87" w14:textId="77777777" w:rsidR="00E04C8A" w:rsidRDefault="008E1817">
            <w:pPr>
              <w:pStyle w:val="TableParagraph"/>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 xml:space="preserve">c </w:t>
            </w:r>
            <w:r>
              <w:rPr>
                <w:rFonts w:ascii="Times New Roman" w:eastAsia="Times New Roman" w:hAnsi="Times New Roman" w:cs="Times New Roman"/>
                <w:position w:val="8"/>
                <w:lang w:val="sl-SI"/>
              </w:rPr>
              <w:t>p &lt; 0,01, adalimumab v primerjavi s placebom</w:t>
            </w:r>
          </w:p>
          <w:p w14:paraId="263ED8A3" w14:textId="77777777" w:rsidR="00E04C8A" w:rsidRDefault="008E1817">
            <w:pPr>
              <w:pStyle w:val="a3"/>
              <w:rPr>
                <w:b/>
                <w:lang w:val="sl-SI"/>
              </w:rPr>
            </w:pPr>
            <w:r>
              <w:rPr>
                <w:rFonts w:eastAsia="Times New Roman"/>
                <w:position w:val="8"/>
                <w:vertAlign w:val="superscript"/>
                <w:lang w:val="sl-SI"/>
              </w:rPr>
              <w:t>d</w:t>
            </w:r>
            <w:r>
              <w:rPr>
                <w:rFonts w:eastAsia="Times New Roman"/>
                <w:position w:val="8"/>
                <w:lang w:val="sl-SI"/>
              </w:rPr>
              <w:t xml:space="preserve"> p &lt; 0,05 adalimumab v primerjavi z metotreksatom</w:t>
            </w:r>
          </w:p>
        </w:tc>
      </w:tr>
    </w:tbl>
    <w:p w14:paraId="117DF598" w14:textId="77777777" w:rsidR="00E04C8A" w:rsidRDefault="00E04C8A">
      <w:pPr>
        <w:pStyle w:val="a3"/>
        <w:rPr>
          <w:lang w:val="sl-SI"/>
        </w:rPr>
      </w:pPr>
    </w:p>
    <w:p w14:paraId="28437E8B" w14:textId="77777777" w:rsidR="00E04C8A" w:rsidRDefault="008E1817">
      <w:pPr>
        <w:pStyle w:val="a3"/>
        <w:rPr>
          <w:lang w:val="sl-SI"/>
        </w:rPr>
      </w:pPr>
      <w:r>
        <w:rPr>
          <w:rFonts w:eastAsia="Times New Roman"/>
          <w:spacing w:val="-2"/>
          <w:lang w:val="sl-SI"/>
        </w:rPr>
        <w:t>V študiji pri psoriazi I so 33. teden "izgubo ustreznega odziva" zabeležili pri 28 % bolnikov, ki so dosegli odziv PASI 75 in so bili ob ponovni randomizaciji razvrščeni na placebo, in pri 5% bolnikov, ki so še naprej dobivali adalimumab (p &lt; 0,001). "Izguba ustreznega odziva" je bila opredeljena kot takšna ocena PASI po 33. tednu in v 52. tednu ali pred njim, da je bil odziv PASI &lt; 50 glede na izhodišče, s porastom PASI vsaj 6 točk v primerjavi s 33. tednom. Med bolniki, ki so izgubili ustrezen odziv ob ponovni randomizaciji na placebo med podaljšanim odprtim preskušanjem, je po 12 tednih ponovne terapije PASI 75 znova doseglo 38 % (25/66), po 24 tednih pa 55 % (36/66) bolnikov.</w:t>
      </w:r>
    </w:p>
    <w:p w14:paraId="405A686C" w14:textId="77777777" w:rsidR="00E04C8A" w:rsidRDefault="00E04C8A">
      <w:pPr>
        <w:spacing w:before="11" w:line="240" w:lineRule="exact"/>
        <w:rPr>
          <w:sz w:val="24"/>
          <w:szCs w:val="24"/>
          <w:lang w:val="sl-SI"/>
        </w:rPr>
      </w:pPr>
    </w:p>
    <w:p w14:paraId="212B9DC9" w14:textId="65D9C898" w:rsidR="00E04C8A" w:rsidRDefault="008E1817">
      <w:pPr>
        <w:pStyle w:val="a3"/>
        <w:rPr>
          <w:lang w:val="sl-SI"/>
        </w:rPr>
      </w:pPr>
      <w:r>
        <w:rPr>
          <w:rFonts w:eastAsia="Times New Roman"/>
          <w:lang w:val="sl-SI"/>
        </w:rPr>
        <w:t>Skupno je 233 bolnikov, ki so imeli 16. in 33. teden odziv PASI 75, v študiji psoriaze I prejemalo stalno zdravljenje z adalimumabom</w:t>
      </w:r>
      <w:r w:rsidR="001B1C67">
        <w:rPr>
          <w:rFonts w:eastAsia="Times New Roman"/>
          <w:lang w:val="sl-SI"/>
        </w:rPr>
        <w:t xml:space="preserve"> </w:t>
      </w:r>
      <w:r>
        <w:rPr>
          <w:rFonts w:eastAsia="Times New Roman"/>
          <w:lang w:val="sl-SI"/>
        </w:rPr>
        <w:t xml:space="preserve">52 tednov ter so zdravljenje z adalimumabom nadaljevali v odprtem podaljšanem preskušanju. Po dodatnih 108 tednih </w:t>
      </w:r>
      <w:r w:rsidR="001B1C67">
        <w:rPr>
          <w:bCs/>
          <w:lang w:val="sl-SI"/>
        </w:rPr>
        <w:t>nezaslepljenega</w:t>
      </w:r>
      <w:r w:rsidR="001B1C67" w:rsidRPr="0046564D">
        <w:rPr>
          <w:bCs/>
          <w:lang w:val="sl-SI"/>
        </w:rPr>
        <w:t xml:space="preserve"> </w:t>
      </w:r>
      <w:r>
        <w:rPr>
          <w:rFonts w:eastAsia="Times New Roman"/>
          <w:lang w:val="sl-SI"/>
        </w:rPr>
        <w:t xml:space="preserve">zdravljenja (skupaj 160 tednov) sta bila pri teh bolnikih delež odziva PASI 75 74,7 %, delež odziva PGA "čisto" ali "minimalno" pa 59,0 %. Opravljena je bila analiza, v kateri so vse bolnike, ki so izpadli iz študije zaradi neželenih učinkov ali nezadostne učinkovitosti, ali jim je bil povečan odmerek, obravnavali kot neodzivne; pri teh bolnikih sta bila po dodatnih 108 tednih </w:t>
      </w:r>
      <w:r w:rsidR="001B1C67">
        <w:rPr>
          <w:bCs/>
          <w:lang w:val="sl-SI"/>
        </w:rPr>
        <w:t>nezaslepljenega</w:t>
      </w:r>
      <w:r w:rsidR="001B1C67" w:rsidRPr="0046564D">
        <w:rPr>
          <w:bCs/>
          <w:lang w:val="sl-SI"/>
        </w:rPr>
        <w:t xml:space="preserve"> </w:t>
      </w:r>
      <w:r>
        <w:rPr>
          <w:rFonts w:eastAsia="Times New Roman"/>
          <w:lang w:val="sl-SI"/>
        </w:rPr>
        <w:t>zdravljenja (skupaj 160 tednov) delež odziva PASI 75 69,6 % in delež odziva PGA "čisto" ali "minimalno" 55,7 %.</w:t>
      </w:r>
    </w:p>
    <w:p w14:paraId="2150E10B" w14:textId="77777777" w:rsidR="00E04C8A" w:rsidRDefault="00E04C8A">
      <w:pPr>
        <w:spacing w:before="13" w:line="240" w:lineRule="exact"/>
        <w:rPr>
          <w:sz w:val="24"/>
          <w:szCs w:val="24"/>
          <w:lang w:val="sl-SI"/>
        </w:rPr>
      </w:pPr>
    </w:p>
    <w:p w14:paraId="36D61F3D" w14:textId="77777777" w:rsidR="00E04C8A" w:rsidRDefault="008E1817">
      <w:pPr>
        <w:pStyle w:val="a3"/>
        <w:rPr>
          <w:lang w:val="sl-SI"/>
        </w:rPr>
      </w:pPr>
      <w:r>
        <w:rPr>
          <w:rFonts w:eastAsia="Times New Roman"/>
          <w:lang w:val="sl-SI"/>
        </w:rPr>
        <w:t xml:space="preserve">V odprti podaljšani študiji je v oceni prenehanja uporabe in ponovnega zdravljenja sodelovalo skupno 347 stabilnih odzivnih bolnikov. Med obdobjem prenehanja uporabe so se simptomi psoriaze sčasoma znova pojavili; mediani čas do ponovitve simptomov psoriaze (relapsa) (poslabšanje na PGA "zmerno" ali slabše) </w:t>
      </w:r>
      <w:r>
        <w:rPr>
          <w:rFonts w:eastAsia="Times New Roman"/>
          <w:lang w:val="sl-SI"/>
        </w:rPr>
        <w:lastRenderedPageBreak/>
        <w:t>je bil približno 5 mesecev. Pri nobenemu od teh bolnikov se med obdobjem prenehanja uporabe ni pojavil povratni odziv. Od bolnikov, deležnih ponovnega zdravljenja, jih je skupno 76,5 % (218/285) po 16 tednih ponovnega zdravljenja imelo odziv PGA "čisto" ali "minimalno", ne glede na to, ali je med prenehanjem uporabe prišlo do relapsa (69,1 % [123/178] bolnikov, pri katerih je med prenehanjem uporabe prišlo do relapsa, in 88,8 % [95/107] tistih, pri katerih ni prišlo do relapsa). Varnostne značilnosti so bile po ponovnem zdravljenju podobne kot pred prenehanjem uporabe.</w:t>
      </w:r>
    </w:p>
    <w:p w14:paraId="4F79427F" w14:textId="77777777" w:rsidR="00E04C8A" w:rsidRDefault="00E04C8A">
      <w:pPr>
        <w:pStyle w:val="a3"/>
        <w:rPr>
          <w:lang w:val="sl-SI"/>
        </w:rPr>
      </w:pPr>
    </w:p>
    <w:p w14:paraId="79F8EC15" w14:textId="77777777" w:rsidR="00E04C8A" w:rsidRDefault="008E1817">
      <w:pPr>
        <w:pStyle w:val="a3"/>
        <w:rPr>
          <w:lang w:val="sl-SI"/>
        </w:rPr>
      </w:pPr>
      <w:r>
        <w:rPr>
          <w:rFonts w:eastAsia="Times New Roman"/>
          <w:lang w:val="sl-SI"/>
        </w:rPr>
        <w:t>Značilno izboljšanje od izhodišča do 16. tedna se je v primerjavi s placebom (študiji I in II) in metotreksatom (študija II) izkazalo v dermatološkem indeksu kakovosti življenja (DLQI – Dermatology Life Quality Index). V študiji I so v primerjavi s placebom ugotovili tudi značilno izboljšanje telesne in duševne komponente ocene SF-36.</w:t>
      </w:r>
    </w:p>
    <w:p w14:paraId="5D85DBB0" w14:textId="77777777" w:rsidR="00E04C8A" w:rsidRDefault="00E04C8A">
      <w:pPr>
        <w:spacing w:before="13" w:line="240" w:lineRule="exact"/>
        <w:rPr>
          <w:sz w:val="24"/>
          <w:szCs w:val="24"/>
          <w:lang w:val="sl-SI"/>
        </w:rPr>
      </w:pPr>
    </w:p>
    <w:p w14:paraId="7349C4BA" w14:textId="77777777" w:rsidR="00E04C8A" w:rsidRDefault="008E1817">
      <w:pPr>
        <w:pStyle w:val="a3"/>
        <w:rPr>
          <w:lang w:val="sl-SI"/>
        </w:rPr>
      </w:pPr>
      <w:r>
        <w:rPr>
          <w:rFonts w:eastAsia="Times New Roman"/>
          <w:lang w:val="sl-SI"/>
        </w:rPr>
        <w:t>V odprti podaljšani študiji je odziv PASI 75 v 12. oziroma 2 . tednu doseglo 26,4 % (92/349) oziroma 37,8 % (132/349) bolnikov, ki so jim zaradi odziva PASI pod 50 % odmerek povečali s 40 mg vsak drugi teden na 40 mg vsak teden.</w:t>
      </w:r>
    </w:p>
    <w:p w14:paraId="700D12F2" w14:textId="77777777" w:rsidR="00E04C8A" w:rsidRDefault="00E04C8A">
      <w:pPr>
        <w:spacing w:before="17" w:line="240" w:lineRule="exact"/>
        <w:rPr>
          <w:sz w:val="24"/>
          <w:szCs w:val="24"/>
          <w:lang w:val="sl-SI"/>
        </w:rPr>
      </w:pPr>
    </w:p>
    <w:p w14:paraId="409CC606" w14:textId="6EF15EA2" w:rsidR="00E04C8A" w:rsidRDefault="008E1817">
      <w:pPr>
        <w:pStyle w:val="a3"/>
        <w:rPr>
          <w:lang w:val="sl-SI"/>
        </w:rPr>
      </w:pPr>
      <w:r>
        <w:rPr>
          <w:rFonts w:eastAsia="Times New Roman"/>
          <w:lang w:val="sl-SI"/>
        </w:rPr>
        <w:t>Študija pri psoriazi III (REACH) je primerjala učinkovitost in varnost adalimumaba v primerjavi s placebom pri 72 bolnikih z zmerno do hudo kronično psoriazo v plakih in psoriazo na dlaneh in/ali stopalih. Bolniki so prejeli začetni odmerek 80 mg adalimumaba, ki mu je sledil 40 mg odmerek ali placebo vsak drugi teden (z začetkom en teden po začetnem odmerku) naslednjih 16 tednov. V 16. tednu je statistično pomembno večji delež bolnikov, ki so prejemali adalimumab, doseglo PGA ‘’čisto” ali ‘’skoraj čisto” za dlani in/ali stopala, v primerjavi z bolniki, ki so prejemali placebo (30,6 % proti 4,3 %, v tem zaporedju [P = 0,014]).</w:t>
      </w:r>
    </w:p>
    <w:p w14:paraId="5965B49C" w14:textId="77777777" w:rsidR="00E04C8A" w:rsidRDefault="00E04C8A">
      <w:pPr>
        <w:spacing w:before="13" w:line="240" w:lineRule="exact"/>
        <w:rPr>
          <w:sz w:val="24"/>
          <w:szCs w:val="24"/>
          <w:lang w:val="sl-SI"/>
        </w:rPr>
      </w:pPr>
    </w:p>
    <w:p w14:paraId="2DCEBC1C" w14:textId="3CC870E0" w:rsidR="00E04C8A" w:rsidRDefault="008E1817">
      <w:pPr>
        <w:pStyle w:val="a3"/>
        <w:rPr>
          <w:lang w:val="sl-SI"/>
        </w:rPr>
      </w:pPr>
      <w:r>
        <w:rPr>
          <w:rFonts w:eastAsia="Times New Roman"/>
          <w:lang w:val="sl-SI"/>
        </w:rPr>
        <w:t>Študija pri psoriazi IV je primerjala učinkovitost in varnost adalimumaba v primerjavi s placebom pri 217 odraslih bolnikih z zmerno do hudo psoriazo nohtov. Bolniki so prejeli začetni odmerek 80 mg adalimumaba, ki mu je sledil 40 mg odmerek vsak drugi teden (z začetkom en teden po začetnem odmerku) ali placebo naslednjih 26 tednov, čemur je sledilo odprto zdravljenje z adalimumabom dodatnih 26 tednov. Ocena psoriaze nohtov je vključevala prilagojeni indeks izrazitosti psoriaze nohtov (mNAPSI – Modified Nail Psoriasis Severity Index), zdravnikovo globalno oceno psoriaze nohtov (PGA-F – Physician’s Global Assessment of Fingernail Psoriasis) in indeks izrazitosti psoriaze nohtov (NAPSI – Nail Psoriasis Severity Index) (glejte preglednico </w:t>
      </w:r>
      <w:r w:rsidR="001B1C67">
        <w:rPr>
          <w:rFonts w:eastAsia="Times New Roman"/>
          <w:lang w:val="sl-SI"/>
        </w:rPr>
        <w:t>18</w:t>
      </w:r>
      <w:r>
        <w:rPr>
          <w:rFonts w:eastAsia="Times New Roman"/>
          <w:lang w:val="sl-SI"/>
        </w:rPr>
        <w:t>). Adalimumab je pokazal terapevtsko korist pri bolnikih s psoriazo nohtov z različnim obsegom prizadetosti kože (telesna površina ≥ 10 % (60 % bolnikov) in telesna površina &lt; 10 % in ≥ 5 % (40 % bolnikov)).</w:t>
      </w:r>
    </w:p>
    <w:p w14:paraId="6F13462D" w14:textId="7904F1AC" w:rsidR="00E04C8A" w:rsidRDefault="008E1817">
      <w:pPr>
        <w:pStyle w:val="a3"/>
        <w:jc w:val="center"/>
        <w:rPr>
          <w:b/>
          <w:lang w:val="sl-SI"/>
        </w:rPr>
      </w:pPr>
      <w:r>
        <w:rPr>
          <w:rFonts w:eastAsia="Times New Roman"/>
          <w:b/>
          <w:bCs/>
          <w:lang w:val="sl-SI"/>
        </w:rPr>
        <w:t>Preglednica </w:t>
      </w:r>
      <w:r w:rsidR="001B1C67">
        <w:rPr>
          <w:rFonts w:eastAsia="Times New Roman"/>
          <w:b/>
          <w:bCs/>
          <w:lang w:val="sl-SI"/>
        </w:rPr>
        <w:t>18</w:t>
      </w:r>
    </w:p>
    <w:p w14:paraId="51781B8A" w14:textId="77777777" w:rsidR="00E04C8A" w:rsidRDefault="008E1817">
      <w:pPr>
        <w:pStyle w:val="a3"/>
        <w:jc w:val="center"/>
        <w:rPr>
          <w:rFonts w:eastAsia="Times New Roman"/>
          <w:b/>
          <w:bCs/>
          <w:lang w:val="sl-SI"/>
        </w:rPr>
      </w:pPr>
      <w:r>
        <w:rPr>
          <w:rFonts w:eastAsia="Times New Roman"/>
          <w:b/>
          <w:bCs/>
          <w:lang w:val="sl-SI"/>
        </w:rPr>
        <w:t>Študija pri psoriazi IV Rezultati učinkovitosti po 16, 26 in 52 tednih</w:t>
      </w:r>
    </w:p>
    <w:p w14:paraId="51C7575C" w14:textId="77777777" w:rsidR="00721C46" w:rsidRDefault="00721C46">
      <w:pPr>
        <w:pStyle w:val="a3"/>
        <w:jc w:val="center"/>
        <w:rPr>
          <w:b/>
          <w:lang w:val="sl-SI"/>
        </w:rPr>
      </w:pPr>
    </w:p>
    <w:tbl>
      <w:tblPr>
        <w:tblStyle w:val="TableNormal1"/>
        <w:tblW w:w="9576" w:type="dxa"/>
        <w:tblInd w:w="110" w:type="dxa"/>
        <w:tblLayout w:type="fixed"/>
        <w:tblLook w:val="01E0" w:firstRow="1" w:lastRow="1" w:firstColumn="1" w:lastColumn="1" w:noHBand="0" w:noVBand="0"/>
      </w:tblPr>
      <w:tblGrid>
        <w:gridCol w:w="2719"/>
        <w:gridCol w:w="993"/>
        <w:gridCol w:w="1347"/>
        <w:gridCol w:w="921"/>
        <w:gridCol w:w="1328"/>
        <w:gridCol w:w="2268"/>
      </w:tblGrid>
      <w:tr w:rsidR="00E04C8A" w14:paraId="05E0BCBD" w14:textId="77777777" w:rsidTr="001452D7">
        <w:tc>
          <w:tcPr>
            <w:tcW w:w="2719" w:type="dxa"/>
            <w:vMerge w:val="restart"/>
            <w:tcBorders>
              <w:top w:val="single" w:sz="5" w:space="0" w:color="000000"/>
              <w:left w:val="single" w:sz="5" w:space="0" w:color="000000"/>
              <w:right w:val="single" w:sz="5" w:space="0" w:color="000000"/>
            </w:tcBorders>
          </w:tcPr>
          <w:p w14:paraId="07C56C41" w14:textId="77777777" w:rsidR="00E04C8A" w:rsidRDefault="008E1817">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Opazovani dogodek</w:t>
            </w:r>
          </w:p>
        </w:tc>
        <w:tc>
          <w:tcPr>
            <w:tcW w:w="2340" w:type="dxa"/>
            <w:gridSpan w:val="2"/>
            <w:tcBorders>
              <w:top w:val="single" w:sz="5" w:space="0" w:color="000000"/>
              <w:left w:val="single" w:sz="5" w:space="0" w:color="000000"/>
              <w:bottom w:val="single" w:sz="5" w:space="0" w:color="000000"/>
              <w:right w:val="single" w:sz="5" w:space="0" w:color="000000"/>
            </w:tcBorders>
          </w:tcPr>
          <w:p w14:paraId="3BD6BB67" w14:textId="77777777" w:rsidR="00E04C8A" w:rsidRDefault="008E1817">
            <w:pPr>
              <w:pStyle w:val="TableParagraph"/>
              <w:spacing w:line="246" w:lineRule="exact"/>
              <w:ind w:right="4"/>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16. teden</w:t>
            </w:r>
          </w:p>
          <w:p w14:paraId="37E02454" w14:textId="77777777" w:rsidR="00E04C8A" w:rsidRDefault="008E1817">
            <w:pPr>
              <w:pStyle w:val="TableParagraph"/>
              <w:spacing w:line="252" w:lineRule="exact"/>
              <w:ind w:left="293" w:right="295"/>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Kontrolirana s placebom</w:t>
            </w:r>
          </w:p>
        </w:tc>
        <w:tc>
          <w:tcPr>
            <w:tcW w:w="2249" w:type="dxa"/>
            <w:gridSpan w:val="2"/>
            <w:tcBorders>
              <w:top w:val="single" w:sz="5" w:space="0" w:color="000000"/>
              <w:left w:val="single" w:sz="5" w:space="0" w:color="000000"/>
              <w:bottom w:val="single" w:sz="5" w:space="0" w:color="000000"/>
              <w:right w:val="single" w:sz="5" w:space="0" w:color="000000"/>
            </w:tcBorders>
          </w:tcPr>
          <w:p w14:paraId="2CDE700D" w14:textId="77777777" w:rsidR="00E04C8A" w:rsidRDefault="008E1817">
            <w:pPr>
              <w:pStyle w:val="TableParagraph"/>
              <w:spacing w:line="246" w:lineRule="exact"/>
              <w:ind w:left="705" w:right="710"/>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26. teden</w:t>
            </w:r>
          </w:p>
          <w:p w14:paraId="6C7D6BC6" w14:textId="77777777" w:rsidR="00E04C8A" w:rsidRDefault="008E1817">
            <w:pPr>
              <w:pStyle w:val="TableParagraph"/>
              <w:spacing w:line="252" w:lineRule="exact"/>
              <w:ind w:left="247" w:right="249"/>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Kontrolirana s placebom</w:t>
            </w:r>
          </w:p>
        </w:tc>
        <w:tc>
          <w:tcPr>
            <w:tcW w:w="2268" w:type="dxa"/>
            <w:tcBorders>
              <w:top w:val="single" w:sz="5" w:space="0" w:color="000000"/>
              <w:left w:val="single" w:sz="5" w:space="0" w:color="000000"/>
              <w:bottom w:val="single" w:sz="5" w:space="0" w:color="000000"/>
              <w:right w:val="single" w:sz="5" w:space="0" w:color="000000"/>
            </w:tcBorders>
          </w:tcPr>
          <w:p w14:paraId="229C8EF5" w14:textId="77777777" w:rsidR="00E04C8A" w:rsidRDefault="008E1817">
            <w:pPr>
              <w:pStyle w:val="TableParagraph"/>
              <w:spacing w:line="246" w:lineRule="exact"/>
              <w:ind w:left="733"/>
              <w:rPr>
                <w:rFonts w:ascii="Times New Roman" w:eastAsia="Times New Roman" w:hAnsi="Times New Roman" w:cs="Times New Roman"/>
                <w:lang w:val="sl-SI"/>
              </w:rPr>
            </w:pPr>
            <w:r>
              <w:rPr>
                <w:rFonts w:ascii="Times New Roman" w:eastAsia="Times New Roman" w:hAnsi="Times New Roman" w:cs="Times New Roman"/>
                <w:spacing w:val="-1"/>
                <w:lang w:val="sl-SI"/>
              </w:rPr>
              <w:t>52. teden</w:t>
            </w:r>
          </w:p>
          <w:p w14:paraId="6B250293" w14:textId="77777777" w:rsidR="00E04C8A" w:rsidRDefault="008E1817">
            <w:pPr>
              <w:pStyle w:val="TableParagraph"/>
              <w:spacing w:line="252" w:lineRule="exact"/>
              <w:ind w:left="639"/>
              <w:rPr>
                <w:rFonts w:ascii="Times New Roman" w:eastAsia="Times New Roman" w:hAnsi="Times New Roman" w:cs="Times New Roman"/>
                <w:lang w:val="sl-SI"/>
              </w:rPr>
            </w:pPr>
            <w:r>
              <w:rPr>
                <w:rFonts w:ascii="Times New Roman" w:eastAsia="Times New Roman" w:hAnsi="Times New Roman" w:cs="Times New Roman"/>
                <w:spacing w:val="-1"/>
                <w:lang w:val="sl-SI"/>
              </w:rPr>
              <w:t>Odprta</w:t>
            </w:r>
          </w:p>
        </w:tc>
      </w:tr>
      <w:tr w:rsidR="00E04C8A" w:rsidRPr="00AC7013" w14:paraId="22681AE2" w14:textId="77777777" w:rsidTr="001452D7">
        <w:tc>
          <w:tcPr>
            <w:tcW w:w="2719" w:type="dxa"/>
            <w:vMerge/>
            <w:tcBorders>
              <w:left w:val="single" w:sz="5" w:space="0" w:color="000000"/>
              <w:bottom w:val="single" w:sz="5" w:space="0" w:color="000000"/>
              <w:right w:val="single" w:sz="5" w:space="0" w:color="000000"/>
            </w:tcBorders>
          </w:tcPr>
          <w:p w14:paraId="19B5518A" w14:textId="77777777" w:rsidR="00E04C8A" w:rsidRDefault="00E04C8A">
            <w:pPr>
              <w:rPr>
                <w:lang w:val="sl-SI"/>
              </w:rPr>
            </w:pPr>
          </w:p>
        </w:tc>
        <w:tc>
          <w:tcPr>
            <w:tcW w:w="993" w:type="dxa"/>
            <w:tcBorders>
              <w:top w:val="single" w:sz="5" w:space="0" w:color="000000"/>
              <w:left w:val="single" w:sz="5" w:space="0" w:color="000000"/>
              <w:bottom w:val="single" w:sz="5" w:space="0" w:color="000000"/>
              <w:right w:val="single" w:sz="5" w:space="0" w:color="000000"/>
            </w:tcBorders>
          </w:tcPr>
          <w:p w14:paraId="5C05DB6B" w14:textId="77777777" w:rsidR="00E04C8A" w:rsidRDefault="008E1817" w:rsidP="001452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Placebo</w:t>
            </w:r>
          </w:p>
          <w:p w14:paraId="67BF923A" w14:textId="77777777" w:rsidR="00E04C8A" w:rsidRDefault="008E1817" w:rsidP="001452D7">
            <w:pPr>
              <w:pStyle w:val="TableParagraph"/>
              <w:spacing w:line="252"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N = 108</w:t>
            </w:r>
          </w:p>
        </w:tc>
        <w:tc>
          <w:tcPr>
            <w:tcW w:w="1347" w:type="dxa"/>
            <w:tcBorders>
              <w:top w:val="single" w:sz="5" w:space="0" w:color="000000"/>
              <w:left w:val="single" w:sz="5" w:space="0" w:color="000000"/>
              <w:bottom w:val="single" w:sz="5" w:space="0" w:color="000000"/>
              <w:right w:val="single" w:sz="5" w:space="0" w:color="000000"/>
            </w:tcBorders>
          </w:tcPr>
          <w:p w14:paraId="1260DEB0" w14:textId="77777777" w:rsidR="002062E3" w:rsidRDefault="008E1817" w:rsidP="001452D7">
            <w:pPr>
              <w:pStyle w:val="TableParagraph"/>
              <w:spacing w:line="246" w:lineRule="exact"/>
              <w:ind w:leftChars="25" w:left="55" w:rightChars="25" w:right="55"/>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Adalimumab 40 mg vsak drugi teden </w:t>
            </w:r>
          </w:p>
          <w:p w14:paraId="3B59ACAA" w14:textId="02445440" w:rsidR="00E04C8A" w:rsidRDefault="008E1817" w:rsidP="001452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N = 109</w:t>
            </w:r>
          </w:p>
        </w:tc>
        <w:tc>
          <w:tcPr>
            <w:tcW w:w="921" w:type="dxa"/>
            <w:tcBorders>
              <w:top w:val="single" w:sz="5" w:space="0" w:color="000000"/>
              <w:left w:val="single" w:sz="5" w:space="0" w:color="000000"/>
              <w:bottom w:val="single" w:sz="5" w:space="0" w:color="000000"/>
              <w:right w:val="single" w:sz="5" w:space="0" w:color="000000"/>
            </w:tcBorders>
          </w:tcPr>
          <w:p w14:paraId="7A41B751" w14:textId="77777777" w:rsidR="00E04C8A" w:rsidRDefault="008E1817" w:rsidP="001452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Placebo</w:t>
            </w:r>
          </w:p>
          <w:p w14:paraId="46229C28" w14:textId="77777777" w:rsidR="00E04C8A" w:rsidRDefault="008E1817" w:rsidP="001452D7">
            <w:pPr>
              <w:pStyle w:val="TableParagraph"/>
              <w:spacing w:line="252"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N = 108</w:t>
            </w:r>
          </w:p>
        </w:tc>
        <w:tc>
          <w:tcPr>
            <w:tcW w:w="1328" w:type="dxa"/>
            <w:tcBorders>
              <w:top w:val="single" w:sz="5" w:space="0" w:color="000000"/>
              <w:left w:val="single" w:sz="5" w:space="0" w:color="000000"/>
              <w:bottom w:val="single" w:sz="5" w:space="0" w:color="000000"/>
              <w:right w:val="single" w:sz="5" w:space="0" w:color="000000"/>
            </w:tcBorders>
          </w:tcPr>
          <w:p w14:paraId="38CD7C94" w14:textId="77777777" w:rsidR="00E04C8A" w:rsidRDefault="008E1817" w:rsidP="001452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Adalimumab</w:t>
            </w:r>
          </w:p>
          <w:p w14:paraId="7E02D082" w14:textId="77777777" w:rsidR="002062E3" w:rsidRDefault="008E1817" w:rsidP="001452D7">
            <w:pPr>
              <w:pStyle w:val="TableParagraph"/>
              <w:spacing w:before="1" w:line="254"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40 mg vsak drugi teden </w:t>
            </w:r>
          </w:p>
          <w:p w14:paraId="3E310FA2" w14:textId="2BF8AC9D" w:rsidR="00E04C8A" w:rsidRDefault="008E1817" w:rsidP="001452D7">
            <w:pPr>
              <w:pStyle w:val="TableParagraph"/>
              <w:spacing w:before="1" w:line="254"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N = 109</w:t>
            </w:r>
          </w:p>
        </w:tc>
        <w:tc>
          <w:tcPr>
            <w:tcW w:w="2268" w:type="dxa"/>
            <w:tcBorders>
              <w:top w:val="single" w:sz="5" w:space="0" w:color="000000"/>
              <w:left w:val="single" w:sz="5" w:space="0" w:color="000000"/>
              <w:bottom w:val="single" w:sz="5" w:space="0" w:color="000000"/>
              <w:right w:val="single" w:sz="5" w:space="0" w:color="000000"/>
            </w:tcBorders>
          </w:tcPr>
          <w:p w14:paraId="7B3199D5" w14:textId="77777777" w:rsidR="00E04C8A" w:rsidRDefault="008E1817" w:rsidP="001452D7">
            <w:pPr>
              <w:pStyle w:val="TableParagraph"/>
              <w:spacing w:line="246" w:lineRule="exact"/>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Adalimumab</w:t>
            </w:r>
          </w:p>
          <w:p w14:paraId="183F280C" w14:textId="77777777" w:rsidR="002062E3" w:rsidRDefault="008E1817" w:rsidP="001452D7">
            <w:pPr>
              <w:pStyle w:val="TableParagraph"/>
              <w:spacing w:before="1" w:line="254" w:lineRule="exact"/>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40 mg vsak drugi teden </w:t>
            </w:r>
          </w:p>
          <w:p w14:paraId="38E7745E" w14:textId="20A94169" w:rsidR="00E04C8A" w:rsidRDefault="008E1817" w:rsidP="001452D7">
            <w:pPr>
              <w:pStyle w:val="TableParagraph"/>
              <w:spacing w:before="1" w:line="254" w:lineRule="exact"/>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lang w:val="sl-SI"/>
              </w:rPr>
              <w:t>N = 80</w:t>
            </w:r>
          </w:p>
        </w:tc>
      </w:tr>
      <w:tr w:rsidR="00E04C8A" w14:paraId="47C70929" w14:textId="77777777" w:rsidTr="001452D7">
        <w:tc>
          <w:tcPr>
            <w:tcW w:w="2719" w:type="dxa"/>
            <w:tcBorders>
              <w:top w:val="single" w:sz="5" w:space="0" w:color="000000"/>
              <w:left w:val="single" w:sz="5" w:space="0" w:color="000000"/>
              <w:bottom w:val="single" w:sz="5" w:space="0" w:color="000000"/>
              <w:right w:val="single" w:sz="5" w:space="0" w:color="000000"/>
            </w:tcBorders>
          </w:tcPr>
          <w:p w14:paraId="0EDC16B0" w14:textId="77777777" w:rsidR="00E04C8A" w:rsidRDefault="008E1817">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 mNAPSI 75 (%)</w:t>
            </w:r>
          </w:p>
        </w:tc>
        <w:tc>
          <w:tcPr>
            <w:tcW w:w="993" w:type="dxa"/>
            <w:tcBorders>
              <w:top w:val="single" w:sz="5" w:space="0" w:color="000000"/>
              <w:left w:val="single" w:sz="5" w:space="0" w:color="000000"/>
              <w:bottom w:val="single" w:sz="5" w:space="0" w:color="000000"/>
              <w:right w:val="single" w:sz="5" w:space="0" w:color="000000"/>
            </w:tcBorders>
          </w:tcPr>
          <w:p w14:paraId="2C5F1576" w14:textId="77777777" w:rsidR="00E04C8A" w:rsidRDefault="008E1817" w:rsidP="001452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2,9</w:t>
            </w:r>
          </w:p>
        </w:tc>
        <w:tc>
          <w:tcPr>
            <w:tcW w:w="1347" w:type="dxa"/>
            <w:tcBorders>
              <w:top w:val="single" w:sz="5" w:space="0" w:color="000000"/>
              <w:left w:val="single" w:sz="5" w:space="0" w:color="000000"/>
              <w:bottom w:val="single" w:sz="5" w:space="0" w:color="000000"/>
              <w:right w:val="single" w:sz="5" w:space="0" w:color="000000"/>
            </w:tcBorders>
          </w:tcPr>
          <w:p w14:paraId="56C71A32" w14:textId="77777777" w:rsidR="00E04C8A" w:rsidRDefault="008E1817" w:rsidP="001452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26,0</w:t>
            </w:r>
            <w:r>
              <w:rPr>
                <w:rFonts w:ascii="Times New Roman" w:eastAsia="Times New Roman" w:hAnsi="Times New Roman" w:cs="Times New Roman"/>
                <w:vertAlign w:val="superscript"/>
                <w:lang w:val="sl-SI"/>
              </w:rPr>
              <w:t>a</w:t>
            </w:r>
          </w:p>
        </w:tc>
        <w:tc>
          <w:tcPr>
            <w:tcW w:w="921" w:type="dxa"/>
            <w:tcBorders>
              <w:top w:val="single" w:sz="5" w:space="0" w:color="000000"/>
              <w:left w:val="single" w:sz="5" w:space="0" w:color="000000"/>
              <w:bottom w:val="single" w:sz="5" w:space="0" w:color="000000"/>
              <w:right w:val="single" w:sz="5" w:space="0" w:color="000000"/>
            </w:tcBorders>
          </w:tcPr>
          <w:p w14:paraId="2F44D133" w14:textId="77777777" w:rsidR="00E04C8A" w:rsidRDefault="008E1817" w:rsidP="001452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3,4</w:t>
            </w:r>
          </w:p>
        </w:tc>
        <w:tc>
          <w:tcPr>
            <w:tcW w:w="1328" w:type="dxa"/>
            <w:tcBorders>
              <w:top w:val="single" w:sz="5" w:space="0" w:color="000000"/>
              <w:left w:val="single" w:sz="5" w:space="0" w:color="000000"/>
              <w:bottom w:val="single" w:sz="5" w:space="0" w:color="000000"/>
              <w:right w:val="single" w:sz="5" w:space="0" w:color="000000"/>
            </w:tcBorders>
          </w:tcPr>
          <w:p w14:paraId="7E1A4D9E" w14:textId="77777777" w:rsidR="00E04C8A" w:rsidRDefault="008E1817" w:rsidP="001452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46,6</w:t>
            </w:r>
            <w:r>
              <w:rPr>
                <w:rFonts w:ascii="Times New Roman" w:eastAsia="Times New Roman" w:hAnsi="Times New Roman" w:cs="Times New Roman"/>
                <w:vertAlign w:val="superscript"/>
                <w:lang w:val="sl-SI"/>
              </w:rPr>
              <w:t>a</w:t>
            </w:r>
          </w:p>
        </w:tc>
        <w:tc>
          <w:tcPr>
            <w:tcW w:w="2268" w:type="dxa"/>
            <w:tcBorders>
              <w:top w:val="single" w:sz="5" w:space="0" w:color="000000"/>
              <w:left w:val="single" w:sz="5" w:space="0" w:color="000000"/>
              <w:bottom w:val="single" w:sz="5" w:space="0" w:color="000000"/>
              <w:right w:val="single" w:sz="5" w:space="0" w:color="000000"/>
            </w:tcBorders>
          </w:tcPr>
          <w:p w14:paraId="52209A29" w14:textId="77777777" w:rsidR="00E04C8A" w:rsidRDefault="008E1817" w:rsidP="001452D7">
            <w:pPr>
              <w:pStyle w:val="TableParagraph"/>
              <w:spacing w:line="246" w:lineRule="exact"/>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lang w:val="sl-SI"/>
              </w:rPr>
              <w:t>65,0</w:t>
            </w:r>
          </w:p>
        </w:tc>
      </w:tr>
      <w:tr w:rsidR="00E04C8A" w14:paraId="318225D6" w14:textId="77777777" w:rsidTr="001452D7">
        <w:tc>
          <w:tcPr>
            <w:tcW w:w="2719" w:type="dxa"/>
            <w:tcBorders>
              <w:top w:val="single" w:sz="5" w:space="0" w:color="000000"/>
              <w:left w:val="single" w:sz="5" w:space="0" w:color="000000"/>
              <w:bottom w:val="single" w:sz="5" w:space="0" w:color="000000"/>
              <w:right w:val="single" w:sz="5" w:space="0" w:color="000000"/>
            </w:tcBorders>
          </w:tcPr>
          <w:p w14:paraId="39B743CF" w14:textId="77777777" w:rsidR="00E04C8A" w:rsidRDefault="008E1817">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PGA-F čisto/minimalno in </w:t>
            </w:r>
            <w:r>
              <w:rPr>
                <w:rFonts w:ascii="Times New Roman" w:eastAsia="Times New Roman" w:hAnsi="Times New Roman" w:cs="Times New Roman"/>
                <w:spacing w:val="1"/>
                <w:lang w:val="sl-SI"/>
              </w:rPr>
              <w:t>≥ izboljšanje za dve stopnji (%)</w:t>
            </w:r>
          </w:p>
        </w:tc>
        <w:tc>
          <w:tcPr>
            <w:tcW w:w="993" w:type="dxa"/>
            <w:tcBorders>
              <w:top w:val="single" w:sz="5" w:space="0" w:color="000000"/>
              <w:left w:val="single" w:sz="5" w:space="0" w:color="000000"/>
              <w:bottom w:val="single" w:sz="5" w:space="0" w:color="000000"/>
              <w:right w:val="single" w:sz="5" w:space="0" w:color="000000"/>
            </w:tcBorders>
          </w:tcPr>
          <w:p w14:paraId="46B134D7" w14:textId="77777777" w:rsidR="00E04C8A" w:rsidRDefault="008E1817" w:rsidP="001452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2,9</w:t>
            </w:r>
          </w:p>
        </w:tc>
        <w:tc>
          <w:tcPr>
            <w:tcW w:w="1347" w:type="dxa"/>
            <w:tcBorders>
              <w:top w:val="single" w:sz="5" w:space="0" w:color="000000"/>
              <w:left w:val="single" w:sz="5" w:space="0" w:color="000000"/>
              <w:bottom w:val="single" w:sz="5" w:space="0" w:color="000000"/>
              <w:right w:val="single" w:sz="5" w:space="0" w:color="000000"/>
            </w:tcBorders>
          </w:tcPr>
          <w:p w14:paraId="1744F160" w14:textId="77777777" w:rsidR="00E04C8A" w:rsidRDefault="008E1817" w:rsidP="001452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29,7</w:t>
            </w:r>
            <w:r>
              <w:rPr>
                <w:rFonts w:ascii="Times New Roman" w:eastAsia="Times New Roman" w:hAnsi="Times New Roman" w:cs="Times New Roman"/>
                <w:vertAlign w:val="superscript"/>
                <w:lang w:val="sl-SI"/>
              </w:rPr>
              <w:t>a</w:t>
            </w:r>
          </w:p>
        </w:tc>
        <w:tc>
          <w:tcPr>
            <w:tcW w:w="921" w:type="dxa"/>
            <w:tcBorders>
              <w:top w:val="single" w:sz="5" w:space="0" w:color="000000"/>
              <w:left w:val="single" w:sz="5" w:space="0" w:color="000000"/>
              <w:bottom w:val="single" w:sz="5" w:space="0" w:color="000000"/>
              <w:right w:val="single" w:sz="5" w:space="0" w:color="000000"/>
            </w:tcBorders>
          </w:tcPr>
          <w:p w14:paraId="4AECBE79" w14:textId="77777777" w:rsidR="00E04C8A" w:rsidRDefault="008E1817" w:rsidP="001452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6,9</w:t>
            </w:r>
          </w:p>
        </w:tc>
        <w:tc>
          <w:tcPr>
            <w:tcW w:w="1328" w:type="dxa"/>
            <w:tcBorders>
              <w:top w:val="single" w:sz="5" w:space="0" w:color="000000"/>
              <w:left w:val="single" w:sz="5" w:space="0" w:color="000000"/>
              <w:bottom w:val="single" w:sz="5" w:space="0" w:color="000000"/>
              <w:right w:val="single" w:sz="5" w:space="0" w:color="000000"/>
            </w:tcBorders>
          </w:tcPr>
          <w:p w14:paraId="7754168C" w14:textId="77777777" w:rsidR="00E04C8A" w:rsidRDefault="008E1817" w:rsidP="001452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48,9</w:t>
            </w:r>
            <w:r>
              <w:rPr>
                <w:rFonts w:ascii="Times New Roman" w:eastAsia="Times New Roman" w:hAnsi="Times New Roman" w:cs="Times New Roman"/>
                <w:vertAlign w:val="superscript"/>
                <w:lang w:val="sl-SI"/>
              </w:rPr>
              <w:t>a</w:t>
            </w:r>
          </w:p>
        </w:tc>
        <w:tc>
          <w:tcPr>
            <w:tcW w:w="2268" w:type="dxa"/>
            <w:tcBorders>
              <w:top w:val="single" w:sz="5" w:space="0" w:color="000000"/>
              <w:left w:val="single" w:sz="5" w:space="0" w:color="000000"/>
              <w:bottom w:val="single" w:sz="5" w:space="0" w:color="000000"/>
              <w:right w:val="single" w:sz="5" w:space="0" w:color="000000"/>
            </w:tcBorders>
          </w:tcPr>
          <w:p w14:paraId="6FF1FCF5" w14:textId="77777777" w:rsidR="00E04C8A" w:rsidRDefault="008E1817" w:rsidP="001452D7">
            <w:pPr>
              <w:pStyle w:val="TableParagraph"/>
              <w:spacing w:line="246" w:lineRule="exact"/>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lang w:val="sl-SI"/>
              </w:rPr>
              <w:t>61,3</w:t>
            </w:r>
          </w:p>
        </w:tc>
      </w:tr>
      <w:tr w:rsidR="00E04C8A" w14:paraId="3EF1020D" w14:textId="77777777" w:rsidTr="001452D7">
        <w:tc>
          <w:tcPr>
            <w:tcW w:w="2719" w:type="dxa"/>
            <w:tcBorders>
              <w:top w:val="single" w:sz="5" w:space="0" w:color="000000"/>
              <w:left w:val="single" w:sz="5" w:space="0" w:color="000000"/>
              <w:bottom w:val="single" w:sz="5" w:space="0" w:color="000000"/>
              <w:right w:val="single" w:sz="5" w:space="0" w:color="000000"/>
            </w:tcBorders>
          </w:tcPr>
          <w:p w14:paraId="68F24CB2" w14:textId="77777777" w:rsidR="00E04C8A" w:rsidRDefault="008E1817">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Odstotek spremembe v celotnem indeksu NAPSI (%)</w:t>
            </w:r>
          </w:p>
        </w:tc>
        <w:tc>
          <w:tcPr>
            <w:tcW w:w="993" w:type="dxa"/>
            <w:tcBorders>
              <w:top w:val="single" w:sz="5" w:space="0" w:color="000000"/>
              <w:left w:val="single" w:sz="5" w:space="0" w:color="000000"/>
              <w:bottom w:val="single" w:sz="5" w:space="0" w:color="000000"/>
              <w:right w:val="single" w:sz="5" w:space="0" w:color="000000"/>
            </w:tcBorders>
          </w:tcPr>
          <w:p w14:paraId="32752D38" w14:textId="4DB8503D" w:rsidR="00E04C8A" w:rsidRDefault="002062E3" w:rsidP="001452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4"/>
                <w:lang w:val="sl-SI"/>
              </w:rPr>
              <w:t>-</w:t>
            </w:r>
            <w:r w:rsidR="008E1817">
              <w:rPr>
                <w:rFonts w:ascii="Times New Roman" w:eastAsia="Times New Roman" w:hAnsi="Times New Roman" w:cs="Times New Roman"/>
                <w:spacing w:val="-4"/>
                <w:lang w:val="sl-SI"/>
              </w:rPr>
              <w:t>7,8</w:t>
            </w:r>
          </w:p>
        </w:tc>
        <w:tc>
          <w:tcPr>
            <w:tcW w:w="1347" w:type="dxa"/>
            <w:tcBorders>
              <w:top w:val="single" w:sz="5" w:space="0" w:color="000000"/>
              <w:left w:val="single" w:sz="5" w:space="0" w:color="000000"/>
              <w:bottom w:val="single" w:sz="5" w:space="0" w:color="000000"/>
              <w:right w:val="single" w:sz="5" w:space="0" w:color="000000"/>
            </w:tcBorders>
          </w:tcPr>
          <w:p w14:paraId="54548E0A" w14:textId="32EB1EA2" w:rsidR="00E04C8A" w:rsidRDefault="002062E3" w:rsidP="001452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4"/>
                <w:lang w:val="sl-SI"/>
              </w:rPr>
              <w:t>-</w:t>
            </w:r>
            <w:r w:rsidR="008E1817">
              <w:rPr>
                <w:rFonts w:ascii="Times New Roman" w:eastAsia="Times New Roman" w:hAnsi="Times New Roman" w:cs="Times New Roman"/>
                <w:spacing w:val="-4"/>
                <w:lang w:val="sl-SI"/>
              </w:rPr>
              <w:t xml:space="preserve">44,2 </w:t>
            </w:r>
            <w:r w:rsidR="008E1817">
              <w:rPr>
                <w:rFonts w:ascii="Times New Roman" w:eastAsia="Times New Roman" w:hAnsi="Times New Roman" w:cs="Times New Roman"/>
                <w:spacing w:val="-4"/>
                <w:vertAlign w:val="superscript"/>
                <w:lang w:val="sl-SI"/>
              </w:rPr>
              <w:t>a</w:t>
            </w:r>
          </w:p>
        </w:tc>
        <w:tc>
          <w:tcPr>
            <w:tcW w:w="921" w:type="dxa"/>
            <w:tcBorders>
              <w:top w:val="single" w:sz="5" w:space="0" w:color="000000"/>
              <w:left w:val="single" w:sz="5" w:space="0" w:color="000000"/>
              <w:bottom w:val="single" w:sz="5" w:space="0" w:color="000000"/>
              <w:right w:val="single" w:sz="5" w:space="0" w:color="000000"/>
            </w:tcBorders>
          </w:tcPr>
          <w:p w14:paraId="4ADA0786" w14:textId="01030AF7" w:rsidR="00E04C8A" w:rsidRDefault="002062E3" w:rsidP="001452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4"/>
                <w:lang w:val="sl-SI"/>
              </w:rPr>
              <w:t>-</w:t>
            </w:r>
            <w:r w:rsidR="008E1817">
              <w:rPr>
                <w:rFonts w:ascii="Times New Roman" w:eastAsia="Times New Roman" w:hAnsi="Times New Roman" w:cs="Times New Roman"/>
                <w:spacing w:val="-4"/>
                <w:lang w:val="sl-SI"/>
              </w:rPr>
              <w:t>1,5</w:t>
            </w:r>
          </w:p>
        </w:tc>
        <w:tc>
          <w:tcPr>
            <w:tcW w:w="1328" w:type="dxa"/>
            <w:tcBorders>
              <w:top w:val="single" w:sz="5" w:space="0" w:color="000000"/>
              <w:left w:val="single" w:sz="5" w:space="0" w:color="000000"/>
              <w:bottom w:val="single" w:sz="5" w:space="0" w:color="000000"/>
              <w:right w:val="single" w:sz="5" w:space="0" w:color="000000"/>
            </w:tcBorders>
          </w:tcPr>
          <w:p w14:paraId="295F7D1E" w14:textId="6CC85E99" w:rsidR="00E04C8A" w:rsidRDefault="002062E3" w:rsidP="001452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4"/>
                <w:lang w:val="sl-SI"/>
              </w:rPr>
              <w:t>-</w:t>
            </w:r>
            <w:r w:rsidR="008E1817">
              <w:rPr>
                <w:rFonts w:ascii="Times New Roman" w:eastAsia="Times New Roman" w:hAnsi="Times New Roman" w:cs="Times New Roman"/>
                <w:spacing w:val="-4"/>
                <w:lang w:val="sl-SI"/>
              </w:rPr>
              <w:t>56,2</w:t>
            </w:r>
            <w:r w:rsidR="008E1817">
              <w:rPr>
                <w:rFonts w:ascii="Times New Roman" w:eastAsia="Times New Roman" w:hAnsi="Times New Roman" w:cs="Times New Roman"/>
                <w:spacing w:val="-4"/>
                <w:vertAlign w:val="superscript"/>
                <w:lang w:val="sl-SI"/>
              </w:rPr>
              <w:t>a</w:t>
            </w:r>
          </w:p>
        </w:tc>
        <w:tc>
          <w:tcPr>
            <w:tcW w:w="2268" w:type="dxa"/>
            <w:tcBorders>
              <w:top w:val="single" w:sz="5" w:space="0" w:color="000000"/>
              <w:left w:val="single" w:sz="5" w:space="0" w:color="000000"/>
              <w:bottom w:val="single" w:sz="5" w:space="0" w:color="000000"/>
              <w:right w:val="single" w:sz="5" w:space="0" w:color="000000"/>
            </w:tcBorders>
          </w:tcPr>
          <w:p w14:paraId="4F4FAEC8" w14:textId="5DE20E9D" w:rsidR="00E04C8A" w:rsidRDefault="002062E3" w:rsidP="001452D7">
            <w:pPr>
              <w:pStyle w:val="TableParagraph"/>
              <w:spacing w:line="246" w:lineRule="exact"/>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spacing w:val="-4"/>
                <w:lang w:val="sl-SI"/>
              </w:rPr>
              <w:t>-</w:t>
            </w:r>
            <w:r w:rsidR="008E1817">
              <w:rPr>
                <w:rFonts w:ascii="Times New Roman" w:eastAsia="Times New Roman" w:hAnsi="Times New Roman" w:cs="Times New Roman"/>
                <w:spacing w:val="-4"/>
                <w:lang w:val="sl-SI"/>
              </w:rPr>
              <w:t>72,2</w:t>
            </w:r>
          </w:p>
        </w:tc>
      </w:tr>
      <w:tr w:rsidR="00E04C8A" w14:paraId="7A7368FD" w14:textId="77777777" w:rsidTr="001452D7">
        <w:tc>
          <w:tcPr>
            <w:tcW w:w="9576" w:type="dxa"/>
            <w:gridSpan w:val="6"/>
            <w:tcBorders>
              <w:top w:val="single" w:sz="5" w:space="0" w:color="000000"/>
              <w:left w:val="single" w:sz="5" w:space="0" w:color="000000"/>
              <w:bottom w:val="single" w:sz="5" w:space="0" w:color="000000"/>
              <w:right w:val="single" w:sz="5" w:space="0" w:color="000000"/>
            </w:tcBorders>
          </w:tcPr>
          <w:p w14:paraId="3EE88CEE" w14:textId="77777777" w:rsidR="00E04C8A" w:rsidRDefault="008E1817">
            <w:pPr>
              <w:pStyle w:val="TableParagraph"/>
              <w:ind w:left="102"/>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 xml:space="preserve">a </w:t>
            </w:r>
            <w:r>
              <w:rPr>
                <w:rFonts w:ascii="Times New Roman" w:eastAsia="Times New Roman" w:hAnsi="Times New Roman" w:cs="Times New Roman"/>
                <w:position w:val="8"/>
                <w:lang w:val="sl-SI"/>
              </w:rPr>
              <w:t xml:space="preserve">p &lt; 0,001 adalimumab </w:t>
            </w:r>
            <w:r>
              <w:rPr>
                <w:rFonts w:ascii="Times New Roman" w:eastAsia="Times New Roman" w:hAnsi="Times New Roman" w:cs="Times New Roman"/>
                <w:i/>
                <w:iCs/>
                <w:position w:val="8"/>
                <w:lang w:val="sl-SI"/>
              </w:rPr>
              <w:t xml:space="preserve">v primerjavi s </w:t>
            </w:r>
            <w:r>
              <w:rPr>
                <w:rFonts w:ascii="Times New Roman" w:eastAsia="Times New Roman" w:hAnsi="Times New Roman" w:cs="Times New Roman"/>
                <w:position w:val="8"/>
                <w:lang w:val="sl-SI"/>
              </w:rPr>
              <w:t>placebom</w:t>
            </w:r>
          </w:p>
        </w:tc>
      </w:tr>
    </w:tbl>
    <w:p w14:paraId="388FACA5" w14:textId="77777777" w:rsidR="00E04C8A" w:rsidRDefault="00E04C8A">
      <w:pPr>
        <w:spacing w:before="5" w:line="170" w:lineRule="exact"/>
        <w:rPr>
          <w:sz w:val="17"/>
          <w:szCs w:val="17"/>
          <w:lang w:val="sl-SI"/>
        </w:rPr>
      </w:pPr>
    </w:p>
    <w:p w14:paraId="7ADEFDCB" w14:textId="77777777" w:rsidR="00E04C8A" w:rsidRDefault="008E1817">
      <w:pPr>
        <w:pStyle w:val="a3"/>
        <w:rPr>
          <w:lang w:val="sl-SI"/>
        </w:rPr>
      </w:pPr>
      <w:r>
        <w:rPr>
          <w:rFonts w:eastAsia="Times New Roman"/>
          <w:lang w:val="sl-SI"/>
        </w:rPr>
        <w:t>Pri bolnikih, zdravljenih z adalimumabom, je prišlo do statistično značilnega izboljšanja dermatološkega indeksa kakovosti življenja (DLQI) po 26 tednih v primerjavi z placebom.</w:t>
      </w:r>
    </w:p>
    <w:p w14:paraId="2C4D2B67" w14:textId="77777777" w:rsidR="00E04C8A" w:rsidRDefault="00E04C8A">
      <w:pPr>
        <w:pStyle w:val="a3"/>
        <w:rPr>
          <w:sz w:val="24"/>
          <w:szCs w:val="24"/>
          <w:lang w:val="sl-SI"/>
        </w:rPr>
      </w:pPr>
    </w:p>
    <w:p w14:paraId="2786CA23" w14:textId="77777777" w:rsidR="00E04C8A" w:rsidRDefault="008E1817">
      <w:pPr>
        <w:pStyle w:val="a3"/>
        <w:rPr>
          <w:rFonts w:eastAsia="Times New Roman"/>
          <w:lang w:val="sl-SI"/>
        </w:rPr>
      </w:pPr>
      <w:r>
        <w:rPr>
          <w:rFonts w:eastAsia="Times New Roman"/>
          <w:i/>
          <w:iCs/>
          <w:spacing w:val="-1"/>
          <w:lang w:val="sl-SI"/>
        </w:rPr>
        <w:lastRenderedPageBreak/>
        <w:t>Hidradenitis suppurativa</w:t>
      </w:r>
    </w:p>
    <w:p w14:paraId="790571A2" w14:textId="77777777" w:rsidR="00E04C8A" w:rsidRDefault="00E04C8A">
      <w:pPr>
        <w:pStyle w:val="a3"/>
        <w:rPr>
          <w:sz w:val="24"/>
          <w:szCs w:val="24"/>
          <w:lang w:val="sl-SI"/>
        </w:rPr>
      </w:pPr>
    </w:p>
    <w:p w14:paraId="60E55AA5" w14:textId="77777777" w:rsidR="00E04C8A" w:rsidRDefault="008E1817">
      <w:pPr>
        <w:pStyle w:val="a3"/>
        <w:rPr>
          <w:lang w:val="sl-SI"/>
        </w:rPr>
      </w:pPr>
      <w:r>
        <w:rPr>
          <w:rFonts w:eastAsia="Times New Roman"/>
          <w:lang w:val="sl-SI"/>
        </w:rPr>
        <w:t>Varnost in učinkovitost adalimumaba so raziskali v randomiziranih, dvojno slepih študijah, kontroliranih s placebom in v odprti podaljšani študiji pri odraslih bolnikih z zmerno do hudo obliko hidradenitis suppurativa (HS), ki imajo intoleranco, kontraindikacijo ali se ne odzovejo zadovoljivo pri vsaj 3-mesečnem preskušanju sistemske antibiotične terapije. Bolniki v študijah HS-I in HS-II imajo po Hurleyevi razvrstitvi bolezen v stadiju II ali III z vsaj tremi abscesi ali inflamatornimi noduli.</w:t>
      </w:r>
    </w:p>
    <w:p w14:paraId="59D36373" w14:textId="77777777" w:rsidR="00E04C8A" w:rsidRDefault="00E04C8A">
      <w:pPr>
        <w:pStyle w:val="a3"/>
        <w:rPr>
          <w:sz w:val="24"/>
          <w:szCs w:val="24"/>
          <w:lang w:val="sl-SI"/>
        </w:rPr>
      </w:pPr>
    </w:p>
    <w:p w14:paraId="1D9B281E" w14:textId="77777777" w:rsidR="00E04C8A" w:rsidRDefault="008E1817">
      <w:pPr>
        <w:pStyle w:val="a3"/>
        <w:rPr>
          <w:lang w:val="sl-SI"/>
        </w:rPr>
      </w:pPr>
      <w:r>
        <w:rPr>
          <w:rFonts w:eastAsia="Times New Roman"/>
          <w:lang w:val="sl-SI"/>
        </w:rPr>
        <w:t>V študiji HS-I (PIONEER I) je bilo ocenjenih 307 bolnikov v dveh obdobjih zdravljenja. V obdobju A so bolniki prejemali placebo ali adalimumab v začetnem odmerku 160 mg v 0. tednu, nato 80 mg v 2. tednu in 40 mg vsak teden od vključno 4. tedna do 11. tedna. Sočasno jemanje antibiotikov med trajanjem študije ni bilo dovoljeno. Po 12 tednih terapije so bolnike, ki so prejemali adalimumab v obdobju A, ponovno randomizirali v obdobju B v eno izmed treh skupin zdravljenja (adalimumab 40 mg vsak teden, adalimumab 40 mg vsak drugi teden ali placebo od 12. do 35. tedna). Bolniki, ki so jih randomizirali na placebo v obdobju A, so v obdobju B prejemali adalimumab 40 mg vsak teden.</w:t>
      </w:r>
    </w:p>
    <w:p w14:paraId="645ECB9B" w14:textId="77777777" w:rsidR="00E04C8A" w:rsidRDefault="00E04C8A">
      <w:pPr>
        <w:pStyle w:val="a3"/>
        <w:rPr>
          <w:sz w:val="24"/>
          <w:szCs w:val="24"/>
          <w:lang w:val="sl-SI"/>
        </w:rPr>
      </w:pPr>
    </w:p>
    <w:p w14:paraId="23B5E8CE" w14:textId="77777777" w:rsidR="00E04C8A" w:rsidRDefault="008E1817">
      <w:pPr>
        <w:pStyle w:val="a3"/>
        <w:rPr>
          <w:lang w:val="sl-SI"/>
        </w:rPr>
      </w:pPr>
      <w:r>
        <w:rPr>
          <w:rFonts w:eastAsia="Times New Roman"/>
          <w:lang w:val="sl-SI"/>
        </w:rPr>
        <w:t>V študiji HS-II (PIONEER II) je bilo ocenjenih 326 bolnikov v dveh obdobjih zdravljenja. V obdobju A so bolniki prejeli placebo ali adalimumab v začetnem odmerku 160 mg v 0. tednu, nato 80 mg v 2. tednu in 40 mg vsak teden od vključno 4. tedna do 11. tedna. 19,3 % bolnikov je nadaljevalo izhodiščno zdravljenje s peroralnimi antibiotiki. Po 12 tednih terapije so bolnike, ki so prejemali adalimumab v obdobju A, ponovno randomizirali v obdobju B v eno izmed treh skupin zdravljenja (adalimumab 40 mg vsak teden, adalimumab 40 mg vsak drugi teden ali placebo od 12. do 35. tedna). Bolniki, ki so jih randomizirali na placebo v obdobju A, so v obdobju B prejemali placebo.</w:t>
      </w:r>
    </w:p>
    <w:p w14:paraId="14B0E51B" w14:textId="77777777" w:rsidR="00E04C8A" w:rsidRDefault="00E04C8A">
      <w:pPr>
        <w:pStyle w:val="a3"/>
        <w:rPr>
          <w:sz w:val="24"/>
          <w:szCs w:val="24"/>
          <w:lang w:val="sl-SI"/>
        </w:rPr>
      </w:pPr>
    </w:p>
    <w:p w14:paraId="6151EE1C" w14:textId="77777777" w:rsidR="00E04C8A" w:rsidRDefault="008E1817">
      <w:pPr>
        <w:pStyle w:val="a3"/>
        <w:rPr>
          <w:lang w:val="sl-SI"/>
        </w:rPr>
      </w:pPr>
      <w:r>
        <w:rPr>
          <w:rFonts w:eastAsia="Times New Roman"/>
          <w:lang w:val="sl-SI"/>
        </w:rPr>
        <w:t>Bolniki, vključeni v študiji HS-I in HS-II, so bili primerni za vključitev v odprto podaljšano študijo, pri kateri so prejemali adalimumab 40 mg vsak teden. Povprečna izpostavljenost v celotni populaciji z adalimumabom je bila 762 dni. Tekom vseh treh študij so bolniki dnevno uporabljali topikalno antiseptično čistilno tekočino.</w:t>
      </w:r>
    </w:p>
    <w:p w14:paraId="1F2895F2" w14:textId="77777777" w:rsidR="00E04C8A" w:rsidRDefault="00E04C8A">
      <w:pPr>
        <w:pStyle w:val="a3"/>
        <w:rPr>
          <w:sz w:val="24"/>
          <w:szCs w:val="24"/>
          <w:lang w:val="sl-SI"/>
        </w:rPr>
      </w:pPr>
    </w:p>
    <w:p w14:paraId="730D1C5C" w14:textId="77777777" w:rsidR="00E04C8A" w:rsidRDefault="008E1817">
      <w:pPr>
        <w:pStyle w:val="a3"/>
        <w:rPr>
          <w:rFonts w:eastAsia="Times New Roman"/>
          <w:lang w:val="sl-SI"/>
        </w:rPr>
      </w:pPr>
      <w:r>
        <w:rPr>
          <w:rFonts w:eastAsia="Times New Roman"/>
          <w:i/>
          <w:iCs/>
          <w:spacing w:val="-1"/>
          <w:u w:val="single" w:color="000000"/>
          <w:lang w:val="sl-SI"/>
        </w:rPr>
        <w:t>Klinični odziv</w:t>
      </w:r>
    </w:p>
    <w:p w14:paraId="5905DF25" w14:textId="77777777" w:rsidR="00E04C8A" w:rsidRDefault="00E04C8A">
      <w:pPr>
        <w:pStyle w:val="a3"/>
        <w:rPr>
          <w:sz w:val="18"/>
          <w:szCs w:val="18"/>
          <w:lang w:val="sl-SI"/>
        </w:rPr>
      </w:pPr>
    </w:p>
    <w:p w14:paraId="514E73AB" w14:textId="77777777" w:rsidR="00E04C8A" w:rsidRDefault="008E1817">
      <w:pPr>
        <w:pStyle w:val="a3"/>
        <w:rPr>
          <w:lang w:val="sl-SI"/>
        </w:rPr>
      </w:pPr>
      <w:r>
        <w:rPr>
          <w:rFonts w:eastAsia="Times New Roman"/>
          <w:lang w:val="sl-SI"/>
        </w:rPr>
        <w:t>Zmanjšanje inflamatornih lezij in preprečevanje poslabšanja abscesov in fistul z izcedkom so ocenili z rezultatom kliničnega odziva pri hidradenitis suppurativa (HiSCR – Hidradenitis Suppurativa Clinical Response; najmanj 50 % zmanjšanje skupnega števila abscesov in inflamatornih nodulov brez povečanja števila abscesov in fistul z izcedkom glede na izhodiščno število). Zmanjšanje bolečine, povezane s HS, so ocenili s pomočjo numeričme ocenjevalne lestvice pri bolnikih, ki so imeli pri vključitvi v študijo izhodiščni rezultat 3 ali več na 11-stopenjski numerični ocenjevalni lestvici.</w:t>
      </w:r>
    </w:p>
    <w:p w14:paraId="49B8502C" w14:textId="77777777" w:rsidR="00E04C8A" w:rsidRDefault="00E04C8A">
      <w:pPr>
        <w:spacing w:before="13" w:line="240" w:lineRule="exact"/>
        <w:rPr>
          <w:sz w:val="24"/>
          <w:szCs w:val="24"/>
          <w:lang w:val="sl-SI"/>
        </w:rPr>
      </w:pPr>
    </w:p>
    <w:p w14:paraId="3EE874C9" w14:textId="240A87A3" w:rsidR="00E04C8A" w:rsidRDefault="008E1817">
      <w:pPr>
        <w:pStyle w:val="a3"/>
        <w:rPr>
          <w:lang w:val="sl-SI"/>
        </w:rPr>
      </w:pPr>
      <w:r>
        <w:rPr>
          <w:rFonts w:eastAsia="Times New Roman"/>
          <w:lang w:val="sl-SI"/>
        </w:rPr>
        <w:t xml:space="preserve">V 12. tednu je statistično pomembno večji delež bolnikov, ki so prejemali adalimumab, doseglo klinični odziv (HiSCR) v primerjavi z bolniki, ki so prejemali placebo. V 12. tednu je statistično pomembno večji delež bolnikov v študiji HS-II občutil klinično pomembno zmanjšanje bolečine na koži, povezane s HS (glejte preglednico </w:t>
      </w:r>
      <w:r w:rsidR="001B1C67">
        <w:rPr>
          <w:rFonts w:eastAsia="Times New Roman"/>
          <w:lang w:val="sl-SI"/>
        </w:rPr>
        <w:t>19</w:t>
      </w:r>
      <w:r>
        <w:rPr>
          <w:rFonts w:eastAsia="Times New Roman"/>
          <w:lang w:val="sl-SI"/>
        </w:rPr>
        <w:t>). Bolniki, zdravljeni z adalimumabom, so imeli signifikantno zmanjšanje tveganja novega izbruha bolezni v začetnih 12 tednih zdravljenja.</w:t>
      </w:r>
    </w:p>
    <w:p w14:paraId="76D523D3" w14:textId="77777777" w:rsidR="00E04C8A" w:rsidRDefault="00E04C8A">
      <w:pPr>
        <w:spacing w:before="1" w:line="110" w:lineRule="exact"/>
        <w:rPr>
          <w:sz w:val="11"/>
          <w:szCs w:val="11"/>
          <w:lang w:val="sl-SI"/>
        </w:rPr>
      </w:pPr>
    </w:p>
    <w:p w14:paraId="69CC4990" w14:textId="77777777" w:rsidR="00E04C8A" w:rsidRDefault="00E04C8A">
      <w:pPr>
        <w:spacing w:line="200" w:lineRule="exact"/>
        <w:rPr>
          <w:sz w:val="20"/>
          <w:szCs w:val="20"/>
          <w:lang w:val="sl-SI"/>
        </w:rPr>
      </w:pPr>
    </w:p>
    <w:p w14:paraId="5D2F1983" w14:textId="43024850" w:rsidR="00E04C8A" w:rsidRDefault="008E1817">
      <w:pPr>
        <w:pStyle w:val="a3"/>
        <w:jc w:val="center"/>
        <w:rPr>
          <w:b/>
          <w:lang w:val="sl-SI"/>
        </w:rPr>
      </w:pPr>
      <w:r>
        <w:rPr>
          <w:rFonts w:eastAsia="Times New Roman"/>
          <w:b/>
          <w:bCs/>
          <w:lang w:val="sl-SI"/>
        </w:rPr>
        <w:t>Preglednica </w:t>
      </w:r>
      <w:r w:rsidR="001B1C67">
        <w:rPr>
          <w:rFonts w:eastAsia="Times New Roman"/>
          <w:b/>
          <w:bCs/>
          <w:lang w:val="sl-SI"/>
        </w:rPr>
        <w:t>19</w:t>
      </w:r>
    </w:p>
    <w:p w14:paraId="56FBEA86" w14:textId="4785DC5A" w:rsidR="0016539A" w:rsidRDefault="008E1817">
      <w:pPr>
        <w:pStyle w:val="a3"/>
        <w:jc w:val="center"/>
        <w:rPr>
          <w:b/>
          <w:lang w:val="sl-SI"/>
        </w:rPr>
      </w:pPr>
      <w:r>
        <w:rPr>
          <w:rFonts w:eastAsia="Times New Roman"/>
          <w:b/>
          <w:bCs/>
          <w:lang w:val="sl-SI"/>
        </w:rPr>
        <w:t>Rezultati učinkovitosti v 12. tednu, študiji HS I in II</w:t>
      </w:r>
    </w:p>
    <w:p w14:paraId="63220983" w14:textId="77777777" w:rsidR="00E04C8A" w:rsidRDefault="00E04C8A">
      <w:pPr>
        <w:spacing w:before="4" w:line="10" w:lineRule="exact"/>
        <w:rPr>
          <w:sz w:val="4"/>
          <w:szCs w:val="4"/>
          <w:lang w:val="sl-SI"/>
        </w:rPr>
      </w:pPr>
    </w:p>
    <w:tbl>
      <w:tblPr>
        <w:tblStyle w:val="TableNormal1"/>
        <w:tblW w:w="0" w:type="auto"/>
        <w:tblInd w:w="167" w:type="dxa"/>
        <w:tblLayout w:type="fixed"/>
        <w:tblLook w:val="01E0" w:firstRow="1" w:lastRow="1" w:firstColumn="1" w:lastColumn="1" w:noHBand="0" w:noVBand="0"/>
      </w:tblPr>
      <w:tblGrid>
        <w:gridCol w:w="2846"/>
        <w:gridCol w:w="1440"/>
        <w:gridCol w:w="1747"/>
        <w:gridCol w:w="1404"/>
        <w:gridCol w:w="1856"/>
      </w:tblGrid>
      <w:tr w:rsidR="00E04C8A" w14:paraId="7F081669" w14:textId="77777777">
        <w:tc>
          <w:tcPr>
            <w:tcW w:w="2846" w:type="dxa"/>
            <w:vMerge w:val="restart"/>
            <w:tcBorders>
              <w:top w:val="single" w:sz="5" w:space="0" w:color="000000"/>
              <w:left w:val="single" w:sz="5" w:space="0" w:color="000000"/>
              <w:right w:val="single" w:sz="5" w:space="0" w:color="000000"/>
            </w:tcBorders>
          </w:tcPr>
          <w:p w14:paraId="2BD3DB41" w14:textId="77777777" w:rsidR="00E04C8A" w:rsidRDefault="00E04C8A">
            <w:pPr>
              <w:rPr>
                <w:lang w:val="sl-SI"/>
              </w:rPr>
            </w:pPr>
          </w:p>
        </w:tc>
        <w:tc>
          <w:tcPr>
            <w:tcW w:w="3187" w:type="dxa"/>
            <w:gridSpan w:val="2"/>
            <w:tcBorders>
              <w:top w:val="single" w:sz="5" w:space="0" w:color="000000"/>
              <w:left w:val="single" w:sz="5" w:space="0" w:color="000000"/>
              <w:bottom w:val="single" w:sz="5" w:space="0" w:color="000000"/>
              <w:right w:val="single" w:sz="5" w:space="0" w:color="000000"/>
            </w:tcBorders>
          </w:tcPr>
          <w:p w14:paraId="798F1F55" w14:textId="77777777" w:rsidR="00E04C8A" w:rsidRDefault="008E1817" w:rsidP="00F910FC">
            <w:pPr>
              <w:pStyle w:val="TableParagraph"/>
              <w:spacing w:line="251" w:lineRule="exact"/>
              <w:ind w:right="100"/>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Študija HS I</w:t>
            </w:r>
          </w:p>
        </w:tc>
        <w:tc>
          <w:tcPr>
            <w:tcW w:w="3259" w:type="dxa"/>
            <w:gridSpan w:val="2"/>
            <w:tcBorders>
              <w:top w:val="single" w:sz="5" w:space="0" w:color="000000"/>
              <w:left w:val="single" w:sz="5" w:space="0" w:color="000000"/>
              <w:bottom w:val="single" w:sz="5" w:space="0" w:color="000000"/>
              <w:right w:val="single" w:sz="5" w:space="0" w:color="000000"/>
            </w:tcBorders>
          </w:tcPr>
          <w:p w14:paraId="02B1EE1A" w14:textId="77777777" w:rsidR="00E04C8A" w:rsidRDefault="008E1817">
            <w:pPr>
              <w:pStyle w:val="TableParagraph"/>
              <w:spacing w:line="251" w:lineRule="exact"/>
              <w:ind w:left="1062"/>
              <w:rPr>
                <w:rFonts w:ascii="Times New Roman" w:eastAsia="Times New Roman" w:hAnsi="Times New Roman" w:cs="Times New Roman"/>
                <w:lang w:val="sl-SI"/>
              </w:rPr>
            </w:pPr>
            <w:r>
              <w:rPr>
                <w:rFonts w:ascii="Times New Roman" w:eastAsia="Times New Roman" w:hAnsi="Times New Roman" w:cs="Times New Roman"/>
                <w:b/>
                <w:bCs/>
                <w:spacing w:val="-1"/>
                <w:lang w:val="sl-SI"/>
              </w:rPr>
              <w:t>Študija HS II</w:t>
            </w:r>
          </w:p>
        </w:tc>
      </w:tr>
      <w:tr w:rsidR="00E04C8A" w14:paraId="0142BA99" w14:textId="77777777">
        <w:tc>
          <w:tcPr>
            <w:tcW w:w="2846" w:type="dxa"/>
            <w:vMerge/>
            <w:tcBorders>
              <w:left w:val="single" w:sz="5" w:space="0" w:color="000000"/>
              <w:bottom w:val="single" w:sz="5" w:space="0" w:color="000000"/>
              <w:right w:val="single" w:sz="5" w:space="0" w:color="000000"/>
            </w:tcBorders>
          </w:tcPr>
          <w:p w14:paraId="7450B879" w14:textId="77777777" w:rsidR="00E04C8A" w:rsidRDefault="00E04C8A">
            <w:pPr>
              <w:rPr>
                <w:lang w:val="sl-SI"/>
              </w:rPr>
            </w:pPr>
          </w:p>
        </w:tc>
        <w:tc>
          <w:tcPr>
            <w:tcW w:w="1440" w:type="dxa"/>
            <w:tcBorders>
              <w:top w:val="single" w:sz="5" w:space="0" w:color="000000"/>
              <w:left w:val="single" w:sz="5" w:space="0" w:color="000000"/>
              <w:bottom w:val="single" w:sz="5" w:space="0" w:color="000000"/>
              <w:right w:val="single" w:sz="5" w:space="0" w:color="000000"/>
            </w:tcBorders>
          </w:tcPr>
          <w:p w14:paraId="57C1F450" w14:textId="77777777" w:rsidR="00E04C8A" w:rsidRDefault="008E1817" w:rsidP="001452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lang w:val="sl-SI"/>
              </w:rPr>
              <w:t>Placebo</w:t>
            </w:r>
          </w:p>
        </w:tc>
        <w:tc>
          <w:tcPr>
            <w:tcW w:w="1747" w:type="dxa"/>
            <w:tcBorders>
              <w:top w:val="single" w:sz="5" w:space="0" w:color="000000"/>
              <w:left w:val="single" w:sz="5" w:space="0" w:color="000000"/>
              <w:bottom w:val="single" w:sz="5" w:space="0" w:color="000000"/>
              <w:right w:val="single" w:sz="5" w:space="0" w:color="000000"/>
            </w:tcBorders>
          </w:tcPr>
          <w:p w14:paraId="46C692BB" w14:textId="77777777" w:rsidR="00E04C8A" w:rsidRDefault="008E1817" w:rsidP="001452D7">
            <w:pPr>
              <w:pStyle w:val="TableParagraph"/>
              <w:spacing w:before="1" w:line="252" w:lineRule="exact"/>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Adalimumab 40 mg vsak teden</w:t>
            </w:r>
          </w:p>
        </w:tc>
        <w:tc>
          <w:tcPr>
            <w:tcW w:w="1404" w:type="dxa"/>
            <w:tcBorders>
              <w:top w:val="single" w:sz="5" w:space="0" w:color="000000"/>
              <w:left w:val="single" w:sz="5" w:space="0" w:color="000000"/>
              <w:bottom w:val="single" w:sz="5" w:space="0" w:color="000000"/>
              <w:right w:val="single" w:sz="5" w:space="0" w:color="000000"/>
            </w:tcBorders>
          </w:tcPr>
          <w:p w14:paraId="4AF7D877" w14:textId="77777777" w:rsidR="00E04C8A" w:rsidRDefault="008E1817" w:rsidP="001452D7">
            <w:pPr>
              <w:pStyle w:val="TableParagraph"/>
              <w:ind w:leftChars="12" w:left="26"/>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Placebo</w:t>
            </w:r>
          </w:p>
        </w:tc>
        <w:tc>
          <w:tcPr>
            <w:tcW w:w="1855" w:type="dxa"/>
            <w:tcBorders>
              <w:top w:val="single" w:sz="5" w:space="0" w:color="000000"/>
              <w:left w:val="single" w:sz="5" w:space="0" w:color="000000"/>
              <w:bottom w:val="single" w:sz="5" w:space="0" w:color="000000"/>
              <w:right w:val="single" w:sz="5" w:space="0" w:color="000000"/>
            </w:tcBorders>
          </w:tcPr>
          <w:p w14:paraId="2138207A" w14:textId="77777777" w:rsidR="00E04C8A" w:rsidRDefault="008E1817" w:rsidP="001452D7">
            <w:pPr>
              <w:pStyle w:val="TableParagraph"/>
              <w:spacing w:before="1" w:line="252" w:lineRule="exact"/>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Adalimumab 40 mg vsak teden</w:t>
            </w:r>
          </w:p>
        </w:tc>
      </w:tr>
      <w:tr w:rsidR="00E04C8A" w14:paraId="088EFD75" w14:textId="77777777">
        <w:tc>
          <w:tcPr>
            <w:tcW w:w="2846" w:type="dxa"/>
            <w:tcBorders>
              <w:top w:val="single" w:sz="5" w:space="0" w:color="000000"/>
              <w:left w:val="single" w:sz="5" w:space="0" w:color="000000"/>
              <w:bottom w:val="single" w:sz="5" w:space="0" w:color="000000"/>
              <w:right w:val="single" w:sz="5" w:space="0" w:color="000000"/>
            </w:tcBorders>
          </w:tcPr>
          <w:p w14:paraId="77FD1DA0" w14:textId="77777777" w:rsidR="00E04C8A" w:rsidRDefault="008E1817">
            <w:pPr>
              <w:pStyle w:val="TableParagraph"/>
              <w:spacing w:line="246" w:lineRule="exact"/>
              <w:ind w:left="109"/>
              <w:rPr>
                <w:rFonts w:ascii="Times New Roman" w:eastAsia="Times New Roman" w:hAnsi="Times New Roman" w:cs="Times New Roman"/>
                <w:lang w:val="sl-SI"/>
              </w:rPr>
            </w:pPr>
            <w:r>
              <w:rPr>
                <w:rFonts w:ascii="Times New Roman" w:eastAsia="Times New Roman" w:hAnsi="Times New Roman" w:cs="Times New Roman"/>
                <w:spacing w:val="-1"/>
                <w:lang w:val="sl-SI"/>
              </w:rPr>
              <w:t>Hidradenitis suppurativa Klinični odziv (HiSCR)</w:t>
            </w:r>
            <w:r>
              <w:rPr>
                <w:rFonts w:ascii="Times New Roman" w:eastAsia="Times New Roman" w:hAnsi="Times New Roman" w:cs="Times New Roman"/>
                <w:spacing w:val="-1"/>
                <w:vertAlign w:val="superscript"/>
                <w:lang w:val="sl-SI"/>
              </w:rPr>
              <w:t>a</w:t>
            </w:r>
          </w:p>
        </w:tc>
        <w:tc>
          <w:tcPr>
            <w:tcW w:w="1440" w:type="dxa"/>
            <w:tcBorders>
              <w:top w:val="single" w:sz="5" w:space="0" w:color="000000"/>
              <w:left w:val="single" w:sz="5" w:space="0" w:color="000000"/>
              <w:bottom w:val="single" w:sz="5" w:space="0" w:color="000000"/>
              <w:right w:val="single" w:sz="5" w:space="0" w:color="000000"/>
            </w:tcBorders>
          </w:tcPr>
          <w:p w14:paraId="44667D1C" w14:textId="77777777" w:rsidR="00E04C8A" w:rsidRDefault="008E1817" w:rsidP="001452D7">
            <w:pPr>
              <w:pStyle w:val="TableParagraph"/>
              <w:spacing w:line="246"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 = 154</w:t>
            </w:r>
          </w:p>
          <w:p w14:paraId="2ADA7576" w14:textId="77777777" w:rsidR="00E04C8A" w:rsidRDefault="008E1817" w:rsidP="001452D7">
            <w:pPr>
              <w:pStyle w:val="TableParagraph"/>
              <w:spacing w:line="252"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40 (26,0 %)</w:t>
            </w:r>
          </w:p>
        </w:tc>
        <w:tc>
          <w:tcPr>
            <w:tcW w:w="1747" w:type="dxa"/>
            <w:tcBorders>
              <w:top w:val="single" w:sz="5" w:space="0" w:color="000000"/>
              <w:left w:val="single" w:sz="5" w:space="0" w:color="000000"/>
              <w:bottom w:val="single" w:sz="5" w:space="0" w:color="000000"/>
              <w:right w:val="single" w:sz="5" w:space="0" w:color="000000"/>
            </w:tcBorders>
          </w:tcPr>
          <w:p w14:paraId="19D904FD" w14:textId="77777777" w:rsidR="00E04C8A" w:rsidRDefault="008E1817" w:rsidP="001452D7">
            <w:pPr>
              <w:pStyle w:val="TableParagraph"/>
              <w:spacing w:line="246"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 = 153</w:t>
            </w:r>
          </w:p>
          <w:p w14:paraId="35A11E93" w14:textId="77777777" w:rsidR="00E04C8A" w:rsidRDefault="008E1817" w:rsidP="001452D7">
            <w:pPr>
              <w:pStyle w:val="TableParagraph"/>
              <w:spacing w:line="252"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64 (41,8 %) *</w:t>
            </w:r>
          </w:p>
        </w:tc>
        <w:tc>
          <w:tcPr>
            <w:tcW w:w="1404" w:type="dxa"/>
            <w:tcBorders>
              <w:top w:val="single" w:sz="5" w:space="0" w:color="000000"/>
              <w:left w:val="single" w:sz="5" w:space="0" w:color="000000"/>
              <w:bottom w:val="single" w:sz="5" w:space="0" w:color="000000"/>
              <w:right w:val="single" w:sz="5" w:space="0" w:color="000000"/>
            </w:tcBorders>
          </w:tcPr>
          <w:p w14:paraId="011EBDE1" w14:textId="77777777" w:rsidR="00E04C8A" w:rsidRDefault="008E1817" w:rsidP="001452D7">
            <w:pPr>
              <w:pStyle w:val="TableParagraph"/>
              <w:spacing w:line="246" w:lineRule="exact"/>
              <w:ind w:leftChars="12" w:left="26"/>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 = 163</w:t>
            </w:r>
          </w:p>
          <w:p w14:paraId="1367175D" w14:textId="77777777" w:rsidR="00E04C8A" w:rsidRDefault="008E1817" w:rsidP="001452D7">
            <w:pPr>
              <w:pStyle w:val="TableParagraph"/>
              <w:spacing w:line="252" w:lineRule="exact"/>
              <w:ind w:leftChars="12" w:left="26"/>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45 (27,6 %)</w:t>
            </w:r>
          </w:p>
        </w:tc>
        <w:tc>
          <w:tcPr>
            <w:tcW w:w="1855" w:type="dxa"/>
            <w:tcBorders>
              <w:top w:val="single" w:sz="5" w:space="0" w:color="000000"/>
              <w:left w:val="single" w:sz="5" w:space="0" w:color="000000"/>
              <w:bottom w:val="single" w:sz="5" w:space="0" w:color="000000"/>
              <w:right w:val="single" w:sz="5" w:space="0" w:color="000000"/>
            </w:tcBorders>
          </w:tcPr>
          <w:p w14:paraId="74F80E38" w14:textId="77777777" w:rsidR="00E04C8A" w:rsidRDefault="008E1817" w:rsidP="001452D7">
            <w:pPr>
              <w:pStyle w:val="TableParagraph"/>
              <w:spacing w:line="246"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 = 163</w:t>
            </w:r>
          </w:p>
          <w:p w14:paraId="6B4671F7" w14:textId="77777777" w:rsidR="00E04C8A" w:rsidRDefault="008E1817" w:rsidP="001452D7">
            <w:pPr>
              <w:pStyle w:val="TableParagraph"/>
              <w:spacing w:line="252"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96 (58,9 %) ***</w:t>
            </w:r>
          </w:p>
        </w:tc>
      </w:tr>
      <w:tr w:rsidR="00E04C8A" w14:paraId="0577497C" w14:textId="77777777">
        <w:tc>
          <w:tcPr>
            <w:tcW w:w="2846" w:type="dxa"/>
            <w:tcBorders>
              <w:top w:val="single" w:sz="5" w:space="0" w:color="000000"/>
              <w:left w:val="single" w:sz="5" w:space="0" w:color="000000"/>
              <w:bottom w:val="single" w:sz="5" w:space="0" w:color="000000"/>
              <w:right w:val="single" w:sz="5" w:space="0" w:color="000000"/>
            </w:tcBorders>
          </w:tcPr>
          <w:p w14:paraId="709E1431" w14:textId="77777777" w:rsidR="00E04C8A" w:rsidRDefault="008E1817">
            <w:pPr>
              <w:pStyle w:val="TableParagraph"/>
              <w:spacing w:line="246" w:lineRule="exact"/>
              <w:ind w:left="109"/>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 30-% zmanjšanje </w:t>
            </w:r>
            <w:r>
              <w:rPr>
                <w:rFonts w:ascii="Times New Roman" w:eastAsia="Times New Roman" w:hAnsi="Times New Roman" w:cs="Times New Roman"/>
                <w:lang w:val="sl-SI"/>
              </w:rPr>
              <w:t>bolečine na koži</w:t>
            </w:r>
            <w:r>
              <w:rPr>
                <w:rFonts w:ascii="Times New Roman" w:eastAsia="Times New Roman" w:hAnsi="Times New Roman" w:cs="Times New Roman"/>
                <w:vertAlign w:val="superscript"/>
                <w:lang w:val="sl-SI"/>
              </w:rPr>
              <w:t>b</w:t>
            </w:r>
          </w:p>
        </w:tc>
        <w:tc>
          <w:tcPr>
            <w:tcW w:w="1440" w:type="dxa"/>
            <w:tcBorders>
              <w:top w:val="single" w:sz="5" w:space="0" w:color="000000"/>
              <w:left w:val="single" w:sz="5" w:space="0" w:color="000000"/>
              <w:bottom w:val="single" w:sz="5" w:space="0" w:color="000000"/>
              <w:right w:val="single" w:sz="5" w:space="0" w:color="000000"/>
            </w:tcBorders>
          </w:tcPr>
          <w:p w14:paraId="7B799FD2" w14:textId="77777777" w:rsidR="00E04C8A" w:rsidRDefault="008E1817" w:rsidP="001452D7">
            <w:pPr>
              <w:pStyle w:val="TableParagraph"/>
              <w:spacing w:line="246"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 = 109</w:t>
            </w:r>
          </w:p>
          <w:p w14:paraId="03F53D98" w14:textId="77777777" w:rsidR="00E04C8A" w:rsidRDefault="008E1817" w:rsidP="001452D7">
            <w:pPr>
              <w:pStyle w:val="TableParagraph"/>
              <w:spacing w:before="1"/>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27 (24,8 %)</w:t>
            </w:r>
          </w:p>
        </w:tc>
        <w:tc>
          <w:tcPr>
            <w:tcW w:w="1747" w:type="dxa"/>
            <w:tcBorders>
              <w:top w:val="single" w:sz="5" w:space="0" w:color="000000"/>
              <w:left w:val="single" w:sz="5" w:space="0" w:color="000000"/>
              <w:bottom w:val="single" w:sz="5" w:space="0" w:color="000000"/>
              <w:right w:val="single" w:sz="5" w:space="0" w:color="000000"/>
            </w:tcBorders>
          </w:tcPr>
          <w:p w14:paraId="72489EE5" w14:textId="77777777" w:rsidR="00E04C8A" w:rsidRDefault="008E1817" w:rsidP="001452D7">
            <w:pPr>
              <w:pStyle w:val="TableParagraph"/>
              <w:spacing w:line="246"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 = 122</w:t>
            </w:r>
          </w:p>
          <w:p w14:paraId="6704BD9C" w14:textId="77777777" w:rsidR="00E04C8A" w:rsidRDefault="008E1817" w:rsidP="001452D7">
            <w:pPr>
              <w:pStyle w:val="TableParagraph"/>
              <w:spacing w:before="1"/>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34 (27,9 %)</w:t>
            </w:r>
          </w:p>
        </w:tc>
        <w:tc>
          <w:tcPr>
            <w:tcW w:w="1404" w:type="dxa"/>
            <w:tcBorders>
              <w:top w:val="single" w:sz="5" w:space="0" w:color="000000"/>
              <w:left w:val="single" w:sz="5" w:space="0" w:color="000000"/>
              <w:bottom w:val="single" w:sz="5" w:space="0" w:color="000000"/>
              <w:right w:val="single" w:sz="5" w:space="0" w:color="000000"/>
            </w:tcBorders>
          </w:tcPr>
          <w:p w14:paraId="3BEB04C8" w14:textId="77777777" w:rsidR="00E04C8A" w:rsidRDefault="008E1817" w:rsidP="001452D7">
            <w:pPr>
              <w:pStyle w:val="TableParagraph"/>
              <w:spacing w:line="246" w:lineRule="exact"/>
              <w:ind w:leftChars="12" w:left="26"/>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 = 111</w:t>
            </w:r>
          </w:p>
          <w:p w14:paraId="422330D7" w14:textId="77777777" w:rsidR="00E04C8A" w:rsidRDefault="008E1817" w:rsidP="001452D7">
            <w:pPr>
              <w:pStyle w:val="TableParagraph"/>
              <w:spacing w:before="1"/>
              <w:ind w:leftChars="12" w:left="26"/>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23 (20,7 %)</w:t>
            </w:r>
          </w:p>
        </w:tc>
        <w:tc>
          <w:tcPr>
            <w:tcW w:w="1855" w:type="dxa"/>
            <w:tcBorders>
              <w:top w:val="single" w:sz="5" w:space="0" w:color="000000"/>
              <w:left w:val="single" w:sz="5" w:space="0" w:color="000000"/>
              <w:bottom w:val="single" w:sz="5" w:space="0" w:color="000000"/>
              <w:right w:val="single" w:sz="5" w:space="0" w:color="000000"/>
            </w:tcBorders>
          </w:tcPr>
          <w:p w14:paraId="5B158D2F" w14:textId="77777777" w:rsidR="00E04C8A" w:rsidRDefault="008E1817" w:rsidP="001452D7">
            <w:pPr>
              <w:pStyle w:val="TableParagraph"/>
              <w:spacing w:line="246"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 = 105</w:t>
            </w:r>
          </w:p>
          <w:p w14:paraId="64D61F2F" w14:textId="77777777" w:rsidR="00E04C8A" w:rsidRDefault="008E1817" w:rsidP="001452D7">
            <w:pPr>
              <w:pStyle w:val="TableParagraph"/>
              <w:spacing w:line="254"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48 (45,7 %) ***</w:t>
            </w:r>
          </w:p>
        </w:tc>
      </w:tr>
      <w:tr w:rsidR="00E04C8A" w:rsidRPr="00652F18" w14:paraId="0363F00D" w14:textId="77777777">
        <w:tc>
          <w:tcPr>
            <w:tcW w:w="9293" w:type="dxa"/>
            <w:gridSpan w:val="5"/>
            <w:tcBorders>
              <w:top w:val="single" w:sz="5" w:space="0" w:color="000000"/>
              <w:left w:val="single" w:sz="5" w:space="0" w:color="000000"/>
              <w:bottom w:val="single" w:sz="5" w:space="0" w:color="000000"/>
              <w:right w:val="single" w:sz="5" w:space="0" w:color="000000"/>
            </w:tcBorders>
          </w:tcPr>
          <w:p w14:paraId="4C4AD3BE" w14:textId="77777777" w:rsidR="00E04C8A" w:rsidRDefault="008E1817">
            <w:pPr>
              <w:pStyle w:val="TableParagraph"/>
              <w:spacing w:line="246" w:lineRule="exact"/>
              <w:ind w:left="469"/>
              <w:rPr>
                <w:rFonts w:ascii="Times New Roman" w:eastAsia="Times New Roman" w:hAnsi="Times New Roman" w:cs="Times New Roman"/>
                <w:lang w:val="sl-SI"/>
              </w:rPr>
            </w:pPr>
            <w:r>
              <w:rPr>
                <w:rFonts w:ascii="Times New Roman" w:eastAsia="Times New Roman" w:hAnsi="Times New Roman" w:cs="Times New Roman"/>
                <w:lang w:val="sl-SI"/>
              </w:rPr>
              <w:lastRenderedPageBreak/>
              <w:t xml:space="preserve">* </w:t>
            </w:r>
            <w:r>
              <w:rPr>
                <w:rFonts w:ascii="Times New Roman" w:eastAsia="Times New Roman" w:hAnsi="Times New Roman" w:cs="Times New Roman"/>
                <w:i/>
                <w:iCs/>
                <w:lang w:val="sl-SI"/>
              </w:rPr>
              <w:t xml:space="preserve">P </w:t>
            </w:r>
            <w:r>
              <w:rPr>
                <w:rFonts w:ascii="Times New Roman" w:eastAsia="Times New Roman" w:hAnsi="Times New Roman" w:cs="Times New Roman"/>
                <w:lang w:val="sl-SI"/>
              </w:rPr>
              <w:t>&lt; 0,05, ***</w:t>
            </w:r>
            <w:r>
              <w:rPr>
                <w:rFonts w:ascii="Times New Roman" w:eastAsia="Times New Roman" w:hAnsi="Times New Roman" w:cs="Times New Roman"/>
                <w:i/>
                <w:iCs/>
                <w:lang w:val="sl-SI"/>
              </w:rPr>
              <w:t xml:space="preserve">P </w:t>
            </w:r>
            <w:r>
              <w:rPr>
                <w:rFonts w:ascii="Times New Roman" w:eastAsia="Times New Roman" w:hAnsi="Times New Roman" w:cs="Times New Roman"/>
                <w:lang w:val="sl-SI"/>
              </w:rPr>
              <w:t>&lt; 0,001, adalimumab v primerjavi s placebom</w:t>
            </w:r>
          </w:p>
          <w:p w14:paraId="6DA9F49D" w14:textId="77777777" w:rsidR="00E04C8A" w:rsidRDefault="008E1817">
            <w:pPr>
              <w:pStyle w:val="a4"/>
              <w:numPr>
                <w:ilvl w:val="0"/>
                <w:numId w:val="11"/>
              </w:numPr>
              <w:tabs>
                <w:tab w:val="left" w:pos="469"/>
              </w:tabs>
              <w:spacing w:before="32"/>
              <w:ind w:left="469"/>
              <w:rPr>
                <w:rFonts w:ascii="Times New Roman" w:eastAsia="Times New Roman" w:hAnsi="Times New Roman" w:cs="Times New Roman"/>
                <w:lang w:val="sl-SI"/>
              </w:rPr>
            </w:pPr>
            <w:r>
              <w:rPr>
                <w:rFonts w:ascii="Times New Roman" w:eastAsia="Times New Roman" w:hAnsi="Times New Roman" w:cs="Times New Roman"/>
                <w:spacing w:val="1"/>
                <w:lang w:val="sl-SI"/>
              </w:rPr>
              <w:t>Med vsemi randomiziranimi bolniki.</w:t>
            </w:r>
          </w:p>
          <w:p w14:paraId="2C1A2E03" w14:textId="77777777" w:rsidR="00E04C8A" w:rsidRDefault="008E1817">
            <w:pPr>
              <w:pStyle w:val="a4"/>
              <w:numPr>
                <w:ilvl w:val="0"/>
                <w:numId w:val="11"/>
              </w:numPr>
              <w:tabs>
                <w:tab w:val="left" w:pos="469"/>
              </w:tabs>
              <w:spacing w:before="41" w:line="240" w:lineRule="exact"/>
              <w:ind w:left="469" w:right="598"/>
              <w:rPr>
                <w:rFonts w:ascii="Times New Roman" w:eastAsia="Times New Roman" w:hAnsi="Times New Roman" w:cs="Times New Roman"/>
                <w:lang w:val="sl-SI"/>
              </w:rPr>
            </w:pPr>
            <w:r>
              <w:rPr>
                <w:rFonts w:ascii="Times New Roman" w:eastAsia="Times New Roman" w:hAnsi="Times New Roman" w:cs="Times New Roman"/>
                <w:spacing w:val="1"/>
                <w:lang w:val="sl-SI"/>
              </w:rPr>
              <w:t>Med bolniki z izhodiščnim rezultatom 3 ali več pri ocenjevanju bolečine, povezane s hidradenitis suppurativa, po numerični ocenjevalni lestvici od 0 do 10; 0 = brez bolečin na koži, 10 = najhujša možna bolečina na koži.</w:t>
            </w:r>
          </w:p>
        </w:tc>
      </w:tr>
    </w:tbl>
    <w:p w14:paraId="2BFCD6B9" w14:textId="77777777" w:rsidR="00E04C8A" w:rsidRDefault="00E04C8A">
      <w:pPr>
        <w:spacing w:before="5" w:line="170" w:lineRule="exact"/>
        <w:rPr>
          <w:sz w:val="17"/>
          <w:szCs w:val="17"/>
          <w:lang w:val="sl-SI"/>
        </w:rPr>
      </w:pPr>
    </w:p>
    <w:p w14:paraId="1DC6534C" w14:textId="77777777" w:rsidR="00E04C8A" w:rsidRDefault="008E1817">
      <w:pPr>
        <w:pStyle w:val="a3"/>
        <w:rPr>
          <w:lang w:val="sl-SI"/>
        </w:rPr>
      </w:pPr>
      <w:r>
        <w:rPr>
          <w:rFonts w:eastAsia="Times New Roman"/>
          <w:lang w:val="sl-SI"/>
        </w:rPr>
        <w:t>Zdravljenje z adalimumabom 40 mg vsak teden signifikantno zmanjša tveganje za poslabšanje abscesov in fistul z izcedkom. Približno dvakratni delež bolnikov v skupini, ki je prejemala placebo, je v primerjavi s tistimi, ki so bili v skupini z adalimumabom, v prvih 12 tednih študije HS-I in HS-II, doživelo poslabšanje abscesov (23,0 % v primerjavi z 11,4 %, v tem zaporedju) in fistul z izcedkom (30,0 % v primerjavi s 13,9 %, v tem zaporedju).</w:t>
      </w:r>
    </w:p>
    <w:p w14:paraId="5C764726" w14:textId="77777777" w:rsidR="00E04C8A" w:rsidRDefault="00E04C8A">
      <w:pPr>
        <w:spacing w:before="14" w:line="240" w:lineRule="exact"/>
        <w:rPr>
          <w:sz w:val="24"/>
          <w:szCs w:val="24"/>
          <w:lang w:val="sl-SI"/>
        </w:rPr>
      </w:pPr>
    </w:p>
    <w:p w14:paraId="40947404" w14:textId="77777777" w:rsidR="00E04C8A" w:rsidRDefault="008E1817">
      <w:pPr>
        <w:pStyle w:val="a3"/>
        <w:rPr>
          <w:lang w:val="sl-SI"/>
        </w:rPr>
      </w:pPr>
      <w:r>
        <w:rPr>
          <w:rFonts w:eastAsia="Times New Roman"/>
          <w:lang w:val="sl-SI"/>
        </w:rPr>
        <w:t>Večje izboljšanje v 12. tednu so pokazali glede na izhodiščno vrednost v primerjavi s placebom glede z zdravjem povezane kakovosti življenja, specifične za kožo, merjene z dermatološkim indeksom kakovosti življenja (“Dermatology life quality index” (DLQI), v študijah HS-I in HS-II), glede bolnikovega splošnega zadovoljstva z zdravljenjem z zdravilom, merjenem z vprašalnikom o zadovoljstvu z zdravljenjem z zdravilom (“Treatment Satisfaction Questionnaire - medication” (TSQM), v študijah HS-I in HS-II), in glede telesnega zdravja, merjenega s seštevkom telesnih komponent v vprašalniku SF-36 (“Short Form Health Survey" (SF-36) v študiji HS-I).</w:t>
      </w:r>
    </w:p>
    <w:p w14:paraId="1A3396EC" w14:textId="77777777" w:rsidR="00E04C8A" w:rsidRDefault="00E04C8A">
      <w:pPr>
        <w:spacing w:before="13" w:line="240" w:lineRule="exact"/>
        <w:rPr>
          <w:sz w:val="24"/>
          <w:szCs w:val="24"/>
          <w:lang w:val="sl-SI"/>
        </w:rPr>
      </w:pPr>
    </w:p>
    <w:p w14:paraId="48318A90" w14:textId="499D0592" w:rsidR="00E04C8A" w:rsidRDefault="008E1817">
      <w:pPr>
        <w:pStyle w:val="a3"/>
        <w:rPr>
          <w:lang w:val="sl-SI"/>
        </w:rPr>
      </w:pPr>
      <w:r>
        <w:rPr>
          <w:rFonts w:eastAsia="Times New Roman"/>
          <w:lang w:val="sl-SI"/>
        </w:rPr>
        <w:t>Pri bolnikih z vsaj delnim odzivom na adalimumab v odmerku 40 mg vsak teden v 12. tednu, je bila stopnja kliničnega odziva (HiSCR) v 36. tednu višja pri bolnikih, ki so nadaljevali zdravljenje z adalimumabom vsak teden kot pri bolnikih, pri katerih so pogostnost odmerjanja zmanjšali na vsak drugi teden, ali pri katerih je bilo zdravljenje ukinjeno (glejte preglednico </w:t>
      </w:r>
      <w:r w:rsidR="001B1C67">
        <w:rPr>
          <w:rFonts w:eastAsia="Times New Roman"/>
          <w:lang w:val="sl-SI"/>
        </w:rPr>
        <w:t>20</w:t>
      </w:r>
      <w:r>
        <w:rPr>
          <w:rFonts w:eastAsia="Times New Roman"/>
          <w:lang w:val="sl-SI"/>
        </w:rPr>
        <w:t>).</w:t>
      </w:r>
    </w:p>
    <w:p w14:paraId="2F9DA44F" w14:textId="77777777" w:rsidR="00E04C8A" w:rsidRDefault="00E04C8A">
      <w:pPr>
        <w:spacing w:before="2" w:line="260" w:lineRule="exact"/>
        <w:rPr>
          <w:sz w:val="26"/>
          <w:szCs w:val="26"/>
          <w:lang w:val="sl-SI"/>
        </w:rPr>
      </w:pPr>
    </w:p>
    <w:p w14:paraId="4DB5370D" w14:textId="27EB8A15" w:rsidR="00E04C8A" w:rsidRDefault="008E1817">
      <w:pPr>
        <w:pStyle w:val="a3"/>
        <w:jc w:val="center"/>
        <w:rPr>
          <w:b/>
          <w:lang w:val="sl-SI"/>
        </w:rPr>
      </w:pPr>
      <w:r>
        <w:rPr>
          <w:rFonts w:eastAsia="Times New Roman"/>
          <w:b/>
          <w:bCs/>
          <w:lang w:val="sl-SI"/>
        </w:rPr>
        <w:t>Preglednica </w:t>
      </w:r>
      <w:r w:rsidR="001B1C67">
        <w:rPr>
          <w:rFonts w:eastAsia="Times New Roman"/>
          <w:b/>
          <w:bCs/>
          <w:lang w:val="sl-SI"/>
        </w:rPr>
        <w:t>20</w:t>
      </w:r>
    </w:p>
    <w:p w14:paraId="7E0207E4" w14:textId="4E0A7DD3" w:rsidR="0016539A" w:rsidRDefault="008E1817">
      <w:pPr>
        <w:pStyle w:val="a3"/>
        <w:jc w:val="center"/>
        <w:rPr>
          <w:b/>
          <w:lang w:val="sl-SI"/>
        </w:rPr>
      </w:pPr>
      <w:r>
        <w:rPr>
          <w:rFonts w:eastAsia="Times New Roman"/>
          <w:b/>
          <w:bCs/>
          <w:lang w:val="sl-SI"/>
        </w:rPr>
        <w:t>Delež bolnikov</w:t>
      </w:r>
      <w:r>
        <w:rPr>
          <w:rFonts w:eastAsia="Times New Roman"/>
          <w:b/>
          <w:bCs/>
          <w:vertAlign w:val="superscript"/>
          <w:lang w:val="sl-SI"/>
        </w:rPr>
        <w:t>a</w:t>
      </w:r>
      <w:r>
        <w:rPr>
          <w:rFonts w:eastAsia="Times New Roman"/>
          <w:b/>
          <w:bCs/>
          <w:lang w:val="sl-SI"/>
        </w:rPr>
        <w:t>, ki so dosegli klinični odziv (HiSCR)</w:t>
      </w:r>
      <w:r>
        <w:rPr>
          <w:rFonts w:eastAsia="Times New Roman"/>
          <w:b/>
          <w:bCs/>
          <w:vertAlign w:val="superscript"/>
          <w:lang w:val="sl-SI"/>
        </w:rPr>
        <w:t>b</w:t>
      </w:r>
      <w:r>
        <w:rPr>
          <w:rFonts w:eastAsia="Times New Roman"/>
          <w:b/>
          <w:bCs/>
          <w:lang w:val="sl-SI"/>
        </w:rPr>
        <w:t xml:space="preserve"> v 24. in 36. tednu po spremembi zdravljenja na jemanje adalimumaba vsak teden v 12. tednu</w:t>
      </w:r>
    </w:p>
    <w:tbl>
      <w:tblPr>
        <w:tblStyle w:val="TableNormal1"/>
        <w:tblW w:w="8761" w:type="dxa"/>
        <w:jc w:val="center"/>
        <w:tblLayout w:type="fixed"/>
        <w:tblLook w:val="01E0" w:firstRow="1" w:lastRow="1" w:firstColumn="1" w:lastColumn="1" w:noHBand="0" w:noVBand="0"/>
      </w:tblPr>
      <w:tblGrid>
        <w:gridCol w:w="1737"/>
        <w:gridCol w:w="2391"/>
        <w:gridCol w:w="2391"/>
        <w:gridCol w:w="2242"/>
      </w:tblGrid>
      <w:tr w:rsidR="00E04C8A" w14:paraId="41EFCC91" w14:textId="77777777" w:rsidTr="001452D7">
        <w:trPr>
          <w:trHeight w:val="360"/>
          <w:jc w:val="center"/>
        </w:trPr>
        <w:tc>
          <w:tcPr>
            <w:tcW w:w="1737" w:type="dxa"/>
            <w:tcBorders>
              <w:top w:val="single" w:sz="5" w:space="0" w:color="000000"/>
              <w:left w:val="single" w:sz="5" w:space="0" w:color="000000"/>
              <w:bottom w:val="single" w:sz="5" w:space="0" w:color="000000"/>
              <w:right w:val="single" w:sz="5" w:space="0" w:color="000000"/>
            </w:tcBorders>
          </w:tcPr>
          <w:p w14:paraId="7834CAE7" w14:textId="77777777" w:rsidR="00E04C8A" w:rsidRDefault="00E04C8A">
            <w:pPr>
              <w:rPr>
                <w:lang w:val="sl-SI"/>
              </w:rPr>
            </w:pPr>
          </w:p>
        </w:tc>
        <w:tc>
          <w:tcPr>
            <w:tcW w:w="2391" w:type="dxa"/>
            <w:tcBorders>
              <w:top w:val="single" w:sz="5" w:space="0" w:color="000000"/>
              <w:left w:val="single" w:sz="5" w:space="0" w:color="000000"/>
              <w:bottom w:val="single" w:sz="5" w:space="0" w:color="000000"/>
              <w:right w:val="single" w:sz="5" w:space="0" w:color="000000"/>
            </w:tcBorders>
          </w:tcPr>
          <w:p w14:paraId="159D564D" w14:textId="77777777" w:rsidR="002062E3" w:rsidRDefault="008E1817" w:rsidP="001452D7">
            <w:pPr>
              <w:pStyle w:val="TableParagraph"/>
              <w:spacing w:before="37" w:line="240" w:lineRule="exact"/>
              <w:ind w:rightChars="8" w:right="18"/>
              <w:jc w:val="center"/>
              <w:rPr>
                <w:rFonts w:ascii="Times New Roman" w:eastAsia="Times New Roman" w:hAnsi="Times New Roman" w:cs="Times New Roman"/>
                <w:b/>
                <w:bCs/>
                <w:lang w:val="sl-SI"/>
              </w:rPr>
            </w:pPr>
            <w:r>
              <w:rPr>
                <w:rFonts w:ascii="Times New Roman" w:eastAsia="Times New Roman" w:hAnsi="Times New Roman" w:cs="Times New Roman"/>
                <w:b/>
                <w:bCs/>
                <w:lang w:val="sl-SI"/>
              </w:rPr>
              <w:t xml:space="preserve">Placebo (ukinitev zdravljenja) </w:t>
            </w:r>
          </w:p>
          <w:p w14:paraId="1C58FDCD" w14:textId="3BB7CF6D" w:rsidR="00E04C8A" w:rsidRDefault="008E1817" w:rsidP="001452D7">
            <w:pPr>
              <w:pStyle w:val="TableParagraph"/>
              <w:spacing w:before="37" w:line="240" w:lineRule="exact"/>
              <w:ind w:rightChars="8" w:right="18"/>
              <w:jc w:val="center"/>
              <w:rPr>
                <w:rFonts w:ascii="Times New Roman" w:eastAsia="Times New Roman" w:hAnsi="Times New Roman" w:cs="Times New Roman"/>
                <w:lang w:val="sl-SI"/>
              </w:rPr>
            </w:pPr>
            <w:r>
              <w:rPr>
                <w:rFonts w:ascii="Times New Roman" w:eastAsia="Times New Roman" w:hAnsi="Times New Roman" w:cs="Times New Roman"/>
                <w:b/>
                <w:bCs/>
                <w:lang w:val="sl-SI"/>
              </w:rPr>
              <w:t>N = 73</w:t>
            </w:r>
          </w:p>
        </w:tc>
        <w:tc>
          <w:tcPr>
            <w:tcW w:w="2391" w:type="dxa"/>
            <w:tcBorders>
              <w:top w:val="single" w:sz="5" w:space="0" w:color="000000"/>
              <w:left w:val="single" w:sz="5" w:space="0" w:color="000000"/>
              <w:bottom w:val="single" w:sz="5" w:space="0" w:color="000000"/>
              <w:right w:val="single" w:sz="5" w:space="0" w:color="000000"/>
            </w:tcBorders>
          </w:tcPr>
          <w:p w14:paraId="1D0D5AF2" w14:textId="77777777" w:rsidR="00E04C8A" w:rsidRDefault="008E1817" w:rsidP="001452D7">
            <w:pPr>
              <w:pStyle w:val="TableParagraph"/>
              <w:spacing w:line="240" w:lineRule="exact"/>
              <w:ind w:rightChars="81" w:right="178"/>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 xml:space="preserve">Adalimumab 40 mg vsak drugi teden </w:t>
            </w:r>
            <w:r>
              <w:rPr>
                <w:rFonts w:ascii="Times New Roman" w:eastAsia="Times New Roman" w:hAnsi="Times New Roman" w:cs="Times New Roman"/>
                <w:b/>
                <w:bCs/>
                <w:spacing w:val="-1"/>
                <w:lang w:val="sl-SI"/>
              </w:rPr>
              <w:br/>
              <w:t>N = 70</w:t>
            </w:r>
          </w:p>
        </w:tc>
        <w:tc>
          <w:tcPr>
            <w:tcW w:w="2240" w:type="dxa"/>
            <w:tcBorders>
              <w:top w:val="single" w:sz="5" w:space="0" w:color="000000"/>
              <w:left w:val="single" w:sz="5" w:space="0" w:color="000000"/>
              <w:bottom w:val="single" w:sz="5" w:space="0" w:color="000000"/>
              <w:right w:val="single" w:sz="5" w:space="0" w:color="000000"/>
            </w:tcBorders>
          </w:tcPr>
          <w:p w14:paraId="2466B59B" w14:textId="77777777" w:rsidR="00E04C8A" w:rsidRDefault="008E1817" w:rsidP="001452D7">
            <w:pPr>
              <w:pStyle w:val="TableParagraph"/>
              <w:spacing w:line="240" w:lineRule="exact"/>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Adalimumab 40 mg vsak teden</w:t>
            </w:r>
          </w:p>
          <w:p w14:paraId="1351BDEC" w14:textId="77777777" w:rsidR="00E04C8A" w:rsidRDefault="008E1817" w:rsidP="001452D7">
            <w:pPr>
              <w:pStyle w:val="TableParagraph"/>
              <w:spacing w:line="240" w:lineRule="exact"/>
              <w:jc w:val="center"/>
              <w:rPr>
                <w:rFonts w:ascii="Times New Roman" w:eastAsia="Times New Roman" w:hAnsi="Times New Roman" w:cs="Times New Roman"/>
                <w:lang w:val="sl-SI"/>
              </w:rPr>
            </w:pPr>
            <w:r>
              <w:rPr>
                <w:rFonts w:ascii="Times New Roman" w:eastAsia="Times New Roman" w:hAnsi="Times New Roman" w:cs="Times New Roman"/>
                <w:b/>
                <w:bCs/>
                <w:lang w:val="sl-SI"/>
              </w:rPr>
              <w:t>N = 70</w:t>
            </w:r>
          </w:p>
        </w:tc>
      </w:tr>
      <w:tr w:rsidR="00E04C8A" w14:paraId="059D0914" w14:textId="77777777" w:rsidTr="001452D7">
        <w:trPr>
          <w:trHeight w:val="101"/>
          <w:jc w:val="center"/>
        </w:trPr>
        <w:tc>
          <w:tcPr>
            <w:tcW w:w="1737" w:type="dxa"/>
            <w:tcBorders>
              <w:top w:val="single" w:sz="5" w:space="0" w:color="000000"/>
              <w:left w:val="single" w:sz="5" w:space="0" w:color="000000"/>
              <w:bottom w:val="single" w:sz="5" w:space="0" w:color="000000"/>
              <w:right w:val="single" w:sz="5" w:space="0" w:color="000000"/>
            </w:tcBorders>
          </w:tcPr>
          <w:p w14:paraId="2787BB9B" w14:textId="77777777" w:rsidR="00E04C8A" w:rsidRDefault="008E1817">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24. teden</w:t>
            </w:r>
          </w:p>
        </w:tc>
        <w:tc>
          <w:tcPr>
            <w:tcW w:w="2391" w:type="dxa"/>
            <w:tcBorders>
              <w:top w:val="single" w:sz="5" w:space="0" w:color="000000"/>
              <w:left w:val="single" w:sz="5" w:space="0" w:color="000000"/>
              <w:bottom w:val="single" w:sz="5" w:space="0" w:color="000000"/>
              <w:right w:val="single" w:sz="5" w:space="0" w:color="000000"/>
            </w:tcBorders>
          </w:tcPr>
          <w:p w14:paraId="1D34F67D" w14:textId="77777777" w:rsidR="00E04C8A" w:rsidRDefault="008E1817" w:rsidP="001452D7">
            <w:pPr>
              <w:pStyle w:val="TableParagraph"/>
              <w:spacing w:before="24"/>
              <w:ind w:rightChars="8" w:right="18"/>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24 (32,9 %)</w:t>
            </w:r>
          </w:p>
        </w:tc>
        <w:tc>
          <w:tcPr>
            <w:tcW w:w="2391" w:type="dxa"/>
            <w:tcBorders>
              <w:top w:val="single" w:sz="5" w:space="0" w:color="000000"/>
              <w:left w:val="single" w:sz="5" w:space="0" w:color="000000"/>
              <w:bottom w:val="single" w:sz="5" w:space="0" w:color="000000"/>
              <w:right w:val="single" w:sz="5" w:space="0" w:color="000000"/>
            </w:tcBorders>
          </w:tcPr>
          <w:p w14:paraId="13E0D056" w14:textId="77777777" w:rsidR="00E04C8A" w:rsidRDefault="008E1817" w:rsidP="001452D7">
            <w:pPr>
              <w:pStyle w:val="TableParagraph"/>
              <w:spacing w:before="24"/>
              <w:ind w:rightChars="81" w:right="178"/>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36 (51,4 %)</w:t>
            </w:r>
          </w:p>
        </w:tc>
        <w:tc>
          <w:tcPr>
            <w:tcW w:w="2240" w:type="dxa"/>
            <w:tcBorders>
              <w:top w:val="single" w:sz="5" w:space="0" w:color="000000"/>
              <w:left w:val="single" w:sz="5" w:space="0" w:color="000000"/>
              <w:bottom w:val="single" w:sz="5" w:space="0" w:color="000000"/>
              <w:right w:val="single" w:sz="5" w:space="0" w:color="000000"/>
            </w:tcBorders>
          </w:tcPr>
          <w:p w14:paraId="32A52C30" w14:textId="77777777" w:rsidR="00E04C8A" w:rsidRDefault="008E1817" w:rsidP="001452D7">
            <w:pPr>
              <w:pStyle w:val="TableParagraph"/>
              <w:spacing w:before="24"/>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40 (57,1 %)</w:t>
            </w:r>
          </w:p>
        </w:tc>
      </w:tr>
      <w:tr w:rsidR="00E04C8A" w14:paraId="12328562" w14:textId="77777777" w:rsidTr="001452D7">
        <w:trPr>
          <w:trHeight w:val="101"/>
          <w:jc w:val="center"/>
        </w:trPr>
        <w:tc>
          <w:tcPr>
            <w:tcW w:w="1737" w:type="dxa"/>
            <w:tcBorders>
              <w:top w:val="single" w:sz="5" w:space="0" w:color="000000"/>
              <w:left w:val="single" w:sz="5" w:space="0" w:color="000000"/>
              <w:bottom w:val="single" w:sz="5" w:space="0" w:color="000000"/>
              <w:right w:val="single" w:sz="5" w:space="0" w:color="000000"/>
            </w:tcBorders>
          </w:tcPr>
          <w:p w14:paraId="7471FD5C" w14:textId="77777777" w:rsidR="00E04C8A" w:rsidRDefault="008E1817">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lang w:val="sl-SI"/>
              </w:rPr>
              <w:t>36. teden</w:t>
            </w:r>
          </w:p>
        </w:tc>
        <w:tc>
          <w:tcPr>
            <w:tcW w:w="2391" w:type="dxa"/>
            <w:tcBorders>
              <w:top w:val="single" w:sz="5" w:space="0" w:color="000000"/>
              <w:left w:val="single" w:sz="5" w:space="0" w:color="000000"/>
              <w:bottom w:val="single" w:sz="5" w:space="0" w:color="000000"/>
              <w:right w:val="single" w:sz="5" w:space="0" w:color="000000"/>
            </w:tcBorders>
          </w:tcPr>
          <w:p w14:paraId="54119BFF" w14:textId="77777777" w:rsidR="00E04C8A" w:rsidRDefault="008E1817" w:rsidP="001452D7">
            <w:pPr>
              <w:pStyle w:val="TableParagraph"/>
              <w:spacing w:before="24"/>
              <w:ind w:rightChars="8" w:right="18"/>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22 (30,1 %)</w:t>
            </w:r>
          </w:p>
        </w:tc>
        <w:tc>
          <w:tcPr>
            <w:tcW w:w="2391" w:type="dxa"/>
            <w:tcBorders>
              <w:top w:val="single" w:sz="5" w:space="0" w:color="000000"/>
              <w:left w:val="single" w:sz="5" w:space="0" w:color="000000"/>
              <w:bottom w:val="single" w:sz="5" w:space="0" w:color="000000"/>
              <w:right w:val="single" w:sz="5" w:space="0" w:color="000000"/>
            </w:tcBorders>
          </w:tcPr>
          <w:p w14:paraId="429A5CEE" w14:textId="77777777" w:rsidR="00E04C8A" w:rsidRDefault="008E1817" w:rsidP="001452D7">
            <w:pPr>
              <w:pStyle w:val="TableParagraph"/>
              <w:spacing w:before="24"/>
              <w:ind w:rightChars="81" w:right="178"/>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28 (40,0 %)</w:t>
            </w:r>
          </w:p>
        </w:tc>
        <w:tc>
          <w:tcPr>
            <w:tcW w:w="2240" w:type="dxa"/>
            <w:tcBorders>
              <w:top w:val="single" w:sz="5" w:space="0" w:color="000000"/>
              <w:left w:val="single" w:sz="5" w:space="0" w:color="000000"/>
              <w:bottom w:val="single" w:sz="5" w:space="0" w:color="000000"/>
              <w:right w:val="single" w:sz="5" w:space="0" w:color="000000"/>
            </w:tcBorders>
          </w:tcPr>
          <w:p w14:paraId="36EBE164" w14:textId="77777777" w:rsidR="00E04C8A" w:rsidRDefault="008E1817" w:rsidP="001452D7">
            <w:pPr>
              <w:pStyle w:val="TableParagraph"/>
              <w:spacing w:before="24"/>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39 (55,7 %)</w:t>
            </w:r>
          </w:p>
        </w:tc>
      </w:tr>
      <w:tr w:rsidR="00E04C8A" w:rsidRPr="00652F18" w14:paraId="25BB0E22" w14:textId="77777777" w:rsidTr="001452D7">
        <w:trPr>
          <w:trHeight w:val="462"/>
          <w:jc w:val="center"/>
        </w:trPr>
        <w:tc>
          <w:tcPr>
            <w:tcW w:w="8761" w:type="dxa"/>
            <w:gridSpan w:val="4"/>
            <w:tcBorders>
              <w:top w:val="single" w:sz="5" w:space="0" w:color="000000"/>
              <w:left w:val="single" w:sz="5" w:space="0" w:color="000000"/>
              <w:bottom w:val="single" w:sz="5" w:space="0" w:color="000000"/>
              <w:right w:val="single" w:sz="5" w:space="0" w:color="000000"/>
            </w:tcBorders>
          </w:tcPr>
          <w:p w14:paraId="3733C217" w14:textId="77777777" w:rsidR="00E04C8A" w:rsidRDefault="008E1817">
            <w:pPr>
              <w:pStyle w:val="a4"/>
              <w:numPr>
                <w:ilvl w:val="0"/>
                <w:numId w:val="10"/>
              </w:numPr>
              <w:tabs>
                <w:tab w:val="left" w:pos="344"/>
              </w:tabs>
              <w:spacing w:before="39" w:line="240" w:lineRule="exact"/>
              <w:ind w:left="344" w:right="494"/>
              <w:rPr>
                <w:rFonts w:ascii="Times New Roman" w:eastAsia="Times New Roman" w:hAnsi="Times New Roman" w:cs="Times New Roman"/>
                <w:lang w:val="sl-SI"/>
              </w:rPr>
            </w:pPr>
            <w:r>
              <w:rPr>
                <w:rFonts w:ascii="Times New Roman" w:eastAsia="Times New Roman" w:hAnsi="Times New Roman" w:cs="Times New Roman"/>
                <w:spacing w:val="-1"/>
                <w:lang w:val="sl-SI"/>
              </w:rPr>
              <w:t>Bolniki z vsaj delnim odzivom na odmerek 40 mg adalimumaba po 12 tednih zdravljenja.</w:t>
            </w:r>
          </w:p>
          <w:p w14:paraId="57A9BCC1" w14:textId="77777777" w:rsidR="00E04C8A" w:rsidRDefault="008E1817">
            <w:pPr>
              <w:pStyle w:val="a4"/>
              <w:numPr>
                <w:ilvl w:val="0"/>
                <w:numId w:val="10"/>
              </w:numPr>
              <w:tabs>
                <w:tab w:val="left" w:pos="344"/>
              </w:tabs>
              <w:spacing w:before="41" w:line="240" w:lineRule="exact"/>
              <w:ind w:left="344" w:right="814"/>
              <w:jc w:val="both"/>
              <w:rPr>
                <w:rFonts w:ascii="Times New Roman" w:eastAsia="Times New Roman" w:hAnsi="Times New Roman" w:cs="Times New Roman"/>
                <w:lang w:val="sl-SI"/>
              </w:rPr>
            </w:pPr>
            <w:r>
              <w:rPr>
                <w:rFonts w:ascii="Times New Roman" w:eastAsia="Times New Roman" w:hAnsi="Times New Roman" w:cs="Times New Roman"/>
                <w:spacing w:val="-1"/>
                <w:lang w:val="sl-SI"/>
              </w:rPr>
              <w:t>Bolniki, ki izpolnjujejo merila, določena v protokolu za izgubo odziva ali brez izboljšanja, so bili izključeni iz študij in so še šteli pod bolnike brez odziva (“nonresponders”).</w:t>
            </w:r>
          </w:p>
        </w:tc>
      </w:tr>
    </w:tbl>
    <w:p w14:paraId="1419F5E9" w14:textId="77777777" w:rsidR="00E04C8A" w:rsidRDefault="00E04C8A">
      <w:pPr>
        <w:pStyle w:val="a3"/>
        <w:rPr>
          <w:spacing w:val="1"/>
          <w:lang w:val="sl-SI"/>
        </w:rPr>
      </w:pPr>
    </w:p>
    <w:p w14:paraId="42FBB107" w14:textId="77777777" w:rsidR="00E04C8A" w:rsidRDefault="008E1817">
      <w:pPr>
        <w:pStyle w:val="a3"/>
        <w:rPr>
          <w:lang w:val="sl-SI"/>
        </w:rPr>
      </w:pPr>
      <w:r>
        <w:rPr>
          <w:rFonts w:eastAsia="Times New Roman"/>
          <w:spacing w:val="1"/>
          <w:lang w:val="sl-SI"/>
        </w:rPr>
        <w:t>Pri bolnikih z vsaj delnim odzivom na adalimumab v v 12. tednu, ki so prejemali neprekinjeno tedensko terapijo z adalimumabom vsak teden, je bila stopnja kliničnega odziva (HiSCR) v 48. tednu 68,3 %. v 96. tednu pa 65,1 %. Dolgotrajno zdravljenje z adalimumabom 40 mg na teden, ki je trajalo 96 tednov, ni dalo nobenih novih ugotovitev o varnosti.</w:t>
      </w:r>
    </w:p>
    <w:p w14:paraId="4CC33B06" w14:textId="77777777" w:rsidR="00E04C8A" w:rsidRDefault="00E04C8A">
      <w:pPr>
        <w:pStyle w:val="a3"/>
        <w:rPr>
          <w:sz w:val="24"/>
          <w:szCs w:val="24"/>
          <w:lang w:val="sl-SI"/>
        </w:rPr>
      </w:pPr>
    </w:p>
    <w:p w14:paraId="78BC3B14" w14:textId="77777777" w:rsidR="00E04C8A" w:rsidRDefault="008E1817">
      <w:pPr>
        <w:pStyle w:val="a3"/>
        <w:rPr>
          <w:lang w:val="sl-SI"/>
        </w:rPr>
      </w:pPr>
      <w:r>
        <w:rPr>
          <w:rFonts w:eastAsia="Times New Roman"/>
          <w:spacing w:val="1"/>
          <w:lang w:val="sl-SI"/>
        </w:rPr>
        <w:t>Med bolniki, pri katerih je bilo zdravljenje z adalimumabom ukinjeno v 12. tednu v študijah HS-I in HS-II, se je po ponovni uvedbi adalimumaba 40 mg enkrat na teden raven kliničnega odziva (HiSCR) vrnila na podobno raven, kot so jo opazili pred ukinitvijo (56,0 %).</w:t>
      </w:r>
    </w:p>
    <w:p w14:paraId="1C1D8CC7" w14:textId="77777777" w:rsidR="00E04C8A" w:rsidRDefault="00E04C8A">
      <w:pPr>
        <w:pStyle w:val="a3"/>
        <w:rPr>
          <w:sz w:val="24"/>
          <w:szCs w:val="24"/>
          <w:lang w:val="sl-SI"/>
        </w:rPr>
      </w:pPr>
    </w:p>
    <w:p w14:paraId="34AE5FF9" w14:textId="77777777" w:rsidR="00E04C8A" w:rsidRDefault="008E1817">
      <w:pPr>
        <w:pStyle w:val="a3"/>
        <w:rPr>
          <w:rFonts w:eastAsia="Times New Roman"/>
          <w:lang w:val="sl-SI"/>
        </w:rPr>
      </w:pPr>
      <w:r>
        <w:rPr>
          <w:rFonts w:eastAsia="Times New Roman"/>
          <w:i/>
          <w:iCs/>
          <w:spacing w:val="-1"/>
          <w:lang w:val="sl-SI"/>
        </w:rPr>
        <w:t>Crohnova bolezen</w:t>
      </w:r>
    </w:p>
    <w:p w14:paraId="20A49758" w14:textId="77777777" w:rsidR="00E04C8A" w:rsidRDefault="00E04C8A">
      <w:pPr>
        <w:pStyle w:val="a3"/>
        <w:rPr>
          <w:sz w:val="24"/>
          <w:szCs w:val="24"/>
          <w:lang w:val="sl-SI"/>
        </w:rPr>
      </w:pPr>
    </w:p>
    <w:p w14:paraId="654ED42C" w14:textId="77777777" w:rsidR="00E04C8A" w:rsidRDefault="008E1817">
      <w:pPr>
        <w:pStyle w:val="a3"/>
        <w:rPr>
          <w:lang w:val="sl-SI"/>
        </w:rPr>
      </w:pPr>
      <w:r>
        <w:rPr>
          <w:rFonts w:eastAsia="Times New Roman"/>
          <w:lang w:val="sl-SI"/>
        </w:rPr>
        <w:t xml:space="preserve">Varnost in učinkovitost adalimumaba so ocenili pri več kot 1500 bolnikih z zmerno do zelo aktivno Crohnovo boleznijo (indeks aktivnosti Crohnove bolezni [CDAI]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 xml:space="preserve"> 220 in </w:t>
      </w:r>
      <w:r>
        <w:rPr>
          <w:rFonts w:ascii="Symbol" w:eastAsia="Symbol" w:hAnsi="Symbol" w:cs="Symbol"/>
          <w:lang w:val="sl-SI"/>
        </w:rPr>
        <w:sym w:font="Symbol" w:char="F0A3"/>
      </w:r>
      <w:r>
        <w:rPr>
          <w:rFonts w:ascii="Symbol" w:eastAsia="Symbol" w:hAnsi="Symbol" w:cs="Symbol"/>
          <w:lang w:val="sl-SI"/>
        </w:rPr>
        <w:sym w:font="Symbol" w:char="F020"/>
      </w:r>
      <w:r>
        <w:rPr>
          <w:rFonts w:eastAsia="Times New Roman"/>
          <w:lang w:val="sl-SI"/>
        </w:rPr>
        <w:t xml:space="preserve"> 450) v randomiziranih, dvojno slepih, s placebom kontroliranih študijah. Dovoljena je bila sočasna uporaba stabilnih odmerkov aminosalicilatov, kortikosteroidov in/ali imunomodulacijskih zdravil; 80 % bolnikov je še naprej prejemalo </w:t>
      </w:r>
      <w:r>
        <w:rPr>
          <w:rFonts w:eastAsia="Times New Roman"/>
          <w:lang w:val="sl-SI"/>
        </w:rPr>
        <w:lastRenderedPageBreak/>
        <w:t>vsaj eno od takšnih zdravil.</w:t>
      </w:r>
    </w:p>
    <w:p w14:paraId="1C2E8795" w14:textId="77777777" w:rsidR="00E04C8A" w:rsidRDefault="00E04C8A">
      <w:pPr>
        <w:pStyle w:val="a3"/>
        <w:rPr>
          <w:sz w:val="24"/>
          <w:szCs w:val="24"/>
          <w:lang w:val="sl-SI"/>
        </w:rPr>
      </w:pPr>
    </w:p>
    <w:p w14:paraId="401432AD" w14:textId="77777777" w:rsidR="00E04C8A" w:rsidRDefault="008E1817">
      <w:pPr>
        <w:pStyle w:val="a3"/>
        <w:rPr>
          <w:lang w:val="sl-SI"/>
        </w:rPr>
      </w:pPr>
      <w:r>
        <w:rPr>
          <w:rFonts w:eastAsia="Times New Roman"/>
          <w:lang w:val="sl-SI"/>
        </w:rPr>
        <w:t>Indukcijo klinične remisije (opredeljene kot CDAI &lt; 150) so ocenili v dveh študijah, študiji pri Crohnovi bolezni I (CLASSIC I) in študiji pri Crohnovi bolezni II (GAIN). V študiji pri Crohnovi bolezni I so 299 bolnikov, ki pred tem še niso dobivali antagonistov TNF, randomizirali v eno od štirih skupin: placebo 0. in 2. teden, 160 mg adalimumab 0. teden in 80 mg 2. teden, 80 mg 0. teden in 40 mg 2. teden oziroma 40 mg 0. teden in 20 mg 2. teden. V študiji pri Crohnovi bolezni II so 325 bolnikov, ki so se nehali odzivati na infliksimab ali ga niso prenesli, randomizirali bodisi na 160 mg adalimumaba 0. teden in 80 mg 2. teden bodisi na placebo 0. in 2. teden. Študija ni vključila primarno neodzivnih bolnikov in ti tako niso bili dodatno ocenjeni.</w:t>
      </w:r>
    </w:p>
    <w:p w14:paraId="61E8DEA1" w14:textId="77777777" w:rsidR="00E04C8A" w:rsidRDefault="00E04C8A">
      <w:pPr>
        <w:pStyle w:val="a3"/>
        <w:rPr>
          <w:sz w:val="24"/>
          <w:szCs w:val="24"/>
          <w:lang w:val="sl-SI"/>
        </w:rPr>
      </w:pPr>
    </w:p>
    <w:p w14:paraId="3DB1A0C7" w14:textId="709F1D4F" w:rsidR="00E04C8A" w:rsidRDefault="008E1817">
      <w:pPr>
        <w:pStyle w:val="a3"/>
        <w:rPr>
          <w:lang w:val="sl-SI"/>
        </w:rPr>
      </w:pPr>
      <w:r>
        <w:rPr>
          <w:rFonts w:eastAsia="Times New Roman"/>
          <w:lang w:val="sl-SI"/>
        </w:rPr>
        <w:t>Vzdrževanje klinične remisije je ocenjevala študija pri Crohnovi bolezni III (CHARM). V študiji pri Crohnovi bolezni III je 854 bolnikov po odprtem protokolu dobilo 80 mg 0. teden in 40 mg 2 teden. Na 4. teden so bolnike randomizirali na 40 mg vsak drugi teden, 40 mg vsak teden ali placebo; v celoti je študija trajala 56 tednov. Bolnike s kliničnim odzivom (znižanje CDAI ≥ 70) 4. teden so stratificirali in analizirali ločeno od bolnikov brez kliničnega odziva 4. teden. Po 8. tednu je bilo dovoljeno postopno zmanjševanje kortikosteroida.</w:t>
      </w:r>
    </w:p>
    <w:p w14:paraId="6271C769" w14:textId="77777777" w:rsidR="00E04C8A" w:rsidRDefault="00E04C8A">
      <w:pPr>
        <w:spacing w:before="11" w:line="240" w:lineRule="exact"/>
        <w:rPr>
          <w:sz w:val="24"/>
          <w:szCs w:val="24"/>
          <w:lang w:val="sl-SI"/>
        </w:rPr>
      </w:pPr>
    </w:p>
    <w:p w14:paraId="41FBEE2C" w14:textId="6274D788" w:rsidR="00E04C8A" w:rsidRDefault="008E1817">
      <w:pPr>
        <w:pStyle w:val="a3"/>
        <w:rPr>
          <w:lang w:val="sl-SI"/>
        </w:rPr>
      </w:pPr>
      <w:r>
        <w:rPr>
          <w:rFonts w:eastAsia="Times New Roman"/>
          <w:lang w:val="sl-SI"/>
        </w:rPr>
        <w:t>Indukcijo remisije in deleže odziva v študiji pri Crohnovi bolezni I in študiji pri Crohnovi bolezni II prikazuje preglednica </w:t>
      </w:r>
      <w:r w:rsidR="001B1C67">
        <w:rPr>
          <w:rFonts w:eastAsia="Times New Roman"/>
          <w:lang w:val="sl-SI"/>
        </w:rPr>
        <w:t>21</w:t>
      </w:r>
      <w:r>
        <w:rPr>
          <w:rFonts w:eastAsia="Times New Roman"/>
          <w:lang w:val="sl-SI"/>
        </w:rPr>
        <w:t>.</w:t>
      </w:r>
    </w:p>
    <w:p w14:paraId="78ECDE74" w14:textId="77777777" w:rsidR="00E04C8A" w:rsidRDefault="00E04C8A">
      <w:pPr>
        <w:pStyle w:val="a3"/>
        <w:jc w:val="center"/>
        <w:rPr>
          <w:b/>
          <w:lang w:val="sl-SI"/>
        </w:rPr>
      </w:pPr>
    </w:p>
    <w:p w14:paraId="321F0B7E" w14:textId="377D6A8D" w:rsidR="00E04C8A" w:rsidRDefault="008E1817">
      <w:pPr>
        <w:pStyle w:val="a3"/>
        <w:jc w:val="center"/>
        <w:rPr>
          <w:b/>
          <w:lang w:val="sl-SI"/>
        </w:rPr>
      </w:pPr>
      <w:r>
        <w:rPr>
          <w:rFonts w:eastAsia="Times New Roman"/>
          <w:b/>
          <w:bCs/>
          <w:lang w:val="sl-SI"/>
        </w:rPr>
        <w:t>Preglednica </w:t>
      </w:r>
      <w:r w:rsidR="001B1C67">
        <w:rPr>
          <w:rFonts w:eastAsia="Times New Roman"/>
          <w:b/>
          <w:bCs/>
          <w:lang w:val="sl-SI"/>
        </w:rPr>
        <w:t>21</w:t>
      </w:r>
    </w:p>
    <w:p w14:paraId="6C08A448" w14:textId="1E88B9E5" w:rsidR="00E04C8A" w:rsidRDefault="008E1817">
      <w:pPr>
        <w:pStyle w:val="a3"/>
        <w:jc w:val="center"/>
        <w:rPr>
          <w:rFonts w:eastAsia="Times New Roman"/>
          <w:b/>
          <w:bCs/>
          <w:lang w:val="sl-SI"/>
        </w:rPr>
      </w:pPr>
      <w:r>
        <w:rPr>
          <w:rFonts w:eastAsia="Times New Roman"/>
          <w:b/>
          <w:bCs/>
          <w:lang w:val="sl-SI"/>
        </w:rPr>
        <w:t>Indukcija klinične remisije in odziva (odstotek bolnikov)</w:t>
      </w:r>
    </w:p>
    <w:p w14:paraId="7E503C23" w14:textId="77777777" w:rsidR="0016539A" w:rsidRDefault="0016539A">
      <w:pPr>
        <w:pStyle w:val="a3"/>
        <w:jc w:val="center"/>
        <w:rPr>
          <w:b/>
          <w:lang w:val="sl-SI"/>
        </w:rPr>
      </w:pPr>
    </w:p>
    <w:p w14:paraId="22935140" w14:textId="77777777" w:rsidR="00E04C8A" w:rsidRDefault="00E04C8A">
      <w:pPr>
        <w:spacing w:before="3" w:line="10" w:lineRule="exact"/>
        <w:rPr>
          <w:sz w:val="4"/>
          <w:szCs w:val="4"/>
          <w:lang w:val="sl-SI"/>
        </w:rPr>
      </w:pPr>
    </w:p>
    <w:tbl>
      <w:tblPr>
        <w:tblStyle w:val="TableNormal1"/>
        <w:tblW w:w="9492" w:type="dxa"/>
        <w:tblLayout w:type="fixed"/>
        <w:tblLook w:val="01E0" w:firstRow="1" w:lastRow="1" w:firstColumn="1" w:lastColumn="1" w:noHBand="0" w:noVBand="0"/>
      </w:tblPr>
      <w:tblGrid>
        <w:gridCol w:w="2311"/>
        <w:gridCol w:w="1085"/>
        <w:gridCol w:w="1356"/>
        <w:gridCol w:w="1338"/>
        <w:gridCol w:w="1559"/>
        <w:gridCol w:w="1843"/>
      </w:tblGrid>
      <w:tr w:rsidR="00E04C8A" w:rsidRPr="00652F18" w14:paraId="3728223C" w14:textId="77777777" w:rsidTr="001452D7">
        <w:tc>
          <w:tcPr>
            <w:tcW w:w="2311" w:type="dxa"/>
            <w:tcBorders>
              <w:top w:val="single" w:sz="5" w:space="0" w:color="000000"/>
              <w:left w:val="single" w:sz="5" w:space="0" w:color="000000"/>
              <w:bottom w:val="single" w:sz="5" w:space="0" w:color="000000"/>
              <w:right w:val="single" w:sz="5" w:space="0" w:color="000000"/>
            </w:tcBorders>
          </w:tcPr>
          <w:p w14:paraId="08A0B7BB" w14:textId="77777777" w:rsidR="00E04C8A" w:rsidRDefault="00E04C8A">
            <w:pPr>
              <w:rPr>
                <w:lang w:val="sl-SI"/>
              </w:rPr>
            </w:pPr>
          </w:p>
        </w:tc>
        <w:tc>
          <w:tcPr>
            <w:tcW w:w="3779" w:type="dxa"/>
            <w:gridSpan w:val="3"/>
            <w:tcBorders>
              <w:top w:val="single" w:sz="5" w:space="0" w:color="000000"/>
              <w:left w:val="single" w:sz="5" w:space="0" w:color="000000"/>
              <w:bottom w:val="single" w:sz="5" w:space="0" w:color="000000"/>
              <w:right w:val="single" w:sz="5" w:space="0" w:color="000000"/>
            </w:tcBorders>
          </w:tcPr>
          <w:p w14:paraId="18B52C3F" w14:textId="77777777" w:rsidR="00E04C8A" w:rsidRDefault="008E1817">
            <w:pPr>
              <w:pStyle w:val="TableParagraph"/>
              <w:spacing w:before="39" w:line="240" w:lineRule="exact"/>
              <w:ind w:left="102" w:right="15"/>
              <w:rPr>
                <w:rFonts w:ascii="Times New Roman" w:eastAsia="Times New Roman" w:hAnsi="Times New Roman" w:cs="Times New Roman"/>
                <w:lang w:val="sl-SI"/>
              </w:rPr>
            </w:pPr>
            <w:r>
              <w:rPr>
                <w:rFonts w:ascii="Times New Roman" w:eastAsia="Times New Roman" w:hAnsi="Times New Roman" w:cs="Times New Roman"/>
                <w:b/>
                <w:bCs/>
                <w:spacing w:val="-1"/>
                <w:lang w:val="sl-SI"/>
              </w:rPr>
              <w:t>Študija pri Crohnovi bolezni I: Bolniki, ki še niso dobivali infliksimaba</w:t>
            </w:r>
          </w:p>
        </w:tc>
        <w:tc>
          <w:tcPr>
            <w:tcW w:w="3402" w:type="dxa"/>
            <w:gridSpan w:val="2"/>
            <w:tcBorders>
              <w:top w:val="single" w:sz="5" w:space="0" w:color="000000"/>
              <w:left w:val="single" w:sz="5" w:space="0" w:color="000000"/>
              <w:bottom w:val="single" w:sz="5" w:space="0" w:color="000000"/>
              <w:right w:val="single" w:sz="5" w:space="0" w:color="000000"/>
            </w:tcBorders>
          </w:tcPr>
          <w:p w14:paraId="796F1FE9" w14:textId="77777777" w:rsidR="00E04C8A" w:rsidRDefault="008E1817">
            <w:pPr>
              <w:pStyle w:val="TableParagraph"/>
              <w:spacing w:before="39" w:line="240"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Študija pri Crohnovi bolezni II: Bolniki, ki so že dobivali infliksimab</w:t>
            </w:r>
          </w:p>
        </w:tc>
      </w:tr>
      <w:tr w:rsidR="00E04C8A" w14:paraId="04B08455" w14:textId="77777777" w:rsidTr="001452D7">
        <w:tc>
          <w:tcPr>
            <w:tcW w:w="2311" w:type="dxa"/>
            <w:tcBorders>
              <w:top w:val="single" w:sz="5" w:space="0" w:color="000000"/>
              <w:left w:val="single" w:sz="5" w:space="0" w:color="000000"/>
              <w:bottom w:val="single" w:sz="5" w:space="0" w:color="000000"/>
              <w:right w:val="single" w:sz="5" w:space="0" w:color="000000"/>
            </w:tcBorders>
          </w:tcPr>
          <w:p w14:paraId="19B6238D" w14:textId="77777777" w:rsidR="00E04C8A" w:rsidRDefault="00E04C8A">
            <w:pPr>
              <w:rPr>
                <w:lang w:val="sl-SI"/>
              </w:rPr>
            </w:pPr>
          </w:p>
        </w:tc>
        <w:tc>
          <w:tcPr>
            <w:tcW w:w="1085" w:type="dxa"/>
            <w:tcBorders>
              <w:top w:val="single" w:sz="5" w:space="0" w:color="000000"/>
              <w:left w:val="single" w:sz="5" w:space="0" w:color="000000"/>
              <w:bottom w:val="single" w:sz="5" w:space="0" w:color="000000"/>
              <w:right w:val="single" w:sz="5" w:space="0" w:color="000000"/>
            </w:tcBorders>
            <w:vAlign w:val="center"/>
          </w:tcPr>
          <w:p w14:paraId="3261BEDA" w14:textId="77777777" w:rsidR="00472D63" w:rsidRDefault="008E1817">
            <w:pPr>
              <w:pStyle w:val="TableParagraph"/>
              <w:spacing w:before="24" w:line="268" w:lineRule="auto"/>
              <w:ind w:firstLineChars="50" w:firstLine="110"/>
              <w:jc w:val="center"/>
              <w:rPr>
                <w:rFonts w:ascii="Times New Roman" w:eastAsia="Times New Roman" w:hAnsi="Times New Roman" w:cs="Times New Roman"/>
                <w:b/>
                <w:bCs/>
                <w:lang w:val="sl-SI"/>
              </w:rPr>
            </w:pPr>
            <w:r>
              <w:rPr>
                <w:rFonts w:ascii="Times New Roman" w:eastAsia="Times New Roman" w:hAnsi="Times New Roman" w:cs="Times New Roman"/>
                <w:b/>
                <w:bCs/>
                <w:lang w:val="sl-SI"/>
              </w:rPr>
              <w:t xml:space="preserve">Placebo </w:t>
            </w:r>
          </w:p>
          <w:p w14:paraId="7B7EA432" w14:textId="4F66B605" w:rsidR="00E04C8A" w:rsidRDefault="008E1817">
            <w:pPr>
              <w:pStyle w:val="TableParagraph"/>
              <w:spacing w:before="24" w:line="268" w:lineRule="auto"/>
              <w:ind w:firstLineChars="50" w:firstLine="110"/>
              <w:jc w:val="center"/>
              <w:rPr>
                <w:rFonts w:ascii="Times New Roman" w:eastAsia="Times New Roman" w:hAnsi="Times New Roman" w:cs="Times New Roman"/>
                <w:lang w:val="sl-SI"/>
              </w:rPr>
            </w:pPr>
            <w:r>
              <w:rPr>
                <w:rFonts w:ascii="Times New Roman" w:eastAsia="Times New Roman" w:hAnsi="Times New Roman" w:cs="Times New Roman"/>
                <w:b/>
                <w:bCs/>
                <w:lang w:val="sl-SI"/>
              </w:rPr>
              <w:t>N = 74</w:t>
            </w:r>
          </w:p>
        </w:tc>
        <w:tc>
          <w:tcPr>
            <w:tcW w:w="1356" w:type="dxa"/>
            <w:tcBorders>
              <w:top w:val="single" w:sz="5" w:space="0" w:color="000000"/>
              <w:left w:val="single" w:sz="5" w:space="0" w:color="000000"/>
              <w:bottom w:val="single" w:sz="5" w:space="0" w:color="000000"/>
              <w:right w:val="single" w:sz="5" w:space="0" w:color="000000"/>
            </w:tcBorders>
            <w:vAlign w:val="center"/>
          </w:tcPr>
          <w:p w14:paraId="446E1969" w14:textId="77777777" w:rsidR="00E04C8A" w:rsidRDefault="008E1817">
            <w:pPr>
              <w:pStyle w:val="TableParagraph"/>
              <w:spacing w:before="24" w:line="266" w:lineRule="auto"/>
              <w:ind w:hanging="4"/>
              <w:jc w:val="center"/>
              <w:rPr>
                <w:rFonts w:ascii="Times New Roman" w:eastAsia="Times New Roman" w:hAnsi="Times New Roman" w:cs="Times New Roman"/>
                <w:lang w:val="sl-SI"/>
              </w:rPr>
            </w:pPr>
            <w:r>
              <w:rPr>
                <w:rFonts w:ascii="Times New Roman" w:eastAsia="Times New Roman" w:hAnsi="Times New Roman" w:cs="Times New Roman"/>
                <w:b/>
                <w:bCs/>
                <w:lang w:val="sl-SI"/>
              </w:rPr>
              <w:t xml:space="preserve">Adalimumab 80/40 mg </w:t>
            </w:r>
            <w:r>
              <w:rPr>
                <w:rFonts w:ascii="Times New Roman" w:eastAsia="Times New Roman" w:hAnsi="Times New Roman" w:cs="Times New Roman"/>
                <w:b/>
                <w:bCs/>
                <w:lang w:val="sl-SI"/>
              </w:rPr>
              <w:br/>
              <w:t>N = 75</w:t>
            </w:r>
          </w:p>
        </w:tc>
        <w:tc>
          <w:tcPr>
            <w:tcW w:w="1338" w:type="dxa"/>
            <w:tcBorders>
              <w:top w:val="single" w:sz="5" w:space="0" w:color="000000"/>
              <w:left w:val="single" w:sz="5" w:space="0" w:color="000000"/>
              <w:bottom w:val="single" w:sz="5" w:space="0" w:color="000000"/>
              <w:right w:val="single" w:sz="5" w:space="0" w:color="000000"/>
            </w:tcBorders>
            <w:vAlign w:val="center"/>
          </w:tcPr>
          <w:p w14:paraId="67301312" w14:textId="77777777" w:rsidR="00472D63" w:rsidRDefault="008E1817">
            <w:pPr>
              <w:pStyle w:val="TableParagraph"/>
              <w:spacing w:before="24" w:line="248" w:lineRule="auto"/>
              <w:jc w:val="center"/>
              <w:rPr>
                <w:rFonts w:ascii="Times New Roman" w:eastAsia="Times New Roman" w:hAnsi="Times New Roman" w:cs="Times New Roman"/>
                <w:b/>
                <w:bCs/>
                <w:lang w:val="sl-SI"/>
              </w:rPr>
            </w:pPr>
            <w:r>
              <w:rPr>
                <w:rFonts w:ascii="Times New Roman" w:eastAsia="Times New Roman" w:hAnsi="Times New Roman" w:cs="Times New Roman"/>
                <w:b/>
                <w:bCs/>
                <w:lang w:val="sl-SI"/>
              </w:rPr>
              <w:t xml:space="preserve">Adalimumab 160/80 mg </w:t>
            </w:r>
          </w:p>
          <w:p w14:paraId="4ED1A5BD" w14:textId="6070EC8F" w:rsidR="00E04C8A" w:rsidRDefault="008E1817">
            <w:pPr>
              <w:pStyle w:val="TableParagraph"/>
              <w:spacing w:before="24" w:line="248" w:lineRule="auto"/>
              <w:jc w:val="center"/>
              <w:rPr>
                <w:rFonts w:ascii="Times New Roman" w:eastAsia="Times New Roman" w:hAnsi="Times New Roman" w:cs="Times New Roman"/>
                <w:lang w:val="sl-SI"/>
              </w:rPr>
            </w:pPr>
            <w:r>
              <w:rPr>
                <w:rFonts w:ascii="Times New Roman" w:eastAsia="Times New Roman" w:hAnsi="Times New Roman" w:cs="Times New Roman"/>
                <w:b/>
                <w:bCs/>
                <w:lang w:val="sl-SI"/>
              </w:rPr>
              <w:t>N = 76</w:t>
            </w:r>
          </w:p>
        </w:tc>
        <w:tc>
          <w:tcPr>
            <w:tcW w:w="1559" w:type="dxa"/>
            <w:tcBorders>
              <w:top w:val="single" w:sz="5" w:space="0" w:color="000000"/>
              <w:left w:val="single" w:sz="5" w:space="0" w:color="000000"/>
              <w:bottom w:val="single" w:sz="5" w:space="0" w:color="000000"/>
              <w:right w:val="single" w:sz="5" w:space="0" w:color="000000"/>
            </w:tcBorders>
            <w:vAlign w:val="center"/>
          </w:tcPr>
          <w:p w14:paraId="4F69FDE9" w14:textId="77777777" w:rsidR="00472D63" w:rsidRDefault="008E1817">
            <w:pPr>
              <w:pStyle w:val="TableParagraph"/>
              <w:spacing w:before="24" w:line="268" w:lineRule="auto"/>
              <w:jc w:val="center"/>
              <w:rPr>
                <w:rFonts w:ascii="Times New Roman" w:eastAsia="Times New Roman" w:hAnsi="Times New Roman" w:cs="Times New Roman"/>
                <w:b/>
                <w:bCs/>
                <w:lang w:val="sl-SI"/>
              </w:rPr>
            </w:pPr>
            <w:r>
              <w:rPr>
                <w:rFonts w:ascii="Times New Roman" w:eastAsia="Times New Roman" w:hAnsi="Times New Roman" w:cs="Times New Roman"/>
                <w:b/>
                <w:bCs/>
                <w:lang w:val="sl-SI"/>
              </w:rPr>
              <w:t xml:space="preserve">Placebo </w:t>
            </w:r>
          </w:p>
          <w:p w14:paraId="5BD02045" w14:textId="6D040CBF" w:rsidR="00E04C8A" w:rsidRDefault="008E1817">
            <w:pPr>
              <w:pStyle w:val="TableParagraph"/>
              <w:spacing w:before="24" w:line="268" w:lineRule="auto"/>
              <w:jc w:val="center"/>
              <w:rPr>
                <w:rFonts w:ascii="Times New Roman" w:eastAsia="Times New Roman" w:hAnsi="Times New Roman" w:cs="Times New Roman"/>
                <w:lang w:val="sl-SI"/>
              </w:rPr>
            </w:pPr>
            <w:r>
              <w:rPr>
                <w:rFonts w:ascii="Times New Roman" w:eastAsia="Times New Roman" w:hAnsi="Times New Roman" w:cs="Times New Roman"/>
                <w:b/>
                <w:bCs/>
                <w:lang w:val="sl-SI"/>
              </w:rPr>
              <w:t>N = 166</w:t>
            </w:r>
          </w:p>
        </w:tc>
        <w:tc>
          <w:tcPr>
            <w:tcW w:w="1843" w:type="dxa"/>
            <w:tcBorders>
              <w:top w:val="single" w:sz="5" w:space="0" w:color="000000"/>
              <w:left w:val="single" w:sz="5" w:space="0" w:color="000000"/>
              <w:bottom w:val="single" w:sz="5" w:space="0" w:color="000000"/>
              <w:right w:val="single" w:sz="5" w:space="0" w:color="000000"/>
            </w:tcBorders>
            <w:vAlign w:val="center"/>
          </w:tcPr>
          <w:p w14:paraId="40803A90" w14:textId="77777777" w:rsidR="00472D63" w:rsidRDefault="008E1817">
            <w:pPr>
              <w:pStyle w:val="TableParagraph"/>
              <w:spacing w:before="24" w:line="266" w:lineRule="auto"/>
              <w:ind w:hanging="4"/>
              <w:jc w:val="center"/>
              <w:rPr>
                <w:rFonts w:ascii="Times New Roman" w:eastAsia="Times New Roman" w:hAnsi="Times New Roman" w:cs="Times New Roman"/>
                <w:b/>
                <w:bCs/>
                <w:lang w:val="sl-SI"/>
              </w:rPr>
            </w:pPr>
            <w:r>
              <w:rPr>
                <w:rFonts w:ascii="Times New Roman" w:eastAsia="Times New Roman" w:hAnsi="Times New Roman" w:cs="Times New Roman"/>
                <w:b/>
                <w:bCs/>
                <w:lang w:val="sl-SI"/>
              </w:rPr>
              <w:t xml:space="preserve">Adalimumab 160/80 mg </w:t>
            </w:r>
          </w:p>
          <w:p w14:paraId="5A72E463" w14:textId="7BFD53AE" w:rsidR="00E04C8A" w:rsidRDefault="008E1817">
            <w:pPr>
              <w:pStyle w:val="TableParagraph"/>
              <w:spacing w:before="24" w:line="266" w:lineRule="auto"/>
              <w:ind w:hanging="4"/>
              <w:jc w:val="center"/>
              <w:rPr>
                <w:rFonts w:ascii="Times New Roman" w:eastAsia="Times New Roman" w:hAnsi="Times New Roman" w:cs="Times New Roman"/>
                <w:lang w:val="sl-SI"/>
              </w:rPr>
            </w:pPr>
            <w:r>
              <w:rPr>
                <w:rFonts w:ascii="Times New Roman" w:eastAsia="Times New Roman" w:hAnsi="Times New Roman" w:cs="Times New Roman"/>
                <w:b/>
                <w:bCs/>
                <w:lang w:val="sl-SI"/>
              </w:rPr>
              <w:t>N = 159</w:t>
            </w:r>
          </w:p>
        </w:tc>
      </w:tr>
      <w:tr w:rsidR="00E04C8A" w14:paraId="1C097805" w14:textId="77777777" w:rsidTr="001452D7">
        <w:tc>
          <w:tcPr>
            <w:tcW w:w="2311" w:type="dxa"/>
            <w:tcBorders>
              <w:top w:val="single" w:sz="5" w:space="0" w:color="000000"/>
              <w:left w:val="single" w:sz="5" w:space="0" w:color="000000"/>
              <w:bottom w:val="single" w:sz="5" w:space="0" w:color="000000"/>
              <w:right w:val="single" w:sz="5" w:space="0" w:color="000000"/>
            </w:tcBorders>
          </w:tcPr>
          <w:p w14:paraId="02D1669B" w14:textId="77777777" w:rsidR="00E04C8A" w:rsidRDefault="008E1817">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lang w:val="sl-SI"/>
              </w:rPr>
              <w:t>4. teden</w:t>
            </w:r>
          </w:p>
        </w:tc>
        <w:tc>
          <w:tcPr>
            <w:tcW w:w="1085" w:type="dxa"/>
            <w:tcBorders>
              <w:top w:val="single" w:sz="5" w:space="0" w:color="000000"/>
              <w:left w:val="single" w:sz="5" w:space="0" w:color="000000"/>
              <w:bottom w:val="single" w:sz="5" w:space="0" w:color="000000"/>
              <w:right w:val="single" w:sz="5" w:space="0" w:color="000000"/>
            </w:tcBorders>
          </w:tcPr>
          <w:p w14:paraId="365A04DA" w14:textId="77777777" w:rsidR="00E04C8A" w:rsidRDefault="00E04C8A">
            <w:pPr>
              <w:rPr>
                <w:lang w:val="sl-SI"/>
              </w:rPr>
            </w:pPr>
          </w:p>
        </w:tc>
        <w:tc>
          <w:tcPr>
            <w:tcW w:w="1356" w:type="dxa"/>
            <w:tcBorders>
              <w:top w:val="single" w:sz="5" w:space="0" w:color="000000"/>
              <w:left w:val="single" w:sz="5" w:space="0" w:color="000000"/>
              <w:bottom w:val="single" w:sz="5" w:space="0" w:color="000000"/>
              <w:right w:val="single" w:sz="5" w:space="0" w:color="000000"/>
            </w:tcBorders>
          </w:tcPr>
          <w:p w14:paraId="3678F00C" w14:textId="77777777" w:rsidR="00E04C8A" w:rsidRDefault="00E04C8A">
            <w:pPr>
              <w:rPr>
                <w:lang w:val="sl-SI"/>
              </w:rPr>
            </w:pPr>
          </w:p>
        </w:tc>
        <w:tc>
          <w:tcPr>
            <w:tcW w:w="1338" w:type="dxa"/>
            <w:tcBorders>
              <w:top w:val="single" w:sz="5" w:space="0" w:color="000000"/>
              <w:left w:val="single" w:sz="5" w:space="0" w:color="000000"/>
              <w:bottom w:val="single" w:sz="5" w:space="0" w:color="000000"/>
              <w:right w:val="single" w:sz="5" w:space="0" w:color="000000"/>
            </w:tcBorders>
          </w:tcPr>
          <w:p w14:paraId="589DC676" w14:textId="77777777" w:rsidR="00E04C8A" w:rsidRDefault="00E04C8A">
            <w:pPr>
              <w:rPr>
                <w:lang w:val="sl-SI"/>
              </w:rPr>
            </w:pPr>
          </w:p>
        </w:tc>
        <w:tc>
          <w:tcPr>
            <w:tcW w:w="1559" w:type="dxa"/>
            <w:tcBorders>
              <w:top w:val="single" w:sz="5" w:space="0" w:color="000000"/>
              <w:left w:val="single" w:sz="5" w:space="0" w:color="000000"/>
              <w:bottom w:val="single" w:sz="5" w:space="0" w:color="000000"/>
              <w:right w:val="single" w:sz="5" w:space="0" w:color="000000"/>
            </w:tcBorders>
          </w:tcPr>
          <w:p w14:paraId="37D38F5C" w14:textId="77777777" w:rsidR="00E04C8A" w:rsidRDefault="00E04C8A">
            <w:pPr>
              <w:rPr>
                <w:lang w:val="sl-SI"/>
              </w:rPr>
            </w:pPr>
          </w:p>
        </w:tc>
        <w:tc>
          <w:tcPr>
            <w:tcW w:w="1843" w:type="dxa"/>
            <w:tcBorders>
              <w:top w:val="single" w:sz="5" w:space="0" w:color="000000"/>
              <w:left w:val="single" w:sz="5" w:space="0" w:color="000000"/>
              <w:bottom w:val="single" w:sz="5" w:space="0" w:color="000000"/>
              <w:right w:val="single" w:sz="5" w:space="0" w:color="000000"/>
            </w:tcBorders>
          </w:tcPr>
          <w:p w14:paraId="4A2F84E1" w14:textId="77777777" w:rsidR="00E04C8A" w:rsidRDefault="00E04C8A">
            <w:pPr>
              <w:rPr>
                <w:lang w:val="sl-SI"/>
              </w:rPr>
            </w:pPr>
          </w:p>
        </w:tc>
      </w:tr>
      <w:tr w:rsidR="00E04C8A" w14:paraId="0627DBBF" w14:textId="77777777" w:rsidTr="001452D7">
        <w:tc>
          <w:tcPr>
            <w:tcW w:w="2311" w:type="dxa"/>
            <w:tcBorders>
              <w:top w:val="single" w:sz="5" w:space="0" w:color="000000"/>
              <w:left w:val="single" w:sz="5" w:space="0" w:color="000000"/>
              <w:bottom w:val="single" w:sz="5" w:space="0" w:color="000000"/>
              <w:right w:val="single" w:sz="5" w:space="0" w:color="000000"/>
            </w:tcBorders>
          </w:tcPr>
          <w:p w14:paraId="324E07D9" w14:textId="77777777" w:rsidR="00E04C8A" w:rsidRDefault="008E1817">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Klinična remisija</w:t>
            </w:r>
          </w:p>
        </w:tc>
        <w:tc>
          <w:tcPr>
            <w:tcW w:w="1085" w:type="dxa"/>
            <w:tcBorders>
              <w:top w:val="single" w:sz="5" w:space="0" w:color="000000"/>
              <w:left w:val="single" w:sz="5" w:space="0" w:color="000000"/>
              <w:bottom w:val="single" w:sz="5" w:space="0" w:color="000000"/>
              <w:right w:val="single" w:sz="5" w:space="0" w:color="000000"/>
            </w:tcBorders>
          </w:tcPr>
          <w:p w14:paraId="768FD3DD" w14:textId="77777777" w:rsidR="00E04C8A" w:rsidRDefault="008E1817">
            <w:pPr>
              <w:pStyle w:val="TableParagraph"/>
              <w:spacing w:before="24"/>
              <w:ind w:left="387"/>
              <w:rPr>
                <w:rFonts w:ascii="Times New Roman" w:eastAsia="Times New Roman" w:hAnsi="Times New Roman" w:cs="Times New Roman"/>
                <w:lang w:val="sl-SI"/>
              </w:rPr>
            </w:pPr>
            <w:r>
              <w:rPr>
                <w:rFonts w:ascii="Times New Roman" w:eastAsia="Times New Roman" w:hAnsi="Times New Roman" w:cs="Times New Roman"/>
                <w:lang w:val="sl-SI"/>
              </w:rPr>
              <w:t>12 %</w:t>
            </w:r>
          </w:p>
        </w:tc>
        <w:tc>
          <w:tcPr>
            <w:tcW w:w="1356" w:type="dxa"/>
            <w:tcBorders>
              <w:top w:val="single" w:sz="5" w:space="0" w:color="000000"/>
              <w:left w:val="single" w:sz="5" w:space="0" w:color="000000"/>
              <w:bottom w:val="single" w:sz="5" w:space="0" w:color="000000"/>
              <w:right w:val="single" w:sz="5" w:space="0" w:color="000000"/>
            </w:tcBorders>
          </w:tcPr>
          <w:p w14:paraId="06BFC2CB" w14:textId="77777777" w:rsidR="00E04C8A" w:rsidRDefault="008E1817">
            <w:pPr>
              <w:pStyle w:val="TableParagraph"/>
              <w:spacing w:before="24"/>
              <w:ind w:left="395" w:right="398"/>
              <w:jc w:val="center"/>
              <w:rPr>
                <w:rFonts w:ascii="Times New Roman" w:eastAsia="Times New Roman" w:hAnsi="Times New Roman" w:cs="Times New Roman"/>
                <w:lang w:val="sl-SI"/>
              </w:rPr>
            </w:pPr>
            <w:r>
              <w:rPr>
                <w:rFonts w:ascii="Times New Roman" w:eastAsia="Times New Roman" w:hAnsi="Times New Roman" w:cs="Times New Roman"/>
                <w:lang w:val="sl-SI"/>
              </w:rPr>
              <w:t>24 %</w:t>
            </w:r>
          </w:p>
        </w:tc>
        <w:tc>
          <w:tcPr>
            <w:tcW w:w="1338" w:type="dxa"/>
            <w:tcBorders>
              <w:top w:val="single" w:sz="5" w:space="0" w:color="000000"/>
              <w:left w:val="single" w:sz="5" w:space="0" w:color="000000"/>
              <w:bottom w:val="single" w:sz="5" w:space="0" w:color="000000"/>
              <w:right w:val="single" w:sz="5" w:space="0" w:color="000000"/>
            </w:tcBorders>
          </w:tcPr>
          <w:p w14:paraId="05A0A2D1" w14:textId="77777777" w:rsidR="00E04C8A" w:rsidRDefault="008E1817">
            <w:pPr>
              <w:pStyle w:val="TableParagraph"/>
              <w:spacing w:before="18"/>
              <w:ind w:left="344"/>
              <w:rPr>
                <w:rFonts w:ascii="Times New Roman" w:eastAsia="Times New Roman" w:hAnsi="Times New Roman" w:cs="Times New Roman"/>
                <w:sz w:val="14"/>
                <w:szCs w:val="14"/>
                <w:lang w:val="sl-SI"/>
              </w:rPr>
            </w:pPr>
            <w:r>
              <w:rPr>
                <w:rFonts w:ascii="Times New Roman" w:eastAsia="Times New Roman" w:hAnsi="Times New Roman" w:cs="Times New Roman"/>
                <w:lang w:val="sl-SI"/>
              </w:rPr>
              <w:t>36 %</w:t>
            </w:r>
            <w:r>
              <w:rPr>
                <w:rFonts w:ascii="Times New Roman" w:eastAsia="Times New Roman" w:hAnsi="Times New Roman" w:cs="Times New Roman"/>
                <w:sz w:val="14"/>
                <w:szCs w:val="14"/>
                <w:lang w:val="sl-SI"/>
              </w:rPr>
              <w:t>*</w:t>
            </w:r>
          </w:p>
        </w:tc>
        <w:tc>
          <w:tcPr>
            <w:tcW w:w="1559" w:type="dxa"/>
            <w:tcBorders>
              <w:top w:val="single" w:sz="5" w:space="0" w:color="000000"/>
              <w:left w:val="single" w:sz="5" w:space="0" w:color="000000"/>
              <w:bottom w:val="single" w:sz="5" w:space="0" w:color="000000"/>
              <w:right w:val="single" w:sz="5" w:space="0" w:color="000000"/>
            </w:tcBorders>
          </w:tcPr>
          <w:p w14:paraId="7E92E0D2" w14:textId="77777777" w:rsidR="00E04C8A" w:rsidRDefault="008E1817">
            <w:pPr>
              <w:pStyle w:val="TableParagraph"/>
              <w:spacing w:before="24"/>
              <w:ind w:left="519" w:right="520"/>
              <w:jc w:val="center"/>
              <w:rPr>
                <w:rFonts w:ascii="Times New Roman" w:eastAsia="Times New Roman" w:hAnsi="Times New Roman" w:cs="Times New Roman"/>
                <w:lang w:val="sl-SI"/>
              </w:rPr>
            </w:pPr>
            <w:r>
              <w:rPr>
                <w:rFonts w:ascii="Times New Roman" w:eastAsia="Times New Roman" w:hAnsi="Times New Roman" w:cs="Times New Roman"/>
                <w:lang w:val="sl-SI"/>
              </w:rPr>
              <w:t>7 %</w:t>
            </w:r>
          </w:p>
        </w:tc>
        <w:tc>
          <w:tcPr>
            <w:tcW w:w="1843" w:type="dxa"/>
            <w:tcBorders>
              <w:top w:val="single" w:sz="5" w:space="0" w:color="000000"/>
              <w:left w:val="single" w:sz="5" w:space="0" w:color="000000"/>
              <w:bottom w:val="single" w:sz="5" w:space="0" w:color="000000"/>
              <w:right w:val="single" w:sz="5" w:space="0" w:color="000000"/>
            </w:tcBorders>
          </w:tcPr>
          <w:p w14:paraId="63C7E1A1" w14:textId="77777777" w:rsidR="00E04C8A" w:rsidRDefault="008E1817">
            <w:pPr>
              <w:pStyle w:val="TableParagraph"/>
              <w:spacing w:before="18"/>
              <w:ind w:left="644" w:right="644"/>
              <w:jc w:val="center"/>
              <w:rPr>
                <w:rFonts w:ascii="Times New Roman" w:eastAsia="Times New Roman" w:hAnsi="Times New Roman" w:cs="Times New Roman"/>
                <w:sz w:val="14"/>
                <w:szCs w:val="14"/>
                <w:lang w:val="sl-SI"/>
              </w:rPr>
            </w:pPr>
            <w:r>
              <w:rPr>
                <w:rFonts w:ascii="Times New Roman" w:eastAsia="Times New Roman" w:hAnsi="Times New Roman" w:cs="Times New Roman"/>
                <w:lang w:val="sl-SI"/>
              </w:rPr>
              <w:t>21 %</w:t>
            </w:r>
            <w:r>
              <w:rPr>
                <w:rFonts w:ascii="Times New Roman" w:eastAsia="Times New Roman" w:hAnsi="Times New Roman" w:cs="Times New Roman"/>
                <w:sz w:val="14"/>
                <w:szCs w:val="14"/>
                <w:lang w:val="sl-SI"/>
              </w:rPr>
              <w:t>*</w:t>
            </w:r>
          </w:p>
        </w:tc>
      </w:tr>
      <w:tr w:rsidR="00E04C8A" w14:paraId="3A876BED" w14:textId="77777777" w:rsidTr="001452D7">
        <w:tc>
          <w:tcPr>
            <w:tcW w:w="2311" w:type="dxa"/>
            <w:tcBorders>
              <w:top w:val="single" w:sz="5" w:space="0" w:color="000000"/>
              <w:left w:val="single" w:sz="5" w:space="0" w:color="000000"/>
              <w:bottom w:val="single" w:sz="5" w:space="0" w:color="000000"/>
              <w:right w:val="single" w:sz="5" w:space="0" w:color="000000"/>
            </w:tcBorders>
          </w:tcPr>
          <w:p w14:paraId="4225E456" w14:textId="77777777" w:rsidR="00E04C8A" w:rsidRDefault="008E1817">
            <w:pPr>
              <w:pStyle w:val="TableParagraph"/>
              <w:spacing w:before="40" w:line="240"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Klinični odziv (CR-100)</w:t>
            </w:r>
          </w:p>
        </w:tc>
        <w:tc>
          <w:tcPr>
            <w:tcW w:w="1085" w:type="dxa"/>
            <w:tcBorders>
              <w:top w:val="single" w:sz="5" w:space="0" w:color="000000"/>
              <w:left w:val="single" w:sz="5" w:space="0" w:color="000000"/>
              <w:bottom w:val="single" w:sz="5" w:space="0" w:color="000000"/>
              <w:right w:val="single" w:sz="5" w:space="0" w:color="000000"/>
            </w:tcBorders>
          </w:tcPr>
          <w:p w14:paraId="42B588B0" w14:textId="77777777" w:rsidR="00E04C8A" w:rsidRDefault="008E1817">
            <w:pPr>
              <w:pStyle w:val="TableParagraph"/>
              <w:spacing w:before="24"/>
              <w:ind w:left="387"/>
              <w:rPr>
                <w:rFonts w:ascii="Times New Roman" w:eastAsia="Times New Roman" w:hAnsi="Times New Roman" w:cs="Times New Roman"/>
                <w:lang w:val="sl-SI"/>
              </w:rPr>
            </w:pPr>
            <w:r>
              <w:rPr>
                <w:rFonts w:ascii="Times New Roman" w:eastAsia="Times New Roman" w:hAnsi="Times New Roman" w:cs="Times New Roman"/>
                <w:lang w:val="sl-SI"/>
              </w:rPr>
              <w:t>24 %</w:t>
            </w:r>
          </w:p>
        </w:tc>
        <w:tc>
          <w:tcPr>
            <w:tcW w:w="1356" w:type="dxa"/>
            <w:tcBorders>
              <w:top w:val="single" w:sz="5" w:space="0" w:color="000000"/>
              <w:left w:val="single" w:sz="5" w:space="0" w:color="000000"/>
              <w:bottom w:val="single" w:sz="5" w:space="0" w:color="000000"/>
              <w:right w:val="single" w:sz="5" w:space="0" w:color="000000"/>
            </w:tcBorders>
          </w:tcPr>
          <w:p w14:paraId="4949B2C9" w14:textId="77777777" w:rsidR="00E04C8A" w:rsidRDefault="008E1817">
            <w:pPr>
              <w:pStyle w:val="TableParagraph"/>
              <w:spacing w:before="24"/>
              <w:ind w:left="395" w:right="398"/>
              <w:jc w:val="center"/>
              <w:rPr>
                <w:rFonts w:ascii="Times New Roman" w:eastAsia="Times New Roman" w:hAnsi="Times New Roman" w:cs="Times New Roman"/>
                <w:lang w:val="sl-SI"/>
              </w:rPr>
            </w:pPr>
            <w:r>
              <w:rPr>
                <w:rFonts w:ascii="Times New Roman" w:eastAsia="Times New Roman" w:hAnsi="Times New Roman" w:cs="Times New Roman"/>
                <w:lang w:val="sl-SI"/>
              </w:rPr>
              <w:t>37 %</w:t>
            </w:r>
          </w:p>
        </w:tc>
        <w:tc>
          <w:tcPr>
            <w:tcW w:w="1338" w:type="dxa"/>
            <w:tcBorders>
              <w:top w:val="single" w:sz="5" w:space="0" w:color="000000"/>
              <w:left w:val="single" w:sz="5" w:space="0" w:color="000000"/>
              <w:bottom w:val="single" w:sz="5" w:space="0" w:color="000000"/>
              <w:right w:val="single" w:sz="5" w:space="0" w:color="000000"/>
            </w:tcBorders>
          </w:tcPr>
          <w:p w14:paraId="2B5CA39C" w14:textId="77777777" w:rsidR="00E04C8A" w:rsidRDefault="008E1817">
            <w:pPr>
              <w:pStyle w:val="TableParagraph"/>
              <w:spacing w:before="18"/>
              <w:ind w:left="311"/>
              <w:rPr>
                <w:rFonts w:ascii="Times New Roman" w:eastAsia="Times New Roman" w:hAnsi="Times New Roman" w:cs="Times New Roman"/>
                <w:sz w:val="14"/>
                <w:szCs w:val="14"/>
                <w:lang w:val="sl-SI"/>
              </w:rPr>
            </w:pPr>
            <w:r>
              <w:rPr>
                <w:rFonts w:ascii="Times New Roman" w:eastAsia="Times New Roman" w:hAnsi="Times New Roman" w:cs="Times New Roman"/>
                <w:lang w:val="sl-SI"/>
              </w:rPr>
              <w:t>49 %</w:t>
            </w:r>
            <w:r>
              <w:rPr>
                <w:rFonts w:ascii="Times New Roman" w:eastAsia="Times New Roman" w:hAnsi="Times New Roman" w:cs="Times New Roman"/>
                <w:sz w:val="14"/>
                <w:szCs w:val="14"/>
                <w:lang w:val="sl-SI"/>
              </w:rPr>
              <w:t>**</w:t>
            </w:r>
          </w:p>
        </w:tc>
        <w:tc>
          <w:tcPr>
            <w:tcW w:w="1559" w:type="dxa"/>
            <w:tcBorders>
              <w:top w:val="single" w:sz="5" w:space="0" w:color="000000"/>
              <w:left w:val="single" w:sz="5" w:space="0" w:color="000000"/>
              <w:bottom w:val="single" w:sz="5" w:space="0" w:color="000000"/>
              <w:right w:val="single" w:sz="5" w:space="0" w:color="000000"/>
            </w:tcBorders>
          </w:tcPr>
          <w:p w14:paraId="1BFD624E" w14:textId="77777777" w:rsidR="00E04C8A" w:rsidRDefault="008E1817">
            <w:pPr>
              <w:pStyle w:val="TableParagraph"/>
              <w:spacing w:before="24"/>
              <w:ind w:left="519" w:right="520"/>
              <w:jc w:val="center"/>
              <w:rPr>
                <w:rFonts w:ascii="Times New Roman" w:eastAsia="Times New Roman" w:hAnsi="Times New Roman" w:cs="Times New Roman"/>
                <w:lang w:val="sl-SI"/>
              </w:rPr>
            </w:pPr>
            <w:r>
              <w:rPr>
                <w:rFonts w:ascii="Times New Roman" w:eastAsia="Times New Roman" w:hAnsi="Times New Roman" w:cs="Times New Roman"/>
                <w:lang w:val="sl-SI"/>
              </w:rPr>
              <w:t>25 %</w:t>
            </w:r>
          </w:p>
        </w:tc>
        <w:tc>
          <w:tcPr>
            <w:tcW w:w="1843" w:type="dxa"/>
            <w:tcBorders>
              <w:top w:val="single" w:sz="5" w:space="0" w:color="000000"/>
              <w:left w:val="single" w:sz="5" w:space="0" w:color="000000"/>
              <w:bottom w:val="single" w:sz="5" w:space="0" w:color="000000"/>
              <w:right w:val="single" w:sz="5" w:space="0" w:color="000000"/>
            </w:tcBorders>
          </w:tcPr>
          <w:p w14:paraId="62B0FA83" w14:textId="77777777" w:rsidR="00E04C8A" w:rsidRDefault="008E1817">
            <w:pPr>
              <w:pStyle w:val="TableParagraph"/>
              <w:spacing w:before="18"/>
              <w:ind w:left="609" w:right="616"/>
              <w:jc w:val="center"/>
              <w:rPr>
                <w:rFonts w:ascii="Times New Roman" w:eastAsia="Times New Roman" w:hAnsi="Times New Roman" w:cs="Times New Roman"/>
                <w:sz w:val="14"/>
                <w:szCs w:val="14"/>
                <w:lang w:val="sl-SI"/>
              </w:rPr>
            </w:pPr>
            <w:r>
              <w:rPr>
                <w:rFonts w:ascii="Times New Roman" w:eastAsia="Times New Roman" w:hAnsi="Times New Roman" w:cs="Times New Roman"/>
                <w:lang w:val="sl-SI"/>
              </w:rPr>
              <w:t>38 %</w:t>
            </w:r>
            <w:r>
              <w:rPr>
                <w:rFonts w:ascii="Times New Roman" w:eastAsia="Times New Roman" w:hAnsi="Times New Roman" w:cs="Times New Roman"/>
                <w:sz w:val="14"/>
                <w:szCs w:val="14"/>
                <w:lang w:val="sl-SI"/>
              </w:rPr>
              <w:t>**</w:t>
            </w:r>
          </w:p>
        </w:tc>
      </w:tr>
    </w:tbl>
    <w:p w14:paraId="784431FE" w14:textId="77777777" w:rsidR="00E04C8A" w:rsidRDefault="008E1817">
      <w:pPr>
        <w:pStyle w:val="a3"/>
        <w:rPr>
          <w:lang w:val="sl-SI"/>
        </w:rPr>
      </w:pPr>
      <w:r>
        <w:rPr>
          <w:rFonts w:eastAsia="Times New Roman"/>
          <w:lang w:val="sl-SI"/>
        </w:rPr>
        <w:t xml:space="preserve">Vse vrednosti p se nanašajo na parne primerjave deležev med </w:t>
      </w:r>
      <w:r>
        <w:rPr>
          <w:rFonts w:eastAsia="Times New Roman"/>
          <w:i/>
          <w:iCs/>
          <w:lang w:val="sl-SI"/>
        </w:rPr>
        <w:t xml:space="preserve">adalimumabom in </w:t>
      </w:r>
      <w:r>
        <w:rPr>
          <w:rFonts w:eastAsia="Times New Roman"/>
          <w:lang w:val="sl-SI"/>
        </w:rPr>
        <w:t>placebom.</w:t>
      </w:r>
    </w:p>
    <w:p w14:paraId="6B3EE7BD" w14:textId="77777777" w:rsidR="00E04C8A" w:rsidRDefault="008E1817">
      <w:pPr>
        <w:pStyle w:val="a3"/>
        <w:rPr>
          <w:lang w:val="sl-SI"/>
        </w:rPr>
      </w:pPr>
      <w:r>
        <w:rPr>
          <w:rFonts w:eastAsia="Times New Roman"/>
          <w:position w:val="8"/>
          <w:sz w:val="14"/>
          <w:szCs w:val="14"/>
          <w:lang w:val="sl-SI"/>
        </w:rPr>
        <w:t>*</w:t>
      </w:r>
      <w:r>
        <w:rPr>
          <w:rFonts w:eastAsia="Times New Roman"/>
          <w:position w:val="8"/>
          <w:lang w:val="sl-SI"/>
        </w:rPr>
        <w:t>p &lt; 0,001</w:t>
      </w:r>
    </w:p>
    <w:p w14:paraId="674D3146" w14:textId="77777777" w:rsidR="00E04C8A" w:rsidRDefault="008E1817">
      <w:pPr>
        <w:tabs>
          <w:tab w:val="left" w:pos="506"/>
        </w:tabs>
        <w:spacing w:before="22"/>
        <w:rPr>
          <w:rFonts w:ascii="Times New Roman" w:eastAsia="Times New Roman" w:hAnsi="Times New Roman" w:cs="Times New Roman"/>
          <w:lang w:val="sl-SI"/>
        </w:rPr>
      </w:pPr>
      <w:r>
        <w:rPr>
          <w:rFonts w:ascii="Times New Roman" w:eastAsia="Times New Roman" w:hAnsi="Times New Roman" w:cs="Times New Roman"/>
          <w:position w:val="8"/>
          <w:sz w:val="14"/>
          <w:szCs w:val="14"/>
          <w:lang w:val="sl-SI"/>
        </w:rPr>
        <w:t>**</w:t>
      </w:r>
      <w:r>
        <w:rPr>
          <w:rFonts w:ascii="Times New Roman" w:eastAsia="Times New Roman" w:hAnsi="Times New Roman" w:cs="Times New Roman"/>
          <w:position w:val="8"/>
          <w:lang w:val="sl-SI"/>
        </w:rPr>
        <w:t>p &lt; 0,01</w:t>
      </w:r>
    </w:p>
    <w:p w14:paraId="17682EC3" w14:textId="77777777" w:rsidR="00E04C8A" w:rsidRDefault="00E04C8A">
      <w:pPr>
        <w:spacing w:before="15" w:line="200" w:lineRule="exact"/>
        <w:rPr>
          <w:sz w:val="20"/>
          <w:szCs w:val="20"/>
          <w:lang w:val="sl-SI"/>
        </w:rPr>
      </w:pPr>
    </w:p>
    <w:p w14:paraId="12D6AAA3" w14:textId="77777777" w:rsidR="00E04C8A" w:rsidRDefault="008E1817">
      <w:pPr>
        <w:pStyle w:val="a3"/>
        <w:rPr>
          <w:lang w:val="sl-SI"/>
        </w:rPr>
      </w:pPr>
      <w:r>
        <w:rPr>
          <w:rFonts w:eastAsia="Times New Roman"/>
          <w:lang w:val="sl-SI"/>
        </w:rPr>
        <w:t>Z indukcijskima shemama 160/80 mg in 80/40 mg so do 8. tedna ugotovili podobne deleže remisij; neželeni učinki so bili pogostejši v skupini s shemo 160/80 mg.</w:t>
      </w:r>
    </w:p>
    <w:p w14:paraId="505CE0BE" w14:textId="77777777" w:rsidR="00E04C8A" w:rsidRDefault="00E04C8A">
      <w:pPr>
        <w:spacing w:before="11" w:line="240" w:lineRule="exact"/>
        <w:rPr>
          <w:sz w:val="24"/>
          <w:szCs w:val="24"/>
          <w:lang w:val="sl-SI"/>
        </w:rPr>
      </w:pPr>
    </w:p>
    <w:p w14:paraId="1626B557" w14:textId="616D7D82" w:rsidR="00E04C8A" w:rsidRDefault="008E1817">
      <w:pPr>
        <w:pStyle w:val="a3"/>
        <w:rPr>
          <w:lang w:val="sl-SI"/>
        </w:rPr>
      </w:pPr>
      <w:r>
        <w:rPr>
          <w:rFonts w:eastAsia="Times New Roman"/>
          <w:lang w:val="sl-SI"/>
        </w:rPr>
        <w:t>V študiji pri Crohnovi bolezni III je imelo 4. teden klinični odziv 58 % (499/854) bolnikov; ti so bili ocenjeni v primarni analizi. Od tistih, ki so imeli 4. teden klinični odziv, jih je 48 % predhodno dobilo antagoniste TNF. Vzdrževanje remisije in deleže odziva prikazuje preglednica </w:t>
      </w:r>
      <w:r w:rsidR="001B1C67">
        <w:rPr>
          <w:rFonts w:eastAsia="Times New Roman"/>
          <w:lang w:val="sl-SI"/>
        </w:rPr>
        <w:t>22</w:t>
      </w:r>
      <w:r>
        <w:rPr>
          <w:rFonts w:eastAsia="Times New Roman"/>
          <w:lang w:val="sl-SI"/>
        </w:rPr>
        <w:t>. Rezultati glede klinične remisije so ostali razmeroma stalni, ne glede na prej</w:t>
      </w:r>
      <w:r w:rsidR="00797E53">
        <w:rPr>
          <w:rFonts w:eastAsia="Times New Roman"/>
          <w:lang w:val="sl-SI"/>
        </w:rPr>
        <w:t>š</w:t>
      </w:r>
      <w:r>
        <w:rPr>
          <w:rFonts w:eastAsia="Times New Roman"/>
          <w:lang w:val="sl-SI"/>
        </w:rPr>
        <w:t>nje prejemanje antagonistov TNF.</w:t>
      </w:r>
    </w:p>
    <w:p w14:paraId="660775B0" w14:textId="77777777" w:rsidR="00E04C8A" w:rsidRDefault="00E04C8A">
      <w:pPr>
        <w:spacing w:before="13" w:line="240" w:lineRule="exact"/>
        <w:rPr>
          <w:sz w:val="24"/>
          <w:szCs w:val="24"/>
          <w:lang w:val="sl-SI"/>
        </w:rPr>
      </w:pPr>
    </w:p>
    <w:p w14:paraId="473ACBC9" w14:textId="77777777" w:rsidR="00E04C8A" w:rsidRDefault="008E1817">
      <w:pPr>
        <w:pStyle w:val="a3"/>
        <w:rPr>
          <w:lang w:val="sl-SI"/>
        </w:rPr>
      </w:pPr>
      <w:r>
        <w:rPr>
          <w:rFonts w:eastAsia="Times New Roman"/>
          <w:lang w:val="sl-SI"/>
        </w:rPr>
        <w:t>Z boleznijo povezanih hospitalizacij in operacij je bilo do 56. tedna med uporabo adalimumaba statistično značilno manj kot med uporabo placeba.</w:t>
      </w:r>
    </w:p>
    <w:p w14:paraId="35A8B89C" w14:textId="77777777" w:rsidR="00E04C8A" w:rsidRDefault="00E04C8A">
      <w:pPr>
        <w:pStyle w:val="a3"/>
        <w:jc w:val="center"/>
        <w:rPr>
          <w:rFonts w:eastAsia="Times New Roman"/>
          <w:b/>
          <w:bCs/>
          <w:lang w:val="sl-SI"/>
        </w:rPr>
      </w:pPr>
    </w:p>
    <w:p w14:paraId="24BF034D" w14:textId="4074DFB5" w:rsidR="00E04C8A" w:rsidRDefault="008E1817" w:rsidP="001B1C67">
      <w:pPr>
        <w:pStyle w:val="a3"/>
        <w:jc w:val="center"/>
        <w:rPr>
          <w:b/>
          <w:lang w:val="sl-SI"/>
        </w:rPr>
      </w:pPr>
      <w:r>
        <w:rPr>
          <w:rFonts w:eastAsia="Times New Roman"/>
          <w:b/>
          <w:bCs/>
          <w:lang w:val="sl-SI"/>
        </w:rPr>
        <w:t>Preglednica </w:t>
      </w:r>
      <w:r w:rsidR="001B1C67">
        <w:rPr>
          <w:rFonts w:eastAsia="Times New Roman"/>
          <w:b/>
          <w:bCs/>
          <w:lang w:val="sl-SI"/>
        </w:rPr>
        <w:t>22</w:t>
      </w:r>
    </w:p>
    <w:p w14:paraId="154A6A81" w14:textId="1D6F3385" w:rsidR="0016539A" w:rsidRPr="00721C46" w:rsidRDefault="008E1817" w:rsidP="0016539A">
      <w:pPr>
        <w:pStyle w:val="a3"/>
        <w:jc w:val="center"/>
        <w:rPr>
          <w:rFonts w:eastAsia="Times New Roman"/>
          <w:b/>
          <w:bCs/>
          <w:lang w:val="sl-SI"/>
        </w:rPr>
      </w:pPr>
      <w:r>
        <w:rPr>
          <w:rFonts w:eastAsia="Times New Roman"/>
          <w:b/>
          <w:bCs/>
          <w:lang w:val="sl-SI"/>
        </w:rPr>
        <w:t>Vzdrževanje klinične remisije in odziva odstotek bolnikov</w:t>
      </w:r>
    </w:p>
    <w:p w14:paraId="2D6BD4ED" w14:textId="77777777" w:rsidR="00E04C8A" w:rsidRDefault="00E04C8A">
      <w:pPr>
        <w:spacing w:before="6" w:line="10" w:lineRule="exact"/>
        <w:rPr>
          <w:sz w:val="4"/>
          <w:szCs w:val="4"/>
          <w:lang w:val="sl-SI"/>
        </w:rPr>
      </w:pPr>
    </w:p>
    <w:tbl>
      <w:tblPr>
        <w:tblStyle w:val="TableNormal1"/>
        <w:tblW w:w="0" w:type="auto"/>
        <w:tblInd w:w="213" w:type="dxa"/>
        <w:tblLayout w:type="fixed"/>
        <w:tblLook w:val="01E0" w:firstRow="1" w:lastRow="1" w:firstColumn="1" w:lastColumn="1" w:noHBand="0" w:noVBand="0"/>
      </w:tblPr>
      <w:tblGrid>
        <w:gridCol w:w="3467"/>
        <w:gridCol w:w="1417"/>
        <w:gridCol w:w="1985"/>
        <w:gridCol w:w="2150"/>
      </w:tblGrid>
      <w:tr w:rsidR="00E04C8A" w:rsidRPr="00AC7013" w14:paraId="0B64FFC4" w14:textId="77777777" w:rsidTr="001452D7">
        <w:tc>
          <w:tcPr>
            <w:tcW w:w="3467" w:type="dxa"/>
            <w:tcBorders>
              <w:top w:val="single" w:sz="5" w:space="0" w:color="000000"/>
              <w:left w:val="single" w:sz="5" w:space="0" w:color="000000"/>
              <w:bottom w:val="single" w:sz="5" w:space="0" w:color="000000"/>
              <w:right w:val="single" w:sz="5" w:space="0" w:color="000000"/>
            </w:tcBorders>
            <w:vAlign w:val="center"/>
          </w:tcPr>
          <w:p w14:paraId="1CD45700" w14:textId="77777777" w:rsidR="00E04C8A" w:rsidRDefault="00E04C8A">
            <w:pPr>
              <w:jc w:val="center"/>
              <w:rPr>
                <w:lang w:val="sl-SI"/>
              </w:rPr>
            </w:pPr>
          </w:p>
        </w:tc>
        <w:tc>
          <w:tcPr>
            <w:tcW w:w="1417" w:type="dxa"/>
            <w:tcBorders>
              <w:top w:val="single" w:sz="5" w:space="0" w:color="000000"/>
              <w:left w:val="single" w:sz="5" w:space="0" w:color="000000"/>
              <w:bottom w:val="single" w:sz="5" w:space="0" w:color="000000"/>
              <w:right w:val="single" w:sz="5" w:space="0" w:color="000000"/>
            </w:tcBorders>
            <w:vAlign w:val="center"/>
          </w:tcPr>
          <w:p w14:paraId="191A58BE"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lang w:val="sl-SI"/>
              </w:rPr>
              <w:t>Placebo</w:t>
            </w:r>
          </w:p>
        </w:tc>
        <w:tc>
          <w:tcPr>
            <w:tcW w:w="1985" w:type="dxa"/>
            <w:tcBorders>
              <w:top w:val="single" w:sz="5" w:space="0" w:color="000000"/>
              <w:left w:val="single" w:sz="5" w:space="0" w:color="000000"/>
              <w:bottom w:val="single" w:sz="5" w:space="0" w:color="000000"/>
              <w:right w:val="single" w:sz="5" w:space="0" w:color="000000"/>
            </w:tcBorders>
            <w:vAlign w:val="center"/>
          </w:tcPr>
          <w:p w14:paraId="22CB3E47" w14:textId="77777777" w:rsidR="00E04C8A" w:rsidRDefault="008E1817">
            <w:pPr>
              <w:pStyle w:val="TableParagraph"/>
              <w:spacing w:line="240" w:lineRule="exact"/>
              <w:ind w:firstLine="115"/>
              <w:jc w:val="center"/>
              <w:rPr>
                <w:rFonts w:ascii="Times New Roman" w:eastAsia="Times New Roman" w:hAnsi="Times New Roman" w:cs="Times New Roman"/>
                <w:lang w:val="sl-SI"/>
              </w:rPr>
            </w:pPr>
            <w:r>
              <w:rPr>
                <w:rFonts w:ascii="Times New Roman" w:eastAsia="Times New Roman" w:hAnsi="Times New Roman" w:cs="Times New Roman"/>
                <w:b/>
                <w:bCs/>
                <w:lang w:val="sl-SI"/>
              </w:rPr>
              <w:t>Adalimumab 40 mg vsak drugi teden</w:t>
            </w:r>
          </w:p>
        </w:tc>
        <w:tc>
          <w:tcPr>
            <w:tcW w:w="2150" w:type="dxa"/>
            <w:tcBorders>
              <w:top w:val="single" w:sz="5" w:space="0" w:color="000000"/>
              <w:left w:val="single" w:sz="5" w:space="0" w:color="000000"/>
              <w:bottom w:val="single" w:sz="5" w:space="0" w:color="000000"/>
              <w:right w:val="single" w:sz="5" w:space="0" w:color="000000"/>
            </w:tcBorders>
            <w:vAlign w:val="center"/>
          </w:tcPr>
          <w:p w14:paraId="6A20E7AE" w14:textId="77777777" w:rsidR="00E04C8A" w:rsidRDefault="008E1817">
            <w:pPr>
              <w:pStyle w:val="TableParagraph"/>
              <w:spacing w:line="240" w:lineRule="exact"/>
              <w:ind w:hanging="161"/>
              <w:jc w:val="center"/>
              <w:rPr>
                <w:rFonts w:ascii="Times New Roman" w:eastAsia="Times New Roman" w:hAnsi="Times New Roman" w:cs="Times New Roman"/>
                <w:lang w:val="sl-SI"/>
              </w:rPr>
            </w:pPr>
            <w:r>
              <w:rPr>
                <w:rFonts w:ascii="Times New Roman" w:eastAsia="Times New Roman" w:hAnsi="Times New Roman" w:cs="Times New Roman"/>
                <w:b/>
                <w:bCs/>
                <w:lang w:val="sl-SI"/>
              </w:rPr>
              <w:t>Adalimumab 40 mg vsak drugi teden</w:t>
            </w:r>
          </w:p>
        </w:tc>
      </w:tr>
      <w:tr w:rsidR="00E04C8A" w14:paraId="01F3C933" w14:textId="77777777" w:rsidTr="001452D7">
        <w:tc>
          <w:tcPr>
            <w:tcW w:w="3467" w:type="dxa"/>
            <w:tcBorders>
              <w:top w:val="single" w:sz="5" w:space="0" w:color="000000"/>
              <w:left w:val="single" w:sz="5" w:space="0" w:color="000000"/>
              <w:bottom w:val="single" w:sz="5" w:space="0" w:color="000000"/>
              <w:right w:val="single" w:sz="5" w:space="0" w:color="000000"/>
            </w:tcBorders>
            <w:vAlign w:val="center"/>
          </w:tcPr>
          <w:p w14:paraId="3CB4B7DA" w14:textId="77777777" w:rsidR="00E04C8A" w:rsidRDefault="008E1817" w:rsidP="00797234">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b/>
                <w:bCs/>
                <w:lang w:val="sl-SI"/>
              </w:rPr>
              <w:t>26. teden</w:t>
            </w:r>
          </w:p>
        </w:tc>
        <w:tc>
          <w:tcPr>
            <w:tcW w:w="1417" w:type="dxa"/>
            <w:tcBorders>
              <w:top w:val="single" w:sz="5" w:space="0" w:color="000000"/>
              <w:left w:val="single" w:sz="5" w:space="0" w:color="000000"/>
              <w:bottom w:val="single" w:sz="5" w:space="0" w:color="000000"/>
              <w:right w:val="single" w:sz="5" w:space="0" w:color="000000"/>
            </w:tcBorders>
            <w:vAlign w:val="center"/>
          </w:tcPr>
          <w:p w14:paraId="7BFE0221"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5AA4A752"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79B3CE07"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157</w:t>
            </w:r>
          </w:p>
        </w:tc>
      </w:tr>
      <w:tr w:rsidR="00E04C8A" w14:paraId="365CD2F8" w14:textId="77777777" w:rsidTr="001452D7">
        <w:tc>
          <w:tcPr>
            <w:tcW w:w="3467" w:type="dxa"/>
            <w:tcBorders>
              <w:top w:val="single" w:sz="5" w:space="0" w:color="000000"/>
              <w:left w:val="single" w:sz="5" w:space="0" w:color="000000"/>
              <w:bottom w:val="single" w:sz="5" w:space="0" w:color="000000"/>
              <w:right w:val="single" w:sz="5" w:space="0" w:color="000000"/>
            </w:tcBorders>
            <w:vAlign w:val="center"/>
          </w:tcPr>
          <w:p w14:paraId="007A5750" w14:textId="77777777" w:rsidR="00E04C8A" w:rsidRDefault="008E1817" w:rsidP="00797234">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lastRenderedPageBreak/>
              <w:t>Klinična remisija</w:t>
            </w:r>
          </w:p>
        </w:tc>
        <w:tc>
          <w:tcPr>
            <w:tcW w:w="1417" w:type="dxa"/>
            <w:tcBorders>
              <w:top w:val="single" w:sz="5" w:space="0" w:color="000000"/>
              <w:left w:val="single" w:sz="5" w:space="0" w:color="000000"/>
              <w:bottom w:val="single" w:sz="5" w:space="0" w:color="000000"/>
              <w:right w:val="single" w:sz="5" w:space="0" w:color="000000"/>
            </w:tcBorders>
            <w:vAlign w:val="center"/>
          </w:tcPr>
          <w:p w14:paraId="70744ADD"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17 %</w:t>
            </w:r>
          </w:p>
        </w:tc>
        <w:tc>
          <w:tcPr>
            <w:tcW w:w="1985" w:type="dxa"/>
            <w:tcBorders>
              <w:top w:val="single" w:sz="5" w:space="0" w:color="000000"/>
              <w:left w:val="single" w:sz="5" w:space="0" w:color="000000"/>
              <w:bottom w:val="single" w:sz="5" w:space="0" w:color="000000"/>
              <w:right w:val="single" w:sz="5" w:space="0" w:color="000000"/>
            </w:tcBorders>
            <w:vAlign w:val="center"/>
          </w:tcPr>
          <w:p w14:paraId="3868F6F7"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40 %*</w:t>
            </w:r>
          </w:p>
        </w:tc>
        <w:tc>
          <w:tcPr>
            <w:tcW w:w="2150" w:type="dxa"/>
            <w:tcBorders>
              <w:top w:val="single" w:sz="5" w:space="0" w:color="000000"/>
              <w:left w:val="single" w:sz="5" w:space="0" w:color="000000"/>
              <w:bottom w:val="single" w:sz="5" w:space="0" w:color="000000"/>
              <w:right w:val="single" w:sz="5" w:space="0" w:color="000000"/>
            </w:tcBorders>
            <w:vAlign w:val="center"/>
          </w:tcPr>
          <w:p w14:paraId="2DD7441D"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47 %*</w:t>
            </w:r>
          </w:p>
        </w:tc>
      </w:tr>
      <w:tr w:rsidR="00E04C8A" w14:paraId="20560B1D" w14:textId="77777777" w:rsidTr="001452D7">
        <w:tc>
          <w:tcPr>
            <w:tcW w:w="3467" w:type="dxa"/>
            <w:tcBorders>
              <w:top w:val="single" w:sz="5" w:space="0" w:color="000000"/>
              <w:left w:val="single" w:sz="5" w:space="0" w:color="000000"/>
              <w:bottom w:val="single" w:sz="5" w:space="0" w:color="000000"/>
              <w:right w:val="single" w:sz="5" w:space="0" w:color="000000"/>
            </w:tcBorders>
            <w:vAlign w:val="center"/>
          </w:tcPr>
          <w:p w14:paraId="2216440B" w14:textId="77777777" w:rsidR="00E04C8A" w:rsidRDefault="008E1817" w:rsidP="00797234">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Klinični odziv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4B3D2C91"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27 %</w:t>
            </w:r>
          </w:p>
        </w:tc>
        <w:tc>
          <w:tcPr>
            <w:tcW w:w="1985" w:type="dxa"/>
            <w:tcBorders>
              <w:top w:val="single" w:sz="5" w:space="0" w:color="000000"/>
              <w:left w:val="single" w:sz="5" w:space="0" w:color="000000"/>
              <w:bottom w:val="single" w:sz="5" w:space="0" w:color="000000"/>
              <w:right w:val="single" w:sz="5" w:space="0" w:color="000000"/>
            </w:tcBorders>
            <w:vAlign w:val="center"/>
          </w:tcPr>
          <w:p w14:paraId="04E396F6"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52 %*</w:t>
            </w:r>
          </w:p>
        </w:tc>
        <w:tc>
          <w:tcPr>
            <w:tcW w:w="2150" w:type="dxa"/>
            <w:tcBorders>
              <w:top w:val="single" w:sz="5" w:space="0" w:color="000000"/>
              <w:left w:val="single" w:sz="5" w:space="0" w:color="000000"/>
              <w:bottom w:val="single" w:sz="5" w:space="0" w:color="000000"/>
              <w:right w:val="single" w:sz="5" w:space="0" w:color="000000"/>
            </w:tcBorders>
            <w:vAlign w:val="center"/>
          </w:tcPr>
          <w:p w14:paraId="2A231E81"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52 %*</w:t>
            </w:r>
          </w:p>
        </w:tc>
      </w:tr>
      <w:tr w:rsidR="00E04C8A" w14:paraId="1777DBA0" w14:textId="77777777" w:rsidTr="001452D7">
        <w:tc>
          <w:tcPr>
            <w:tcW w:w="3467" w:type="dxa"/>
            <w:tcBorders>
              <w:top w:val="single" w:sz="5" w:space="0" w:color="000000"/>
              <w:left w:val="single" w:sz="5" w:space="0" w:color="000000"/>
              <w:bottom w:val="single" w:sz="5" w:space="0" w:color="000000"/>
              <w:right w:val="single" w:sz="5" w:space="0" w:color="000000"/>
            </w:tcBorders>
            <w:vAlign w:val="center"/>
          </w:tcPr>
          <w:p w14:paraId="1FF51F9E" w14:textId="5EB709C7" w:rsidR="00E04C8A" w:rsidRDefault="008E1817" w:rsidP="00797234">
            <w:pPr>
              <w:pStyle w:val="TableParagraph"/>
              <w:spacing w:before="40" w:line="240" w:lineRule="exact"/>
              <w:ind w:left="462" w:right="64"/>
              <w:rPr>
                <w:rFonts w:ascii="Times New Roman" w:eastAsia="Times New Roman" w:hAnsi="Times New Roman" w:cs="Times New Roman"/>
                <w:sz w:val="14"/>
                <w:szCs w:val="14"/>
                <w:lang w:val="sl-SI"/>
              </w:rPr>
            </w:pPr>
            <w:r>
              <w:rPr>
                <w:rFonts w:ascii="Times New Roman" w:eastAsia="Times New Roman" w:hAnsi="Times New Roman" w:cs="Times New Roman"/>
                <w:spacing w:val="-1"/>
                <w:lang w:val="sl-SI"/>
              </w:rPr>
              <w:t xml:space="preserve">Bolniki v remisiji brez steroidov za </w:t>
            </w:r>
            <w:r w:rsidR="00306881" w:rsidRPr="00306881">
              <w:rPr>
                <w:rFonts w:ascii="Times New Roman" w:eastAsia="Times New Roman" w:hAnsi="Times New Roman" w:cs="Times New Roman" w:hint="eastAsia"/>
                <w:spacing w:val="-1"/>
                <w:lang w:val="sl-SI"/>
              </w:rPr>
              <w:t>≥</w:t>
            </w:r>
            <w:r w:rsidR="00306881">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90 dni</w:t>
            </w:r>
            <w:r>
              <w:rPr>
                <w:rFonts w:ascii="Times New Roman" w:eastAsia="Times New Roman" w:hAnsi="Times New Roman" w:cs="Times New Roman"/>
                <w:spacing w:val="-1"/>
                <w:vertAlign w:val="superscript"/>
                <w:lang w:val="sl-SI"/>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19CAC033"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3 % (2/66)</w:t>
            </w:r>
          </w:p>
        </w:tc>
        <w:tc>
          <w:tcPr>
            <w:tcW w:w="1985" w:type="dxa"/>
            <w:tcBorders>
              <w:top w:val="single" w:sz="5" w:space="0" w:color="000000"/>
              <w:left w:val="single" w:sz="5" w:space="0" w:color="000000"/>
              <w:bottom w:val="single" w:sz="5" w:space="0" w:color="000000"/>
              <w:right w:val="single" w:sz="5" w:space="0" w:color="000000"/>
            </w:tcBorders>
            <w:vAlign w:val="center"/>
          </w:tcPr>
          <w:p w14:paraId="123C292A"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19 % (11/58)**</w:t>
            </w:r>
          </w:p>
        </w:tc>
        <w:tc>
          <w:tcPr>
            <w:tcW w:w="2150" w:type="dxa"/>
            <w:tcBorders>
              <w:top w:val="single" w:sz="5" w:space="0" w:color="000000"/>
              <w:left w:val="single" w:sz="5" w:space="0" w:color="000000"/>
              <w:bottom w:val="single" w:sz="5" w:space="0" w:color="000000"/>
              <w:right w:val="single" w:sz="5" w:space="0" w:color="000000"/>
            </w:tcBorders>
            <w:vAlign w:val="center"/>
          </w:tcPr>
          <w:p w14:paraId="2903F26C"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15 % (11/74)**</w:t>
            </w:r>
          </w:p>
        </w:tc>
      </w:tr>
      <w:tr w:rsidR="00E04C8A" w14:paraId="32CC23E1" w14:textId="77777777" w:rsidTr="001452D7">
        <w:tc>
          <w:tcPr>
            <w:tcW w:w="3467" w:type="dxa"/>
            <w:tcBorders>
              <w:top w:val="single" w:sz="5" w:space="0" w:color="000000"/>
              <w:left w:val="single" w:sz="5" w:space="0" w:color="000000"/>
              <w:bottom w:val="single" w:sz="5" w:space="0" w:color="000000"/>
              <w:right w:val="single" w:sz="5" w:space="0" w:color="000000"/>
            </w:tcBorders>
            <w:vAlign w:val="center"/>
          </w:tcPr>
          <w:p w14:paraId="6C313A0D" w14:textId="77777777" w:rsidR="00E04C8A" w:rsidRDefault="008E1817" w:rsidP="00797234">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b/>
                <w:bCs/>
                <w:lang w:val="sl-SI"/>
              </w:rPr>
              <w:t>56. teden</w:t>
            </w:r>
          </w:p>
        </w:tc>
        <w:tc>
          <w:tcPr>
            <w:tcW w:w="1417" w:type="dxa"/>
            <w:tcBorders>
              <w:top w:val="single" w:sz="5" w:space="0" w:color="000000"/>
              <w:left w:val="single" w:sz="5" w:space="0" w:color="000000"/>
              <w:bottom w:val="single" w:sz="5" w:space="0" w:color="000000"/>
              <w:right w:val="single" w:sz="5" w:space="0" w:color="000000"/>
            </w:tcBorders>
            <w:vAlign w:val="center"/>
          </w:tcPr>
          <w:p w14:paraId="378CF604"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35C6C382"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254713B7"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157</w:t>
            </w:r>
          </w:p>
        </w:tc>
      </w:tr>
      <w:tr w:rsidR="00E04C8A" w14:paraId="531133B5" w14:textId="77777777" w:rsidTr="001452D7">
        <w:tc>
          <w:tcPr>
            <w:tcW w:w="3467" w:type="dxa"/>
            <w:tcBorders>
              <w:top w:val="single" w:sz="5" w:space="0" w:color="000000"/>
              <w:left w:val="single" w:sz="5" w:space="0" w:color="000000"/>
              <w:bottom w:val="single" w:sz="5" w:space="0" w:color="000000"/>
              <w:right w:val="single" w:sz="5" w:space="0" w:color="000000"/>
            </w:tcBorders>
            <w:vAlign w:val="center"/>
          </w:tcPr>
          <w:p w14:paraId="5C8944C1" w14:textId="77777777" w:rsidR="00E04C8A" w:rsidRDefault="008E1817" w:rsidP="00797234">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Klinična remisija</w:t>
            </w:r>
          </w:p>
        </w:tc>
        <w:tc>
          <w:tcPr>
            <w:tcW w:w="1417" w:type="dxa"/>
            <w:tcBorders>
              <w:top w:val="single" w:sz="5" w:space="0" w:color="000000"/>
              <w:left w:val="single" w:sz="5" w:space="0" w:color="000000"/>
              <w:bottom w:val="single" w:sz="5" w:space="0" w:color="000000"/>
              <w:right w:val="single" w:sz="5" w:space="0" w:color="000000"/>
            </w:tcBorders>
            <w:vAlign w:val="center"/>
          </w:tcPr>
          <w:p w14:paraId="191F8E09"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12 %</w:t>
            </w:r>
          </w:p>
        </w:tc>
        <w:tc>
          <w:tcPr>
            <w:tcW w:w="1985" w:type="dxa"/>
            <w:tcBorders>
              <w:top w:val="single" w:sz="5" w:space="0" w:color="000000"/>
              <w:left w:val="single" w:sz="5" w:space="0" w:color="000000"/>
              <w:bottom w:val="single" w:sz="5" w:space="0" w:color="000000"/>
              <w:right w:val="single" w:sz="5" w:space="0" w:color="000000"/>
            </w:tcBorders>
            <w:vAlign w:val="center"/>
          </w:tcPr>
          <w:p w14:paraId="6A98B4A7" w14:textId="77777777" w:rsidR="00E04C8A" w:rsidRDefault="008E1817" w:rsidP="00B11B84">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36</w:t>
            </w:r>
            <w:r w:rsidR="00F910FC">
              <w:rPr>
                <w:rFonts w:ascii="Times New Roman" w:eastAsia="Times New Roman" w:hAnsi="Times New Roman" w:cs="Times New Roman"/>
                <w:lang w:val="sl-SI"/>
              </w:rPr>
              <w:t> </w:t>
            </w:r>
            <w:r>
              <w:rPr>
                <w:rFonts w:ascii="Times New Roman" w:eastAsia="Times New Roman" w:hAnsi="Times New Roman" w:cs="Times New Roman"/>
                <w:lang w:val="sl-SI"/>
              </w:rPr>
              <w:t>%*</w:t>
            </w:r>
          </w:p>
        </w:tc>
        <w:tc>
          <w:tcPr>
            <w:tcW w:w="2150" w:type="dxa"/>
            <w:tcBorders>
              <w:top w:val="single" w:sz="5" w:space="0" w:color="000000"/>
              <w:left w:val="single" w:sz="5" w:space="0" w:color="000000"/>
              <w:bottom w:val="single" w:sz="5" w:space="0" w:color="000000"/>
              <w:right w:val="single" w:sz="5" w:space="0" w:color="000000"/>
            </w:tcBorders>
            <w:vAlign w:val="center"/>
          </w:tcPr>
          <w:p w14:paraId="7F574C25"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41 %*</w:t>
            </w:r>
          </w:p>
        </w:tc>
      </w:tr>
      <w:tr w:rsidR="00E04C8A" w14:paraId="3CD0E8B2" w14:textId="77777777" w:rsidTr="001452D7">
        <w:tc>
          <w:tcPr>
            <w:tcW w:w="3467" w:type="dxa"/>
            <w:tcBorders>
              <w:top w:val="single" w:sz="5" w:space="0" w:color="000000"/>
              <w:left w:val="single" w:sz="5" w:space="0" w:color="000000"/>
              <w:bottom w:val="single" w:sz="5" w:space="0" w:color="000000"/>
              <w:right w:val="single" w:sz="5" w:space="0" w:color="000000"/>
            </w:tcBorders>
            <w:vAlign w:val="center"/>
          </w:tcPr>
          <w:p w14:paraId="55F981CA" w14:textId="77777777" w:rsidR="00E04C8A" w:rsidRDefault="008E1817" w:rsidP="00797234">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Klinični odziv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5FF516D2"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17 %</w:t>
            </w:r>
          </w:p>
        </w:tc>
        <w:tc>
          <w:tcPr>
            <w:tcW w:w="1985" w:type="dxa"/>
            <w:tcBorders>
              <w:top w:val="single" w:sz="5" w:space="0" w:color="000000"/>
              <w:left w:val="single" w:sz="5" w:space="0" w:color="000000"/>
              <w:bottom w:val="single" w:sz="5" w:space="0" w:color="000000"/>
              <w:right w:val="single" w:sz="5" w:space="0" w:color="000000"/>
            </w:tcBorders>
            <w:vAlign w:val="center"/>
          </w:tcPr>
          <w:p w14:paraId="58795A78"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41 %*</w:t>
            </w:r>
          </w:p>
        </w:tc>
        <w:tc>
          <w:tcPr>
            <w:tcW w:w="2150" w:type="dxa"/>
            <w:tcBorders>
              <w:top w:val="single" w:sz="5" w:space="0" w:color="000000"/>
              <w:left w:val="single" w:sz="5" w:space="0" w:color="000000"/>
              <w:bottom w:val="single" w:sz="5" w:space="0" w:color="000000"/>
              <w:right w:val="single" w:sz="5" w:space="0" w:color="000000"/>
            </w:tcBorders>
            <w:vAlign w:val="center"/>
          </w:tcPr>
          <w:p w14:paraId="429081D0"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48 %*</w:t>
            </w:r>
          </w:p>
        </w:tc>
      </w:tr>
      <w:tr w:rsidR="00E04C8A" w14:paraId="5B912680" w14:textId="77777777" w:rsidTr="001452D7">
        <w:tc>
          <w:tcPr>
            <w:tcW w:w="3467" w:type="dxa"/>
            <w:tcBorders>
              <w:top w:val="single" w:sz="5" w:space="0" w:color="000000"/>
              <w:left w:val="single" w:sz="5" w:space="0" w:color="000000"/>
              <w:bottom w:val="single" w:sz="5" w:space="0" w:color="000000"/>
              <w:right w:val="single" w:sz="5" w:space="0" w:color="000000"/>
            </w:tcBorders>
            <w:vAlign w:val="center"/>
          </w:tcPr>
          <w:p w14:paraId="357BD03A" w14:textId="2EFF0E21" w:rsidR="00E04C8A" w:rsidRDefault="008E1817" w:rsidP="00797234">
            <w:pPr>
              <w:pStyle w:val="TableParagraph"/>
              <w:spacing w:before="40" w:line="240" w:lineRule="exact"/>
              <w:ind w:left="462" w:right="64"/>
              <w:rPr>
                <w:rFonts w:ascii="Times New Roman" w:eastAsia="Times New Roman" w:hAnsi="Times New Roman" w:cs="Times New Roman"/>
                <w:sz w:val="14"/>
                <w:szCs w:val="14"/>
                <w:lang w:val="sl-SI"/>
              </w:rPr>
            </w:pPr>
            <w:r>
              <w:rPr>
                <w:rFonts w:ascii="Times New Roman" w:eastAsia="Times New Roman" w:hAnsi="Times New Roman" w:cs="Times New Roman"/>
                <w:spacing w:val="-1"/>
                <w:lang w:val="sl-SI"/>
              </w:rPr>
              <w:t xml:space="preserve">Bolniki v remisiji brez steroidov za </w:t>
            </w:r>
            <w:r w:rsidR="00306881" w:rsidRPr="00306881">
              <w:rPr>
                <w:rFonts w:ascii="Times New Roman" w:eastAsia="Times New Roman" w:hAnsi="Times New Roman" w:cs="Times New Roman" w:hint="eastAsia"/>
                <w:spacing w:val="-1"/>
                <w:lang w:val="sl-SI"/>
              </w:rPr>
              <w:t>≥</w:t>
            </w:r>
            <w:r w:rsidR="00306881">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90 dni</w:t>
            </w:r>
            <w:r>
              <w:rPr>
                <w:rFonts w:ascii="Times New Roman" w:eastAsia="Times New Roman" w:hAnsi="Times New Roman" w:cs="Times New Roman"/>
                <w:spacing w:val="-1"/>
                <w:vertAlign w:val="superscript"/>
                <w:lang w:val="sl-SI"/>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69F0198F"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5 % (3/66)</w:t>
            </w:r>
          </w:p>
        </w:tc>
        <w:tc>
          <w:tcPr>
            <w:tcW w:w="1985" w:type="dxa"/>
            <w:tcBorders>
              <w:top w:val="single" w:sz="5" w:space="0" w:color="000000"/>
              <w:left w:val="single" w:sz="5" w:space="0" w:color="000000"/>
              <w:bottom w:val="single" w:sz="5" w:space="0" w:color="000000"/>
              <w:right w:val="single" w:sz="5" w:space="0" w:color="000000"/>
            </w:tcBorders>
            <w:vAlign w:val="center"/>
          </w:tcPr>
          <w:p w14:paraId="3B1170A5"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29 % (17/58)*</w:t>
            </w:r>
          </w:p>
        </w:tc>
        <w:tc>
          <w:tcPr>
            <w:tcW w:w="2150" w:type="dxa"/>
            <w:tcBorders>
              <w:top w:val="single" w:sz="5" w:space="0" w:color="000000"/>
              <w:left w:val="single" w:sz="5" w:space="0" w:color="000000"/>
              <w:bottom w:val="single" w:sz="5" w:space="0" w:color="000000"/>
              <w:right w:val="single" w:sz="5" w:space="0" w:color="000000"/>
            </w:tcBorders>
            <w:vAlign w:val="center"/>
          </w:tcPr>
          <w:p w14:paraId="271B40C9" w14:textId="77777777" w:rsidR="00E04C8A" w:rsidRDefault="008E181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20 % (15/74)**</w:t>
            </w:r>
          </w:p>
        </w:tc>
      </w:tr>
    </w:tbl>
    <w:p w14:paraId="6A7EE147" w14:textId="77777777" w:rsidR="00E04C8A" w:rsidRDefault="008E1817" w:rsidP="00721C46">
      <w:pPr>
        <w:pStyle w:val="a3"/>
        <w:ind w:leftChars="100" w:left="220"/>
        <w:rPr>
          <w:lang w:val="sl-SI"/>
        </w:rPr>
      </w:pPr>
      <w:r>
        <w:rPr>
          <w:rFonts w:eastAsia="Times New Roman"/>
          <w:lang w:val="sl-SI"/>
        </w:rPr>
        <w:t xml:space="preserve">*p &lt; 0,001 za parne primerjave deležev med adalimumabom in placebom </w:t>
      </w:r>
    </w:p>
    <w:p w14:paraId="20954666" w14:textId="77777777" w:rsidR="00E04C8A" w:rsidRDefault="008E1817" w:rsidP="00721C46">
      <w:pPr>
        <w:pStyle w:val="a3"/>
        <w:ind w:leftChars="100" w:left="220"/>
        <w:rPr>
          <w:lang w:val="sl-SI"/>
        </w:rPr>
      </w:pPr>
      <w:r>
        <w:rPr>
          <w:rFonts w:eastAsia="Times New Roman"/>
          <w:lang w:val="sl-SI"/>
        </w:rPr>
        <w:t xml:space="preserve">**p &lt; 0,02 za parne primerjave deležev med adalimumabom in placebom </w:t>
      </w:r>
    </w:p>
    <w:p w14:paraId="19BA7639" w14:textId="77777777" w:rsidR="00E04C8A" w:rsidRDefault="008E1817" w:rsidP="00721C46">
      <w:pPr>
        <w:pStyle w:val="a3"/>
        <w:ind w:leftChars="100" w:left="220"/>
        <w:rPr>
          <w:lang w:val="sl-SI"/>
        </w:rPr>
      </w:pPr>
      <w:r>
        <w:rPr>
          <w:rFonts w:eastAsia="Times New Roman"/>
          <w:position w:val="8"/>
          <w:vertAlign w:val="superscript"/>
          <w:lang w:val="sl-SI"/>
        </w:rPr>
        <w:t>a</w:t>
      </w:r>
      <w:r>
        <w:rPr>
          <w:rFonts w:eastAsia="Times New Roman"/>
          <w:position w:val="8"/>
          <w:sz w:val="14"/>
          <w:szCs w:val="14"/>
          <w:lang w:val="sl-SI"/>
        </w:rPr>
        <w:t xml:space="preserve"> </w:t>
      </w:r>
      <w:r>
        <w:rPr>
          <w:rFonts w:eastAsia="Times New Roman"/>
          <w:position w:val="8"/>
          <w:lang w:val="sl-SI"/>
        </w:rPr>
        <w:t>Od tistih, ki so izhodiščno dobivali kortikosteroide.</w:t>
      </w:r>
    </w:p>
    <w:p w14:paraId="215620E8" w14:textId="77777777" w:rsidR="00E04C8A" w:rsidRDefault="00E04C8A">
      <w:pPr>
        <w:pStyle w:val="a3"/>
        <w:rPr>
          <w:lang w:val="sl-SI"/>
        </w:rPr>
      </w:pPr>
    </w:p>
    <w:p w14:paraId="0039209A" w14:textId="77777777" w:rsidR="00E04C8A" w:rsidRDefault="008E1817">
      <w:pPr>
        <w:pStyle w:val="a3"/>
        <w:rPr>
          <w:lang w:val="sl-SI"/>
        </w:rPr>
      </w:pPr>
      <w:r>
        <w:rPr>
          <w:rFonts w:eastAsia="Times New Roman"/>
          <w:spacing w:val="1"/>
          <w:lang w:val="sl-SI"/>
        </w:rPr>
        <w:t>Med bolniki, ki so bili 4. teden brez odziva, se je do 12. tedna odzvalo 43 % tistih, ki so vzdrževalno dobivali adalimumab, in 30 % tistih, ki so vzdrževalno dobivali placebo. To kaže, da lahko nadaljnje zdravljenje do 12. tedna koristi nekaterim bolnikom, ki se ne odzovejo do 4. tedna. Zdravljenje prek 12. tedna ni prineslo značilno več odzivov (glejte poglavje 4.2).</w:t>
      </w:r>
    </w:p>
    <w:p w14:paraId="2AA46FE4" w14:textId="77777777" w:rsidR="00E04C8A" w:rsidRDefault="00E04C8A">
      <w:pPr>
        <w:pStyle w:val="a3"/>
        <w:rPr>
          <w:lang w:val="sl-SI"/>
        </w:rPr>
      </w:pPr>
    </w:p>
    <w:p w14:paraId="01653D4C" w14:textId="77777777" w:rsidR="00E04C8A" w:rsidRDefault="008E1817">
      <w:pPr>
        <w:pStyle w:val="a3"/>
        <w:rPr>
          <w:lang w:val="sl-SI"/>
        </w:rPr>
      </w:pPr>
      <w:r>
        <w:rPr>
          <w:rFonts w:eastAsia="Times New Roman"/>
          <w:lang w:val="sl-SI"/>
        </w:rPr>
        <w:t>Med odprtim obdobjem zdravljenja z adalimumabom so vsaj 3 leta spremljali 117/276 bolnikov iz študije Crohnove bolezni I ter 272/777 bolnikov iz študij Crohnove bolezni II in III. Klinična remisija se je nadaljevala pri 88 od prvih in pri 189 od drugih bolnikov. Klinični odziv (CR-100) se je ohranil pri 102 od prvih in 233 od drugih bolnikov.</w:t>
      </w:r>
    </w:p>
    <w:p w14:paraId="23ED48B4" w14:textId="77777777" w:rsidR="00E04C8A" w:rsidRDefault="00E04C8A">
      <w:pPr>
        <w:pStyle w:val="a3"/>
        <w:rPr>
          <w:lang w:val="sl-SI"/>
        </w:rPr>
      </w:pPr>
    </w:p>
    <w:p w14:paraId="610AEECB" w14:textId="77777777" w:rsidR="00E04C8A" w:rsidRDefault="008E1817">
      <w:pPr>
        <w:pStyle w:val="a3"/>
        <w:rPr>
          <w:rFonts w:eastAsia="Times New Roman"/>
          <w:lang w:val="sl-SI"/>
        </w:rPr>
      </w:pPr>
      <w:r>
        <w:rPr>
          <w:rFonts w:eastAsia="Times New Roman"/>
          <w:i/>
          <w:iCs/>
          <w:spacing w:val="-1"/>
          <w:u w:val="single" w:color="000000"/>
          <w:lang w:val="sl-SI"/>
        </w:rPr>
        <w:t>Kakovost življenja</w:t>
      </w:r>
    </w:p>
    <w:p w14:paraId="7B77B912" w14:textId="77777777" w:rsidR="00E04C8A" w:rsidRDefault="00E04C8A">
      <w:pPr>
        <w:pStyle w:val="a3"/>
        <w:rPr>
          <w:sz w:val="18"/>
          <w:szCs w:val="18"/>
          <w:lang w:val="sl-SI"/>
        </w:rPr>
      </w:pPr>
    </w:p>
    <w:p w14:paraId="3B03EF76" w14:textId="77777777" w:rsidR="00E04C8A" w:rsidRDefault="008E1817">
      <w:pPr>
        <w:pStyle w:val="a3"/>
        <w:rPr>
          <w:lang w:val="sl-SI"/>
        </w:rPr>
      </w:pPr>
      <w:r>
        <w:rPr>
          <w:rFonts w:eastAsia="Times New Roman"/>
          <w:lang w:val="sl-SI"/>
        </w:rPr>
        <w:t>Študiji pri Crohnovi bolezni I in II sta pokazali statistično značilno izboljšanje celotnega seštevka po vprašalniku IBDQ (vprašalnik, specifičen za vnetno bolezen črevesa) do 4. tedna pri bolnikih, randomiziranih na shemi z adalimumabom 80/40 mg in 160/80 mg, v primerjavi s placebom; razliko 26. in 56. teden je v skupinah, zdravljenih z adalimumabom, v primerjavi s placebom pokazala tudi študija pri Crohnovi bolezni III.</w:t>
      </w:r>
    </w:p>
    <w:p w14:paraId="2F126999" w14:textId="77777777" w:rsidR="00E04C8A" w:rsidRDefault="00E04C8A">
      <w:pPr>
        <w:pStyle w:val="a3"/>
        <w:rPr>
          <w:lang w:val="sl-SI"/>
        </w:rPr>
      </w:pPr>
    </w:p>
    <w:p w14:paraId="7069DB2F" w14:textId="77777777" w:rsidR="00E04C8A" w:rsidRDefault="008E1817">
      <w:pPr>
        <w:pStyle w:val="a3"/>
        <w:rPr>
          <w:rFonts w:eastAsia="Times New Roman"/>
          <w:lang w:val="sl-SI"/>
        </w:rPr>
      </w:pPr>
      <w:r>
        <w:rPr>
          <w:rFonts w:eastAsia="Times New Roman"/>
          <w:i/>
          <w:iCs/>
          <w:spacing w:val="-1"/>
          <w:lang w:val="sl-SI"/>
        </w:rPr>
        <w:t>Ulcerozni kolitis</w:t>
      </w:r>
    </w:p>
    <w:p w14:paraId="280A9AA7" w14:textId="77777777" w:rsidR="00E04C8A" w:rsidRDefault="00E04C8A">
      <w:pPr>
        <w:pStyle w:val="a3"/>
        <w:rPr>
          <w:lang w:val="sl-SI"/>
        </w:rPr>
      </w:pPr>
    </w:p>
    <w:p w14:paraId="39DBC6D2" w14:textId="77777777" w:rsidR="00E04C8A" w:rsidRDefault="008E1817">
      <w:pPr>
        <w:pStyle w:val="a3"/>
        <w:rPr>
          <w:lang w:val="sl-SI"/>
        </w:rPr>
      </w:pPr>
      <w:r>
        <w:rPr>
          <w:rFonts w:eastAsia="Times New Roman"/>
          <w:lang w:val="sl-SI"/>
        </w:rPr>
        <w:t>Varnost in učinkovitost večkratnih odmerkov adalimumaba so ocenili pri odraslih z zmerno do hudo aktivnim ulceroznim kolitisom (ocena Mayo od 6 do 12 z endoskopsko podoceno 2 do 3) v randomiziranih, dvojno slepih, s placebom kontroliranih študijah.</w:t>
      </w:r>
    </w:p>
    <w:p w14:paraId="3F672B13" w14:textId="77777777" w:rsidR="00E04C8A" w:rsidRDefault="00E04C8A">
      <w:pPr>
        <w:pStyle w:val="a3"/>
        <w:rPr>
          <w:lang w:val="sl-SI"/>
        </w:rPr>
      </w:pPr>
    </w:p>
    <w:p w14:paraId="73EC47FF" w14:textId="23345B09" w:rsidR="00E04C8A" w:rsidRDefault="008E1817">
      <w:pPr>
        <w:pStyle w:val="a3"/>
        <w:rPr>
          <w:lang w:val="sl-SI"/>
        </w:rPr>
      </w:pPr>
      <w:r>
        <w:rPr>
          <w:rFonts w:eastAsia="Times New Roman"/>
          <w:lang w:val="sl-SI"/>
        </w:rPr>
        <w:t>V študiji UC-I so 390 bolnikov, ki še niso prejemali antagonista TNF, randomizirali bodisi na placebo 0. in 2. teden, na adalimumab 160 mg 0. teden in 80 mg 2. teden, ali na 80 mg 0. teden in 40 mg 2. teden. Po 2. tednu so bolniki v obeh krakih z adalimumabom prejemali 40 mg vsak drugi teden. Klinično remisijo (opredeljeno kot ocena Mayo ≤ 2 in nobena podocena &gt; 1) so ocenili 8. teden.</w:t>
      </w:r>
    </w:p>
    <w:p w14:paraId="4A930882" w14:textId="77777777" w:rsidR="00E04C8A" w:rsidRDefault="00E04C8A">
      <w:pPr>
        <w:pStyle w:val="a3"/>
        <w:rPr>
          <w:lang w:val="sl-SI"/>
        </w:rPr>
      </w:pPr>
    </w:p>
    <w:p w14:paraId="05BA3B45" w14:textId="77777777" w:rsidR="00E04C8A" w:rsidRDefault="008E1817">
      <w:pPr>
        <w:pStyle w:val="a3"/>
        <w:rPr>
          <w:lang w:val="sl-SI"/>
        </w:rPr>
      </w:pPr>
      <w:r>
        <w:rPr>
          <w:rFonts w:eastAsia="Times New Roman"/>
          <w:lang w:val="sl-SI"/>
        </w:rPr>
        <w:t>V študiji UC-II je 248 bolnikov dobilo 160 mg adalimumaba 0. teden, 80 mg 2. teden in nato 40 mg vsak drugi teden, 246 bolnikov pa je dobivalo placebo. Klinične rezultate so ocenili glede indukcije remisije 8. teden in glede ohranitve remisije 52. teden.</w:t>
      </w:r>
    </w:p>
    <w:p w14:paraId="548089F3" w14:textId="77777777" w:rsidR="00E04C8A" w:rsidRDefault="00E04C8A">
      <w:pPr>
        <w:pStyle w:val="a3"/>
        <w:rPr>
          <w:lang w:val="sl-SI"/>
        </w:rPr>
      </w:pPr>
    </w:p>
    <w:p w14:paraId="62391ED8" w14:textId="77777777" w:rsidR="00E04C8A" w:rsidRDefault="008E1817">
      <w:pPr>
        <w:pStyle w:val="a3"/>
        <w:rPr>
          <w:lang w:val="sl-SI"/>
        </w:rPr>
      </w:pPr>
      <w:r>
        <w:rPr>
          <w:rFonts w:eastAsia="Times New Roman"/>
          <w:lang w:val="sl-SI"/>
        </w:rPr>
        <w:t>Bolniki, ki so za indukcijo dobili 160/80 mg adalimumaba, so 8. teden v primerjavi s placebom dosegli klinično remisijo v statistično značilno večjem odstotku tako v študiji UC-I (18 % v primerjavi z 9 %, p = 0,031) kot v študiji UC-II (17 % v primerjavi z 9 %, p = 0,019). V študiji UC-II je bilo 21/41 bolnikov (51 %), ki so bili zdravljeni z adalimumabom in so dosegli remisijo 8. teden, v remisiji 52. teden.</w:t>
      </w:r>
    </w:p>
    <w:p w14:paraId="44613011" w14:textId="77777777" w:rsidR="00E04C8A" w:rsidRDefault="00E04C8A">
      <w:pPr>
        <w:spacing w:before="13" w:line="240" w:lineRule="exact"/>
        <w:rPr>
          <w:sz w:val="24"/>
          <w:szCs w:val="24"/>
          <w:lang w:val="sl-SI"/>
        </w:rPr>
      </w:pPr>
    </w:p>
    <w:p w14:paraId="5F7DCFB8" w14:textId="7BE16D41" w:rsidR="00E04C8A" w:rsidRDefault="008E1817">
      <w:pPr>
        <w:pStyle w:val="a3"/>
        <w:rPr>
          <w:lang w:val="sl-SI"/>
        </w:rPr>
      </w:pPr>
      <w:r>
        <w:rPr>
          <w:rFonts w:eastAsia="Times New Roman"/>
          <w:lang w:val="sl-SI"/>
        </w:rPr>
        <w:t>Rezultate celotne populacije v študiji UC-II prikazuje preglednica </w:t>
      </w:r>
      <w:r w:rsidR="00025C33">
        <w:rPr>
          <w:rFonts w:eastAsia="Times New Roman"/>
          <w:lang w:val="sl-SI"/>
        </w:rPr>
        <w:t>23</w:t>
      </w:r>
      <w:r>
        <w:rPr>
          <w:rFonts w:eastAsia="Times New Roman"/>
          <w:lang w:val="sl-SI"/>
        </w:rPr>
        <w:t>.</w:t>
      </w:r>
    </w:p>
    <w:p w14:paraId="7896B3FC" w14:textId="77777777" w:rsidR="00E04C8A" w:rsidRDefault="00E04C8A">
      <w:pPr>
        <w:rPr>
          <w:rFonts w:ascii="Times New Roman" w:hAnsi="Times New Roman" w:cs="Times New Roman"/>
          <w:lang w:val="sl-SI"/>
        </w:rPr>
      </w:pPr>
    </w:p>
    <w:p w14:paraId="4883CB33" w14:textId="12294E47" w:rsidR="00E04C8A" w:rsidRDefault="008E1817">
      <w:pPr>
        <w:pStyle w:val="a3"/>
        <w:jc w:val="center"/>
        <w:rPr>
          <w:b/>
          <w:lang w:val="sl-SI"/>
        </w:rPr>
      </w:pPr>
      <w:r>
        <w:rPr>
          <w:rFonts w:eastAsia="Times New Roman"/>
          <w:b/>
          <w:bCs/>
          <w:lang w:val="sl-SI"/>
        </w:rPr>
        <w:lastRenderedPageBreak/>
        <w:t>Preglednica </w:t>
      </w:r>
      <w:r w:rsidR="00025C33">
        <w:rPr>
          <w:rFonts w:eastAsia="Times New Roman"/>
          <w:b/>
          <w:bCs/>
          <w:lang w:val="sl-SI"/>
        </w:rPr>
        <w:t>23</w:t>
      </w:r>
      <w:r>
        <w:rPr>
          <w:rFonts w:eastAsia="Times New Roman"/>
          <w:b/>
          <w:bCs/>
          <w:lang w:val="sl-SI"/>
        </w:rPr>
        <w:t>.</w:t>
      </w:r>
    </w:p>
    <w:p w14:paraId="031738BA" w14:textId="77777777" w:rsidR="00E04C8A" w:rsidRDefault="008E1817">
      <w:pPr>
        <w:pStyle w:val="a3"/>
        <w:jc w:val="center"/>
        <w:rPr>
          <w:b/>
          <w:lang w:val="sl-SI"/>
        </w:rPr>
      </w:pPr>
      <w:r>
        <w:rPr>
          <w:rFonts w:eastAsia="Times New Roman"/>
          <w:b/>
          <w:bCs/>
          <w:lang w:val="sl-SI"/>
        </w:rPr>
        <w:t>Odziv, remisija in celjenje sluznice v študiji UC-II</w:t>
      </w:r>
    </w:p>
    <w:p w14:paraId="55767C75" w14:textId="1EAC4093" w:rsidR="00E04C8A" w:rsidRDefault="008E1817">
      <w:pPr>
        <w:pStyle w:val="a3"/>
        <w:jc w:val="center"/>
        <w:rPr>
          <w:b/>
          <w:lang w:val="sl-SI"/>
        </w:rPr>
      </w:pPr>
      <w:r>
        <w:rPr>
          <w:rFonts w:eastAsia="Times New Roman"/>
          <w:b/>
          <w:bCs/>
          <w:lang w:val="sl-SI"/>
        </w:rPr>
        <w:t>Odstotek bolnikov</w:t>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9"/>
        <w:gridCol w:w="3130"/>
        <w:gridCol w:w="3191"/>
      </w:tblGrid>
      <w:tr w:rsidR="00E04C8A" w14:paraId="4A480B19" w14:textId="77777777" w:rsidTr="001452D7">
        <w:trPr>
          <w:jc w:val="center"/>
        </w:trPr>
        <w:tc>
          <w:tcPr>
            <w:tcW w:w="2849" w:type="dxa"/>
            <w:tcBorders>
              <w:top w:val="single" w:sz="4" w:space="0" w:color="auto"/>
              <w:bottom w:val="single" w:sz="4" w:space="0" w:color="auto"/>
            </w:tcBorders>
            <w:vAlign w:val="center"/>
          </w:tcPr>
          <w:p w14:paraId="3D9188DE" w14:textId="77777777" w:rsidR="00E04C8A" w:rsidRDefault="00E04C8A">
            <w:pPr>
              <w:pStyle w:val="a3"/>
              <w:jc w:val="center"/>
              <w:rPr>
                <w:b/>
                <w:lang w:val="sl-SI"/>
              </w:rPr>
            </w:pPr>
          </w:p>
        </w:tc>
        <w:tc>
          <w:tcPr>
            <w:tcW w:w="3130" w:type="dxa"/>
            <w:tcBorders>
              <w:top w:val="single" w:sz="4" w:space="0" w:color="auto"/>
              <w:bottom w:val="single" w:sz="4" w:space="0" w:color="auto"/>
            </w:tcBorders>
            <w:vAlign w:val="center"/>
          </w:tcPr>
          <w:p w14:paraId="133C89DD" w14:textId="77777777" w:rsidR="00E04C8A" w:rsidRDefault="008E1817">
            <w:pPr>
              <w:pStyle w:val="a3"/>
              <w:jc w:val="center"/>
              <w:rPr>
                <w:b/>
                <w:lang w:val="sl-SI"/>
              </w:rPr>
            </w:pPr>
            <w:r>
              <w:rPr>
                <w:rFonts w:eastAsia="Times New Roman"/>
                <w:b/>
                <w:bCs/>
                <w:lang w:val="sl-SI"/>
              </w:rPr>
              <w:t>Placebo</w:t>
            </w:r>
          </w:p>
        </w:tc>
        <w:tc>
          <w:tcPr>
            <w:tcW w:w="3191" w:type="dxa"/>
            <w:tcBorders>
              <w:top w:val="single" w:sz="4" w:space="0" w:color="auto"/>
              <w:bottom w:val="single" w:sz="4" w:space="0" w:color="auto"/>
            </w:tcBorders>
            <w:vAlign w:val="center"/>
          </w:tcPr>
          <w:p w14:paraId="14819544" w14:textId="77777777" w:rsidR="00E04C8A" w:rsidRDefault="008E1817">
            <w:pPr>
              <w:pStyle w:val="a3"/>
              <w:jc w:val="center"/>
              <w:rPr>
                <w:b/>
                <w:lang w:val="sl-SI"/>
              </w:rPr>
            </w:pPr>
            <w:r>
              <w:rPr>
                <w:rFonts w:eastAsia="Times New Roman"/>
                <w:b/>
                <w:bCs/>
                <w:spacing w:val="-1"/>
                <w:lang w:val="sl-SI"/>
              </w:rPr>
              <w:t>Adalimumab 40 mg vsak 2. teden</w:t>
            </w:r>
          </w:p>
        </w:tc>
      </w:tr>
      <w:tr w:rsidR="00E04C8A" w14:paraId="57988167" w14:textId="77777777" w:rsidTr="001452D7">
        <w:trPr>
          <w:jc w:val="center"/>
        </w:trPr>
        <w:tc>
          <w:tcPr>
            <w:tcW w:w="2849" w:type="dxa"/>
            <w:tcBorders>
              <w:top w:val="single" w:sz="4" w:space="0" w:color="auto"/>
              <w:bottom w:val="single" w:sz="4" w:space="0" w:color="auto"/>
            </w:tcBorders>
            <w:vAlign w:val="center"/>
          </w:tcPr>
          <w:p w14:paraId="48DE9D2A" w14:textId="77777777" w:rsidR="00E04C8A" w:rsidRDefault="008E1817">
            <w:pPr>
              <w:pStyle w:val="a3"/>
              <w:jc w:val="both"/>
              <w:rPr>
                <w:b/>
                <w:lang w:val="sl-SI"/>
              </w:rPr>
            </w:pPr>
            <w:r>
              <w:rPr>
                <w:rFonts w:eastAsia="Times New Roman"/>
                <w:lang w:val="sl-SI"/>
              </w:rPr>
              <w:t>52. teden</w:t>
            </w:r>
          </w:p>
        </w:tc>
        <w:tc>
          <w:tcPr>
            <w:tcW w:w="3130" w:type="dxa"/>
            <w:tcBorders>
              <w:top w:val="single" w:sz="4" w:space="0" w:color="auto"/>
              <w:bottom w:val="single" w:sz="4" w:space="0" w:color="auto"/>
            </w:tcBorders>
            <w:vAlign w:val="center"/>
          </w:tcPr>
          <w:p w14:paraId="1F40415B" w14:textId="77777777" w:rsidR="00E04C8A" w:rsidRDefault="008E1817">
            <w:pPr>
              <w:pStyle w:val="a3"/>
              <w:jc w:val="center"/>
              <w:rPr>
                <w:b/>
                <w:lang w:val="sl-SI"/>
              </w:rPr>
            </w:pPr>
            <w:r>
              <w:rPr>
                <w:rFonts w:eastAsia="Times New Roman"/>
                <w:b/>
                <w:bCs/>
                <w:spacing w:val="-1"/>
                <w:lang w:val="sl-SI"/>
              </w:rPr>
              <w:t>N = 246</w:t>
            </w:r>
          </w:p>
        </w:tc>
        <w:tc>
          <w:tcPr>
            <w:tcW w:w="3191" w:type="dxa"/>
            <w:tcBorders>
              <w:top w:val="single" w:sz="4" w:space="0" w:color="auto"/>
              <w:bottom w:val="single" w:sz="4" w:space="0" w:color="auto"/>
            </w:tcBorders>
            <w:vAlign w:val="center"/>
          </w:tcPr>
          <w:p w14:paraId="7F180583" w14:textId="77777777" w:rsidR="00E04C8A" w:rsidRDefault="008E1817">
            <w:pPr>
              <w:pStyle w:val="a3"/>
              <w:jc w:val="center"/>
              <w:rPr>
                <w:b/>
                <w:lang w:val="sl-SI"/>
              </w:rPr>
            </w:pPr>
            <w:r>
              <w:rPr>
                <w:rFonts w:eastAsia="Times New Roman"/>
                <w:b/>
                <w:bCs/>
                <w:spacing w:val="-1"/>
                <w:lang w:val="sl-SI"/>
              </w:rPr>
              <w:t>N = 248</w:t>
            </w:r>
          </w:p>
        </w:tc>
      </w:tr>
      <w:tr w:rsidR="00E04C8A" w14:paraId="53F660C9" w14:textId="77777777" w:rsidTr="001452D7">
        <w:trPr>
          <w:jc w:val="center"/>
        </w:trPr>
        <w:tc>
          <w:tcPr>
            <w:tcW w:w="2849" w:type="dxa"/>
            <w:tcBorders>
              <w:top w:val="single" w:sz="4" w:space="0" w:color="auto"/>
            </w:tcBorders>
            <w:vAlign w:val="center"/>
          </w:tcPr>
          <w:p w14:paraId="10A92E5A" w14:textId="77777777" w:rsidR="00E04C8A" w:rsidRDefault="008E1817">
            <w:pPr>
              <w:pStyle w:val="a3"/>
              <w:jc w:val="both"/>
              <w:rPr>
                <w:lang w:val="sl-SI"/>
              </w:rPr>
            </w:pPr>
            <w:r>
              <w:rPr>
                <w:rFonts w:eastAsia="Times New Roman"/>
                <w:lang w:val="sl-SI"/>
              </w:rPr>
              <w:t>Klinični odziv</w:t>
            </w:r>
          </w:p>
        </w:tc>
        <w:tc>
          <w:tcPr>
            <w:tcW w:w="3130" w:type="dxa"/>
            <w:tcBorders>
              <w:top w:val="single" w:sz="4" w:space="0" w:color="auto"/>
            </w:tcBorders>
            <w:vAlign w:val="center"/>
          </w:tcPr>
          <w:p w14:paraId="4563F5AE" w14:textId="77777777" w:rsidR="00E04C8A" w:rsidRDefault="008E1817">
            <w:pPr>
              <w:pStyle w:val="a3"/>
              <w:jc w:val="center"/>
              <w:rPr>
                <w:lang w:val="sl-SI"/>
              </w:rPr>
            </w:pPr>
            <w:r>
              <w:rPr>
                <w:rFonts w:eastAsia="Times New Roman"/>
                <w:lang w:val="sl-SI"/>
              </w:rPr>
              <w:t>18 %</w:t>
            </w:r>
          </w:p>
        </w:tc>
        <w:tc>
          <w:tcPr>
            <w:tcW w:w="3191" w:type="dxa"/>
            <w:tcBorders>
              <w:top w:val="single" w:sz="4" w:space="0" w:color="auto"/>
            </w:tcBorders>
            <w:vAlign w:val="center"/>
          </w:tcPr>
          <w:p w14:paraId="26D4FCE3" w14:textId="77777777" w:rsidR="00E04C8A" w:rsidRDefault="008E1817">
            <w:pPr>
              <w:pStyle w:val="a3"/>
              <w:jc w:val="center"/>
              <w:rPr>
                <w:lang w:val="sl-SI"/>
              </w:rPr>
            </w:pPr>
            <w:r>
              <w:rPr>
                <w:rFonts w:eastAsia="Times New Roman"/>
                <w:lang w:val="sl-SI"/>
              </w:rPr>
              <w:t>30 %</w:t>
            </w:r>
            <w:r>
              <w:rPr>
                <w:rFonts w:eastAsia="Times New Roman"/>
                <w:sz w:val="20"/>
                <w:szCs w:val="20"/>
                <w:lang w:val="sl-SI"/>
              </w:rPr>
              <w:t>*</w:t>
            </w:r>
          </w:p>
        </w:tc>
      </w:tr>
      <w:tr w:rsidR="00E04C8A" w14:paraId="483BA284" w14:textId="77777777" w:rsidTr="001452D7">
        <w:trPr>
          <w:jc w:val="center"/>
        </w:trPr>
        <w:tc>
          <w:tcPr>
            <w:tcW w:w="2849" w:type="dxa"/>
            <w:vAlign w:val="center"/>
          </w:tcPr>
          <w:p w14:paraId="2DEBF46F" w14:textId="77777777" w:rsidR="00E04C8A" w:rsidRDefault="008E1817">
            <w:pPr>
              <w:pStyle w:val="a3"/>
              <w:jc w:val="both"/>
              <w:rPr>
                <w:lang w:val="sl-SI"/>
              </w:rPr>
            </w:pPr>
            <w:r>
              <w:rPr>
                <w:rFonts w:eastAsia="Times New Roman"/>
                <w:lang w:val="sl-SI"/>
              </w:rPr>
              <w:t>Klinična remisija</w:t>
            </w:r>
          </w:p>
        </w:tc>
        <w:tc>
          <w:tcPr>
            <w:tcW w:w="3130" w:type="dxa"/>
            <w:vAlign w:val="center"/>
          </w:tcPr>
          <w:p w14:paraId="500D1200" w14:textId="77777777" w:rsidR="00E04C8A" w:rsidRDefault="008E1817">
            <w:pPr>
              <w:pStyle w:val="a3"/>
              <w:jc w:val="center"/>
              <w:rPr>
                <w:lang w:val="sl-SI"/>
              </w:rPr>
            </w:pPr>
            <w:r>
              <w:rPr>
                <w:rFonts w:eastAsia="Times New Roman"/>
                <w:lang w:val="sl-SI"/>
              </w:rPr>
              <w:t>9 %</w:t>
            </w:r>
          </w:p>
        </w:tc>
        <w:tc>
          <w:tcPr>
            <w:tcW w:w="3191" w:type="dxa"/>
            <w:vAlign w:val="center"/>
          </w:tcPr>
          <w:p w14:paraId="20787560" w14:textId="77777777" w:rsidR="00E04C8A" w:rsidRDefault="008E1817">
            <w:pPr>
              <w:pStyle w:val="a3"/>
              <w:jc w:val="center"/>
              <w:rPr>
                <w:lang w:val="sl-SI"/>
              </w:rPr>
            </w:pPr>
            <w:r>
              <w:rPr>
                <w:rFonts w:eastAsia="Times New Roman"/>
                <w:lang w:val="sl-SI"/>
              </w:rPr>
              <w:t>17 %</w:t>
            </w:r>
            <w:r>
              <w:rPr>
                <w:rFonts w:eastAsia="Times New Roman"/>
                <w:sz w:val="20"/>
                <w:szCs w:val="20"/>
                <w:lang w:val="sl-SI"/>
              </w:rPr>
              <w:t>*</w:t>
            </w:r>
          </w:p>
        </w:tc>
      </w:tr>
      <w:tr w:rsidR="00E04C8A" w14:paraId="76BD6F27" w14:textId="77777777" w:rsidTr="001452D7">
        <w:trPr>
          <w:jc w:val="center"/>
        </w:trPr>
        <w:tc>
          <w:tcPr>
            <w:tcW w:w="2849" w:type="dxa"/>
            <w:vAlign w:val="center"/>
          </w:tcPr>
          <w:p w14:paraId="32D67619" w14:textId="77777777" w:rsidR="00E04C8A" w:rsidRDefault="008E1817">
            <w:pPr>
              <w:pStyle w:val="a3"/>
              <w:jc w:val="both"/>
              <w:rPr>
                <w:lang w:val="sl-SI"/>
              </w:rPr>
            </w:pPr>
            <w:r>
              <w:rPr>
                <w:rFonts w:eastAsia="Times New Roman"/>
                <w:lang w:val="sl-SI"/>
              </w:rPr>
              <w:t>Celjenje sluznice</w:t>
            </w:r>
          </w:p>
        </w:tc>
        <w:tc>
          <w:tcPr>
            <w:tcW w:w="3130" w:type="dxa"/>
            <w:vAlign w:val="center"/>
          </w:tcPr>
          <w:p w14:paraId="687D763F" w14:textId="77777777" w:rsidR="00E04C8A" w:rsidRDefault="008E1817">
            <w:pPr>
              <w:pStyle w:val="a3"/>
              <w:jc w:val="center"/>
              <w:rPr>
                <w:lang w:val="sl-SI"/>
              </w:rPr>
            </w:pPr>
            <w:r>
              <w:rPr>
                <w:rFonts w:eastAsia="Times New Roman"/>
                <w:lang w:val="sl-SI"/>
              </w:rPr>
              <w:t>15 %</w:t>
            </w:r>
          </w:p>
        </w:tc>
        <w:tc>
          <w:tcPr>
            <w:tcW w:w="3191" w:type="dxa"/>
            <w:vAlign w:val="center"/>
          </w:tcPr>
          <w:p w14:paraId="302E2E92" w14:textId="77777777" w:rsidR="00E04C8A" w:rsidRDefault="008E1817">
            <w:pPr>
              <w:pStyle w:val="a3"/>
              <w:jc w:val="center"/>
              <w:rPr>
                <w:lang w:val="sl-SI"/>
              </w:rPr>
            </w:pPr>
            <w:r>
              <w:rPr>
                <w:rFonts w:eastAsia="Times New Roman"/>
                <w:lang w:val="sl-SI"/>
              </w:rPr>
              <w:t>25 %</w:t>
            </w:r>
            <w:r>
              <w:rPr>
                <w:rFonts w:eastAsia="Times New Roman"/>
                <w:sz w:val="20"/>
                <w:szCs w:val="20"/>
                <w:lang w:val="sl-SI"/>
              </w:rPr>
              <w:t>*</w:t>
            </w:r>
          </w:p>
        </w:tc>
      </w:tr>
      <w:tr w:rsidR="00E04C8A" w14:paraId="18B551E8" w14:textId="77777777" w:rsidTr="001452D7">
        <w:trPr>
          <w:jc w:val="center"/>
        </w:trPr>
        <w:tc>
          <w:tcPr>
            <w:tcW w:w="2849" w:type="dxa"/>
          </w:tcPr>
          <w:p w14:paraId="5C5E1C62" w14:textId="77777777" w:rsidR="00E04C8A" w:rsidRDefault="008E1817">
            <w:pPr>
              <w:pStyle w:val="a3"/>
              <w:jc w:val="center"/>
              <w:rPr>
                <w:lang w:val="sl-SI"/>
              </w:rPr>
            </w:pPr>
            <w:r>
              <w:rPr>
                <w:rFonts w:eastAsia="Times New Roman"/>
                <w:lang w:val="sl-SI"/>
              </w:rPr>
              <w:t>Remisija brez steroidov za ≥ 90 dni</w:t>
            </w:r>
            <w:r>
              <w:rPr>
                <w:rFonts w:eastAsia="Times New Roman"/>
                <w:vertAlign w:val="superscript"/>
                <w:lang w:val="sl-SI"/>
              </w:rPr>
              <w:t>a</w:t>
            </w:r>
          </w:p>
        </w:tc>
        <w:tc>
          <w:tcPr>
            <w:tcW w:w="3130" w:type="dxa"/>
            <w:vAlign w:val="center"/>
          </w:tcPr>
          <w:p w14:paraId="2173C720" w14:textId="77777777" w:rsidR="00E04C8A" w:rsidRDefault="008E1817">
            <w:pPr>
              <w:pStyle w:val="a3"/>
              <w:jc w:val="center"/>
              <w:rPr>
                <w:lang w:val="sl-SI"/>
              </w:rPr>
            </w:pPr>
            <w:r>
              <w:rPr>
                <w:rFonts w:eastAsia="Times New Roman"/>
                <w:lang w:val="sl-SI"/>
              </w:rPr>
              <w:t>6 %</w:t>
            </w:r>
          </w:p>
          <w:p w14:paraId="71AAE333" w14:textId="77777777" w:rsidR="00E04C8A" w:rsidRDefault="008E1817">
            <w:pPr>
              <w:pStyle w:val="a3"/>
              <w:jc w:val="center"/>
              <w:rPr>
                <w:lang w:val="sl-SI"/>
              </w:rPr>
            </w:pPr>
            <w:r>
              <w:rPr>
                <w:rFonts w:eastAsia="Times New Roman"/>
                <w:b/>
                <w:bCs/>
                <w:lang w:val="sl-SI"/>
              </w:rPr>
              <w:t>(N = 140)</w:t>
            </w:r>
          </w:p>
        </w:tc>
        <w:tc>
          <w:tcPr>
            <w:tcW w:w="3191" w:type="dxa"/>
            <w:vAlign w:val="center"/>
          </w:tcPr>
          <w:p w14:paraId="43DB0DCB" w14:textId="77777777" w:rsidR="00E04C8A" w:rsidRDefault="008E1817">
            <w:pPr>
              <w:pStyle w:val="a3"/>
              <w:jc w:val="center"/>
              <w:rPr>
                <w:lang w:val="sl-SI"/>
              </w:rPr>
            </w:pPr>
            <w:r>
              <w:rPr>
                <w:rFonts w:eastAsia="Times New Roman"/>
                <w:lang w:val="sl-SI"/>
              </w:rPr>
              <w:t>13 %</w:t>
            </w:r>
            <w:r>
              <w:rPr>
                <w:rFonts w:eastAsia="Times New Roman"/>
                <w:sz w:val="20"/>
                <w:szCs w:val="20"/>
                <w:lang w:val="sl-SI"/>
              </w:rPr>
              <w:t>*</w:t>
            </w:r>
          </w:p>
          <w:p w14:paraId="45ACFEBC" w14:textId="77777777" w:rsidR="00E04C8A" w:rsidRDefault="008E1817">
            <w:pPr>
              <w:pStyle w:val="a3"/>
              <w:jc w:val="center"/>
              <w:rPr>
                <w:lang w:val="sl-SI"/>
              </w:rPr>
            </w:pPr>
            <w:r>
              <w:rPr>
                <w:rFonts w:eastAsia="Times New Roman"/>
                <w:b/>
                <w:bCs/>
                <w:lang w:val="sl-SI"/>
              </w:rPr>
              <w:t>(N = 150)</w:t>
            </w:r>
          </w:p>
        </w:tc>
      </w:tr>
      <w:tr w:rsidR="00E04C8A" w14:paraId="3DAE04F0" w14:textId="77777777" w:rsidTr="001452D7">
        <w:trPr>
          <w:jc w:val="center"/>
        </w:trPr>
        <w:tc>
          <w:tcPr>
            <w:tcW w:w="9170" w:type="dxa"/>
            <w:gridSpan w:val="3"/>
            <w:vAlign w:val="center"/>
          </w:tcPr>
          <w:p w14:paraId="7F14026D" w14:textId="77777777" w:rsidR="00E04C8A" w:rsidRDefault="008E1817">
            <w:pPr>
              <w:pStyle w:val="a3"/>
              <w:jc w:val="both"/>
              <w:rPr>
                <w:b/>
                <w:bCs/>
                <w:lang w:val="sl-SI"/>
              </w:rPr>
            </w:pPr>
            <w:r>
              <w:rPr>
                <w:rFonts w:eastAsia="Times New Roman"/>
                <w:lang w:val="sl-SI"/>
              </w:rPr>
              <w:t>8. in 52. teden</w:t>
            </w:r>
          </w:p>
        </w:tc>
      </w:tr>
      <w:tr w:rsidR="00E04C8A" w14:paraId="616953F6" w14:textId="77777777" w:rsidTr="001452D7">
        <w:trPr>
          <w:jc w:val="center"/>
        </w:trPr>
        <w:tc>
          <w:tcPr>
            <w:tcW w:w="2849" w:type="dxa"/>
            <w:vAlign w:val="center"/>
          </w:tcPr>
          <w:p w14:paraId="5800300C" w14:textId="77777777" w:rsidR="00E04C8A" w:rsidRDefault="008E1817">
            <w:pPr>
              <w:pStyle w:val="a3"/>
              <w:jc w:val="both"/>
              <w:rPr>
                <w:lang w:val="sl-SI"/>
              </w:rPr>
            </w:pPr>
            <w:r>
              <w:rPr>
                <w:rFonts w:eastAsia="Times New Roman"/>
                <w:lang w:val="sl-SI"/>
              </w:rPr>
              <w:t>Ohranjen odziv</w:t>
            </w:r>
          </w:p>
        </w:tc>
        <w:tc>
          <w:tcPr>
            <w:tcW w:w="3130" w:type="dxa"/>
            <w:vAlign w:val="center"/>
          </w:tcPr>
          <w:p w14:paraId="1A40136E" w14:textId="77777777" w:rsidR="00E04C8A" w:rsidRDefault="008E1817">
            <w:pPr>
              <w:pStyle w:val="a3"/>
              <w:jc w:val="center"/>
              <w:rPr>
                <w:b/>
                <w:bCs/>
                <w:lang w:val="sl-SI"/>
              </w:rPr>
            </w:pPr>
            <w:r>
              <w:rPr>
                <w:rFonts w:eastAsia="Times New Roman"/>
                <w:lang w:val="sl-SI"/>
              </w:rPr>
              <w:t>12 %</w:t>
            </w:r>
          </w:p>
        </w:tc>
        <w:tc>
          <w:tcPr>
            <w:tcW w:w="3191" w:type="dxa"/>
            <w:vAlign w:val="center"/>
          </w:tcPr>
          <w:p w14:paraId="273618FC" w14:textId="77777777" w:rsidR="00E04C8A" w:rsidRDefault="008E1817">
            <w:pPr>
              <w:pStyle w:val="a3"/>
              <w:jc w:val="center"/>
              <w:rPr>
                <w:b/>
                <w:bCs/>
                <w:lang w:val="sl-SI"/>
              </w:rPr>
            </w:pPr>
            <w:r>
              <w:rPr>
                <w:rFonts w:eastAsia="Times New Roman"/>
                <w:lang w:val="sl-SI"/>
              </w:rPr>
              <w:t>24 %</w:t>
            </w:r>
            <w:r>
              <w:rPr>
                <w:rFonts w:eastAsia="Times New Roman"/>
                <w:sz w:val="20"/>
                <w:szCs w:val="20"/>
                <w:lang w:val="sl-SI"/>
              </w:rPr>
              <w:t>**</w:t>
            </w:r>
          </w:p>
        </w:tc>
      </w:tr>
      <w:tr w:rsidR="00E04C8A" w14:paraId="309DDD83" w14:textId="77777777" w:rsidTr="001452D7">
        <w:trPr>
          <w:jc w:val="center"/>
        </w:trPr>
        <w:tc>
          <w:tcPr>
            <w:tcW w:w="2849" w:type="dxa"/>
            <w:vAlign w:val="center"/>
          </w:tcPr>
          <w:p w14:paraId="20C6EB19" w14:textId="77777777" w:rsidR="00E04C8A" w:rsidRDefault="008E1817">
            <w:pPr>
              <w:pStyle w:val="a3"/>
              <w:jc w:val="both"/>
              <w:rPr>
                <w:lang w:val="sl-SI"/>
              </w:rPr>
            </w:pPr>
            <w:r>
              <w:rPr>
                <w:rFonts w:eastAsia="Times New Roman"/>
                <w:lang w:val="sl-SI"/>
              </w:rPr>
              <w:t>Ohranjena remisija</w:t>
            </w:r>
          </w:p>
        </w:tc>
        <w:tc>
          <w:tcPr>
            <w:tcW w:w="3130" w:type="dxa"/>
            <w:vAlign w:val="center"/>
          </w:tcPr>
          <w:p w14:paraId="0A35D2AF" w14:textId="77777777" w:rsidR="00E04C8A" w:rsidRDefault="008E1817">
            <w:pPr>
              <w:pStyle w:val="a3"/>
              <w:jc w:val="center"/>
              <w:rPr>
                <w:b/>
                <w:bCs/>
                <w:lang w:val="sl-SI"/>
              </w:rPr>
            </w:pPr>
            <w:r>
              <w:rPr>
                <w:rFonts w:eastAsia="Times New Roman"/>
                <w:lang w:val="sl-SI"/>
              </w:rPr>
              <w:t>4 %</w:t>
            </w:r>
          </w:p>
        </w:tc>
        <w:tc>
          <w:tcPr>
            <w:tcW w:w="3191" w:type="dxa"/>
            <w:vAlign w:val="center"/>
          </w:tcPr>
          <w:p w14:paraId="4DE04AAE" w14:textId="77777777" w:rsidR="00E04C8A" w:rsidRDefault="008E1817">
            <w:pPr>
              <w:pStyle w:val="a3"/>
              <w:jc w:val="center"/>
              <w:rPr>
                <w:b/>
                <w:bCs/>
                <w:lang w:val="sl-SI"/>
              </w:rPr>
            </w:pPr>
            <w:r>
              <w:rPr>
                <w:rFonts w:eastAsia="Times New Roman"/>
                <w:lang w:val="sl-SI"/>
              </w:rPr>
              <w:t>8 %</w:t>
            </w:r>
            <w:r>
              <w:rPr>
                <w:rFonts w:eastAsia="Times New Roman"/>
                <w:sz w:val="20"/>
                <w:szCs w:val="20"/>
                <w:lang w:val="sl-SI"/>
              </w:rPr>
              <w:t>*</w:t>
            </w:r>
          </w:p>
        </w:tc>
      </w:tr>
      <w:tr w:rsidR="00E04C8A" w14:paraId="6EDAF186" w14:textId="77777777" w:rsidTr="001452D7">
        <w:trPr>
          <w:jc w:val="center"/>
        </w:trPr>
        <w:tc>
          <w:tcPr>
            <w:tcW w:w="2849" w:type="dxa"/>
            <w:tcBorders>
              <w:bottom w:val="single" w:sz="4" w:space="0" w:color="auto"/>
            </w:tcBorders>
            <w:vAlign w:val="center"/>
          </w:tcPr>
          <w:p w14:paraId="3347BE70" w14:textId="77777777" w:rsidR="00E04C8A" w:rsidRDefault="008E1817">
            <w:pPr>
              <w:pStyle w:val="a3"/>
              <w:jc w:val="both"/>
              <w:rPr>
                <w:lang w:val="sl-SI"/>
              </w:rPr>
            </w:pPr>
            <w:r>
              <w:rPr>
                <w:rFonts w:eastAsia="Times New Roman"/>
                <w:lang w:val="sl-SI"/>
              </w:rPr>
              <w:t>Ohranjeno zaceljenje sluznice</w:t>
            </w:r>
          </w:p>
        </w:tc>
        <w:tc>
          <w:tcPr>
            <w:tcW w:w="3130" w:type="dxa"/>
            <w:tcBorders>
              <w:bottom w:val="single" w:sz="4" w:space="0" w:color="auto"/>
            </w:tcBorders>
            <w:vAlign w:val="center"/>
          </w:tcPr>
          <w:p w14:paraId="62618BFA" w14:textId="77777777" w:rsidR="00E04C8A" w:rsidRDefault="008E1817">
            <w:pPr>
              <w:pStyle w:val="a3"/>
              <w:jc w:val="center"/>
              <w:rPr>
                <w:b/>
                <w:bCs/>
                <w:lang w:val="sl-SI"/>
              </w:rPr>
            </w:pPr>
            <w:r>
              <w:rPr>
                <w:rFonts w:eastAsia="Times New Roman"/>
                <w:lang w:val="sl-SI"/>
              </w:rPr>
              <w:t>11 %</w:t>
            </w:r>
          </w:p>
        </w:tc>
        <w:tc>
          <w:tcPr>
            <w:tcW w:w="3191" w:type="dxa"/>
            <w:tcBorders>
              <w:bottom w:val="single" w:sz="4" w:space="0" w:color="auto"/>
            </w:tcBorders>
            <w:vAlign w:val="center"/>
          </w:tcPr>
          <w:p w14:paraId="5343E5FD" w14:textId="77777777" w:rsidR="00E04C8A" w:rsidRDefault="008E1817">
            <w:pPr>
              <w:pStyle w:val="a3"/>
              <w:jc w:val="center"/>
              <w:rPr>
                <w:b/>
                <w:bCs/>
                <w:lang w:val="sl-SI"/>
              </w:rPr>
            </w:pPr>
            <w:r>
              <w:rPr>
                <w:rFonts w:eastAsia="Times New Roman"/>
                <w:lang w:val="sl-SI"/>
              </w:rPr>
              <w:t>19 %</w:t>
            </w:r>
            <w:r>
              <w:rPr>
                <w:rFonts w:eastAsia="Times New Roman"/>
                <w:sz w:val="20"/>
                <w:szCs w:val="20"/>
                <w:lang w:val="sl-SI"/>
              </w:rPr>
              <w:t>*</w:t>
            </w:r>
          </w:p>
        </w:tc>
      </w:tr>
    </w:tbl>
    <w:p w14:paraId="6070A0FB" w14:textId="77777777" w:rsidR="00E04C8A" w:rsidRDefault="008E1817" w:rsidP="00721C46">
      <w:pPr>
        <w:pStyle w:val="a3"/>
        <w:ind w:leftChars="100" w:left="220"/>
        <w:rPr>
          <w:lang w:val="sl-SI"/>
        </w:rPr>
      </w:pPr>
      <w:r>
        <w:rPr>
          <w:rFonts w:eastAsia="Times New Roman"/>
          <w:lang w:val="sl-SI"/>
        </w:rPr>
        <w:t>Klinična remisija pomeni oceno Mayo ≤ 2 in nobene podocene &gt; 1.</w:t>
      </w:r>
    </w:p>
    <w:p w14:paraId="5BDCAE66" w14:textId="77777777" w:rsidR="00E04C8A" w:rsidRDefault="008E1817" w:rsidP="00721C46">
      <w:pPr>
        <w:pStyle w:val="a3"/>
        <w:ind w:leftChars="100" w:left="220"/>
        <w:rPr>
          <w:lang w:val="sl-SI"/>
        </w:rPr>
      </w:pPr>
      <w:r>
        <w:rPr>
          <w:rFonts w:eastAsia="Times New Roman"/>
          <w:lang w:val="sl-SI"/>
        </w:rPr>
        <w:t>Klinični odgovor pomeni znižanje ocene Mayo od začetka za ≥ 3 in ≥ 30 % ter znižanje podocene rektalne krvavitve [RBS] ≥ 1 ali absolutna RBS 0 ali 1;</w:t>
      </w:r>
    </w:p>
    <w:p w14:paraId="3C1B6A81" w14:textId="77777777" w:rsidR="00E04C8A" w:rsidRDefault="008E1817" w:rsidP="00721C46">
      <w:pPr>
        <w:pStyle w:val="a3"/>
        <w:ind w:leftChars="100" w:left="220"/>
        <w:rPr>
          <w:lang w:val="sl-SI"/>
        </w:rPr>
      </w:pPr>
      <w:r>
        <w:rPr>
          <w:rFonts w:eastAsia="Times New Roman"/>
          <w:spacing w:val="-2"/>
          <w:position w:val="9"/>
          <w:sz w:val="16"/>
          <w:szCs w:val="16"/>
          <w:lang w:val="sl-SI"/>
        </w:rPr>
        <w:t>*</w:t>
      </w:r>
      <w:r>
        <w:rPr>
          <w:rFonts w:eastAsia="Times New Roman"/>
          <w:spacing w:val="-2"/>
          <w:position w:val="9"/>
          <w:lang w:val="sl-SI"/>
        </w:rPr>
        <w:t>p &lt; 0,05 za parno primerjavo deležev med adalimumabom in placebom</w:t>
      </w:r>
    </w:p>
    <w:p w14:paraId="02D19C7A" w14:textId="77777777" w:rsidR="00E04C8A" w:rsidRDefault="008E1817" w:rsidP="00721C46">
      <w:pPr>
        <w:pStyle w:val="a3"/>
        <w:ind w:leftChars="100" w:left="220"/>
        <w:rPr>
          <w:lang w:val="sl-SI"/>
        </w:rPr>
      </w:pPr>
      <w:r>
        <w:rPr>
          <w:rFonts w:eastAsia="Times New Roman"/>
          <w:spacing w:val="-2"/>
          <w:sz w:val="20"/>
          <w:szCs w:val="20"/>
          <w:lang w:val="sl-SI"/>
        </w:rPr>
        <w:t>**</w:t>
      </w:r>
      <w:r>
        <w:rPr>
          <w:rFonts w:eastAsia="Times New Roman"/>
          <w:spacing w:val="-2"/>
          <w:lang w:val="sl-SI"/>
        </w:rPr>
        <w:t>p &lt; 0,001 za parno primerjavo deležev med adalimumabom in placebom</w:t>
      </w:r>
    </w:p>
    <w:p w14:paraId="3E6C9DFB" w14:textId="77777777" w:rsidR="00E04C8A" w:rsidRDefault="008E1817" w:rsidP="00721C46">
      <w:pPr>
        <w:pStyle w:val="a3"/>
        <w:ind w:leftChars="100" w:left="220"/>
        <w:rPr>
          <w:lang w:val="sl-SI"/>
        </w:rPr>
      </w:pPr>
      <w:r>
        <w:rPr>
          <w:rFonts w:eastAsia="Times New Roman"/>
          <w:position w:val="8"/>
          <w:vertAlign w:val="superscript"/>
          <w:lang w:val="sl-SI"/>
        </w:rPr>
        <w:t xml:space="preserve">a </w:t>
      </w:r>
      <w:r>
        <w:rPr>
          <w:rFonts w:eastAsia="Times New Roman"/>
          <w:position w:val="8"/>
          <w:lang w:val="sl-SI"/>
        </w:rPr>
        <w:t>Od tistih, ki so izhodiščno prejemali kortikosteroide</w:t>
      </w:r>
    </w:p>
    <w:p w14:paraId="67F57FB9" w14:textId="77777777" w:rsidR="00E04C8A" w:rsidRDefault="00E04C8A">
      <w:pPr>
        <w:spacing w:before="6" w:line="190" w:lineRule="exact"/>
        <w:rPr>
          <w:sz w:val="19"/>
          <w:szCs w:val="19"/>
          <w:lang w:val="sl-SI"/>
        </w:rPr>
      </w:pPr>
    </w:p>
    <w:p w14:paraId="5031CF5F" w14:textId="77777777" w:rsidR="00E04C8A" w:rsidRDefault="008E1817">
      <w:pPr>
        <w:pStyle w:val="a3"/>
        <w:rPr>
          <w:lang w:val="sl-SI"/>
        </w:rPr>
      </w:pPr>
      <w:r>
        <w:rPr>
          <w:rFonts w:eastAsia="Times New Roman"/>
          <w:lang w:val="sl-SI"/>
        </w:rPr>
        <w:t>Od bolnikov, ki so bili odzivni v 8. tednu, jih je bilo v 52. tednu 47 % odzivnih, 29 % v remisiji, 41 % je imelo celjenje sluznice in 20 % jih je bilo v remisiji brez steroidov za ≥ 90 dni.</w:t>
      </w:r>
    </w:p>
    <w:p w14:paraId="21ED5052" w14:textId="77777777" w:rsidR="00E04C8A" w:rsidRDefault="00E04C8A">
      <w:pPr>
        <w:spacing w:before="11" w:line="240" w:lineRule="exact"/>
        <w:rPr>
          <w:sz w:val="24"/>
          <w:szCs w:val="24"/>
          <w:lang w:val="sl-SI"/>
        </w:rPr>
      </w:pPr>
    </w:p>
    <w:p w14:paraId="282F2757" w14:textId="004EAE78" w:rsidR="00E04C8A" w:rsidRDefault="008E1817">
      <w:pPr>
        <w:pStyle w:val="a3"/>
        <w:rPr>
          <w:lang w:val="sl-SI"/>
        </w:rPr>
      </w:pPr>
      <w:r>
        <w:rPr>
          <w:rFonts w:eastAsia="Times New Roman"/>
          <w:lang w:val="sl-SI"/>
        </w:rPr>
        <w:t xml:space="preserve">Pri približno 40 % bolnikih v študiji UC-II predhodno </w:t>
      </w:r>
      <w:r w:rsidR="006A7666" w:rsidRPr="00FA20D4">
        <w:rPr>
          <w:lang w:val="sl-SI"/>
        </w:rPr>
        <w:t>zdravljenje z zaviralci TNF</w:t>
      </w:r>
      <w:r>
        <w:rPr>
          <w:rFonts w:eastAsia="Times New Roman"/>
          <w:lang w:val="sl-SI"/>
        </w:rPr>
        <w:t xml:space="preserve"> z infliksimabom ni bilo uspešno. Učinkovitost adalimumaba je bila pri teh bolnikih manjša kot pri bolnikih, ki še niso dobivali anti-TNF. Med bolniki, pri katerih predhodno </w:t>
      </w:r>
      <w:r w:rsidR="006A7666" w:rsidRPr="00FA20D4">
        <w:rPr>
          <w:lang w:val="sl-SI"/>
        </w:rPr>
        <w:t>zdravljenje z zaviralci TNF</w:t>
      </w:r>
      <w:r>
        <w:rPr>
          <w:rFonts w:eastAsia="Times New Roman"/>
          <w:lang w:val="sl-SI"/>
        </w:rPr>
        <w:t xml:space="preserve"> ni bilo uspešno, jih je 52. teden doseglo remisijo 3 % na placebu in 10 % na adalimumabu.</w:t>
      </w:r>
    </w:p>
    <w:p w14:paraId="34050E5F" w14:textId="77777777" w:rsidR="00E04C8A" w:rsidRDefault="00E04C8A">
      <w:pPr>
        <w:pStyle w:val="a3"/>
        <w:rPr>
          <w:sz w:val="24"/>
          <w:szCs w:val="24"/>
          <w:lang w:val="sl-SI"/>
        </w:rPr>
      </w:pPr>
    </w:p>
    <w:p w14:paraId="41051D37" w14:textId="77777777" w:rsidR="00E04C8A" w:rsidRDefault="008E1817">
      <w:pPr>
        <w:pStyle w:val="a3"/>
        <w:rPr>
          <w:lang w:val="sl-SI"/>
        </w:rPr>
      </w:pPr>
      <w:r>
        <w:rPr>
          <w:rFonts w:eastAsia="Times New Roman"/>
          <w:lang w:val="sl-SI"/>
        </w:rPr>
        <w:t>Bolniki iz študij UC-I in UC-II so imeli možnost nadaljevati v odprti, dolgoročni podaljšani študiji (UC-III). Po 3 letih zdravljenja z adalimumabom jih je 75 % (301/402) ostalo v klinični remisiji po delni oceni Mayo.</w:t>
      </w:r>
    </w:p>
    <w:p w14:paraId="7C3EA47D" w14:textId="77777777" w:rsidR="00E04C8A" w:rsidRDefault="00E04C8A">
      <w:pPr>
        <w:pStyle w:val="a3"/>
        <w:rPr>
          <w:lang w:val="sl-SI"/>
        </w:rPr>
      </w:pPr>
    </w:p>
    <w:p w14:paraId="0A3943A1" w14:textId="77777777" w:rsidR="00E04C8A" w:rsidRDefault="008E1817">
      <w:pPr>
        <w:pStyle w:val="a3"/>
        <w:rPr>
          <w:i/>
          <w:u w:val="single"/>
          <w:lang w:val="sl-SI"/>
        </w:rPr>
      </w:pPr>
      <w:r>
        <w:rPr>
          <w:rFonts w:eastAsia="Times New Roman"/>
          <w:i/>
          <w:iCs/>
          <w:u w:val="single" w:color="000000"/>
          <w:lang w:val="sl-SI"/>
        </w:rPr>
        <w:t>Stopnja hospitalizacije</w:t>
      </w:r>
    </w:p>
    <w:p w14:paraId="51E42079" w14:textId="77777777" w:rsidR="00E04C8A" w:rsidRDefault="00E04C8A">
      <w:pPr>
        <w:pStyle w:val="a3"/>
        <w:rPr>
          <w:sz w:val="18"/>
          <w:szCs w:val="18"/>
          <w:lang w:val="sl-SI"/>
        </w:rPr>
      </w:pPr>
    </w:p>
    <w:p w14:paraId="37BEA982" w14:textId="77777777" w:rsidR="00E04C8A" w:rsidRDefault="008E1817">
      <w:pPr>
        <w:pStyle w:val="a3"/>
        <w:rPr>
          <w:lang w:val="sl-SI"/>
        </w:rPr>
      </w:pPr>
      <w:r>
        <w:rPr>
          <w:rFonts w:eastAsia="Times New Roman"/>
          <w:lang w:val="sl-SI"/>
        </w:rPr>
        <w:t>V 52 tednih študij UC-I in UC-II so opazili nižjo stopnjo hospitalizacije iz vseh razlogov in hospitalizacije, povezane z ulceroznim kolitisom, pri skupini, zdravljeni z adalimumabom, v primerjavi s skupino, ki je prejemala placebo. Število hospitalizacij iz vseh razlogov v skupini, zdravljeni z adalimumabom, je bilo 0,18 na bolnikov-let proti 0,26 na bolnikov-let v placebo skupini. Podatki za hospitalizacije, povezane z ulceroznim kolitisom, so 0,12 na bolnikov-let proti 0,22 na bolnikov-let.</w:t>
      </w:r>
    </w:p>
    <w:p w14:paraId="2879BB1E" w14:textId="77777777" w:rsidR="00E04C8A" w:rsidRDefault="00E04C8A">
      <w:pPr>
        <w:pStyle w:val="a3"/>
        <w:rPr>
          <w:sz w:val="24"/>
          <w:szCs w:val="24"/>
          <w:lang w:val="sl-SI"/>
        </w:rPr>
      </w:pPr>
    </w:p>
    <w:p w14:paraId="610C2E09" w14:textId="77777777" w:rsidR="00E04C8A" w:rsidRDefault="008E1817">
      <w:pPr>
        <w:pStyle w:val="a3"/>
        <w:rPr>
          <w:rFonts w:eastAsia="Times New Roman"/>
          <w:lang w:val="sl-SI"/>
        </w:rPr>
      </w:pPr>
      <w:r>
        <w:rPr>
          <w:rFonts w:eastAsia="Times New Roman"/>
          <w:i/>
          <w:iCs/>
          <w:spacing w:val="-1"/>
          <w:u w:val="single" w:color="000000"/>
          <w:lang w:val="sl-SI"/>
        </w:rPr>
        <w:t>Kakovost življenja</w:t>
      </w:r>
    </w:p>
    <w:p w14:paraId="2B4EFBB1" w14:textId="77777777" w:rsidR="00E04C8A" w:rsidRDefault="00E04C8A">
      <w:pPr>
        <w:pStyle w:val="a3"/>
        <w:rPr>
          <w:sz w:val="18"/>
          <w:szCs w:val="18"/>
          <w:lang w:val="sl-SI"/>
        </w:rPr>
      </w:pPr>
    </w:p>
    <w:p w14:paraId="101A88C6" w14:textId="77777777" w:rsidR="00E04C8A" w:rsidRDefault="008E1817">
      <w:pPr>
        <w:pStyle w:val="a3"/>
        <w:rPr>
          <w:lang w:val="sl-SI"/>
        </w:rPr>
      </w:pPr>
      <w:r>
        <w:rPr>
          <w:rFonts w:eastAsia="Times New Roman"/>
          <w:lang w:val="sl-SI"/>
        </w:rPr>
        <w:t>V študiji UC-II je zdravljenje z adalimumabom pripeljalo do izboljšanja rezultatov Vprašalnika o vnetni bolezni črevesa (IBDQ – Inflammatory Bowel Disease Questionaire).</w:t>
      </w:r>
    </w:p>
    <w:p w14:paraId="64FDD4BE" w14:textId="77777777" w:rsidR="00E04C8A" w:rsidRDefault="00E04C8A">
      <w:pPr>
        <w:spacing w:before="10" w:line="240" w:lineRule="exact"/>
        <w:rPr>
          <w:sz w:val="24"/>
          <w:szCs w:val="24"/>
          <w:lang w:val="sl-SI"/>
        </w:rPr>
      </w:pPr>
    </w:p>
    <w:p w14:paraId="78D75B6E" w14:textId="77777777" w:rsidR="00E04C8A" w:rsidRDefault="008E1817">
      <w:pPr>
        <w:pStyle w:val="a3"/>
        <w:rPr>
          <w:i/>
          <w:lang w:val="sl-SI"/>
        </w:rPr>
      </w:pPr>
      <w:r>
        <w:rPr>
          <w:rFonts w:eastAsia="Times New Roman"/>
          <w:i/>
          <w:iCs/>
          <w:lang w:val="sl-SI"/>
        </w:rPr>
        <w:t>Uveitis</w:t>
      </w:r>
    </w:p>
    <w:p w14:paraId="78DB8611" w14:textId="77777777" w:rsidR="00E04C8A" w:rsidRDefault="00E04C8A">
      <w:pPr>
        <w:pStyle w:val="a3"/>
        <w:rPr>
          <w:sz w:val="24"/>
          <w:szCs w:val="24"/>
          <w:lang w:val="sl-SI"/>
        </w:rPr>
      </w:pPr>
    </w:p>
    <w:p w14:paraId="18B324CD" w14:textId="77777777" w:rsidR="00E04C8A" w:rsidRDefault="008E1817">
      <w:pPr>
        <w:pStyle w:val="a3"/>
        <w:rPr>
          <w:lang w:val="sl-SI"/>
        </w:rPr>
      </w:pPr>
      <w:r>
        <w:rPr>
          <w:rFonts w:eastAsia="Times New Roman"/>
          <w:lang w:val="sl-SI"/>
        </w:rPr>
        <w:t>Varnost in učinkovitost adalimumaba sta bili ocenjeni pri odraslih bolnikih z neinfekcijskim intermediarnim, posteriornim uveitisom in panuveitisom v dveh randomiziranih, dvojno slepih, s placebom kontroliranih študijah (UV I in UV II), ki nista vključevali bolnikov z izoliranim anteriornim uveitisom. Bolniki so prejeli placebo ali adalimumab v začetnem odmerku 80 mg, ki mu je sledil odmerek 40 mg vsak drugi teden, z začetkom dajanja ene teden po začetnem odmerku. Sočasni, stalni odmerki enega nebiološkega imunosupresiva so bili dovoljeni.</w:t>
      </w:r>
    </w:p>
    <w:p w14:paraId="2B97923C" w14:textId="77777777" w:rsidR="00E04C8A" w:rsidRDefault="00E04C8A">
      <w:pPr>
        <w:pStyle w:val="a3"/>
        <w:rPr>
          <w:sz w:val="24"/>
          <w:szCs w:val="24"/>
          <w:lang w:val="sl-SI"/>
        </w:rPr>
      </w:pPr>
    </w:p>
    <w:p w14:paraId="70D1BF64" w14:textId="77777777" w:rsidR="00E04C8A" w:rsidRDefault="008E1817">
      <w:pPr>
        <w:pStyle w:val="a3"/>
        <w:rPr>
          <w:lang w:val="sl-SI"/>
        </w:rPr>
      </w:pPr>
      <w:r>
        <w:rPr>
          <w:rFonts w:eastAsia="Times New Roman"/>
          <w:lang w:val="sl-SI"/>
        </w:rPr>
        <w:t>Študija UV I je ovrednotila 217 bolnikov z aktivnim uveitisom kljub zdravljenju s kortikosteroidi (prednizolon peroralno v odmerku 10 do 60 mg/dan). Vsi bolniki so ob začetku študije prejeli 2-tedenski standardizirani odmerek prednizolona 60 mg/dan, čemur je sledil obvezen program postopnega zmanjševanja, s popolno ukinitvijo kortikosteroidov do 15. tedna.</w:t>
      </w:r>
    </w:p>
    <w:p w14:paraId="39A856FD" w14:textId="77777777" w:rsidR="00E04C8A" w:rsidRDefault="00E04C8A">
      <w:pPr>
        <w:pStyle w:val="a3"/>
        <w:rPr>
          <w:sz w:val="24"/>
          <w:szCs w:val="24"/>
          <w:lang w:val="sl-SI"/>
        </w:rPr>
      </w:pPr>
    </w:p>
    <w:p w14:paraId="0A1E04E6" w14:textId="77777777" w:rsidR="00E04C8A" w:rsidRDefault="008E1817">
      <w:pPr>
        <w:pStyle w:val="a3"/>
        <w:rPr>
          <w:lang w:val="sl-SI"/>
        </w:rPr>
      </w:pPr>
      <w:r>
        <w:rPr>
          <w:rFonts w:eastAsia="Times New Roman"/>
          <w:lang w:val="sl-SI"/>
        </w:rPr>
        <w:t>Študija UV II je ovrednotila 226 bolnikov z inaktivnim uveitisom, ki je že na začetku zahteval kronično zdravljenje s kortikosteroidi (prednizolon peroralno 10 do 35 mg/dan) za nadzor njihove bolezni. Bolniki so bili kasneje deležni obveznega programa postopnega zmanjševanja, s popolno ukinitvijo kortikosteroidov do 19. tedna.</w:t>
      </w:r>
    </w:p>
    <w:p w14:paraId="3CAEAEFE" w14:textId="77777777" w:rsidR="00E04C8A" w:rsidRDefault="00E04C8A">
      <w:pPr>
        <w:pStyle w:val="a3"/>
        <w:rPr>
          <w:sz w:val="24"/>
          <w:szCs w:val="24"/>
          <w:lang w:val="sl-SI"/>
        </w:rPr>
      </w:pPr>
    </w:p>
    <w:p w14:paraId="147C0C09" w14:textId="77777777" w:rsidR="00E04C8A" w:rsidRDefault="008E1817">
      <w:pPr>
        <w:pStyle w:val="a3"/>
        <w:rPr>
          <w:lang w:val="sl-SI"/>
        </w:rPr>
      </w:pPr>
      <w:r>
        <w:rPr>
          <w:rFonts w:eastAsia="Times New Roman"/>
          <w:lang w:val="sl-SI"/>
        </w:rPr>
        <w:t>Primarni opazovani dogodek kot merilo učinkovitosti je bil v obeh študijah ´čas do neuspeha zdravljenja´. Neuspeh zdravljenja je bil definiran z večkomponentnim izidom, ki je temeljil na vnetnih horioretinalnih in/ali vnetnih retinalnih vaskularnih lezijah, oceni celic sprednje očesne komore, motnosti steklovine in najboljši korigirani ostrini vida (BCVA - best corrected visual acuity).</w:t>
      </w:r>
    </w:p>
    <w:p w14:paraId="75E66CDD" w14:textId="77777777" w:rsidR="00E04C8A" w:rsidRDefault="00E04C8A">
      <w:pPr>
        <w:pStyle w:val="a3"/>
        <w:rPr>
          <w:sz w:val="24"/>
          <w:szCs w:val="24"/>
          <w:lang w:val="sl-SI"/>
        </w:rPr>
      </w:pPr>
    </w:p>
    <w:p w14:paraId="15B38DE7" w14:textId="146EE35D" w:rsidR="00E04C8A" w:rsidRDefault="008E1817">
      <w:pPr>
        <w:pStyle w:val="a3"/>
        <w:rPr>
          <w:sz w:val="24"/>
          <w:szCs w:val="24"/>
          <w:lang w:val="sl-SI"/>
        </w:rPr>
      </w:pPr>
      <w:r>
        <w:rPr>
          <w:rFonts w:eastAsia="Times New Roman"/>
          <w:lang w:val="sl-SI"/>
        </w:rPr>
        <w:t>Bolniki, ki so zaključili študiji UV I in UV II, so bili primerni za vključitev v nenadzorovano, dolgoročno, podaljšano študijo, s prvotno načrtovanim trajanjem 78 tednov. Bolnikom je bilo dovoljeno prejemati zdravilo v preskušanju tudi po 78. tednu, dokler niso imeli dostopa do adalimumaba.</w:t>
      </w:r>
    </w:p>
    <w:p w14:paraId="15546A2A" w14:textId="77777777" w:rsidR="007E758B" w:rsidRDefault="007E758B">
      <w:pPr>
        <w:pStyle w:val="a3"/>
        <w:rPr>
          <w:sz w:val="24"/>
          <w:szCs w:val="24"/>
          <w:lang w:val="sl-SI"/>
        </w:rPr>
      </w:pPr>
    </w:p>
    <w:p w14:paraId="24579A5B" w14:textId="77777777" w:rsidR="00E04C8A" w:rsidRDefault="008E1817">
      <w:pPr>
        <w:pStyle w:val="a3"/>
        <w:rPr>
          <w:rFonts w:eastAsia="Times New Roman"/>
          <w:lang w:val="sl-SI"/>
        </w:rPr>
      </w:pPr>
      <w:r>
        <w:rPr>
          <w:rFonts w:eastAsia="Times New Roman"/>
          <w:i/>
          <w:iCs/>
          <w:spacing w:val="-1"/>
          <w:u w:val="single" w:color="000000"/>
          <w:lang w:val="sl-SI"/>
        </w:rPr>
        <w:t>Klinični odziv</w:t>
      </w:r>
    </w:p>
    <w:p w14:paraId="4FC95AD1" w14:textId="77777777" w:rsidR="00E04C8A" w:rsidRDefault="00E04C8A">
      <w:pPr>
        <w:pStyle w:val="a3"/>
        <w:rPr>
          <w:sz w:val="18"/>
          <w:szCs w:val="18"/>
          <w:lang w:val="sl-SI"/>
        </w:rPr>
      </w:pPr>
    </w:p>
    <w:p w14:paraId="7AADE1E2" w14:textId="6587DC87" w:rsidR="00E04C8A" w:rsidRDefault="008E1817">
      <w:pPr>
        <w:pStyle w:val="a3"/>
        <w:rPr>
          <w:lang w:val="sl-SI"/>
        </w:rPr>
      </w:pPr>
      <w:r>
        <w:rPr>
          <w:rFonts w:eastAsia="Times New Roman"/>
          <w:lang w:val="sl-SI"/>
        </w:rPr>
        <w:t>Rezultati iz obeh študij kažejo statistično značilno zmanjšanje tveganja za neuspeh zdravljenja pri bolnikih, ki so prejemali adalimumab, v primerjavi z bolniki, ki so prejemali placebo (glejte preglednico </w:t>
      </w:r>
      <w:r w:rsidR="006A7666">
        <w:rPr>
          <w:rFonts w:eastAsia="Times New Roman"/>
          <w:lang w:val="sl-SI"/>
        </w:rPr>
        <w:t>24</w:t>
      </w:r>
      <w:r>
        <w:rPr>
          <w:rFonts w:eastAsia="Times New Roman"/>
          <w:lang w:val="sl-SI"/>
        </w:rPr>
        <w:t>). V obeh študijah je bil dokazan zgodnji in vzdrževan učinek adalimumaba na odstotek neuspeha zdravljenja proti placebu (glejte sliko 2).</w:t>
      </w:r>
    </w:p>
    <w:p w14:paraId="7BBF92C2" w14:textId="77777777" w:rsidR="00E04C8A" w:rsidRDefault="00E04C8A">
      <w:pPr>
        <w:pStyle w:val="a3"/>
        <w:rPr>
          <w:lang w:val="sl-SI"/>
        </w:rPr>
      </w:pPr>
    </w:p>
    <w:p w14:paraId="7F6E1FD3" w14:textId="282403F5" w:rsidR="00E04C8A" w:rsidRDefault="008E1817">
      <w:pPr>
        <w:pStyle w:val="a3"/>
        <w:jc w:val="center"/>
        <w:rPr>
          <w:b/>
          <w:lang w:val="sl-SI"/>
        </w:rPr>
      </w:pPr>
      <w:r>
        <w:rPr>
          <w:rFonts w:eastAsia="Times New Roman"/>
          <w:b/>
          <w:bCs/>
          <w:lang w:val="sl-SI"/>
        </w:rPr>
        <w:t>Preglednica </w:t>
      </w:r>
      <w:r w:rsidR="006A7666">
        <w:rPr>
          <w:rFonts w:eastAsia="Times New Roman"/>
          <w:b/>
          <w:bCs/>
          <w:lang w:val="sl-SI"/>
        </w:rPr>
        <w:t>24</w:t>
      </w:r>
    </w:p>
    <w:p w14:paraId="3EC7CB87" w14:textId="77777777" w:rsidR="00E04C8A" w:rsidRDefault="008E1817">
      <w:pPr>
        <w:pStyle w:val="a3"/>
        <w:jc w:val="center"/>
        <w:rPr>
          <w:b/>
          <w:lang w:val="sl-SI"/>
        </w:rPr>
      </w:pPr>
      <w:r>
        <w:rPr>
          <w:rFonts w:eastAsia="Times New Roman"/>
          <w:b/>
          <w:bCs/>
          <w:lang w:val="sl-SI"/>
        </w:rPr>
        <w:t>Čas do neuspeha zdravljenja v študijah UV I in UV II</w:t>
      </w:r>
    </w:p>
    <w:p w14:paraId="11D7C6D9" w14:textId="77777777" w:rsidR="00E04C8A" w:rsidRDefault="00E04C8A">
      <w:pPr>
        <w:pStyle w:val="a3"/>
        <w:jc w:val="center"/>
        <w:rPr>
          <w:b/>
          <w:lang w:val="sl-SI"/>
        </w:rPr>
      </w:pPr>
    </w:p>
    <w:tbl>
      <w:tblPr>
        <w:tblStyle w:val="ac"/>
        <w:tblW w:w="97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4"/>
        <w:gridCol w:w="1530"/>
        <w:gridCol w:w="2052"/>
        <w:gridCol w:w="1130"/>
        <w:gridCol w:w="1130"/>
        <w:gridCol w:w="1130"/>
        <w:gridCol w:w="1133"/>
      </w:tblGrid>
      <w:tr w:rsidR="00E04C8A" w14:paraId="011FFF4F" w14:textId="77777777" w:rsidTr="001452D7">
        <w:trPr>
          <w:jc w:val="center"/>
        </w:trPr>
        <w:tc>
          <w:tcPr>
            <w:tcW w:w="1624" w:type="dxa"/>
            <w:tcBorders>
              <w:top w:val="single" w:sz="4" w:space="0" w:color="auto"/>
              <w:bottom w:val="single" w:sz="4" w:space="0" w:color="auto"/>
            </w:tcBorders>
            <w:vAlign w:val="center"/>
          </w:tcPr>
          <w:p w14:paraId="1DF42D47" w14:textId="77777777" w:rsidR="00E04C8A" w:rsidRDefault="008E1817">
            <w:pPr>
              <w:pStyle w:val="a3"/>
              <w:jc w:val="center"/>
              <w:rPr>
                <w:b/>
                <w:lang w:val="sl-SI" w:eastAsia="ko-KR"/>
              </w:rPr>
            </w:pPr>
            <w:r>
              <w:rPr>
                <w:rFonts w:eastAsia="Times New Roman"/>
                <w:b/>
                <w:bCs/>
                <w:lang w:val="sl-SI" w:eastAsia="ko-KR"/>
              </w:rPr>
              <w:t>Analiza zdravljenja</w:t>
            </w:r>
          </w:p>
        </w:tc>
        <w:tc>
          <w:tcPr>
            <w:tcW w:w="1530" w:type="dxa"/>
            <w:tcBorders>
              <w:top w:val="single" w:sz="4" w:space="0" w:color="auto"/>
              <w:bottom w:val="single" w:sz="4" w:space="0" w:color="auto"/>
            </w:tcBorders>
            <w:vAlign w:val="center"/>
          </w:tcPr>
          <w:p w14:paraId="3B79CA58" w14:textId="77777777" w:rsidR="00E04C8A" w:rsidRDefault="008E1817">
            <w:pPr>
              <w:pStyle w:val="a3"/>
              <w:jc w:val="center"/>
              <w:rPr>
                <w:b/>
                <w:lang w:val="sl-SI"/>
              </w:rPr>
            </w:pPr>
            <w:r>
              <w:rPr>
                <w:rFonts w:eastAsia="Times New Roman"/>
                <w:b/>
                <w:bCs/>
                <w:lang w:val="sl-SI"/>
              </w:rPr>
              <w:t>N</w:t>
            </w:r>
          </w:p>
        </w:tc>
        <w:tc>
          <w:tcPr>
            <w:tcW w:w="2052" w:type="dxa"/>
            <w:tcBorders>
              <w:top w:val="single" w:sz="4" w:space="0" w:color="auto"/>
              <w:bottom w:val="single" w:sz="4" w:space="0" w:color="auto"/>
            </w:tcBorders>
            <w:vAlign w:val="center"/>
          </w:tcPr>
          <w:p w14:paraId="4A546BBC" w14:textId="77777777" w:rsidR="00E04C8A" w:rsidRDefault="008E1817">
            <w:pPr>
              <w:pStyle w:val="a3"/>
              <w:jc w:val="center"/>
              <w:rPr>
                <w:b/>
                <w:lang w:val="sl-SI"/>
              </w:rPr>
            </w:pPr>
            <w:r>
              <w:rPr>
                <w:rFonts w:eastAsia="Times New Roman"/>
                <w:b/>
                <w:bCs/>
                <w:spacing w:val="-1"/>
                <w:lang w:val="sl-SI"/>
              </w:rPr>
              <w:t>Neuspeh N (%)</w:t>
            </w:r>
          </w:p>
        </w:tc>
        <w:tc>
          <w:tcPr>
            <w:tcW w:w="1130" w:type="dxa"/>
            <w:tcBorders>
              <w:top w:val="single" w:sz="4" w:space="0" w:color="auto"/>
              <w:bottom w:val="single" w:sz="4" w:space="0" w:color="auto"/>
            </w:tcBorders>
          </w:tcPr>
          <w:p w14:paraId="23B5D601" w14:textId="77777777" w:rsidR="00E04C8A" w:rsidRDefault="008E1817">
            <w:pPr>
              <w:pStyle w:val="a3"/>
              <w:jc w:val="center"/>
              <w:rPr>
                <w:b/>
                <w:bCs/>
                <w:spacing w:val="-1"/>
                <w:lang w:val="sl-SI" w:eastAsia="ko-KR"/>
              </w:rPr>
            </w:pPr>
            <w:r>
              <w:rPr>
                <w:rFonts w:eastAsia="Times New Roman"/>
                <w:b/>
                <w:bCs/>
                <w:spacing w:val="-1"/>
                <w:lang w:val="sl-SI" w:eastAsia="ko-KR"/>
              </w:rPr>
              <w:t>Mediana časa do neuspeha (meseci)</w:t>
            </w:r>
          </w:p>
        </w:tc>
        <w:tc>
          <w:tcPr>
            <w:tcW w:w="1130" w:type="dxa"/>
            <w:tcBorders>
              <w:top w:val="single" w:sz="4" w:space="0" w:color="auto"/>
              <w:bottom w:val="single" w:sz="4" w:space="0" w:color="auto"/>
            </w:tcBorders>
            <w:vAlign w:val="center"/>
          </w:tcPr>
          <w:p w14:paraId="11DF9B83" w14:textId="77777777" w:rsidR="00E04C8A" w:rsidRDefault="008E1817">
            <w:pPr>
              <w:pStyle w:val="a3"/>
              <w:jc w:val="center"/>
              <w:rPr>
                <w:b/>
                <w:bCs/>
                <w:spacing w:val="-1"/>
                <w:lang w:val="sl-SI" w:eastAsia="ko-KR"/>
              </w:rPr>
            </w:pPr>
            <w:r>
              <w:rPr>
                <w:rFonts w:eastAsia="Times New Roman"/>
                <w:b/>
                <w:bCs/>
                <w:spacing w:val="-1"/>
                <w:lang w:val="sl-SI" w:eastAsia="ko-KR"/>
              </w:rPr>
              <w:t>RT</w:t>
            </w:r>
            <w:r>
              <w:rPr>
                <w:rFonts w:eastAsia="Times New Roman"/>
                <w:b/>
                <w:bCs/>
                <w:spacing w:val="-1"/>
                <w:vertAlign w:val="superscript"/>
                <w:lang w:val="sl-SI" w:eastAsia="ko-KR"/>
              </w:rPr>
              <w:t>a</w:t>
            </w:r>
          </w:p>
        </w:tc>
        <w:tc>
          <w:tcPr>
            <w:tcW w:w="1130" w:type="dxa"/>
            <w:tcBorders>
              <w:top w:val="single" w:sz="4" w:space="0" w:color="auto"/>
              <w:bottom w:val="single" w:sz="4" w:space="0" w:color="auto"/>
            </w:tcBorders>
            <w:vAlign w:val="center"/>
          </w:tcPr>
          <w:p w14:paraId="4A5DBE71" w14:textId="77777777" w:rsidR="00E04C8A" w:rsidRDefault="008E1817">
            <w:pPr>
              <w:pStyle w:val="a3"/>
              <w:jc w:val="center"/>
              <w:rPr>
                <w:b/>
                <w:bCs/>
                <w:spacing w:val="-1"/>
                <w:lang w:val="sl-SI" w:eastAsia="ko-KR"/>
              </w:rPr>
            </w:pPr>
            <w:r>
              <w:rPr>
                <w:rFonts w:eastAsia="Times New Roman"/>
                <w:b/>
                <w:bCs/>
                <w:spacing w:val="-1"/>
                <w:lang w:val="sl-SI" w:eastAsia="ko-KR"/>
              </w:rPr>
              <w:t>95-% IZ za RT</w:t>
            </w:r>
            <w:r>
              <w:rPr>
                <w:rFonts w:eastAsia="Times New Roman"/>
                <w:spacing w:val="-1"/>
                <w:vertAlign w:val="superscript"/>
                <w:lang w:val="sl-SI" w:eastAsia="ko-KR"/>
              </w:rPr>
              <w:t>a</w:t>
            </w:r>
          </w:p>
        </w:tc>
        <w:tc>
          <w:tcPr>
            <w:tcW w:w="1130" w:type="dxa"/>
            <w:tcBorders>
              <w:top w:val="single" w:sz="4" w:space="0" w:color="auto"/>
              <w:bottom w:val="single" w:sz="4" w:space="0" w:color="auto"/>
            </w:tcBorders>
            <w:vAlign w:val="center"/>
          </w:tcPr>
          <w:p w14:paraId="095FC454" w14:textId="77777777" w:rsidR="00E04C8A" w:rsidRDefault="008E1817">
            <w:pPr>
              <w:pStyle w:val="a3"/>
              <w:jc w:val="center"/>
              <w:rPr>
                <w:b/>
                <w:lang w:val="sl-SI"/>
              </w:rPr>
            </w:pPr>
            <w:r>
              <w:rPr>
                <w:rFonts w:eastAsia="Times New Roman"/>
                <w:b/>
                <w:bCs/>
                <w:spacing w:val="-1"/>
                <w:lang w:val="sl-SI" w:eastAsia="ko-KR"/>
              </w:rPr>
              <w:t>Vrednost p</w:t>
            </w:r>
            <w:r>
              <w:rPr>
                <w:rFonts w:eastAsia="Times New Roman"/>
                <w:b/>
                <w:bCs/>
                <w:spacing w:val="-1"/>
                <w:vertAlign w:val="superscript"/>
                <w:lang w:val="sl-SI" w:eastAsia="ko-KR"/>
              </w:rPr>
              <w:t>b</w:t>
            </w:r>
          </w:p>
          <w:p w14:paraId="39FB84BC" w14:textId="77777777" w:rsidR="00E04C8A" w:rsidRDefault="00E04C8A">
            <w:pPr>
              <w:pStyle w:val="a3"/>
              <w:jc w:val="center"/>
              <w:rPr>
                <w:rFonts w:eastAsia="Times New Roman"/>
                <w:b/>
                <w:bCs/>
                <w:spacing w:val="-1"/>
                <w:lang w:val="sl-SI"/>
              </w:rPr>
            </w:pPr>
          </w:p>
        </w:tc>
      </w:tr>
      <w:tr w:rsidR="00E04C8A" w14:paraId="09A31FBE" w14:textId="77777777" w:rsidTr="001452D7">
        <w:trPr>
          <w:jc w:val="center"/>
        </w:trPr>
        <w:tc>
          <w:tcPr>
            <w:tcW w:w="9729" w:type="dxa"/>
            <w:gridSpan w:val="7"/>
            <w:tcBorders>
              <w:top w:val="single" w:sz="4" w:space="0" w:color="auto"/>
              <w:bottom w:val="single" w:sz="4" w:space="0" w:color="auto"/>
            </w:tcBorders>
            <w:vAlign w:val="center"/>
          </w:tcPr>
          <w:p w14:paraId="43923977" w14:textId="77777777" w:rsidR="00E04C8A" w:rsidRDefault="008E1817">
            <w:pPr>
              <w:pStyle w:val="a3"/>
              <w:rPr>
                <w:b/>
                <w:lang w:val="sl-SI"/>
              </w:rPr>
            </w:pPr>
            <w:r>
              <w:rPr>
                <w:rFonts w:eastAsia="Times New Roman"/>
                <w:b/>
                <w:bCs/>
                <w:lang w:val="sl-SI"/>
              </w:rPr>
              <w:t>Čas do neuspeha zdravljenja v ali po 6. tednu v študiji UV I</w:t>
            </w:r>
          </w:p>
          <w:p w14:paraId="5BB353CF" w14:textId="77777777" w:rsidR="00E04C8A" w:rsidRDefault="008E1817">
            <w:pPr>
              <w:pStyle w:val="a3"/>
              <w:jc w:val="both"/>
              <w:rPr>
                <w:lang w:val="sl-SI"/>
              </w:rPr>
            </w:pPr>
            <w:r>
              <w:rPr>
                <w:rFonts w:eastAsia="Times New Roman"/>
                <w:b/>
                <w:bCs/>
                <w:lang w:val="sl-SI"/>
              </w:rPr>
              <w:t>Primarna analiza (ITT)</w:t>
            </w:r>
          </w:p>
        </w:tc>
      </w:tr>
      <w:tr w:rsidR="00E04C8A" w14:paraId="7E9BE55D" w14:textId="77777777" w:rsidTr="001452D7">
        <w:trPr>
          <w:jc w:val="center"/>
        </w:trPr>
        <w:tc>
          <w:tcPr>
            <w:tcW w:w="1624" w:type="dxa"/>
            <w:tcBorders>
              <w:top w:val="single" w:sz="4" w:space="0" w:color="auto"/>
            </w:tcBorders>
            <w:vAlign w:val="center"/>
          </w:tcPr>
          <w:p w14:paraId="520572F2" w14:textId="77777777" w:rsidR="00E04C8A" w:rsidRDefault="008E1817">
            <w:pPr>
              <w:pStyle w:val="a3"/>
              <w:jc w:val="center"/>
              <w:rPr>
                <w:lang w:val="sl-SI"/>
              </w:rPr>
            </w:pPr>
            <w:r>
              <w:rPr>
                <w:rFonts w:eastAsia="Times New Roman"/>
                <w:lang w:val="sl-SI"/>
              </w:rPr>
              <w:t>Placebo</w:t>
            </w:r>
          </w:p>
        </w:tc>
        <w:tc>
          <w:tcPr>
            <w:tcW w:w="1530" w:type="dxa"/>
            <w:tcBorders>
              <w:top w:val="single" w:sz="4" w:space="0" w:color="auto"/>
            </w:tcBorders>
          </w:tcPr>
          <w:p w14:paraId="36178D39" w14:textId="77777777" w:rsidR="00E04C8A" w:rsidRDefault="008E1817">
            <w:pPr>
              <w:pStyle w:val="a3"/>
              <w:jc w:val="center"/>
              <w:rPr>
                <w:lang w:val="sl-SI"/>
              </w:rPr>
            </w:pPr>
            <w:r>
              <w:rPr>
                <w:rFonts w:eastAsia="Times New Roman"/>
                <w:lang w:val="sl-SI"/>
              </w:rPr>
              <w:t xml:space="preserve">107 </w:t>
            </w:r>
          </w:p>
        </w:tc>
        <w:tc>
          <w:tcPr>
            <w:tcW w:w="2052" w:type="dxa"/>
            <w:tcBorders>
              <w:top w:val="single" w:sz="4" w:space="0" w:color="auto"/>
            </w:tcBorders>
          </w:tcPr>
          <w:p w14:paraId="40919F58" w14:textId="77777777" w:rsidR="00E04C8A" w:rsidRDefault="008E1817">
            <w:pPr>
              <w:pStyle w:val="a3"/>
              <w:jc w:val="center"/>
              <w:rPr>
                <w:lang w:val="sl-SI"/>
              </w:rPr>
            </w:pPr>
            <w:r>
              <w:rPr>
                <w:rFonts w:eastAsia="Times New Roman"/>
                <w:lang w:val="sl-SI"/>
              </w:rPr>
              <w:t xml:space="preserve">84 (78,5) </w:t>
            </w:r>
          </w:p>
        </w:tc>
        <w:tc>
          <w:tcPr>
            <w:tcW w:w="1130" w:type="dxa"/>
            <w:tcBorders>
              <w:top w:val="single" w:sz="4" w:space="0" w:color="auto"/>
            </w:tcBorders>
          </w:tcPr>
          <w:p w14:paraId="2D9AD26E" w14:textId="77777777" w:rsidR="00E04C8A" w:rsidRDefault="008E1817">
            <w:pPr>
              <w:pStyle w:val="a3"/>
              <w:jc w:val="center"/>
              <w:rPr>
                <w:lang w:val="sl-SI"/>
              </w:rPr>
            </w:pPr>
            <w:r>
              <w:rPr>
                <w:rFonts w:eastAsia="Times New Roman"/>
                <w:lang w:val="sl-SI"/>
              </w:rPr>
              <w:t xml:space="preserve">3,0 </w:t>
            </w:r>
          </w:p>
        </w:tc>
        <w:tc>
          <w:tcPr>
            <w:tcW w:w="1130" w:type="dxa"/>
            <w:tcBorders>
              <w:top w:val="single" w:sz="4" w:space="0" w:color="auto"/>
            </w:tcBorders>
          </w:tcPr>
          <w:p w14:paraId="2787892C" w14:textId="77777777" w:rsidR="00E04C8A" w:rsidRDefault="008E1817">
            <w:pPr>
              <w:pStyle w:val="a3"/>
              <w:jc w:val="center"/>
              <w:rPr>
                <w:lang w:val="sl-SI"/>
              </w:rPr>
            </w:pPr>
            <w:r>
              <w:rPr>
                <w:lang w:val="sl-SI"/>
              </w:rPr>
              <w:t xml:space="preserve">-- </w:t>
            </w:r>
          </w:p>
        </w:tc>
        <w:tc>
          <w:tcPr>
            <w:tcW w:w="1130" w:type="dxa"/>
            <w:tcBorders>
              <w:top w:val="single" w:sz="4" w:space="0" w:color="auto"/>
            </w:tcBorders>
          </w:tcPr>
          <w:p w14:paraId="15A63434" w14:textId="77777777" w:rsidR="00E04C8A" w:rsidRDefault="008E1817">
            <w:pPr>
              <w:pStyle w:val="a3"/>
              <w:jc w:val="center"/>
              <w:rPr>
                <w:lang w:val="sl-SI"/>
              </w:rPr>
            </w:pPr>
            <w:r>
              <w:rPr>
                <w:lang w:val="sl-SI"/>
              </w:rPr>
              <w:t xml:space="preserve">-- </w:t>
            </w:r>
          </w:p>
        </w:tc>
        <w:tc>
          <w:tcPr>
            <w:tcW w:w="1130" w:type="dxa"/>
            <w:tcBorders>
              <w:top w:val="single" w:sz="4" w:space="0" w:color="auto"/>
            </w:tcBorders>
          </w:tcPr>
          <w:p w14:paraId="242D72DA" w14:textId="77777777" w:rsidR="00E04C8A" w:rsidRDefault="008E1817">
            <w:pPr>
              <w:pStyle w:val="a3"/>
              <w:jc w:val="center"/>
              <w:rPr>
                <w:lang w:val="sl-SI"/>
              </w:rPr>
            </w:pPr>
            <w:r>
              <w:rPr>
                <w:lang w:val="sl-SI"/>
              </w:rPr>
              <w:t xml:space="preserve">-- </w:t>
            </w:r>
          </w:p>
        </w:tc>
      </w:tr>
      <w:tr w:rsidR="00E04C8A" w14:paraId="0531A553" w14:textId="77777777" w:rsidTr="001452D7">
        <w:trPr>
          <w:jc w:val="center"/>
        </w:trPr>
        <w:tc>
          <w:tcPr>
            <w:tcW w:w="1624" w:type="dxa"/>
            <w:tcBorders>
              <w:bottom w:val="single" w:sz="4" w:space="0" w:color="auto"/>
            </w:tcBorders>
            <w:vAlign w:val="center"/>
          </w:tcPr>
          <w:p w14:paraId="3DBB2EA0" w14:textId="77777777" w:rsidR="00E04C8A" w:rsidRDefault="008E1817">
            <w:pPr>
              <w:pStyle w:val="a3"/>
              <w:jc w:val="center"/>
              <w:rPr>
                <w:lang w:val="sl-SI"/>
              </w:rPr>
            </w:pPr>
            <w:r>
              <w:rPr>
                <w:rFonts w:eastAsia="Times New Roman"/>
                <w:lang w:val="sl-SI"/>
              </w:rPr>
              <w:t>Adalimumab</w:t>
            </w:r>
          </w:p>
        </w:tc>
        <w:tc>
          <w:tcPr>
            <w:tcW w:w="1530" w:type="dxa"/>
            <w:tcBorders>
              <w:bottom w:val="single" w:sz="4" w:space="0" w:color="auto"/>
            </w:tcBorders>
          </w:tcPr>
          <w:p w14:paraId="50F8841E" w14:textId="77777777" w:rsidR="00E04C8A" w:rsidRDefault="008E1817">
            <w:pPr>
              <w:pStyle w:val="a3"/>
              <w:jc w:val="center"/>
              <w:rPr>
                <w:lang w:val="sl-SI"/>
              </w:rPr>
            </w:pPr>
            <w:r>
              <w:rPr>
                <w:rFonts w:eastAsia="Times New Roman"/>
                <w:lang w:val="sl-SI"/>
              </w:rPr>
              <w:t xml:space="preserve">110 </w:t>
            </w:r>
          </w:p>
        </w:tc>
        <w:tc>
          <w:tcPr>
            <w:tcW w:w="2052" w:type="dxa"/>
            <w:tcBorders>
              <w:bottom w:val="single" w:sz="4" w:space="0" w:color="auto"/>
            </w:tcBorders>
          </w:tcPr>
          <w:p w14:paraId="68F1647D" w14:textId="77777777" w:rsidR="00E04C8A" w:rsidRDefault="008E1817">
            <w:pPr>
              <w:pStyle w:val="a3"/>
              <w:jc w:val="center"/>
              <w:rPr>
                <w:lang w:val="sl-SI"/>
              </w:rPr>
            </w:pPr>
            <w:r>
              <w:rPr>
                <w:rFonts w:eastAsia="Times New Roman"/>
                <w:lang w:val="sl-SI"/>
              </w:rPr>
              <w:t xml:space="preserve">60 (54,5) </w:t>
            </w:r>
          </w:p>
        </w:tc>
        <w:tc>
          <w:tcPr>
            <w:tcW w:w="1130" w:type="dxa"/>
            <w:tcBorders>
              <w:bottom w:val="single" w:sz="4" w:space="0" w:color="auto"/>
            </w:tcBorders>
          </w:tcPr>
          <w:p w14:paraId="0FA8F757" w14:textId="77777777" w:rsidR="00E04C8A" w:rsidRDefault="008E1817">
            <w:pPr>
              <w:pStyle w:val="a3"/>
              <w:jc w:val="center"/>
              <w:rPr>
                <w:lang w:val="sl-SI"/>
              </w:rPr>
            </w:pPr>
            <w:r>
              <w:rPr>
                <w:rFonts w:eastAsia="Times New Roman"/>
                <w:lang w:val="sl-SI"/>
              </w:rPr>
              <w:t xml:space="preserve">5,6 </w:t>
            </w:r>
          </w:p>
        </w:tc>
        <w:tc>
          <w:tcPr>
            <w:tcW w:w="1130" w:type="dxa"/>
            <w:tcBorders>
              <w:bottom w:val="single" w:sz="4" w:space="0" w:color="auto"/>
            </w:tcBorders>
          </w:tcPr>
          <w:p w14:paraId="6025759B" w14:textId="77777777" w:rsidR="00E04C8A" w:rsidRDefault="008E1817">
            <w:pPr>
              <w:pStyle w:val="a3"/>
              <w:jc w:val="center"/>
              <w:rPr>
                <w:lang w:val="sl-SI"/>
              </w:rPr>
            </w:pPr>
            <w:r>
              <w:rPr>
                <w:rFonts w:eastAsia="Times New Roman"/>
                <w:lang w:val="sl-SI"/>
              </w:rPr>
              <w:t xml:space="preserve">0.50 </w:t>
            </w:r>
          </w:p>
        </w:tc>
        <w:tc>
          <w:tcPr>
            <w:tcW w:w="1130" w:type="dxa"/>
            <w:tcBorders>
              <w:bottom w:val="single" w:sz="4" w:space="0" w:color="auto"/>
            </w:tcBorders>
          </w:tcPr>
          <w:p w14:paraId="181DB392" w14:textId="77777777" w:rsidR="00E04C8A" w:rsidRDefault="008E1817">
            <w:pPr>
              <w:pStyle w:val="a3"/>
              <w:jc w:val="center"/>
              <w:rPr>
                <w:lang w:val="sl-SI"/>
              </w:rPr>
            </w:pPr>
            <w:r>
              <w:rPr>
                <w:rFonts w:eastAsia="Times New Roman"/>
                <w:lang w:val="sl-SI"/>
              </w:rPr>
              <w:t xml:space="preserve">0,36; 0,70 </w:t>
            </w:r>
          </w:p>
        </w:tc>
        <w:tc>
          <w:tcPr>
            <w:tcW w:w="1130" w:type="dxa"/>
            <w:tcBorders>
              <w:bottom w:val="single" w:sz="4" w:space="0" w:color="auto"/>
            </w:tcBorders>
          </w:tcPr>
          <w:p w14:paraId="467EAFF8" w14:textId="77777777" w:rsidR="00E04C8A" w:rsidRDefault="008E1817">
            <w:pPr>
              <w:pStyle w:val="a3"/>
              <w:jc w:val="center"/>
              <w:rPr>
                <w:lang w:val="sl-SI"/>
              </w:rPr>
            </w:pPr>
            <w:r>
              <w:rPr>
                <w:rFonts w:eastAsia="Times New Roman"/>
                <w:lang w:val="sl-SI"/>
              </w:rPr>
              <w:t xml:space="preserve">&lt; 0,001 </w:t>
            </w:r>
          </w:p>
        </w:tc>
      </w:tr>
      <w:tr w:rsidR="00E04C8A" w14:paraId="42490D33" w14:textId="77777777" w:rsidTr="001452D7">
        <w:trPr>
          <w:jc w:val="center"/>
        </w:trPr>
        <w:tc>
          <w:tcPr>
            <w:tcW w:w="9729" w:type="dxa"/>
            <w:gridSpan w:val="7"/>
            <w:tcBorders>
              <w:top w:val="single" w:sz="4" w:space="0" w:color="auto"/>
              <w:bottom w:val="single" w:sz="4" w:space="0" w:color="auto"/>
            </w:tcBorders>
            <w:vAlign w:val="center"/>
          </w:tcPr>
          <w:p w14:paraId="5CA007AA" w14:textId="77777777" w:rsidR="00E04C8A" w:rsidRDefault="008E1817">
            <w:pPr>
              <w:pStyle w:val="a3"/>
              <w:jc w:val="both"/>
              <w:rPr>
                <w:b/>
                <w:lang w:val="sl-SI"/>
              </w:rPr>
            </w:pPr>
            <w:r>
              <w:rPr>
                <w:rFonts w:eastAsia="Times New Roman"/>
                <w:b/>
                <w:bCs/>
                <w:lang w:val="sl-SI"/>
              </w:rPr>
              <w:t>Čas do neuspeha zdravljenja v ali po 2. tednu v študiji UV II</w:t>
            </w:r>
          </w:p>
          <w:p w14:paraId="0252EC8A" w14:textId="77777777" w:rsidR="00E04C8A" w:rsidRDefault="008E1817">
            <w:pPr>
              <w:pStyle w:val="a3"/>
              <w:jc w:val="both"/>
              <w:rPr>
                <w:lang w:val="sl-SI"/>
              </w:rPr>
            </w:pPr>
            <w:r>
              <w:rPr>
                <w:rFonts w:eastAsia="Times New Roman"/>
                <w:b/>
                <w:bCs/>
                <w:lang w:val="sl-SI"/>
              </w:rPr>
              <w:t>Primarna analiza (ITT)</w:t>
            </w:r>
          </w:p>
        </w:tc>
      </w:tr>
      <w:tr w:rsidR="00E04C8A" w14:paraId="40A7DD3A" w14:textId="77777777" w:rsidTr="001452D7">
        <w:trPr>
          <w:jc w:val="center"/>
        </w:trPr>
        <w:tc>
          <w:tcPr>
            <w:tcW w:w="1624" w:type="dxa"/>
            <w:tcBorders>
              <w:top w:val="single" w:sz="4" w:space="0" w:color="auto"/>
            </w:tcBorders>
          </w:tcPr>
          <w:p w14:paraId="078C37AC" w14:textId="77777777" w:rsidR="00E04C8A" w:rsidRDefault="008E1817">
            <w:pPr>
              <w:pStyle w:val="a3"/>
              <w:jc w:val="center"/>
              <w:rPr>
                <w:lang w:val="sl-SI"/>
              </w:rPr>
            </w:pPr>
            <w:r>
              <w:rPr>
                <w:rFonts w:eastAsia="Times New Roman"/>
                <w:lang w:val="sl-SI"/>
              </w:rPr>
              <w:t xml:space="preserve">Placebo </w:t>
            </w:r>
          </w:p>
        </w:tc>
        <w:tc>
          <w:tcPr>
            <w:tcW w:w="1530" w:type="dxa"/>
            <w:tcBorders>
              <w:top w:val="single" w:sz="4" w:space="0" w:color="auto"/>
            </w:tcBorders>
          </w:tcPr>
          <w:p w14:paraId="2940794F" w14:textId="77777777" w:rsidR="00E04C8A" w:rsidRDefault="008E1817">
            <w:pPr>
              <w:pStyle w:val="a3"/>
              <w:jc w:val="center"/>
              <w:rPr>
                <w:lang w:val="sl-SI"/>
              </w:rPr>
            </w:pPr>
            <w:r>
              <w:rPr>
                <w:rFonts w:eastAsia="Times New Roman"/>
                <w:lang w:val="sl-SI"/>
              </w:rPr>
              <w:t xml:space="preserve">111 </w:t>
            </w:r>
          </w:p>
        </w:tc>
        <w:tc>
          <w:tcPr>
            <w:tcW w:w="2052" w:type="dxa"/>
            <w:tcBorders>
              <w:top w:val="single" w:sz="4" w:space="0" w:color="auto"/>
            </w:tcBorders>
          </w:tcPr>
          <w:p w14:paraId="297A8B8A" w14:textId="77777777" w:rsidR="00E04C8A" w:rsidRDefault="008E1817">
            <w:pPr>
              <w:pStyle w:val="a3"/>
              <w:jc w:val="center"/>
              <w:rPr>
                <w:lang w:val="sl-SI"/>
              </w:rPr>
            </w:pPr>
            <w:r>
              <w:rPr>
                <w:rFonts w:eastAsia="Times New Roman"/>
                <w:lang w:val="sl-SI"/>
              </w:rPr>
              <w:t xml:space="preserve">61 (55,0) </w:t>
            </w:r>
          </w:p>
        </w:tc>
        <w:tc>
          <w:tcPr>
            <w:tcW w:w="1130" w:type="dxa"/>
            <w:tcBorders>
              <w:top w:val="single" w:sz="4" w:space="0" w:color="auto"/>
            </w:tcBorders>
          </w:tcPr>
          <w:p w14:paraId="5D47FDAE" w14:textId="77777777" w:rsidR="00E04C8A" w:rsidRDefault="008E1817">
            <w:pPr>
              <w:pStyle w:val="a3"/>
              <w:jc w:val="center"/>
              <w:rPr>
                <w:lang w:val="sl-SI"/>
              </w:rPr>
            </w:pPr>
            <w:r>
              <w:rPr>
                <w:rFonts w:eastAsia="Times New Roman"/>
                <w:lang w:val="sl-SI"/>
              </w:rPr>
              <w:t xml:space="preserve">8,3 </w:t>
            </w:r>
          </w:p>
        </w:tc>
        <w:tc>
          <w:tcPr>
            <w:tcW w:w="1130" w:type="dxa"/>
            <w:tcBorders>
              <w:top w:val="single" w:sz="4" w:space="0" w:color="auto"/>
            </w:tcBorders>
          </w:tcPr>
          <w:p w14:paraId="2DDBE02B" w14:textId="77777777" w:rsidR="00E04C8A" w:rsidRDefault="008E1817">
            <w:pPr>
              <w:pStyle w:val="a3"/>
              <w:jc w:val="center"/>
              <w:rPr>
                <w:lang w:val="sl-SI"/>
              </w:rPr>
            </w:pPr>
            <w:r>
              <w:rPr>
                <w:lang w:val="sl-SI"/>
              </w:rPr>
              <w:t xml:space="preserve">-- </w:t>
            </w:r>
          </w:p>
        </w:tc>
        <w:tc>
          <w:tcPr>
            <w:tcW w:w="1130" w:type="dxa"/>
            <w:tcBorders>
              <w:top w:val="single" w:sz="4" w:space="0" w:color="auto"/>
            </w:tcBorders>
          </w:tcPr>
          <w:p w14:paraId="673390EF" w14:textId="77777777" w:rsidR="00E04C8A" w:rsidRDefault="008E1817">
            <w:pPr>
              <w:pStyle w:val="a3"/>
              <w:jc w:val="center"/>
              <w:rPr>
                <w:lang w:val="sl-SI"/>
              </w:rPr>
            </w:pPr>
            <w:r>
              <w:rPr>
                <w:lang w:val="sl-SI"/>
              </w:rPr>
              <w:t xml:space="preserve">-- </w:t>
            </w:r>
          </w:p>
        </w:tc>
        <w:tc>
          <w:tcPr>
            <w:tcW w:w="1130" w:type="dxa"/>
            <w:tcBorders>
              <w:top w:val="single" w:sz="4" w:space="0" w:color="auto"/>
            </w:tcBorders>
          </w:tcPr>
          <w:p w14:paraId="404C0D52" w14:textId="77777777" w:rsidR="00E04C8A" w:rsidRDefault="008E1817">
            <w:pPr>
              <w:pStyle w:val="a3"/>
              <w:jc w:val="center"/>
              <w:rPr>
                <w:lang w:val="sl-SI"/>
              </w:rPr>
            </w:pPr>
            <w:r>
              <w:rPr>
                <w:lang w:val="sl-SI"/>
              </w:rPr>
              <w:t xml:space="preserve">-- </w:t>
            </w:r>
          </w:p>
        </w:tc>
      </w:tr>
      <w:tr w:rsidR="00E04C8A" w14:paraId="2286D258" w14:textId="77777777" w:rsidTr="001452D7">
        <w:trPr>
          <w:jc w:val="center"/>
        </w:trPr>
        <w:tc>
          <w:tcPr>
            <w:tcW w:w="1624" w:type="dxa"/>
            <w:tcBorders>
              <w:bottom w:val="single" w:sz="4" w:space="0" w:color="auto"/>
            </w:tcBorders>
          </w:tcPr>
          <w:p w14:paraId="02DEDD21" w14:textId="77777777" w:rsidR="00E04C8A" w:rsidRDefault="008E1817">
            <w:pPr>
              <w:pStyle w:val="a3"/>
              <w:jc w:val="center"/>
              <w:rPr>
                <w:lang w:val="sl-SI"/>
              </w:rPr>
            </w:pPr>
            <w:r>
              <w:rPr>
                <w:rFonts w:eastAsia="Times New Roman"/>
                <w:lang w:val="sl-SI"/>
              </w:rPr>
              <w:t xml:space="preserve">Adalimumab </w:t>
            </w:r>
          </w:p>
        </w:tc>
        <w:tc>
          <w:tcPr>
            <w:tcW w:w="1530" w:type="dxa"/>
            <w:tcBorders>
              <w:bottom w:val="single" w:sz="4" w:space="0" w:color="auto"/>
            </w:tcBorders>
          </w:tcPr>
          <w:p w14:paraId="3AD5F369" w14:textId="77777777" w:rsidR="00E04C8A" w:rsidRDefault="008E1817">
            <w:pPr>
              <w:pStyle w:val="a3"/>
              <w:jc w:val="center"/>
              <w:rPr>
                <w:lang w:val="sl-SI"/>
              </w:rPr>
            </w:pPr>
            <w:r>
              <w:rPr>
                <w:rFonts w:eastAsia="Times New Roman"/>
                <w:lang w:val="sl-SI"/>
              </w:rPr>
              <w:t xml:space="preserve">115 </w:t>
            </w:r>
          </w:p>
        </w:tc>
        <w:tc>
          <w:tcPr>
            <w:tcW w:w="2052" w:type="dxa"/>
            <w:tcBorders>
              <w:bottom w:val="single" w:sz="4" w:space="0" w:color="auto"/>
            </w:tcBorders>
          </w:tcPr>
          <w:p w14:paraId="3CE7D45F" w14:textId="77777777" w:rsidR="00E04C8A" w:rsidRDefault="008E1817">
            <w:pPr>
              <w:pStyle w:val="a3"/>
              <w:jc w:val="center"/>
              <w:rPr>
                <w:lang w:val="sl-SI"/>
              </w:rPr>
            </w:pPr>
            <w:r>
              <w:rPr>
                <w:rFonts w:eastAsia="Times New Roman"/>
                <w:lang w:val="sl-SI"/>
              </w:rPr>
              <w:t xml:space="preserve">45 (39,1) </w:t>
            </w:r>
          </w:p>
        </w:tc>
        <w:tc>
          <w:tcPr>
            <w:tcW w:w="1130" w:type="dxa"/>
            <w:tcBorders>
              <w:bottom w:val="single" w:sz="4" w:space="0" w:color="auto"/>
            </w:tcBorders>
          </w:tcPr>
          <w:p w14:paraId="24CB0719" w14:textId="77777777" w:rsidR="00E04C8A" w:rsidRDefault="008E1817">
            <w:pPr>
              <w:pStyle w:val="a3"/>
              <w:jc w:val="center"/>
              <w:rPr>
                <w:lang w:val="sl-SI"/>
              </w:rPr>
            </w:pPr>
            <w:r>
              <w:rPr>
                <w:rFonts w:eastAsia="Times New Roman"/>
                <w:lang w:val="sl-SI"/>
              </w:rPr>
              <w:t>NE</w:t>
            </w:r>
            <w:r w:rsidRPr="00337BB0">
              <w:rPr>
                <w:rFonts w:eastAsia="Times New Roman"/>
                <w:vertAlign w:val="superscript"/>
                <w:lang w:val="sl-SI"/>
              </w:rPr>
              <w:t xml:space="preserve">c </w:t>
            </w:r>
          </w:p>
        </w:tc>
        <w:tc>
          <w:tcPr>
            <w:tcW w:w="1130" w:type="dxa"/>
            <w:tcBorders>
              <w:bottom w:val="single" w:sz="4" w:space="0" w:color="auto"/>
            </w:tcBorders>
          </w:tcPr>
          <w:p w14:paraId="1BDC019B" w14:textId="77777777" w:rsidR="00E04C8A" w:rsidRDefault="008E1817">
            <w:pPr>
              <w:pStyle w:val="a3"/>
              <w:jc w:val="center"/>
              <w:rPr>
                <w:lang w:val="sl-SI"/>
              </w:rPr>
            </w:pPr>
            <w:r>
              <w:rPr>
                <w:rFonts w:eastAsia="Times New Roman"/>
                <w:lang w:val="sl-SI"/>
              </w:rPr>
              <w:t xml:space="preserve">0,57 </w:t>
            </w:r>
          </w:p>
        </w:tc>
        <w:tc>
          <w:tcPr>
            <w:tcW w:w="1130" w:type="dxa"/>
            <w:tcBorders>
              <w:bottom w:val="single" w:sz="4" w:space="0" w:color="auto"/>
            </w:tcBorders>
          </w:tcPr>
          <w:p w14:paraId="623661A3" w14:textId="77777777" w:rsidR="00E04C8A" w:rsidRDefault="008E1817">
            <w:pPr>
              <w:pStyle w:val="a3"/>
              <w:jc w:val="center"/>
              <w:rPr>
                <w:lang w:val="sl-SI"/>
              </w:rPr>
            </w:pPr>
            <w:r>
              <w:rPr>
                <w:rFonts w:eastAsia="Times New Roman"/>
                <w:lang w:val="sl-SI"/>
              </w:rPr>
              <w:t xml:space="preserve">0,39; 0,84 </w:t>
            </w:r>
          </w:p>
        </w:tc>
        <w:tc>
          <w:tcPr>
            <w:tcW w:w="1130" w:type="dxa"/>
            <w:tcBorders>
              <w:bottom w:val="single" w:sz="4" w:space="0" w:color="auto"/>
            </w:tcBorders>
          </w:tcPr>
          <w:p w14:paraId="5B4C8B3F" w14:textId="77777777" w:rsidR="00E04C8A" w:rsidRDefault="008E1817">
            <w:pPr>
              <w:pStyle w:val="a3"/>
              <w:jc w:val="center"/>
              <w:rPr>
                <w:lang w:val="sl-SI"/>
              </w:rPr>
            </w:pPr>
            <w:r>
              <w:rPr>
                <w:rFonts w:eastAsia="Times New Roman"/>
                <w:lang w:val="sl-SI"/>
              </w:rPr>
              <w:t xml:space="preserve">0,004 </w:t>
            </w:r>
          </w:p>
        </w:tc>
      </w:tr>
    </w:tbl>
    <w:p w14:paraId="2940475F" w14:textId="77777777" w:rsidR="00E04C8A" w:rsidRDefault="008E1817">
      <w:pPr>
        <w:pStyle w:val="a3"/>
        <w:rPr>
          <w:lang w:val="sl-SI"/>
        </w:rPr>
      </w:pPr>
      <w:r>
        <w:rPr>
          <w:rFonts w:eastAsia="Times New Roman"/>
          <w:lang w:val="sl-SI"/>
        </w:rPr>
        <w:t>Opomba: neuspeh zdravljenja v ali po 6. tednu (študija UV I) ali v ali po 2. tednu (študija UV II) je bil štet kot dogodek. Prekinitve sodelovanja zaradi razlogov, ki niso bili posledica neuspeha zdravljenja so bile cenzurirane ob prekinitvi sodelovanja.</w:t>
      </w:r>
    </w:p>
    <w:p w14:paraId="21FED357" w14:textId="77777777" w:rsidR="00E04C8A" w:rsidRDefault="008E1817">
      <w:pPr>
        <w:pStyle w:val="a3"/>
        <w:numPr>
          <w:ilvl w:val="0"/>
          <w:numId w:val="9"/>
        </w:numPr>
        <w:ind w:left="426" w:hanging="426"/>
        <w:rPr>
          <w:lang w:val="sl-SI"/>
        </w:rPr>
      </w:pPr>
      <w:r>
        <w:rPr>
          <w:rFonts w:eastAsia="Times New Roman"/>
          <w:lang w:val="sl-SI"/>
        </w:rPr>
        <w:t>RT adalimumaba v primerjavi s placebom iz regresije proporcionalnih tveganj z zdravljenjem kot faktorjem.</w:t>
      </w:r>
    </w:p>
    <w:p w14:paraId="47FE838D" w14:textId="77777777" w:rsidR="00E04C8A" w:rsidRDefault="008E1817">
      <w:pPr>
        <w:pStyle w:val="a3"/>
        <w:numPr>
          <w:ilvl w:val="0"/>
          <w:numId w:val="9"/>
        </w:numPr>
        <w:ind w:left="426" w:hanging="426"/>
        <w:rPr>
          <w:lang w:val="sl-SI"/>
        </w:rPr>
      </w:pPr>
      <w:r>
        <w:rPr>
          <w:rFonts w:eastAsia="Times New Roman"/>
          <w:lang w:val="sl-SI"/>
        </w:rPr>
        <w:t xml:space="preserve">2-stranska vrednost </w:t>
      </w:r>
      <w:r>
        <w:rPr>
          <w:rFonts w:eastAsia="Times New Roman"/>
          <w:i/>
          <w:iCs/>
          <w:lang w:val="sl-SI"/>
        </w:rPr>
        <w:t>p</w:t>
      </w:r>
      <w:r>
        <w:rPr>
          <w:rFonts w:eastAsia="Times New Roman"/>
          <w:lang w:val="sl-SI"/>
        </w:rPr>
        <w:t xml:space="preserve"> testa log-rank.</w:t>
      </w:r>
    </w:p>
    <w:p w14:paraId="0A0994FD" w14:textId="4B0E172C" w:rsidR="0016539A" w:rsidRDefault="008E1817">
      <w:pPr>
        <w:pStyle w:val="a3"/>
        <w:numPr>
          <w:ilvl w:val="0"/>
          <w:numId w:val="9"/>
        </w:numPr>
        <w:ind w:left="426" w:hanging="426"/>
        <w:rPr>
          <w:rFonts w:eastAsia="Times New Roman"/>
          <w:lang w:val="sl-SI"/>
        </w:rPr>
      </w:pPr>
      <w:r>
        <w:rPr>
          <w:rFonts w:eastAsia="Times New Roman"/>
          <w:lang w:val="sl-SI"/>
        </w:rPr>
        <w:t>NE = ni mogoče oceniti. Manj kot polovica rizičnih preiskovancev je imelo dogodek.</w:t>
      </w:r>
    </w:p>
    <w:p w14:paraId="309E7C2A" w14:textId="291646A2" w:rsidR="00E04C8A" w:rsidRPr="00721C46" w:rsidRDefault="0016539A" w:rsidP="00721C46">
      <w:pPr>
        <w:rPr>
          <w:rFonts w:eastAsia="Times New Roman"/>
          <w:lang w:val="sl-SI"/>
        </w:rPr>
      </w:pPr>
      <w:r>
        <w:rPr>
          <w:rFonts w:eastAsia="Times New Roman"/>
          <w:lang w:val="sl-SI"/>
        </w:rPr>
        <w:br w:type="page"/>
      </w:r>
    </w:p>
    <w:p w14:paraId="5ED82D2C" w14:textId="77777777" w:rsidR="00E04C8A" w:rsidRDefault="008E1817" w:rsidP="006A7666">
      <w:pPr>
        <w:pStyle w:val="a3"/>
        <w:jc w:val="center"/>
        <w:rPr>
          <w:b/>
          <w:lang w:val="sl-SI"/>
        </w:rPr>
      </w:pPr>
      <w:r>
        <w:rPr>
          <w:rFonts w:eastAsiaTheme="minorHAnsi"/>
          <w:noProof/>
          <w:lang w:eastAsia="ko-KR"/>
        </w:rPr>
        <w:lastRenderedPageBreak/>
        <mc:AlternateContent>
          <mc:Choice Requires="wps">
            <w:drawing>
              <wp:anchor distT="0" distB="0" distL="114300" distR="114300" simplePos="0" relativeHeight="251658242" behindDoc="1" locked="0" layoutInCell="1" allowOverlap="1" wp14:anchorId="3244AEC3" wp14:editId="0FF12CE2">
                <wp:simplePos x="0" y="0"/>
                <wp:positionH relativeFrom="page">
                  <wp:posOffset>641445</wp:posOffset>
                </wp:positionH>
                <wp:positionV relativeFrom="paragraph">
                  <wp:posOffset>309539</wp:posOffset>
                </wp:positionV>
                <wp:extent cx="493281" cy="2280285"/>
                <wp:effectExtent l="0" t="0" r="2540" b="5715"/>
                <wp:wrapNone/>
                <wp:docPr id="1083" name="Text Box 3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281" cy="2280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EA2C83" w14:textId="77777777" w:rsidR="00474DFB" w:rsidRDefault="00474DFB">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sl-SI"/>
                              </w:rPr>
                              <w:t>ODSTOTEK NEUSPEHA ZDRAVLJENJA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44AEC3" id="_x0000_t202" coordsize="21600,21600" o:spt="202" path="m,l,21600r21600,l21600,xe">
                <v:stroke joinstyle="miter"/>
                <v:path gradientshapeok="t" o:connecttype="rect"/>
              </v:shapetype>
              <v:shape id="Text Box 3883" o:spid="_x0000_s1026" type="#_x0000_t202" style="position:absolute;left:0;text-align:left;margin-left:50.5pt;margin-top:24.35pt;width:38.85pt;height:179.5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" filled="f" stroked="f">
                <v:textbox style="layout-flow:vertical;mso-layout-flow-alt:bottom-to-top" inset="0,0,0,0">
                  <w:txbxContent>
                    <w:p w14:paraId="26EA2C83" w14:textId="77777777" w:rsidR="00474DFB" w:rsidRDefault="00474DFB">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sl-SI"/>
                        </w:rPr>
                        <w:t>ODSTOTEK NEUSPEHA ZDRAVLJENJA (%)</w:t>
                      </w:r>
                    </w:p>
                  </w:txbxContent>
                </v:textbox>
                <w10:wrap anchorx="page"/>
              </v:shape>
            </w:pict>
          </mc:Fallback>
        </mc:AlternateContent>
      </w:r>
      <w:r>
        <w:rPr>
          <w:rFonts w:eastAsia="Times New Roman"/>
          <w:b/>
          <w:bCs/>
          <w:lang w:val="sl-SI"/>
        </w:rPr>
        <w:t>Slika 2: Kaplan-Meierjeve krivulje povzemajo čas do neuspeha zdravljenja v ali po 6. tednu (študija UV I) ali 2. tednu (študija UV II)</w:t>
      </w:r>
    </w:p>
    <w:p w14:paraId="2649CDD3" w14:textId="77777777" w:rsidR="00E04C8A" w:rsidRDefault="00E04C8A">
      <w:pPr>
        <w:spacing w:line="200" w:lineRule="exact"/>
        <w:rPr>
          <w:sz w:val="20"/>
          <w:szCs w:val="20"/>
          <w:lang w:val="sl-SI"/>
        </w:rPr>
      </w:pPr>
    </w:p>
    <w:p w14:paraId="7869CD26" w14:textId="77777777" w:rsidR="00E04C8A" w:rsidRDefault="008E1817">
      <w:pPr>
        <w:ind w:left="701" w:right="10920"/>
        <w:rPr>
          <w:rFonts w:ascii="Times New Roman" w:eastAsia="Times New Roman" w:hAnsi="Times New Roman" w:cs="Times New Roman"/>
          <w:sz w:val="20"/>
          <w:szCs w:val="20"/>
          <w:lang w:val="sl-SI"/>
        </w:rPr>
      </w:pPr>
      <w:r>
        <w:rPr>
          <w:b/>
          <w:noProof/>
          <w:lang w:eastAsia="ko-KR"/>
        </w:rPr>
        <mc:AlternateContent>
          <mc:Choice Requires="wps">
            <w:drawing>
              <wp:anchor distT="0" distB="0" distL="114300" distR="114300" simplePos="0" relativeHeight="251658263" behindDoc="0" locked="0" layoutInCell="1" allowOverlap="1" wp14:anchorId="32539CDD" wp14:editId="2755AF38">
                <wp:simplePos x="0" y="0"/>
                <wp:positionH relativeFrom="column">
                  <wp:posOffset>595630</wp:posOffset>
                </wp:positionH>
                <wp:positionV relativeFrom="paragraph">
                  <wp:posOffset>2269490</wp:posOffset>
                </wp:positionV>
                <wp:extent cx="436880" cy="273997"/>
                <wp:effectExtent l="0" t="0" r="1270" b="0"/>
                <wp:wrapNone/>
                <wp:docPr id="24" name="Text Box 24"/>
                <wp:cNvGraphicFramePr/>
                <a:graphic xmlns:a="http://schemas.openxmlformats.org/drawingml/2006/main">
                  <a:graphicData uri="http://schemas.microsoft.com/office/word/2010/wordprocessingShape">
                    <wps:wsp>
                      <wps:cNvSpPr txBox="1"/>
                      <wps:spPr>
                        <a:xfrm>
                          <a:off x="0" y="0"/>
                          <a:ext cx="436880" cy="27399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A6B00D2" w14:textId="77777777" w:rsidR="00474DFB" w:rsidRPr="00721C46" w:rsidRDefault="00474DFB">
                            <w:pPr>
                              <w:rPr>
                                <w:rFonts w:ascii="Arial" w:hAnsi="Arial" w:cs="Arial"/>
                                <w:b/>
                                <w:bCs/>
                                <w:sz w:val="16"/>
                                <w:szCs w:val="16"/>
                              </w:rPr>
                            </w:pPr>
                            <w:r w:rsidRPr="00721C46">
                              <w:rPr>
                                <w:rFonts w:ascii="Arial" w:eastAsia="Times New Roman" w:hAnsi="Arial" w:cs="Arial"/>
                                <w:b/>
                                <w:bCs/>
                                <w:sz w:val="16"/>
                                <w:szCs w:val="16"/>
                                <w:lang w:val="sl-SI"/>
                              </w:rPr>
                              <w:t>P#0/107</w:t>
                            </w:r>
                          </w:p>
                          <w:p w14:paraId="460B2EB0" w14:textId="77777777" w:rsidR="00474DFB" w:rsidRPr="00721C46" w:rsidRDefault="00474DFB">
                            <w:pPr>
                              <w:rPr>
                                <w:rFonts w:ascii="Arial" w:hAnsi="Arial" w:cs="Arial"/>
                                <w:b/>
                                <w:bCs/>
                                <w:sz w:val="16"/>
                                <w:szCs w:val="16"/>
                              </w:rPr>
                            </w:pPr>
                            <w:r w:rsidRPr="00721C46">
                              <w:rPr>
                                <w:rFonts w:ascii="Arial" w:eastAsia="Times New Roman" w:hAnsi="Arial" w:cs="Arial"/>
                                <w:b/>
                                <w:bCs/>
                                <w:sz w:val="16"/>
                                <w:szCs w:val="16"/>
                                <w:lang w:val="sl-SI"/>
                              </w:rPr>
                              <w:t>A#0/110</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2539CDD" id="Text Box 24" o:spid="_x0000_s1027" type="#_x0000_t202" style="position:absolute;left:0;text-align:left;margin-left:46.9pt;margin-top:178.7pt;width:34.4pt;height:21.5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" fillcolor="white [3212]" stroked="f" strokeweight=".5pt">
                <v:textbox inset="0,0,0,0">
                  <w:txbxContent>
                    <w:p w14:paraId="0A6B00D2" w14:textId="77777777" w:rsidR="00474DFB" w:rsidRPr="00721C46" w:rsidRDefault="00474DFB">
                      <w:pPr>
                        <w:rPr>
                          <w:rFonts w:ascii="Arial" w:hAnsi="Arial" w:cs="Arial"/>
                          <w:b/>
                          <w:bCs/>
                          <w:sz w:val="16"/>
                          <w:szCs w:val="16"/>
                        </w:rPr>
                      </w:pPr>
                      <w:r w:rsidRPr="00721C46">
                        <w:rPr>
                          <w:rFonts w:ascii="Arial" w:eastAsia="Times New Roman" w:hAnsi="Arial" w:cs="Arial"/>
                          <w:b/>
                          <w:bCs/>
                          <w:sz w:val="16"/>
                          <w:szCs w:val="16"/>
                          <w:lang w:val="sl-SI"/>
                        </w:rPr>
                        <w:t>P#0/107</w:t>
                      </w:r>
                    </w:p>
                    <w:p w14:paraId="460B2EB0" w14:textId="77777777" w:rsidR="00474DFB" w:rsidRPr="00721C46" w:rsidRDefault="00474DFB">
                      <w:pPr>
                        <w:rPr>
                          <w:rFonts w:ascii="Arial" w:hAnsi="Arial" w:cs="Arial"/>
                          <w:b/>
                          <w:bCs/>
                          <w:sz w:val="16"/>
                          <w:szCs w:val="16"/>
                        </w:rPr>
                      </w:pPr>
                      <w:r w:rsidRPr="00721C46">
                        <w:rPr>
                          <w:rFonts w:ascii="Arial" w:eastAsia="Times New Roman" w:hAnsi="Arial" w:cs="Arial"/>
                          <w:b/>
                          <w:bCs/>
                          <w:sz w:val="16"/>
                          <w:szCs w:val="16"/>
                          <w:lang w:val="sl-SI"/>
                        </w:rPr>
                        <w:t>A#0/110</w:t>
                      </w:r>
                    </w:p>
                  </w:txbxContent>
                </v:textbox>
              </v:shape>
            </w:pict>
          </mc:Fallback>
        </mc:AlternateContent>
      </w:r>
      <w:r>
        <w:rPr>
          <w:noProof/>
          <w:lang w:eastAsia="ko-KR"/>
        </w:rPr>
        <w:drawing>
          <wp:inline distT="0" distB="0" distL="0" distR="0" wp14:anchorId="6E7D5BC5" wp14:editId="07B58B4E">
            <wp:extent cx="5629523" cy="2512060"/>
            <wp:effectExtent l="0" t="0" r="9525" b="2540"/>
            <wp:docPr id="84"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846714" name="Picture 25"/>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643633" cy="2518356"/>
                    </a:xfrm>
                    <a:prstGeom prst="rect">
                      <a:avLst/>
                    </a:prstGeom>
                    <a:noFill/>
                    <a:ln>
                      <a:noFill/>
                    </a:ln>
                  </pic:spPr>
                </pic:pic>
              </a:graphicData>
            </a:graphic>
          </wp:inline>
        </w:drawing>
      </w:r>
    </w:p>
    <w:p w14:paraId="0DF01F2C" w14:textId="77777777" w:rsidR="00E04C8A" w:rsidRDefault="008E1817">
      <w:pPr>
        <w:spacing w:line="233" w:lineRule="exact"/>
        <w:ind w:left="4099" w:right="3727"/>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ČAS (MESECI)</w:t>
      </w:r>
    </w:p>
    <w:p w14:paraId="4FE891E8" w14:textId="77777777" w:rsidR="00E04C8A" w:rsidRDefault="008E1817">
      <w:pPr>
        <w:pStyle w:val="a3"/>
        <w:ind w:firstLine="701"/>
        <w:rPr>
          <w:lang w:val="sl-SI"/>
        </w:rPr>
      </w:pPr>
      <w:r>
        <w:rPr>
          <w:noProof/>
          <w:lang w:eastAsia="ko-KR"/>
        </w:rPr>
        <w:drawing>
          <wp:anchor distT="0" distB="0" distL="114300" distR="114300" simplePos="0" relativeHeight="251658240" behindDoc="1" locked="0" layoutInCell="1" allowOverlap="1" wp14:anchorId="792D0FCC" wp14:editId="50C407EF">
            <wp:simplePos x="0" y="0"/>
            <wp:positionH relativeFrom="page">
              <wp:posOffset>3696970</wp:posOffset>
            </wp:positionH>
            <wp:positionV relativeFrom="paragraph">
              <wp:posOffset>1905</wp:posOffset>
            </wp:positionV>
            <wp:extent cx="397510" cy="182880"/>
            <wp:effectExtent l="0" t="0" r="0" b="0"/>
            <wp:wrapNone/>
            <wp:docPr id="3882" name="그림 3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45083" name="Picture 388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7510" cy="1828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ko-KR"/>
        </w:rPr>
        <w:drawing>
          <wp:anchor distT="0" distB="0" distL="114300" distR="114300" simplePos="0" relativeHeight="251658241" behindDoc="1" locked="0" layoutInCell="1" allowOverlap="1" wp14:anchorId="0B713B5C" wp14:editId="11FF029B">
            <wp:simplePos x="0" y="0"/>
            <wp:positionH relativeFrom="page">
              <wp:posOffset>5091430</wp:posOffset>
            </wp:positionH>
            <wp:positionV relativeFrom="paragraph">
              <wp:posOffset>1905</wp:posOffset>
            </wp:positionV>
            <wp:extent cx="501650" cy="182880"/>
            <wp:effectExtent l="0" t="0" r="0" b="0"/>
            <wp:wrapNone/>
            <wp:docPr id="3881" name="그림 3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16989" name="Picture 3881"/>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01650" cy="182880"/>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lang w:val="sl-SI"/>
        </w:rPr>
        <w:t>Študija UV I</w:t>
      </w:r>
      <w:r>
        <w:rPr>
          <w:rFonts w:eastAsia="Times New Roman"/>
          <w:lang w:val="sl-SI"/>
        </w:rPr>
        <w:tab/>
      </w:r>
      <w:r>
        <w:rPr>
          <w:rFonts w:eastAsia="Times New Roman"/>
          <w:lang w:val="sl-SI"/>
        </w:rPr>
        <w:tab/>
        <w:t xml:space="preserve">   Zdravljenje</w:t>
      </w:r>
      <w:r>
        <w:rPr>
          <w:rFonts w:eastAsia="Times New Roman"/>
          <w:lang w:val="sl-SI"/>
        </w:rPr>
        <w:tab/>
      </w:r>
      <w:r>
        <w:rPr>
          <w:rFonts w:eastAsia="Times New Roman"/>
          <w:lang w:val="sl-SI"/>
        </w:rPr>
        <w:tab/>
      </w:r>
      <w:r>
        <w:rPr>
          <w:rFonts w:eastAsia="Times New Roman"/>
          <w:lang w:val="sl-SI"/>
        </w:rPr>
        <w:tab/>
        <w:t>Placebo</w:t>
      </w:r>
      <w:r>
        <w:rPr>
          <w:rFonts w:eastAsia="Times New Roman"/>
          <w:lang w:val="sl-SI"/>
        </w:rPr>
        <w:tab/>
      </w:r>
      <w:r>
        <w:rPr>
          <w:rFonts w:eastAsia="Times New Roman"/>
          <w:lang w:val="sl-SI"/>
        </w:rPr>
        <w:tab/>
      </w:r>
      <w:r>
        <w:rPr>
          <w:rFonts w:eastAsia="Times New Roman"/>
          <w:lang w:val="sl-SI"/>
        </w:rPr>
        <w:tab/>
        <w:t>Adalimumab</w:t>
      </w:r>
    </w:p>
    <w:p w14:paraId="28325098" w14:textId="77777777" w:rsidR="00E04C8A" w:rsidRDefault="00E04C8A">
      <w:pPr>
        <w:rPr>
          <w:lang w:val="sl-SI"/>
        </w:rPr>
      </w:pPr>
    </w:p>
    <w:p w14:paraId="2D4A8C7F" w14:textId="77777777" w:rsidR="00E04C8A" w:rsidRDefault="008E1817">
      <w:pPr>
        <w:spacing w:before="97"/>
        <w:ind w:left="701" w:right="10920"/>
        <w:rPr>
          <w:rFonts w:ascii="Times New Roman" w:eastAsia="Times New Roman" w:hAnsi="Times New Roman" w:cs="Times New Roman"/>
          <w:sz w:val="20"/>
          <w:szCs w:val="20"/>
          <w:lang w:val="sl-SI"/>
        </w:rPr>
      </w:pPr>
      <w:r>
        <w:rPr>
          <w:noProof/>
          <w:lang w:eastAsia="ko-KR"/>
        </w:rPr>
        <mc:AlternateContent>
          <mc:Choice Requires="wpg">
            <w:drawing>
              <wp:anchor distT="0" distB="0" distL="114300" distR="114300" simplePos="0" relativeHeight="251658264" behindDoc="0" locked="0" layoutInCell="1" allowOverlap="1" wp14:anchorId="7F13A10A" wp14:editId="4DD5176B">
                <wp:simplePos x="0" y="0"/>
                <wp:positionH relativeFrom="column">
                  <wp:posOffset>-92075</wp:posOffset>
                </wp:positionH>
                <wp:positionV relativeFrom="paragraph">
                  <wp:posOffset>133350</wp:posOffset>
                </wp:positionV>
                <wp:extent cx="1171016" cy="2682323"/>
                <wp:effectExtent l="0" t="0" r="0" b="3810"/>
                <wp:wrapNone/>
                <wp:docPr id="3872" name="Group 3872"/>
                <wp:cNvGraphicFramePr/>
                <a:graphic xmlns:a="http://schemas.openxmlformats.org/drawingml/2006/main">
                  <a:graphicData uri="http://schemas.microsoft.com/office/word/2010/wordprocessingGroup">
                    <wpg:wgp>
                      <wpg:cNvGrpSpPr/>
                      <wpg:grpSpPr>
                        <a:xfrm>
                          <a:off x="0" y="0"/>
                          <a:ext cx="1171016" cy="2682323"/>
                          <a:chOff x="0" y="0"/>
                          <a:chExt cx="1171016" cy="2682323"/>
                        </a:xfrm>
                      </wpg:grpSpPr>
                      <wps:wsp>
                        <wps:cNvPr id="1082" name="Text Box 3880"/>
                        <wps:cNvSpPr txBox="1">
                          <a:spLocks noChangeArrowheads="1"/>
                        </wps:cNvSpPr>
                        <wps:spPr bwMode="auto">
                          <a:xfrm>
                            <a:off x="0" y="0"/>
                            <a:ext cx="411395" cy="2280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98FBAF" w14:textId="77777777" w:rsidR="00474DFB" w:rsidRDefault="00474DFB">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sl-SI"/>
                                </w:rPr>
                                <w:t>ODSTOTEK NEUSPEHA ZDRAVLJENJA (%)</w:t>
                              </w:r>
                            </w:p>
                          </w:txbxContent>
                        </wps:txbx>
                        <wps:bodyPr rot="0" vert="vert270" wrap="square" lIns="0" tIns="0" rIns="0" bIns="0" anchor="t" anchorCtr="0" upright="1">
                          <a:noAutofit/>
                        </wps:bodyPr>
                      </wps:wsp>
                      <wps:wsp>
                        <wps:cNvPr id="63" name="Text Box 63"/>
                        <wps:cNvSpPr txBox="1"/>
                        <wps:spPr>
                          <a:xfrm>
                            <a:off x="734136" y="2408326"/>
                            <a:ext cx="436880" cy="27399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C75012C" w14:textId="77777777" w:rsidR="00474DFB" w:rsidRPr="00721C46" w:rsidRDefault="00474DFB">
                              <w:pPr>
                                <w:rPr>
                                  <w:rFonts w:ascii="Arial" w:hAnsi="Arial" w:cs="Arial"/>
                                  <w:b/>
                                  <w:bCs/>
                                  <w:sz w:val="16"/>
                                  <w:szCs w:val="16"/>
                                </w:rPr>
                              </w:pPr>
                              <w:r w:rsidRPr="00721C46">
                                <w:rPr>
                                  <w:rFonts w:ascii="Arial" w:eastAsia="Times New Roman" w:hAnsi="Arial" w:cs="Arial"/>
                                  <w:b/>
                                  <w:bCs/>
                                  <w:sz w:val="16"/>
                                  <w:szCs w:val="16"/>
                                  <w:lang w:val="sl-SI"/>
                                </w:rPr>
                                <w:t>P#0/111</w:t>
                              </w:r>
                            </w:p>
                            <w:p w14:paraId="2FBAE60D" w14:textId="77777777" w:rsidR="00474DFB" w:rsidRPr="00721C46" w:rsidRDefault="00474DFB">
                              <w:pPr>
                                <w:rPr>
                                  <w:rFonts w:ascii="Arial" w:hAnsi="Arial" w:cs="Arial"/>
                                  <w:b/>
                                  <w:bCs/>
                                  <w:sz w:val="16"/>
                                  <w:szCs w:val="16"/>
                                </w:rPr>
                              </w:pPr>
                              <w:r w:rsidRPr="00721C46">
                                <w:rPr>
                                  <w:rFonts w:ascii="Arial" w:eastAsia="Times New Roman" w:hAnsi="Arial" w:cs="Arial"/>
                                  <w:b/>
                                  <w:bCs/>
                                  <w:sz w:val="16"/>
                                  <w:szCs w:val="16"/>
                                  <w:lang w:val="sl-SI"/>
                                </w:rPr>
                                <w:t>A#0/115</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F13A10A" id="Group 3872" o:spid="_x0000_s1028" style="position:absolute;left:0;text-align:left;margin-left:-7.25pt;margin-top:10.5pt;width:92.2pt;height:211.2pt;z-index:251658264;mso-width-relative:margin;mso-height-relative:margin" coordsize="11710,26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">
                <v:shape id="Text Box 3880" o:spid="_x0000_s1029" type="#_x0000_t202" style="position:absolute;width:4113;height:22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" filled="f" stroked="f">
                  <v:textbox style="layout-flow:vertical;mso-layout-flow-alt:bottom-to-top" inset="0,0,0,0">
                    <w:txbxContent>
                      <w:p w14:paraId="5D98FBAF" w14:textId="77777777" w:rsidR="00474DFB" w:rsidRDefault="00474DFB">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sl-SI"/>
                          </w:rPr>
                          <w:t>ODSTOTEK NEUSPEHA ZDRAVLJENJA (%)</w:t>
                        </w:r>
                      </w:p>
                    </w:txbxContent>
                  </v:textbox>
                </v:shape>
                <v:shape id="Text Box 63" o:spid="_x0000_s1030" type="#_x0000_t202" style="position:absolute;left:7341;top:24083;width:4369;height:27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" fillcolor="white [3212]" stroked="f" strokeweight=".5pt">
                  <v:textbox inset="0,0,0,0">
                    <w:txbxContent>
                      <w:p w14:paraId="7C75012C" w14:textId="77777777" w:rsidR="00474DFB" w:rsidRPr="00721C46" w:rsidRDefault="00474DFB">
                        <w:pPr>
                          <w:rPr>
                            <w:rFonts w:ascii="Arial" w:hAnsi="Arial" w:cs="Arial"/>
                            <w:b/>
                            <w:bCs/>
                            <w:sz w:val="16"/>
                            <w:szCs w:val="16"/>
                          </w:rPr>
                        </w:pPr>
                        <w:r w:rsidRPr="00721C46">
                          <w:rPr>
                            <w:rFonts w:ascii="Arial" w:eastAsia="Times New Roman" w:hAnsi="Arial" w:cs="Arial"/>
                            <w:b/>
                            <w:bCs/>
                            <w:sz w:val="16"/>
                            <w:szCs w:val="16"/>
                            <w:lang w:val="sl-SI"/>
                          </w:rPr>
                          <w:t>P#0/111</w:t>
                        </w:r>
                      </w:p>
                      <w:p w14:paraId="2FBAE60D" w14:textId="77777777" w:rsidR="00474DFB" w:rsidRPr="00721C46" w:rsidRDefault="00474DFB">
                        <w:pPr>
                          <w:rPr>
                            <w:rFonts w:ascii="Arial" w:hAnsi="Arial" w:cs="Arial"/>
                            <w:b/>
                            <w:bCs/>
                            <w:sz w:val="16"/>
                            <w:szCs w:val="16"/>
                          </w:rPr>
                        </w:pPr>
                        <w:r w:rsidRPr="00721C46">
                          <w:rPr>
                            <w:rFonts w:ascii="Arial" w:eastAsia="Times New Roman" w:hAnsi="Arial" w:cs="Arial"/>
                            <w:b/>
                            <w:bCs/>
                            <w:sz w:val="16"/>
                            <w:szCs w:val="16"/>
                            <w:lang w:val="sl-SI"/>
                          </w:rPr>
                          <w:t>A#0/115</w:t>
                        </w:r>
                      </w:p>
                    </w:txbxContent>
                  </v:textbox>
                </v:shape>
              </v:group>
            </w:pict>
          </mc:Fallback>
        </mc:AlternateContent>
      </w:r>
      <w:r>
        <w:rPr>
          <w:noProof/>
          <w:lang w:eastAsia="ko-KR"/>
        </w:rPr>
        <w:drawing>
          <wp:inline distT="0" distB="0" distL="0" distR="0" wp14:anchorId="76587487" wp14:editId="230688C8">
            <wp:extent cx="5602363" cy="2750820"/>
            <wp:effectExtent l="0" t="0" r="0" b="0"/>
            <wp:docPr id="83"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603897" name="Picture 26"/>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615156" cy="2757101"/>
                    </a:xfrm>
                    <a:prstGeom prst="rect">
                      <a:avLst/>
                    </a:prstGeom>
                    <a:noFill/>
                    <a:ln>
                      <a:noFill/>
                    </a:ln>
                  </pic:spPr>
                </pic:pic>
              </a:graphicData>
            </a:graphic>
          </wp:inline>
        </w:drawing>
      </w:r>
    </w:p>
    <w:p w14:paraId="1FFC9D3C" w14:textId="77777777" w:rsidR="00E04C8A" w:rsidRDefault="008E1817">
      <w:pPr>
        <w:spacing w:before="11"/>
        <w:ind w:left="4099" w:right="3647"/>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ČAS (MESECI)</w:t>
      </w:r>
    </w:p>
    <w:p w14:paraId="3928CA02" w14:textId="77777777" w:rsidR="00E04C8A" w:rsidRDefault="008E1817">
      <w:pPr>
        <w:pStyle w:val="a3"/>
        <w:ind w:firstLine="720"/>
        <w:rPr>
          <w:lang w:val="sl-SI"/>
        </w:rPr>
      </w:pPr>
      <w:r>
        <w:rPr>
          <w:rFonts w:eastAsia="Times New Roman"/>
          <w:lang w:val="sl-SI"/>
        </w:rPr>
        <w:t>Študija UV II</w:t>
      </w:r>
      <w:r>
        <w:rPr>
          <w:rFonts w:eastAsia="Times New Roman"/>
          <w:lang w:val="sl-SI"/>
        </w:rPr>
        <w:tab/>
      </w:r>
      <w:r>
        <w:rPr>
          <w:rFonts w:eastAsia="Times New Roman"/>
          <w:lang w:val="sl-SI"/>
        </w:rPr>
        <w:tab/>
      </w:r>
      <w:r w:rsidR="00BD2B8A">
        <w:rPr>
          <w:rFonts w:eastAsia="Times New Roman"/>
          <w:lang w:val="sl-SI"/>
        </w:rPr>
        <w:t xml:space="preserve">  </w:t>
      </w:r>
      <w:r>
        <w:rPr>
          <w:rFonts w:eastAsia="Times New Roman"/>
          <w:lang w:val="sl-SI"/>
        </w:rPr>
        <w:t xml:space="preserve"> Zdravljenje</w:t>
      </w:r>
      <w:r>
        <w:rPr>
          <w:rFonts w:eastAsia="Times New Roman"/>
          <w:lang w:val="sl-SI"/>
        </w:rPr>
        <w:tab/>
      </w:r>
      <w:r>
        <w:rPr>
          <w:noProof/>
          <w:lang w:eastAsia="ko-KR"/>
        </w:rPr>
        <w:drawing>
          <wp:inline distT="0" distB="0" distL="0" distR="0" wp14:anchorId="28F671BD" wp14:editId="11762040">
            <wp:extent cx="393700" cy="177800"/>
            <wp:effectExtent l="0" t="0" r="0" b="0"/>
            <wp:docPr id="82"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29637" name="Picture 27"/>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3700" cy="177800"/>
                    </a:xfrm>
                    <a:prstGeom prst="rect">
                      <a:avLst/>
                    </a:prstGeom>
                    <a:noFill/>
                    <a:ln>
                      <a:noFill/>
                    </a:ln>
                  </pic:spPr>
                </pic:pic>
              </a:graphicData>
            </a:graphic>
          </wp:inline>
        </w:drawing>
      </w:r>
      <w:r>
        <w:rPr>
          <w:rFonts w:eastAsia="Times New Roman"/>
          <w:lang w:val="sl-SI"/>
        </w:rPr>
        <w:t xml:space="preserve">    Placebo</w:t>
      </w:r>
      <w:r>
        <w:rPr>
          <w:rFonts w:eastAsia="Times New Roman"/>
          <w:lang w:val="sl-SI"/>
        </w:rPr>
        <w:tab/>
      </w:r>
      <w:r>
        <w:rPr>
          <w:noProof/>
          <w:lang w:eastAsia="ko-KR"/>
        </w:rPr>
        <w:drawing>
          <wp:inline distT="0" distB="0" distL="0" distR="0" wp14:anchorId="7BC000C0" wp14:editId="0FE9CD39">
            <wp:extent cx="508000" cy="177800"/>
            <wp:effectExtent l="0" t="0" r="0" b="0"/>
            <wp:docPr id="81"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74050" name="Picture 28"/>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08000" cy="177800"/>
                    </a:xfrm>
                    <a:prstGeom prst="rect">
                      <a:avLst/>
                    </a:prstGeom>
                    <a:noFill/>
                    <a:ln>
                      <a:noFill/>
                    </a:ln>
                  </pic:spPr>
                </pic:pic>
              </a:graphicData>
            </a:graphic>
          </wp:inline>
        </w:drawing>
      </w:r>
      <w:r>
        <w:rPr>
          <w:rFonts w:eastAsia="Times New Roman"/>
          <w:lang w:val="sl-SI"/>
        </w:rPr>
        <w:t xml:space="preserve">  Adalimumab</w:t>
      </w:r>
    </w:p>
    <w:p w14:paraId="6CDA85F1" w14:textId="77777777" w:rsidR="00E04C8A" w:rsidRPr="00B11B84" w:rsidRDefault="00E04C8A">
      <w:pPr>
        <w:spacing w:before="9" w:line="130" w:lineRule="exact"/>
        <w:rPr>
          <w:sz w:val="13"/>
          <w:szCs w:val="13"/>
          <w:lang w:val="sl-SI"/>
        </w:rPr>
      </w:pPr>
    </w:p>
    <w:p w14:paraId="165158E0" w14:textId="77777777" w:rsidR="00E04C8A" w:rsidRDefault="008E1817" w:rsidP="00721C46">
      <w:pPr>
        <w:pStyle w:val="a3"/>
        <w:ind w:leftChars="100" w:left="220"/>
        <w:rPr>
          <w:lang w:val="sl-SI"/>
        </w:rPr>
      </w:pPr>
      <w:r>
        <w:rPr>
          <w:rFonts w:eastAsia="Times New Roman"/>
          <w:lang w:val="sl-SI"/>
        </w:rPr>
        <w:t>Opomba: P# = placebo (število dogodkov/število rizičnih preiskovancev); A# = adalimumab (število dogodkov/število rizičnih preiskovancev).</w:t>
      </w:r>
    </w:p>
    <w:p w14:paraId="49CB599F" w14:textId="77777777" w:rsidR="00E04C8A" w:rsidRDefault="00E04C8A">
      <w:pPr>
        <w:spacing w:before="3" w:line="110" w:lineRule="exact"/>
        <w:rPr>
          <w:sz w:val="11"/>
          <w:szCs w:val="11"/>
          <w:lang w:val="sl-SI"/>
        </w:rPr>
      </w:pPr>
    </w:p>
    <w:p w14:paraId="193A1735" w14:textId="77777777" w:rsidR="00E04C8A" w:rsidRDefault="00E04C8A">
      <w:pPr>
        <w:spacing w:line="200" w:lineRule="exact"/>
        <w:rPr>
          <w:sz w:val="20"/>
          <w:szCs w:val="20"/>
          <w:lang w:val="sl-SI"/>
        </w:rPr>
      </w:pPr>
    </w:p>
    <w:p w14:paraId="64991C0D" w14:textId="77777777" w:rsidR="00E04C8A" w:rsidRDefault="008E1817">
      <w:pPr>
        <w:pStyle w:val="a3"/>
        <w:rPr>
          <w:lang w:val="sl-SI"/>
        </w:rPr>
      </w:pPr>
      <w:r>
        <w:rPr>
          <w:rFonts w:eastAsia="Times New Roman"/>
          <w:lang w:val="sl-SI"/>
        </w:rPr>
        <w:t>V študiji UV I so opazili statistično pomembne razlike v korist adalimumaba v primerjavi s placebom za vsako od komponent neuspeha zdravljenja. V študiji UV II so opazili statistično pomembne razlike samo za ostrino vida, toda tudi ostale komponente so bile glede številk v korist adalimumaba.</w:t>
      </w:r>
    </w:p>
    <w:p w14:paraId="60D609B8" w14:textId="77777777" w:rsidR="00E04C8A" w:rsidRDefault="00E04C8A">
      <w:pPr>
        <w:spacing w:before="13" w:line="240" w:lineRule="exact"/>
        <w:rPr>
          <w:sz w:val="24"/>
          <w:szCs w:val="24"/>
          <w:lang w:val="sl-SI"/>
        </w:rPr>
      </w:pPr>
    </w:p>
    <w:p w14:paraId="0E3FC05F" w14:textId="77777777" w:rsidR="00E04C8A" w:rsidRDefault="008E1817">
      <w:pPr>
        <w:pStyle w:val="a3"/>
        <w:rPr>
          <w:lang w:val="sl-SI"/>
        </w:rPr>
      </w:pPr>
      <w:r>
        <w:rPr>
          <w:rFonts w:eastAsia="Times New Roman"/>
          <w:lang w:val="sl-SI"/>
        </w:rPr>
        <w:t xml:space="preserve">Od 424 bolnikov, ki so bili vključeni v nekontrolirani dolgoročni podaljšek študij UV I in UV II, je bilo 60 bolnikov neprimernih (npr. zaradi odstopanj ali zapletov, sekundarno ob diabetični retinopatiji zaradi kirurškega posega sive mrene ali vitrektomije) in so bili izključeni iz primarne analize učinkovitosti. Od preostalih 364 bolnikov je 269 ovrednotenih bolnikov (74 %) zaključilo 78-tedensko odprto zdravljenje z adalimumabom. Na osnovi pristopa z opaženimi podatki je bilo 216 (80,3 %) bolnikov v remisiji (brez </w:t>
      </w:r>
      <w:r>
        <w:rPr>
          <w:rFonts w:eastAsia="Times New Roman"/>
          <w:lang w:val="sl-SI"/>
        </w:rPr>
        <w:lastRenderedPageBreak/>
        <w:t>aktivnih vnetnih lezij, ocena celic sprednje očesne komore ≤ 0,5+, motnost steklovine ≤ 0,5+) ob sočasnem jemanju steroidov v odmerku ≤ 7,5 mg na dan in pa 178 bolnikov (66,2 %), ki so bili v remisiji in brez steroidov. Najboljša korigirana ostrina vida se je ali izboljšala ali pa ohranila (poslabšanje ostrine vida &lt; 5 črk) pri 88,6 % očeh v 78. tednu. Podatki, zbrani po 78. tednu, so bili na splošno v skladu s temi rezultati, vendar se je število vključenih bolnikov zmanjšalo po tem času. Na splošno med bolniki, ki so prekinili študijo, jih je 18 % prekinilo študijo zaradi neželenih učinkov, 8 % pa zaradi nezadostnega odziva na zdravljenje z adalimumabom.</w:t>
      </w:r>
    </w:p>
    <w:p w14:paraId="3EC3BEE6" w14:textId="77777777" w:rsidR="00E04C8A" w:rsidRDefault="00E04C8A">
      <w:pPr>
        <w:pStyle w:val="a3"/>
        <w:rPr>
          <w:sz w:val="24"/>
          <w:szCs w:val="24"/>
          <w:lang w:val="sl-SI"/>
        </w:rPr>
      </w:pPr>
    </w:p>
    <w:p w14:paraId="767F54D8" w14:textId="77777777" w:rsidR="00E04C8A" w:rsidRDefault="008E1817">
      <w:pPr>
        <w:pStyle w:val="a3"/>
        <w:rPr>
          <w:rFonts w:eastAsia="Times New Roman"/>
          <w:lang w:val="sl-SI"/>
        </w:rPr>
      </w:pPr>
      <w:r>
        <w:rPr>
          <w:rFonts w:eastAsia="Times New Roman"/>
          <w:i/>
          <w:iCs/>
          <w:spacing w:val="-1"/>
          <w:u w:val="single" w:color="000000"/>
          <w:lang w:val="sl-SI"/>
        </w:rPr>
        <w:t>Kakovost življenja</w:t>
      </w:r>
    </w:p>
    <w:p w14:paraId="0DE6D3C4" w14:textId="77777777" w:rsidR="00E04C8A" w:rsidRDefault="00E04C8A">
      <w:pPr>
        <w:pStyle w:val="a3"/>
        <w:rPr>
          <w:sz w:val="18"/>
          <w:szCs w:val="18"/>
          <w:lang w:val="sl-SI"/>
        </w:rPr>
      </w:pPr>
    </w:p>
    <w:p w14:paraId="770D31AD" w14:textId="08B898DC" w:rsidR="00E04C8A" w:rsidRDefault="008E1817">
      <w:pPr>
        <w:pStyle w:val="a3"/>
        <w:rPr>
          <w:sz w:val="24"/>
          <w:szCs w:val="24"/>
          <w:lang w:val="sl-SI"/>
        </w:rPr>
      </w:pPr>
      <w:r>
        <w:rPr>
          <w:rFonts w:eastAsia="Times New Roman"/>
          <w:lang w:val="sl-SI"/>
        </w:rPr>
        <w:t>Izidi poročil bolnikov glede opravil, povezanih z vidom, so bili merjeni v obeh kliničnih študijah z uporabo vprašalnika NEI VFQ-25. Številke so bile v korist adalimumaba za večino podrezultatov s statistično značilno povprečno razliko za splošni vid, očesno bolečino, vid na blizu, duševno zdravje in skupen rezultat v študiji UV I, ter za splošni vid in duševno zdravje v študiji UV II. Učinki povezani z vidom niso bili v korist adalimumaba v primeru barvnega vida v študiji UV I in v primeru barvnega vida, perifernega vida in vida na blizu v študiji UV II.</w:t>
      </w:r>
    </w:p>
    <w:p w14:paraId="67933365" w14:textId="09C7B7C1" w:rsidR="00E04C8A" w:rsidRDefault="00E04C8A">
      <w:pPr>
        <w:rPr>
          <w:lang w:val="sl-SI"/>
        </w:rPr>
      </w:pPr>
    </w:p>
    <w:p w14:paraId="1527991D" w14:textId="77777777" w:rsidR="00E04C8A" w:rsidRDefault="008E1817">
      <w:pPr>
        <w:pStyle w:val="a3"/>
        <w:rPr>
          <w:u w:val="single" w:color="000000"/>
          <w:lang w:val="sl-SI"/>
        </w:rPr>
      </w:pPr>
      <w:r>
        <w:rPr>
          <w:rFonts w:eastAsia="Times New Roman"/>
          <w:u w:val="single" w:color="000000"/>
          <w:lang w:val="sl-SI"/>
        </w:rPr>
        <w:t>Imunogenost</w:t>
      </w:r>
    </w:p>
    <w:p w14:paraId="2B29A4D5" w14:textId="77777777" w:rsidR="00E04C8A" w:rsidRDefault="00E04C8A">
      <w:pPr>
        <w:spacing w:before="1" w:line="180" w:lineRule="exact"/>
        <w:rPr>
          <w:sz w:val="18"/>
          <w:szCs w:val="18"/>
          <w:lang w:val="sl-SI" w:eastAsia="ko-KR"/>
        </w:rPr>
      </w:pPr>
    </w:p>
    <w:p w14:paraId="1EEE6CAC" w14:textId="77777777" w:rsidR="00C71486" w:rsidRPr="00C71486" w:rsidRDefault="00C71486" w:rsidP="00C71486">
      <w:pPr>
        <w:keepNext/>
        <w:widowControl/>
        <w:tabs>
          <w:tab w:val="left" w:pos="1294"/>
        </w:tabs>
        <w:autoSpaceDE w:val="0"/>
        <w:autoSpaceDN w:val="0"/>
        <w:adjustRightInd w:val="0"/>
        <w:rPr>
          <w:rFonts w:ascii="Times New Roman" w:eastAsia="바탕" w:hAnsi="Times New Roman" w:cs="Times New Roman"/>
          <w:lang w:val="sl-SI"/>
        </w:rPr>
      </w:pPr>
      <w:r w:rsidRPr="00C71486">
        <w:rPr>
          <w:rFonts w:ascii="Times New Roman" w:eastAsia="바탕" w:hAnsi="Times New Roman" w:cs="Times New Roman"/>
          <w:lang w:val="sl-SI"/>
        </w:rPr>
        <w:t>Nastanek protiteles proti adalimumabu spremljata večji očistek in manjša učinkovitost adalimumaba. Med prisotnostjo protiteles proti adalimumabu in pojavnostjo neželenih učinkov ni očitne korelacije.</w:t>
      </w:r>
    </w:p>
    <w:p w14:paraId="3BCBB9B5" w14:textId="77777777" w:rsidR="00C71486" w:rsidRPr="00C71486" w:rsidRDefault="00C71486" w:rsidP="00C71486">
      <w:pPr>
        <w:widowControl/>
        <w:tabs>
          <w:tab w:val="left" w:pos="1294"/>
        </w:tabs>
        <w:autoSpaceDE w:val="0"/>
        <w:autoSpaceDN w:val="0"/>
        <w:adjustRightInd w:val="0"/>
        <w:rPr>
          <w:rFonts w:ascii="Times New Roman" w:eastAsia="바탕" w:hAnsi="Times New Roman" w:cs="Times New Roman"/>
          <w:lang w:val="sl-SI"/>
        </w:rPr>
      </w:pPr>
    </w:p>
    <w:p w14:paraId="11A02993" w14:textId="77777777" w:rsidR="00C71486" w:rsidRPr="00C71486" w:rsidRDefault="00C71486" w:rsidP="00C71486">
      <w:pPr>
        <w:widowControl/>
        <w:tabs>
          <w:tab w:val="left" w:pos="1294"/>
        </w:tabs>
        <w:autoSpaceDE w:val="0"/>
        <w:autoSpaceDN w:val="0"/>
        <w:adjustRightInd w:val="0"/>
        <w:rPr>
          <w:rFonts w:ascii="Times New Roman" w:eastAsia="바탕" w:hAnsi="Times New Roman" w:cs="Times New Roman"/>
          <w:szCs w:val="20"/>
          <w:lang w:val="sl-SI" w:eastAsia="sl-SI"/>
        </w:rPr>
      </w:pPr>
      <w:r w:rsidRPr="00C71486">
        <w:rPr>
          <w:rFonts w:ascii="Times New Roman" w:eastAsia="바탕" w:hAnsi="Times New Roman" w:cs="Times New Roman"/>
          <w:szCs w:val="20"/>
          <w:lang w:val="sl-SI" w:eastAsia="sl-SI"/>
        </w:rPr>
        <w:t>Pri bolnikih v študijah revmatoidnega artritisa I, II in III so v obdobju od 6 do 12 mesecev ob različnih časih večkrat določali protitelesa proti adalimumabu. V ključnih preskušanjih, so protitelesa proti adalimumabu odkrili pri 5,5 % (58/1053) bolnikov, zdravljenih z adalimumabom, in pri 0,5 % (2/370), ki so dobivali placebo. Pri bolnikih, ki sočasno niso dobivali metotreksata, je bila incidenca 12,4 %, pri tistih, ki so adalimumab uporabljali kot dodatek metotreksatu, pa 0,6 %.</w:t>
      </w:r>
    </w:p>
    <w:p w14:paraId="4867B78E" w14:textId="77777777" w:rsidR="00C71486" w:rsidRPr="00C71486" w:rsidRDefault="00C71486" w:rsidP="00C71486">
      <w:pPr>
        <w:widowControl/>
        <w:tabs>
          <w:tab w:val="left" w:pos="1294"/>
        </w:tabs>
        <w:autoSpaceDE w:val="0"/>
        <w:autoSpaceDN w:val="0"/>
        <w:adjustRightInd w:val="0"/>
        <w:rPr>
          <w:rFonts w:ascii="Times New Roman" w:eastAsia="바탕" w:hAnsi="Times New Roman" w:cs="Times New Roman"/>
          <w:lang w:val="sl-SI"/>
        </w:rPr>
      </w:pPr>
    </w:p>
    <w:p w14:paraId="4DF9A38B" w14:textId="77777777" w:rsidR="00C71486" w:rsidRPr="00C71486" w:rsidRDefault="00C71486" w:rsidP="00C71486">
      <w:pPr>
        <w:widowControl/>
        <w:tabs>
          <w:tab w:val="left" w:pos="567"/>
          <w:tab w:val="left" w:pos="1294"/>
        </w:tabs>
        <w:autoSpaceDE w:val="0"/>
        <w:autoSpaceDN w:val="0"/>
        <w:adjustRightInd w:val="0"/>
        <w:rPr>
          <w:rFonts w:ascii="Times New Roman" w:eastAsia="바탕" w:hAnsi="Times New Roman" w:cs="Times New Roman"/>
          <w:lang w:val="sl-SI" w:eastAsia="sl-SI"/>
        </w:rPr>
      </w:pPr>
      <w:r w:rsidRPr="00C71486">
        <w:rPr>
          <w:rFonts w:ascii="Times New Roman" w:eastAsia="바탕" w:hAnsi="Times New Roman" w:cs="Times New Roman"/>
          <w:lang w:val="sl-SI" w:eastAsia="sl-SI"/>
        </w:rPr>
        <w:t>Pri bolnikih s Crohnovo boleznijo so identificirali protitelesa proti adalimumabu pri 7 od 269 bolnikov (2,6 %) in pri 19 od 487 (3,9 %) bolnikov z ulceroznim kolitisom.</w:t>
      </w:r>
    </w:p>
    <w:p w14:paraId="7D03E6FB" w14:textId="77777777" w:rsidR="00C71486" w:rsidRPr="00C71486" w:rsidRDefault="00C71486" w:rsidP="00C71486">
      <w:pPr>
        <w:widowControl/>
        <w:tabs>
          <w:tab w:val="left" w:pos="567"/>
        </w:tabs>
        <w:rPr>
          <w:rFonts w:ascii="Times New Roman" w:eastAsia="바탕" w:hAnsi="Times New Roman" w:cs="Times New Roman"/>
          <w:lang w:val="sl-SI" w:eastAsia="sl-SI"/>
        </w:rPr>
      </w:pPr>
    </w:p>
    <w:p w14:paraId="19C12312" w14:textId="77777777" w:rsidR="00C71486" w:rsidRPr="00C71486" w:rsidRDefault="00C71486" w:rsidP="00C71486">
      <w:pPr>
        <w:widowControl/>
        <w:tabs>
          <w:tab w:val="left" w:pos="567"/>
          <w:tab w:val="left" w:pos="1294"/>
        </w:tabs>
        <w:rPr>
          <w:rFonts w:ascii="Times New Roman" w:eastAsia="바탕" w:hAnsi="Times New Roman" w:cs="Times New Roman"/>
          <w:lang w:val="sl-SI"/>
        </w:rPr>
      </w:pPr>
      <w:r w:rsidRPr="00C71486">
        <w:rPr>
          <w:rFonts w:ascii="Times New Roman" w:eastAsia="바탕" w:hAnsi="Times New Roman" w:cs="Times New Roman"/>
          <w:lang w:val="sl-SI" w:eastAsia="sl-SI"/>
        </w:rPr>
        <w:t>Pri odraslih bolnikih s psoriazo so protitelesa proti adalimumabu ugotovili pri 77 od 920 preiskovancev (8,4 %), ki so dobivali monoterapijo z adalimumabom.</w:t>
      </w:r>
    </w:p>
    <w:p w14:paraId="216B34FE" w14:textId="77777777" w:rsidR="00C71486" w:rsidRPr="00C71486" w:rsidRDefault="00C71486" w:rsidP="00C71486">
      <w:pPr>
        <w:widowControl/>
        <w:tabs>
          <w:tab w:val="left" w:pos="567"/>
        </w:tabs>
        <w:spacing w:line="260" w:lineRule="exact"/>
        <w:rPr>
          <w:rFonts w:ascii="Times New Roman" w:eastAsia="바탕" w:hAnsi="Times New Roman" w:cs="Times New Roman"/>
          <w:b/>
          <w:bCs/>
          <w:szCs w:val="20"/>
          <w:lang w:val="sl-SI" w:eastAsia="sl-SI"/>
        </w:rPr>
      </w:pPr>
    </w:p>
    <w:p w14:paraId="28DCCABE" w14:textId="77777777" w:rsidR="00C71486" w:rsidRPr="00C71486" w:rsidRDefault="00C71486" w:rsidP="00C71486">
      <w:pPr>
        <w:widowControl/>
        <w:tabs>
          <w:tab w:val="left" w:pos="567"/>
        </w:tabs>
        <w:spacing w:line="260" w:lineRule="exact"/>
        <w:rPr>
          <w:rFonts w:ascii="Times New Roman" w:eastAsia="바탕" w:hAnsi="Times New Roman" w:cs="Times New Roman"/>
          <w:sz w:val="24"/>
          <w:szCs w:val="24"/>
          <w:lang w:val="sl-SI" w:eastAsia="sl-SI"/>
        </w:rPr>
      </w:pPr>
      <w:r w:rsidRPr="00C71486">
        <w:rPr>
          <w:rFonts w:ascii="Times New Roman" w:eastAsia="바탕" w:hAnsi="Times New Roman" w:cs="Times New Roman"/>
          <w:bCs/>
          <w:szCs w:val="20"/>
          <w:lang w:val="sl-SI" w:eastAsia="sl-SI"/>
        </w:rPr>
        <w:t>Pri odraslih bolnikih s psoriazo v plakih, ki so prejemali dolgotrajno monoterapijo z adalimumabom in so sodelovali v študiji prenehanja uporabe in ponovnega zdravljenja, je bil delež protiteles proti adalimumabu po ponovnem zdravljenju (11 od 482 bolnikov; 2,3 %) podoben kot pred prenehanjem uporabe (11 od 590 bolnikov; 1,9 %).</w:t>
      </w:r>
    </w:p>
    <w:p w14:paraId="395AA607" w14:textId="77777777" w:rsidR="00C71486" w:rsidRPr="00C71486" w:rsidRDefault="00C71486" w:rsidP="00C71486">
      <w:pPr>
        <w:widowControl/>
        <w:tabs>
          <w:tab w:val="left" w:pos="0"/>
          <w:tab w:val="left" w:pos="567"/>
        </w:tabs>
        <w:autoSpaceDE w:val="0"/>
        <w:autoSpaceDN w:val="0"/>
        <w:adjustRightInd w:val="0"/>
        <w:rPr>
          <w:rFonts w:ascii="Times New Roman" w:eastAsia="바탕" w:hAnsi="Times New Roman" w:cs="Times New Roman"/>
          <w:bCs/>
          <w:szCs w:val="20"/>
          <w:lang w:val="sl-SI" w:eastAsia="sl-SI"/>
        </w:rPr>
      </w:pPr>
    </w:p>
    <w:p w14:paraId="65A02D90" w14:textId="77777777" w:rsidR="00C71486" w:rsidRPr="00C71486" w:rsidRDefault="00C71486" w:rsidP="00C71486">
      <w:pPr>
        <w:widowControl/>
        <w:tabs>
          <w:tab w:val="left" w:pos="0"/>
          <w:tab w:val="left" w:pos="567"/>
        </w:tabs>
        <w:autoSpaceDE w:val="0"/>
        <w:autoSpaceDN w:val="0"/>
        <w:adjustRightInd w:val="0"/>
        <w:rPr>
          <w:rFonts w:ascii="Times New Roman" w:eastAsia="바탕" w:hAnsi="Times New Roman" w:cs="Times New Roman"/>
          <w:bCs/>
          <w:szCs w:val="20"/>
          <w:lang w:val="sl-SI" w:eastAsia="sl-SI"/>
        </w:rPr>
      </w:pPr>
      <w:r w:rsidRPr="00C71486">
        <w:rPr>
          <w:rFonts w:ascii="Times New Roman" w:eastAsia="바탕" w:hAnsi="Times New Roman" w:cs="Times New Roman"/>
          <w:szCs w:val="20"/>
          <w:lang w:val="sl-SI" w:eastAsia="sl-SI"/>
        </w:rPr>
        <w:t xml:space="preserve">Pri bolnikih z zmerno do hudo obliko hidradenitis suppurativa </w:t>
      </w:r>
      <w:r w:rsidRPr="00C71486">
        <w:rPr>
          <w:rFonts w:ascii="Times New Roman" w:eastAsia="바탕" w:hAnsi="Times New Roman" w:cs="Times New Roman"/>
          <w:lang w:val="sl-SI"/>
        </w:rPr>
        <w:t xml:space="preserve">so bila protitelesa proti </w:t>
      </w:r>
      <w:r w:rsidRPr="00C71486">
        <w:rPr>
          <w:rFonts w:ascii="Times New Roman" w:eastAsia="바탕" w:hAnsi="Times New Roman" w:cs="Times New Roman"/>
          <w:bCs/>
          <w:szCs w:val="20"/>
          <w:lang w:val="sl-SI" w:eastAsia="sl-SI"/>
        </w:rPr>
        <w:t>adalimumabu odkrita pri 10/99 oseb (10,1 %), ki so bile zdravljene z adalimumabom</w:t>
      </w:r>
      <w:r w:rsidRPr="00C71486">
        <w:rPr>
          <w:rFonts w:ascii="Times New Roman" w:eastAsia="바탕" w:hAnsi="Times New Roman" w:cs="Times New Roman"/>
          <w:szCs w:val="20"/>
          <w:lang w:val="sl-SI" w:eastAsia="sl-SI"/>
        </w:rPr>
        <w:t>.</w:t>
      </w:r>
    </w:p>
    <w:p w14:paraId="4D00D10B" w14:textId="77777777" w:rsidR="00C71486" w:rsidRPr="00C71486" w:rsidRDefault="00C71486" w:rsidP="00C71486">
      <w:pPr>
        <w:widowControl/>
        <w:tabs>
          <w:tab w:val="left" w:pos="708"/>
        </w:tabs>
        <w:rPr>
          <w:rFonts w:ascii="Times New Roman" w:eastAsia="바탕" w:hAnsi="Times New Roman" w:cs="Times New Roman"/>
          <w:lang w:val="sl-SI"/>
        </w:rPr>
      </w:pPr>
    </w:p>
    <w:p w14:paraId="336063C5" w14:textId="77777777" w:rsidR="00C71486" w:rsidRPr="00C71486" w:rsidRDefault="00C71486" w:rsidP="00C71486">
      <w:pPr>
        <w:widowControl/>
        <w:tabs>
          <w:tab w:val="left" w:pos="708"/>
        </w:tabs>
        <w:rPr>
          <w:rFonts w:ascii="Times New Roman" w:eastAsia="바탕" w:hAnsi="Times New Roman" w:cs="Times New Roman"/>
          <w:szCs w:val="20"/>
          <w:lang w:val="sl-SI" w:eastAsia="sl-SI"/>
        </w:rPr>
      </w:pPr>
      <w:r w:rsidRPr="00C71486">
        <w:rPr>
          <w:rFonts w:ascii="Times New Roman" w:eastAsia="바탕" w:hAnsi="Times New Roman" w:cs="Times New Roman"/>
          <w:szCs w:val="20"/>
          <w:lang w:val="sl-SI" w:eastAsia="sl-SI"/>
        </w:rPr>
        <w:t>Delež pediatričnih bolnikov z zmerno do hudo aktivno Crohnovo boleznijo pri bolnikih, ki so prejeli adalimumab in razvili protitelesa proti adalimumabu je bil 3,3 %.</w:t>
      </w:r>
    </w:p>
    <w:p w14:paraId="13E04F11" w14:textId="77777777" w:rsidR="00C71486" w:rsidRPr="00C71486" w:rsidRDefault="00C71486" w:rsidP="00C71486">
      <w:pPr>
        <w:widowControl/>
        <w:tabs>
          <w:tab w:val="left" w:pos="1294"/>
        </w:tabs>
        <w:autoSpaceDE w:val="0"/>
        <w:autoSpaceDN w:val="0"/>
        <w:adjustRightInd w:val="0"/>
        <w:rPr>
          <w:rFonts w:ascii="Times New Roman" w:eastAsia="바탕" w:hAnsi="Times New Roman" w:cs="Times New Roman"/>
          <w:lang w:val="sl-SI"/>
        </w:rPr>
      </w:pPr>
    </w:p>
    <w:p w14:paraId="1F45F221" w14:textId="77777777" w:rsidR="00C71486" w:rsidRPr="00C71486" w:rsidRDefault="00C71486" w:rsidP="00C71486">
      <w:pPr>
        <w:widowControl/>
        <w:tabs>
          <w:tab w:val="left" w:pos="708"/>
        </w:tabs>
        <w:rPr>
          <w:rFonts w:ascii="Times New Roman" w:eastAsia="바탕" w:hAnsi="Times New Roman" w:cs="Times New Roman"/>
          <w:lang w:val="sl-SI"/>
        </w:rPr>
      </w:pPr>
      <w:r w:rsidRPr="00C71486">
        <w:rPr>
          <w:rFonts w:ascii="Times New Roman" w:eastAsia="바탕" w:hAnsi="Times New Roman" w:cs="Times New Roman"/>
          <w:lang w:val="sl-SI"/>
        </w:rPr>
        <w:t>Pri odraslih bolnikih z neinfekcijskim uveitisom so bila protitelesa proti adalimumabu odkrita pri 4,8 % (12/249) bolnikov, ki so jih zdravili z adalimumabom.</w:t>
      </w:r>
    </w:p>
    <w:p w14:paraId="5966A33E" w14:textId="77777777" w:rsidR="00C71486" w:rsidRPr="00C71486" w:rsidRDefault="00C71486" w:rsidP="00C71486">
      <w:pPr>
        <w:widowControl/>
        <w:tabs>
          <w:tab w:val="left" w:pos="708"/>
        </w:tabs>
        <w:rPr>
          <w:rFonts w:ascii="Times New Roman" w:eastAsia="바탕" w:hAnsi="Times New Roman" w:cs="Times New Roman"/>
          <w:lang w:val="sl-SI"/>
        </w:rPr>
      </w:pPr>
    </w:p>
    <w:p w14:paraId="519177C2" w14:textId="77777777" w:rsidR="00C71486" w:rsidRPr="00C71486" w:rsidRDefault="00C71486" w:rsidP="00C71486">
      <w:pPr>
        <w:widowControl/>
        <w:tabs>
          <w:tab w:val="left" w:pos="708"/>
        </w:tabs>
        <w:rPr>
          <w:rFonts w:ascii="Times New Roman" w:eastAsia="바탕" w:hAnsi="Times New Roman" w:cs="Times New Roman"/>
          <w:szCs w:val="20"/>
          <w:lang w:val="sl-SI" w:eastAsia="sl-SI"/>
        </w:rPr>
      </w:pPr>
      <w:r w:rsidRPr="00C71486">
        <w:rPr>
          <w:rFonts w:ascii="Times New Roman" w:eastAsia="바탕" w:hAnsi="Times New Roman" w:cs="Times New Roman"/>
          <w:szCs w:val="20"/>
          <w:lang w:val="sl-SI" w:eastAsia="sl-SI"/>
        </w:rPr>
        <w:t>Delež pediatričnih bolnikov z zmerno do hudo aktivnim ulceroznim kolitisom pri bolnikih, ki so prejeli adalimumab in razvili protitelesa proti adalimumabu, je bil 3 %.</w:t>
      </w:r>
    </w:p>
    <w:p w14:paraId="54AC3F71" w14:textId="77777777" w:rsidR="00C71486" w:rsidRPr="00C71486" w:rsidRDefault="00C71486" w:rsidP="00C71486">
      <w:pPr>
        <w:widowControl/>
        <w:tabs>
          <w:tab w:val="left" w:pos="708"/>
        </w:tabs>
        <w:rPr>
          <w:rFonts w:ascii="Times New Roman" w:eastAsia="바탕" w:hAnsi="Times New Roman" w:cs="Times New Roman"/>
          <w:lang w:val="sl-SI"/>
        </w:rPr>
      </w:pPr>
    </w:p>
    <w:p w14:paraId="1DA747A8" w14:textId="7E5A9AF8" w:rsidR="00E04C8A" w:rsidRDefault="00C71486">
      <w:pPr>
        <w:pStyle w:val="a3"/>
        <w:rPr>
          <w:lang w:val="sl-SI"/>
        </w:rPr>
      </w:pPr>
      <w:r w:rsidRPr="00C71486">
        <w:rPr>
          <w:rFonts w:eastAsia="바탕"/>
          <w:lang w:val="sl-SI"/>
        </w:rPr>
        <w:t>Ker so analize imunogenosti specifične za posamezno zdravilo, primerjava z deleži protiteles pri drugih zdravilih ne pride v poštev</w:t>
      </w:r>
      <w:r w:rsidR="008E1817">
        <w:rPr>
          <w:rFonts w:eastAsia="Times New Roman"/>
          <w:lang w:val="sl-SI"/>
        </w:rPr>
        <w:t>.</w:t>
      </w:r>
    </w:p>
    <w:p w14:paraId="3574B300" w14:textId="77777777" w:rsidR="00E04C8A" w:rsidRDefault="00E04C8A">
      <w:pPr>
        <w:pStyle w:val="a3"/>
        <w:rPr>
          <w:lang w:val="sl-SI"/>
        </w:rPr>
      </w:pPr>
    </w:p>
    <w:p w14:paraId="5903DEF7" w14:textId="77777777" w:rsidR="00E04C8A" w:rsidRDefault="008E1817">
      <w:pPr>
        <w:pStyle w:val="a3"/>
        <w:rPr>
          <w:u w:val="single"/>
          <w:lang w:val="sl-SI"/>
        </w:rPr>
      </w:pPr>
      <w:r>
        <w:rPr>
          <w:rFonts w:eastAsia="Times New Roman"/>
          <w:u w:val="single" w:color="000000"/>
          <w:lang w:val="sl-SI"/>
        </w:rPr>
        <w:lastRenderedPageBreak/>
        <w:t>Pediatrična populacija</w:t>
      </w:r>
    </w:p>
    <w:p w14:paraId="2DA9C2BB" w14:textId="75BDEA3F" w:rsidR="00E04C8A" w:rsidRDefault="00E04C8A">
      <w:pPr>
        <w:spacing w:before="16" w:line="240" w:lineRule="exact"/>
        <w:rPr>
          <w:sz w:val="24"/>
          <w:szCs w:val="24"/>
          <w:lang w:val="sl-SI"/>
        </w:rPr>
      </w:pPr>
    </w:p>
    <w:p w14:paraId="2E11F3FB" w14:textId="77777777" w:rsidR="00982DE1" w:rsidRDefault="00982DE1" w:rsidP="00982DE1">
      <w:pPr>
        <w:pStyle w:val="a3"/>
        <w:rPr>
          <w:rFonts w:eastAsia="Times New Roman"/>
          <w:i/>
          <w:spacing w:val="-1"/>
          <w:lang w:val="sl-SI"/>
        </w:rPr>
      </w:pPr>
      <w:r>
        <w:rPr>
          <w:rFonts w:eastAsia="Times New Roman"/>
          <w:i/>
          <w:iCs/>
          <w:spacing w:val="-1"/>
          <w:lang w:val="sl-SI"/>
        </w:rPr>
        <w:t>Juvenilni idiopatski artritis</w:t>
      </w:r>
    </w:p>
    <w:p w14:paraId="01C9BE2E" w14:textId="77777777" w:rsidR="00982DE1" w:rsidRDefault="00982DE1" w:rsidP="00982DE1">
      <w:pPr>
        <w:pStyle w:val="a3"/>
        <w:rPr>
          <w:rFonts w:eastAsia="Times New Roman"/>
          <w:i/>
          <w:spacing w:val="-1"/>
          <w:u w:val="single" w:color="000000"/>
          <w:lang w:val="sl-SI"/>
        </w:rPr>
      </w:pPr>
    </w:p>
    <w:p w14:paraId="33918BFB" w14:textId="77777777" w:rsidR="00982DE1" w:rsidRDefault="00982DE1" w:rsidP="00982DE1">
      <w:pPr>
        <w:pStyle w:val="a3"/>
        <w:rPr>
          <w:rFonts w:eastAsia="Times New Roman"/>
          <w:lang w:val="sl-SI"/>
        </w:rPr>
      </w:pPr>
      <w:r>
        <w:rPr>
          <w:rFonts w:eastAsia="Times New Roman"/>
          <w:i/>
          <w:iCs/>
          <w:spacing w:val="-1"/>
          <w:u w:val="single" w:color="000000"/>
          <w:lang w:val="sl-SI"/>
        </w:rPr>
        <w:t>Poliartikularni juvenilni idiopatski artritis (pJIA)</w:t>
      </w:r>
    </w:p>
    <w:p w14:paraId="29E95A68" w14:textId="77777777" w:rsidR="0016539A" w:rsidRDefault="0016539A" w:rsidP="00982DE1">
      <w:pPr>
        <w:pStyle w:val="a3"/>
        <w:rPr>
          <w:rFonts w:eastAsia="Times New Roman"/>
          <w:lang w:val="sl-SI"/>
        </w:rPr>
      </w:pPr>
    </w:p>
    <w:p w14:paraId="71B3E889" w14:textId="70C3FDB7" w:rsidR="00982DE1" w:rsidRDefault="00982DE1" w:rsidP="00982DE1">
      <w:pPr>
        <w:pStyle w:val="a3"/>
        <w:rPr>
          <w:lang w:val="sl-SI"/>
        </w:rPr>
      </w:pPr>
      <w:r>
        <w:rPr>
          <w:rFonts w:eastAsia="Times New Roman"/>
          <w:lang w:val="sl-SI"/>
        </w:rPr>
        <w:t>Varnost in učinkovitost adalimumaba so ocenili v dveh študijah (pJIA I in II) pri otrocih z aktivnim poliartikularnim ali poliartikularnim juvenilnim idiopatskim artritisom, z različnimi tipi začetka JIA (najpogosteje negativen revmatoidni faktor ali pozitiven poliartritis in razširjen oligoartritis).</w:t>
      </w:r>
    </w:p>
    <w:p w14:paraId="1DECC423" w14:textId="77777777" w:rsidR="00982DE1" w:rsidRDefault="00982DE1" w:rsidP="00982DE1">
      <w:pPr>
        <w:pStyle w:val="a3"/>
        <w:rPr>
          <w:sz w:val="24"/>
          <w:szCs w:val="24"/>
          <w:lang w:val="sl-SI"/>
        </w:rPr>
      </w:pPr>
    </w:p>
    <w:p w14:paraId="1F2D29A4" w14:textId="77777777" w:rsidR="00982DE1" w:rsidRDefault="00982DE1" w:rsidP="00982DE1">
      <w:pPr>
        <w:pStyle w:val="a3"/>
        <w:rPr>
          <w:lang w:val="sl-SI"/>
        </w:rPr>
      </w:pPr>
      <w:r>
        <w:rPr>
          <w:rFonts w:eastAsia="Times New Roman"/>
          <w:lang w:val="sl-SI"/>
        </w:rPr>
        <w:t>pJIA I</w:t>
      </w:r>
    </w:p>
    <w:p w14:paraId="22A33187" w14:textId="77777777" w:rsidR="00982DE1" w:rsidRDefault="00982DE1" w:rsidP="00982DE1">
      <w:pPr>
        <w:pStyle w:val="a3"/>
        <w:rPr>
          <w:sz w:val="18"/>
          <w:szCs w:val="18"/>
          <w:lang w:val="sl-SI"/>
        </w:rPr>
      </w:pPr>
    </w:p>
    <w:p w14:paraId="69AFBD51" w14:textId="77777777" w:rsidR="00982DE1" w:rsidRDefault="00982DE1" w:rsidP="00982DE1">
      <w:pPr>
        <w:pStyle w:val="a3"/>
        <w:rPr>
          <w:lang w:val="sl-SI"/>
        </w:rPr>
      </w:pPr>
      <w:r>
        <w:rPr>
          <w:rFonts w:eastAsia="Times New Roman"/>
          <w:lang w:val="sl-SI"/>
        </w:rPr>
        <w:t>Varnost in učinkovitost adalimumaba so ocenili v multicentrični randomizirani dvojno slepi študiji vzporednih skupin pri 171 otrocih (starih od 4 do 17 let) s poliartikularnim juvenilnim idiopatskim artritisom. V odprti uvajalni fazi so bolnike stratificirali v dve skupini: zdravljene z metotreksatom in zdravljene brez metotreksata. Bolniki v stratumu brez metotreksata le-tega sploh še niso dobivali ali so ga nehali dobivati vsaj dva tedna pred uporabo raziskovanega zdravila. Bolniki so ostali na stabilnih odmerkih nesteroidnih protivnetnih zdravil (NSAID) in/ali prednizona (</w:t>
      </w:r>
      <w:r>
        <w:rPr>
          <w:rFonts w:ascii="Symbol" w:eastAsia="Symbol" w:hAnsi="Symbol" w:cs="Symbol"/>
          <w:lang w:val="sl-SI"/>
        </w:rPr>
        <w:sym w:font="Symbol" w:char="F0A3"/>
      </w:r>
      <w:r>
        <w:rPr>
          <w:rFonts w:ascii="Symbol" w:eastAsia="Symbol" w:hAnsi="Symbol" w:cs="Symbol"/>
          <w:lang w:val="sl-SI"/>
        </w:rPr>
        <w:sym w:font="Symbol" w:char="F020"/>
      </w:r>
      <w:r>
        <w:rPr>
          <w:rFonts w:eastAsia="Times New Roman"/>
          <w:lang w:val="sl-SI"/>
        </w:rPr>
        <w:t>0,2 mg/kg/dan ali največ 10 mg/dan). V odprti uvajalni fazi so vsi bolniki 16 tednov dobivali 24 mg/m</w:t>
      </w:r>
      <w:r>
        <w:rPr>
          <w:rFonts w:eastAsia="Times New Roman"/>
          <w:sz w:val="14"/>
          <w:szCs w:val="14"/>
          <w:lang w:val="sl-SI"/>
        </w:rPr>
        <w:t>2</w:t>
      </w:r>
      <w:r>
        <w:rPr>
          <w:rFonts w:eastAsia="Times New Roman"/>
          <w:lang w:val="sl-SI"/>
        </w:rPr>
        <w:t xml:space="preserve"> (do največ 40 mg) adalimumaba vsak drugi teden. Preglednica 11 prikazuje porazdelitev bolnikov po starosti ter najmanjšem, srednjem in največjem odmerku, prejetem med odprto uvajalno fazo.</w:t>
      </w:r>
    </w:p>
    <w:p w14:paraId="15FEABE3" w14:textId="77777777" w:rsidR="00982DE1" w:rsidRDefault="00982DE1" w:rsidP="00982DE1">
      <w:pPr>
        <w:spacing w:before="18" w:line="240" w:lineRule="exact"/>
        <w:rPr>
          <w:sz w:val="24"/>
          <w:szCs w:val="24"/>
          <w:lang w:val="sl-SI"/>
        </w:rPr>
      </w:pPr>
    </w:p>
    <w:p w14:paraId="6614E6AC" w14:textId="393CCD73" w:rsidR="00982DE1" w:rsidRDefault="00982DE1" w:rsidP="00982DE1">
      <w:pPr>
        <w:pStyle w:val="a3"/>
        <w:jc w:val="center"/>
        <w:rPr>
          <w:b/>
          <w:lang w:val="sl-SI"/>
        </w:rPr>
      </w:pPr>
      <w:r>
        <w:rPr>
          <w:rFonts w:eastAsia="Times New Roman"/>
          <w:b/>
          <w:bCs/>
          <w:lang w:val="sl-SI"/>
        </w:rPr>
        <w:t>Preglednica </w:t>
      </w:r>
      <w:r w:rsidR="006A7666">
        <w:rPr>
          <w:rFonts w:eastAsia="Times New Roman"/>
          <w:b/>
          <w:bCs/>
          <w:lang w:val="sl-SI"/>
        </w:rPr>
        <w:t>25</w:t>
      </w:r>
    </w:p>
    <w:p w14:paraId="4AE25210" w14:textId="77777777" w:rsidR="00982DE1" w:rsidRDefault="00982DE1" w:rsidP="00982DE1">
      <w:pPr>
        <w:pStyle w:val="a3"/>
        <w:jc w:val="center"/>
        <w:rPr>
          <w:b/>
          <w:lang w:val="sl-SI"/>
        </w:rPr>
      </w:pPr>
      <w:r>
        <w:rPr>
          <w:rFonts w:eastAsia="Times New Roman"/>
          <w:b/>
          <w:bCs/>
          <w:lang w:val="sl-SI"/>
        </w:rPr>
        <w:t>Porazdelitev bolnikov po starosti in odmerku adalimumaba, ki so ga dobivali med odprto uvajalno fazo</w:t>
      </w:r>
    </w:p>
    <w:p w14:paraId="67731A22" w14:textId="77777777" w:rsidR="00982DE1" w:rsidRDefault="00982DE1" w:rsidP="00982DE1">
      <w:pPr>
        <w:spacing w:before="15" w:line="260" w:lineRule="exact"/>
        <w:rPr>
          <w:sz w:val="26"/>
          <w:szCs w:val="26"/>
          <w:lang w:val="sl-SI"/>
        </w:rPr>
      </w:pPr>
    </w:p>
    <w:tbl>
      <w:tblPr>
        <w:tblStyle w:val="TableNormal1"/>
        <w:tblW w:w="0" w:type="auto"/>
        <w:tblInd w:w="220" w:type="dxa"/>
        <w:tblLayout w:type="fixed"/>
        <w:tblLook w:val="01E0" w:firstRow="1" w:lastRow="1" w:firstColumn="1" w:lastColumn="1" w:noHBand="0" w:noVBand="0"/>
      </w:tblPr>
      <w:tblGrid>
        <w:gridCol w:w="2417"/>
        <w:gridCol w:w="3521"/>
        <w:gridCol w:w="3240"/>
      </w:tblGrid>
      <w:tr w:rsidR="00982DE1" w:rsidRPr="00AC7013" w14:paraId="4C560807" w14:textId="77777777" w:rsidTr="001452D7">
        <w:tc>
          <w:tcPr>
            <w:tcW w:w="2417" w:type="dxa"/>
            <w:tcBorders>
              <w:top w:val="single" w:sz="5" w:space="0" w:color="000000"/>
              <w:left w:val="single" w:sz="5" w:space="0" w:color="000000"/>
              <w:bottom w:val="single" w:sz="5" w:space="0" w:color="000000"/>
              <w:right w:val="single" w:sz="5" w:space="0" w:color="000000"/>
            </w:tcBorders>
          </w:tcPr>
          <w:p w14:paraId="45BE80E3" w14:textId="77777777" w:rsidR="00982DE1" w:rsidRDefault="00982DE1" w:rsidP="00797234">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Starostna skupina</w:t>
            </w:r>
          </w:p>
        </w:tc>
        <w:tc>
          <w:tcPr>
            <w:tcW w:w="3521" w:type="dxa"/>
            <w:tcBorders>
              <w:top w:val="single" w:sz="5" w:space="0" w:color="000000"/>
              <w:left w:val="single" w:sz="5" w:space="0" w:color="000000"/>
              <w:bottom w:val="single" w:sz="5" w:space="0" w:color="000000"/>
              <w:right w:val="single" w:sz="5" w:space="0" w:color="000000"/>
            </w:tcBorders>
          </w:tcPr>
          <w:p w14:paraId="38636BF1" w14:textId="77777777" w:rsidR="00982DE1" w:rsidRDefault="00982DE1" w:rsidP="00797234">
            <w:pPr>
              <w:pStyle w:val="TableParagraph"/>
              <w:spacing w:line="252" w:lineRule="exact"/>
              <w:ind w:left="102"/>
              <w:rPr>
                <w:rFonts w:ascii="Times New Roman" w:eastAsia="Times New Roman" w:hAnsi="Times New Roman" w:cs="Times New Roman"/>
                <w:lang w:val="sl-SI"/>
              </w:rPr>
            </w:pPr>
            <w:r w:rsidRPr="007F4583">
              <w:rPr>
                <w:rFonts w:ascii="Times New Roman" w:eastAsia="Times New Roman" w:hAnsi="Times New Roman" w:cs="Times New Roman"/>
                <w:spacing w:val="-1"/>
                <w:lang w:val="sl-SI"/>
              </w:rPr>
              <w:t>Izhodiščno število bolnikov n (%)</w:t>
            </w:r>
          </w:p>
        </w:tc>
        <w:tc>
          <w:tcPr>
            <w:tcW w:w="3240" w:type="dxa"/>
            <w:tcBorders>
              <w:top w:val="single" w:sz="5" w:space="0" w:color="000000"/>
              <w:left w:val="single" w:sz="5" w:space="0" w:color="000000"/>
              <w:bottom w:val="single" w:sz="5" w:space="0" w:color="000000"/>
              <w:right w:val="single" w:sz="5" w:space="0" w:color="000000"/>
            </w:tcBorders>
          </w:tcPr>
          <w:p w14:paraId="5930D078" w14:textId="77777777" w:rsidR="00982DE1" w:rsidRDefault="00982DE1" w:rsidP="00797234">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Najmanjši, srednji in največji </w:t>
            </w:r>
          </w:p>
          <w:p w14:paraId="40BA7638" w14:textId="77777777" w:rsidR="00982DE1" w:rsidRDefault="00982DE1" w:rsidP="00797234">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odmerek</w:t>
            </w:r>
          </w:p>
        </w:tc>
      </w:tr>
      <w:tr w:rsidR="00982DE1" w14:paraId="2655EBD0" w14:textId="77777777" w:rsidTr="001452D7">
        <w:tc>
          <w:tcPr>
            <w:tcW w:w="2417" w:type="dxa"/>
            <w:tcBorders>
              <w:top w:val="single" w:sz="5" w:space="0" w:color="000000"/>
              <w:left w:val="single" w:sz="5" w:space="0" w:color="000000"/>
              <w:bottom w:val="single" w:sz="5" w:space="0" w:color="000000"/>
              <w:right w:val="single" w:sz="5" w:space="0" w:color="000000"/>
            </w:tcBorders>
          </w:tcPr>
          <w:p w14:paraId="1B7ECB8A" w14:textId="77777777" w:rsidR="00982DE1" w:rsidRDefault="00982DE1" w:rsidP="00797234">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4 do 7 let</w:t>
            </w:r>
          </w:p>
        </w:tc>
        <w:tc>
          <w:tcPr>
            <w:tcW w:w="3521" w:type="dxa"/>
            <w:tcBorders>
              <w:top w:val="single" w:sz="5" w:space="0" w:color="000000"/>
              <w:left w:val="single" w:sz="5" w:space="0" w:color="000000"/>
              <w:bottom w:val="single" w:sz="5" w:space="0" w:color="000000"/>
              <w:right w:val="single" w:sz="5" w:space="0" w:color="000000"/>
            </w:tcBorders>
          </w:tcPr>
          <w:p w14:paraId="6A531C2F" w14:textId="77777777" w:rsidR="00982DE1" w:rsidRDefault="00982DE1" w:rsidP="00797234">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31 (18,1)</w:t>
            </w:r>
          </w:p>
        </w:tc>
        <w:tc>
          <w:tcPr>
            <w:tcW w:w="3240" w:type="dxa"/>
            <w:tcBorders>
              <w:top w:val="single" w:sz="5" w:space="0" w:color="000000"/>
              <w:left w:val="single" w:sz="5" w:space="0" w:color="000000"/>
              <w:bottom w:val="single" w:sz="5" w:space="0" w:color="000000"/>
              <w:right w:val="single" w:sz="5" w:space="0" w:color="000000"/>
            </w:tcBorders>
          </w:tcPr>
          <w:p w14:paraId="116D39FA" w14:textId="77777777" w:rsidR="00982DE1" w:rsidRDefault="00982DE1" w:rsidP="00797234">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10, 20 in 25 mg</w:t>
            </w:r>
          </w:p>
        </w:tc>
      </w:tr>
      <w:tr w:rsidR="00982DE1" w14:paraId="7BB3AE5D" w14:textId="77777777" w:rsidTr="001452D7">
        <w:tc>
          <w:tcPr>
            <w:tcW w:w="2417" w:type="dxa"/>
            <w:tcBorders>
              <w:top w:val="single" w:sz="5" w:space="0" w:color="000000"/>
              <w:left w:val="single" w:sz="5" w:space="0" w:color="000000"/>
              <w:bottom w:val="single" w:sz="5" w:space="0" w:color="000000"/>
              <w:right w:val="single" w:sz="5" w:space="0" w:color="000000"/>
            </w:tcBorders>
          </w:tcPr>
          <w:p w14:paraId="494442AF" w14:textId="77777777" w:rsidR="00982DE1" w:rsidRDefault="00982DE1" w:rsidP="00797234">
            <w:pPr>
              <w:pStyle w:val="TableParagraph"/>
              <w:spacing w:line="248"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8 do 12 let</w:t>
            </w:r>
          </w:p>
        </w:tc>
        <w:tc>
          <w:tcPr>
            <w:tcW w:w="3521" w:type="dxa"/>
            <w:tcBorders>
              <w:top w:val="single" w:sz="5" w:space="0" w:color="000000"/>
              <w:left w:val="single" w:sz="5" w:space="0" w:color="000000"/>
              <w:bottom w:val="single" w:sz="5" w:space="0" w:color="000000"/>
              <w:right w:val="single" w:sz="5" w:space="0" w:color="000000"/>
            </w:tcBorders>
          </w:tcPr>
          <w:p w14:paraId="5ABF0F49" w14:textId="77777777" w:rsidR="00982DE1" w:rsidRDefault="00982DE1" w:rsidP="00797234">
            <w:pPr>
              <w:pStyle w:val="TableParagraph"/>
              <w:spacing w:line="248"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71 (41,5)</w:t>
            </w:r>
          </w:p>
        </w:tc>
        <w:tc>
          <w:tcPr>
            <w:tcW w:w="3240" w:type="dxa"/>
            <w:tcBorders>
              <w:top w:val="single" w:sz="5" w:space="0" w:color="000000"/>
              <w:left w:val="single" w:sz="5" w:space="0" w:color="000000"/>
              <w:bottom w:val="single" w:sz="5" w:space="0" w:color="000000"/>
              <w:right w:val="single" w:sz="5" w:space="0" w:color="000000"/>
            </w:tcBorders>
          </w:tcPr>
          <w:p w14:paraId="6EBA49F2" w14:textId="77777777" w:rsidR="00982DE1" w:rsidRDefault="00982DE1" w:rsidP="00797234">
            <w:pPr>
              <w:pStyle w:val="TableParagraph"/>
              <w:spacing w:line="248"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20, 25 in 40 mg</w:t>
            </w:r>
          </w:p>
        </w:tc>
      </w:tr>
      <w:tr w:rsidR="00982DE1" w14:paraId="2D5945C2" w14:textId="77777777" w:rsidTr="001452D7">
        <w:tc>
          <w:tcPr>
            <w:tcW w:w="2417" w:type="dxa"/>
            <w:tcBorders>
              <w:top w:val="single" w:sz="5" w:space="0" w:color="000000"/>
              <w:left w:val="single" w:sz="5" w:space="0" w:color="000000"/>
              <w:bottom w:val="single" w:sz="5" w:space="0" w:color="000000"/>
              <w:right w:val="single" w:sz="5" w:space="0" w:color="000000"/>
            </w:tcBorders>
          </w:tcPr>
          <w:p w14:paraId="373523E4" w14:textId="77777777" w:rsidR="00982DE1" w:rsidRDefault="00982DE1" w:rsidP="00797234">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13 do 17 let</w:t>
            </w:r>
          </w:p>
        </w:tc>
        <w:tc>
          <w:tcPr>
            <w:tcW w:w="3521" w:type="dxa"/>
            <w:tcBorders>
              <w:top w:val="single" w:sz="5" w:space="0" w:color="000000"/>
              <w:left w:val="single" w:sz="5" w:space="0" w:color="000000"/>
              <w:bottom w:val="single" w:sz="5" w:space="0" w:color="000000"/>
              <w:right w:val="single" w:sz="5" w:space="0" w:color="000000"/>
            </w:tcBorders>
          </w:tcPr>
          <w:p w14:paraId="0CAEB048" w14:textId="77777777" w:rsidR="00982DE1" w:rsidRDefault="00982DE1" w:rsidP="00797234">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69 (40,4)</w:t>
            </w:r>
          </w:p>
        </w:tc>
        <w:tc>
          <w:tcPr>
            <w:tcW w:w="3240" w:type="dxa"/>
            <w:tcBorders>
              <w:top w:val="single" w:sz="5" w:space="0" w:color="000000"/>
              <w:left w:val="single" w:sz="5" w:space="0" w:color="000000"/>
              <w:bottom w:val="single" w:sz="5" w:space="0" w:color="000000"/>
              <w:right w:val="single" w:sz="5" w:space="0" w:color="000000"/>
            </w:tcBorders>
          </w:tcPr>
          <w:p w14:paraId="24AD7474" w14:textId="77777777" w:rsidR="00982DE1" w:rsidRDefault="00982DE1" w:rsidP="00797234">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20, 40 in 40 mg</w:t>
            </w:r>
          </w:p>
        </w:tc>
      </w:tr>
    </w:tbl>
    <w:p w14:paraId="54D5DF1E" w14:textId="77777777" w:rsidR="00982DE1" w:rsidRDefault="00982DE1" w:rsidP="00982DE1">
      <w:pPr>
        <w:spacing w:before="3" w:line="170" w:lineRule="exact"/>
        <w:rPr>
          <w:sz w:val="17"/>
          <w:szCs w:val="17"/>
          <w:lang w:val="sl-SI"/>
        </w:rPr>
      </w:pPr>
    </w:p>
    <w:p w14:paraId="2BDD7238" w14:textId="481A4449" w:rsidR="00982DE1" w:rsidRPr="00407F29" w:rsidRDefault="00982DE1" w:rsidP="00982DE1">
      <w:pPr>
        <w:pStyle w:val="a3"/>
        <w:rPr>
          <w:lang w:val="sl-SI"/>
        </w:rPr>
      </w:pPr>
      <w:r w:rsidRPr="00407F29">
        <w:rPr>
          <w:rFonts w:eastAsia="Times New Roman"/>
          <w:lang w:val="sl-SI"/>
        </w:rPr>
        <w:t>Bolniki, ki so 16. teden dosegli odziv »P</w:t>
      </w:r>
      <w:r w:rsidR="006A7666" w:rsidRPr="00407F29">
        <w:rPr>
          <w:rFonts w:eastAsia="Times New Roman"/>
          <w:lang w:val="sl-SI"/>
        </w:rPr>
        <w:t>a</w:t>
      </w:r>
      <w:r w:rsidRPr="00407F29">
        <w:rPr>
          <w:rFonts w:eastAsia="Times New Roman"/>
          <w:lang w:val="sl-SI"/>
        </w:rPr>
        <w:t>ediatric ACR« 30, so bili primerni za randomizacijo v dvojno slepo fazo in so nadaljnjih 32 tednov ali do zagona bolezni vsak drugi teden dobili adalimumab 24 mg/m</w:t>
      </w:r>
      <w:r w:rsidRPr="00407F29">
        <w:rPr>
          <w:rFonts w:eastAsia="Times New Roman"/>
          <w:sz w:val="14"/>
          <w:szCs w:val="14"/>
          <w:lang w:val="sl-SI"/>
        </w:rPr>
        <w:t>2</w:t>
      </w:r>
      <w:r w:rsidRPr="00407F29">
        <w:rPr>
          <w:rFonts w:eastAsia="Times New Roman"/>
          <w:lang w:val="sl-SI"/>
        </w:rPr>
        <w:t xml:space="preserve"> (do največ 40 mg) ali placebo. Merila zagona bolezni so bila opredeljena kot poslabšanje </w:t>
      </w:r>
      <w:r w:rsidRPr="00721C46">
        <w:rPr>
          <w:rFonts w:eastAsia="Symbol"/>
          <w:lang w:val="sl-SI"/>
        </w:rPr>
        <w:sym w:font="Symbol" w:char="F0B3"/>
      </w:r>
      <w:r w:rsidRPr="00721C46">
        <w:rPr>
          <w:rFonts w:eastAsia="Symbol"/>
          <w:lang w:val="sl-SI"/>
        </w:rPr>
        <w:sym w:font="Symbol" w:char="F020"/>
      </w:r>
      <w:r w:rsidRPr="00407F29">
        <w:rPr>
          <w:rFonts w:eastAsia="Times New Roman"/>
          <w:lang w:val="sl-SI"/>
        </w:rPr>
        <w:t>3 od 6 osnovnih meril P</w:t>
      </w:r>
      <w:r w:rsidR="006A7666" w:rsidRPr="00407F29">
        <w:rPr>
          <w:rFonts w:eastAsia="Times New Roman"/>
          <w:lang w:val="sl-SI"/>
        </w:rPr>
        <w:t>a</w:t>
      </w:r>
      <w:r w:rsidRPr="00407F29">
        <w:rPr>
          <w:rFonts w:eastAsia="Times New Roman"/>
          <w:lang w:val="sl-SI"/>
        </w:rPr>
        <w:t xml:space="preserve">ediatric ACR za </w:t>
      </w:r>
      <w:r w:rsidRPr="00721C46">
        <w:rPr>
          <w:rFonts w:eastAsia="Symbol"/>
          <w:lang w:val="sl-SI"/>
        </w:rPr>
        <w:sym w:font="Symbol" w:char="F0B3"/>
      </w:r>
      <w:r w:rsidRPr="00721C46">
        <w:rPr>
          <w:rFonts w:eastAsia="Symbol"/>
          <w:lang w:val="sl-SI"/>
        </w:rPr>
        <w:sym w:font="Symbol" w:char="F020"/>
      </w:r>
      <w:r w:rsidRPr="00407F29">
        <w:rPr>
          <w:rFonts w:eastAsia="Times New Roman"/>
          <w:lang w:val="sl-SI"/>
        </w:rPr>
        <w:t xml:space="preserve">30 % v primerjavi z izhodiščem, </w:t>
      </w:r>
      <w:r w:rsidRPr="00721C46">
        <w:rPr>
          <w:rFonts w:eastAsia="Symbol"/>
          <w:lang w:val="sl-SI"/>
        </w:rPr>
        <w:sym w:font="Symbol" w:char="F0B3"/>
      </w:r>
      <w:r w:rsidRPr="00721C46">
        <w:rPr>
          <w:rFonts w:eastAsia="Symbol"/>
          <w:lang w:val="sl-SI"/>
        </w:rPr>
        <w:sym w:font="Symbol" w:char="F020"/>
      </w:r>
      <w:r w:rsidRPr="00407F29">
        <w:rPr>
          <w:rFonts w:eastAsia="Times New Roman"/>
          <w:lang w:val="sl-SI"/>
        </w:rPr>
        <w:t xml:space="preserve">2 aktivna sklepa in izboljšanje ne več kot 1 od 6 meril za </w:t>
      </w:r>
      <w:r w:rsidRPr="00721C46">
        <w:rPr>
          <w:rFonts w:eastAsia="Symbol"/>
          <w:lang w:val="sl-SI"/>
        </w:rPr>
        <w:sym w:font="Symbol" w:char="F03E"/>
      </w:r>
      <w:r w:rsidRPr="00721C46">
        <w:rPr>
          <w:rFonts w:eastAsia="Symbol"/>
          <w:lang w:val="sl-SI"/>
        </w:rPr>
        <w:sym w:font="Symbol" w:char="F020"/>
      </w:r>
      <w:r w:rsidRPr="00407F29">
        <w:rPr>
          <w:rFonts w:eastAsia="Times New Roman"/>
          <w:lang w:val="sl-SI"/>
        </w:rPr>
        <w:t>30 %. Po 32 tednih ali v primeru zagona bolezni so bili bolniki primerni za vključitev v odprto podaljšano fazo.</w:t>
      </w:r>
    </w:p>
    <w:p w14:paraId="69738C88" w14:textId="77777777" w:rsidR="00982DE1" w:rsidRDefault="00982DE1" w:rsidP="00982DE1">
      <w:pPr>
        <w:spacing w:before="18" w:line="240" w:lineRule="exact"/>
        <w:rPr>
          <w:sz w:val="24"/>
          <w:szCs w:val="24"/>
          <w:lang w:val="sl-SI"/>
        </w:rPr>
      </w:pPr>
    </w:p>
    <w:p w14:paraId="10E33478" w14:textId="6CA28180" w:rsidR="00982DE1" w:rsidRDefault="00982DE1" w:rsidP="00982DE1">
      <w:pPr>
        <w:pStyle w:val="a3"/>
        <w:jc w:val="center"/>
        <w:rPr>
          <w:b/>
          <w:lang w:val="sl-SI"/>
        </w:rPr>
      </w:pPr>
      <w:r>
        <w:rPr>
          <w:rFonts w:eastAsia="Times New Roman"/>
          <w:b/>
          <w:bCs/>
          <w:lang w:val="sl-SI"/>
        </w:rPr>
        <w:t>Preglednica </w:t>
      </w:r>
      <w:r w:rsidR="006A7666">
        <w:rPr>
          <w:rFonts w:eastAsia="Times New Roman"/>
          <w:b/>
          <w:bCs/>
          <w:lang w:val="sl-SI"/>
        </w:rPr>
        <w:t>26</w:t>
      </w:r>
    </w:p>
    <w:p w14:paraId="5291A1B2" w14:textId="7C205204" w:rsidR="00982DE1" w:rsidRDefault="00982DE1" w:rsidP="00721C46">
      <w:pPr>
        <w:pStyle w:val="a3"/>
        <w:jc w:val="center"/>
        <w:rPr>
          <w:rFonts w:eastAsia="Times New Roman"/>
          <w:b/>
          <w:bCs/>
          <w:lang w:val="sl-SI"/>
        </w:rPr>
      </w:pPr>
      <w:r>
        <w:rPr>
          <w:rFonts w:eastAsia="Times New Roman"/>
          <w:b/>
          <w:bCs/>
          <w:lang w:val="sl-SI"/>
        </w:rPr>
        <w:t>Odzivi »Ped ACR« 30 v študiji pri juvenilnem idiopatskem artritisu</w:t>
      </w:r>
    </w:p>
    <w:p w14:paraId="12326C30" w14:textId="77777777" w:rsidR="00721C46" w:rsidRDefault="00721C46" w:rsidP="00721C46">
      <w:pPr>
        <w:pStyle w:val="a3"/>
        <w:jc w:val="center"/>
        <w:rPr>
          <w:lang w:val="sl-SI"/>
        </w:rPr>
      </w:pPr>
    </w:p>
    <w:tbl>
      <w:tblPr>
        <w:tblStyle w:val="TableNormal1"/>
        <w:tblW w:w="0" w:type="auto"/>
        <w:tblInd w:w="220" w:type="dxa"/>
        <w:tblLayout w:type="fixed"/>
        <w:tblLook w:val="01E0" w:firstRow="1" w:lastRow="1" w:firstColumn="1" w:lastColumn="1" w:noHBand="0" w:noVBand="0"/>
      </w:tblPr>
      <w:tblGrid>
        <w:gridCol w:w="2417"/>
        <w:gridCol w:w="1762"/>
        <w:gridCol w:w="1759"/>
        <w:gridCol w:w="1651"/>
        <w:gridCol w:w="1589"/>
      </w:tblGrid>
      <w:tr w:rsidR="00982DE1" w14:paraId="218789D7" w14:textId="77777777" w:rsidTr="00797234">
        <w:tc>
          <w:tcPr>
            <w:tcW w:w="2417" w:type="dxa"/>
            <w:tcBorders>
              <w:top w:val="single" w:sz="5" w:space="0" w:color="000000"/>
              <w:left w:val="single" w:sz="5" w:space="0" w:color="000000"/>
              <w:bottom w:val="single" w:sz="5" w:space="0" w:color="000000"/>
              <w:right w:val="single" w:sz="5" w:space="0" w:color="000000"/>
            </w:tcBorders>
          </w:tcPr>
          <w:p w14:paraId="37F516FC" w14:textId="77777777" w:rsidR="00982DE1" w:rsidRPr="00721C46" w:rsidRDefault="00982DE1" w:rsidP="00721C46">
            <w:pPr>
              <w:pStyle w:val="TableParagraph"/>
              <w:spacing w:line="246" w:lineRule="exact"/>
              <w:ind w:left="102"/>
              <w:rPr>
                <w:rFonts w:ascii="Times New Roman" w:eastAsia="Times New Roman" w:hAnsi="Times New Roman" w:cs="Times New Roman"/>
                <w:b/>
                <w:lang w:val="sl-SI"/>
              </w:rPr>
            </w:pPr>
            <w:r w:rsidRPr="00721C46">
              <w:rPr>
                <w:rFonts w:ascii="Times New Roman" w:eastAsia="Times New Roman" w:hAnsi="Times New Roman" w:cs="Times New Roman"/>
                <w:b/>
                <w:lang w:val="sl-SI"/>
              </w:rPr>
              <w:t>Stratum</w:t>
            </w:r>
          </w:p>
        </w:tc>
        <w:tc>
          <w:tcPr>
            <w:tcW w:w="3521" w:type="dxa"/>
            <w:gridSpan w:val="2"/>
            <w:tcBorders>
              <w:top w:val="single" w:sz="5" w:space="0" w:color="000000"/>
              <w:left w:val="single" w:sz="5" w:space="0" w:color="000000"/>
              <w:bottom w:val="single" w:sz="5" w:space="0" w:color="000000"/>
              <w:right w:val="single" w:sz="5" w:space="0" w:color="000000"/>
            </w:tcBorders>
          </w:tcPr>
          <w:p w14:paraId="507F9BE9" w14:textId="77777777" w:rsidR="00982DE1" w:rsidRPr="00721C46" w:rsidRDefault="00982DE1" w:rsidP="009C57DB">
            <w:pPr>
              <w:pStyle w:val="TableParagraph"/>
              <w:spacing w:line="246" w:lineRule="exact"/>
              <w:jc w:val="center"/>
              <w:rPr>
                <w:rFonts w:ascii="Times New Roman" w:eastAsia="Times New Roman" w:hAnsi="Times New Roman" w:cs="Times New Roman"/>
                <w:b/>
                <w:lang w:val="sl-SI"/>
              </w:rPr>
            </w:pPr>
            <w:r w:rsidRPr="00721C46">
              <w:rPr>
                <w:rFonts w:ascii="Times New Roman" w:eastAsia="Times New Roman" w:hAnsi="Times New Roman" w:cs="Times New Roman"/>
                <w:b/>
                <w:lang w:val="sl-SI"/>
              </w:rPr>
              <w:t>Metotreksat</w:t>
            </w:r>
          </w:p>
        </w:tc>
        <w:tc>
          <w:tcPr>
            <w:tcW w:w="3240" w:type="dxa"/>
            <w:gridSpan w:val="2"/>
            <w:tcBorders>
              <w:top w:val="single" w:sz="5" w:space="0" w:color="000000"/>
              <w:left w:val="single" w:sz="5" w:space="0" w:color="000000"/>
              <w:bottom w:val="single" w:sz="5" w:space="0" w:color="000000"/>
              <w:right w:val="single" w:sz="5" w:space="0" w:color="000000"/>
            </w:tcBorders>
          </w:tcPr>
          <w:p w14:paraId="4A8D15BB" w14:textId="77777777" w:rsidR="00982DE1" w:rsidRPr="00721C46" w:rsidRDefault="00982DE1" w:rsidP="001452D7">
            <w:pPr>
              <w:pStyle w:val="TableParagraph"/>
              <w:spacing w:line="246" w:lineRule="exact"/>
              <w:ind w:left="69"/>
              <w:jc w:val="center"/>
              <w:rPr>
                <w:rFonts w:ascii="Times New Roman" w:eastAsia="Times New Roman" w:hAnsi="Times New Roman" w:cs="Times New Roman"/>
                <w:b/>
                <w:lang w:val="sl-SI"/>
              </w:rPr>
            </w:pPr>
            <w:r w:rsidRPr="00721C46">
              <w:rPr>
                <w:rFonts w:ascii="Times New Roman" w:eastAsia="Times New Roman" w:hAnsi="Times New Roman" w:cs="Times New Roman"/>
                <w:b/>
                <w:spacing w:val="-1"/>
                <w:lang w:val="sl-SI"/>
              </w:rPr>
              <w:t>Brez metotreksata</w:t>
            </w:r>
          </w:p>
        </w:tc>
      </w:tr>
      <w:tr w:rsidR="00982DE1" w14:paraId="3289E5FF" w14:textId="77777777" w:rsidTr="00797234">
        <w:tc>
          <w:tcPr>
            <w:tcW w:w="2417" w:type="dxa"/>
            <w:tcBorders>
              <w:top w:val="single" w:sz="5" w:space="0" w:color="000000"/>
              <w:left w:val="single" w:sz="5" w:space="0" w:color="000000"/>
              <w:bottom w:val="single" w:sz="5" w:space="0" w:color="000000"/>
              <w:right w:val="single" w:sz="5" w:space="0" w:color="000000"/>
            </w:tcBorders>
          </w:tcPr>
          <w:p w14:paraId="67BFCDF3" w14:textId="77777777" w:rsidR="00982DE1" w:rsidRPr="00721C46" w:rsidRDefault="00982DE1" w:rsidP="00797234">
            <w:pPr>
              <w:pStyle w:val="TableParagraph"/>
              <w:spacing w:line="246" w:lineRule="exact"/>
              <w:ind w:left="102"/>
              <w:rPr>
                <w:rFonts w:ascii="Times New Roman" w:eastAsia="Times New Roman" w:hAnsi="Times New Roman" w:cs="Times New Roman"/>
                <w:b/>
                <w:lang w:val="sl-SI"/>
              </w:rPr>
            </w:pPr>
            <w:r w:rsidRPr="00721C46">
              <w:rPr>
                <w:rFonts w:ascii="Times New Roman" w:eastAsia="Times New Roman" w:hAnsi="Times New Roman" w:cs="Times New Roman"/>
                <w:b/>
                <w:lang w:val="sl-SI"/>
              </w:rPr>
              <w:t>Faza</w:t>
            </w:r>
          </w:p>
        </w:tc>
        <w:tc>
          <w:tcPr>
            <w:tcW w:w="3521" w:type="dxa"/>
            <w:gridSpan w:val="2"/>
            <w:tcBorders>
              <w:top w:val="single" w:sz="5" w:space="0" w:color="000000"/>
              <w:left w:val="single" w:sz="5" w:space="0" w:color="000000"/>
              <w:bottom w:val="single" w:sz="5" w:space="0" w:color="000000"/>
              <w:right w:val="single" w:sz="5" w:space="0" w:color="000000"/>
            </w:tcBorders>
          </w:tcPr>
          <w:p w14:paraId="444CE31B" w14:textId="77777777" w:rsidR="00982DE1" w:rsidRPr="00721C46" w:rsidRDefault="00982DE1" w:rsidP="00797234">
            <w:pPr>
              <w:rPr>
                <w:b/>
                <w:lang w:val="sl-SI"/>
              </w:rPr>
            </w:pPr>
          </w:p>
        </w:tc>
        <w:tc>
          <w:tcPr>
            <w:tcW w:w="3240" w:type="dxa"/>
            <w:gridSpan w:val="2"/>
            <w:tcBorders>
              <w:top w:val="single" w:sz="5" w:space="0" w:color="000000"/>
              <w:left w:val="single" w:sz="5" w:space="0" w:color="000000"/>
              <w:bottom w:val="single" w:sz="5" w:space="0" w:color="000000"/>
              <w:right w:val="single" w:sz="5" w:space="0" w:color="000000"/>
            </w:tcBorders>
          </w:tcPr>
          <w:p w14:paraId="54B15800" w14:textId="77777777" w:rsidR="00982DE1" w:rsidRPr="00721C46" w:rsidRDefault="00982DE1" w:rsidP="00797234">
            <w:pPr>
              <w:rPr>
                <w:b/>
                <w:lang w:val="sl-SI"/>
              </w:rPr>
            </w:pPr>
          </w:p>
        </w:tc>
      </w:tr>
      <w:tr w:rsidR="00982DE1" w14:paraId="1BAE2E3B" w14:textId="77777777" w:rsidTr="00797234">
        <w:tc>
          <w:tcPr>
            <w:tcW w:w="2417" w:type="dxa"/>
            <w:tcBorders>
              <w:top w:val="single" w:sz="5" w:space="0" w:color="000000"/>
              <w:left w:val="single" w:sz="5" w:space="0" w:color="000000"/>
              <w:bottom w:val="single" w:sz="5" w:space="0" w:color="000000"/>
              <w:right w:val="single" w:sz="5" w:space="0" w:color="000000"/>
            </w:tcBorders>
          </w:tcPr>
          <w:p w14:paraId="6F4933FC" w14:textId="77777777" w:rsidR="00982DE1" w:rsidRDefault="00982DE1" w:rsidP="00797234">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Odprta uvajalna faza 16 tednov</w:t>
            </w:r>
          </w:p>
        </w:tc>
        <w:tc>
          <w:tcPr>
            <w:tcW w:w="3521" w:type="dxa"/>
            <w:gridSpan w:val="2"/>
            <w:tcBorders>
              <w:top w:val="single" w:sz="5" w:space="0" w:color="000000"/>
              <w:left w:val="single" w:sz="5" w:space="0" w:color="000000"/>
              <w:bottom w:val="single" w:sz="5" w:space="0" w:color="000000"/>
              <w:right w:val="single" w:sz="5" w:space="0" w:color="000000"/>
            </w:tcBorders>
          </w:tcPr>
          <w:p w14:paraId="665C4E45" w14:textId="77777777" w:rsidR="00982DE1" w:rsidRDefault="00982DE1" w:rsidP="00797234">
            <w:pPr>
              <w:rPr>
                <w:lang w:val="sl-SI"/>
              </w:rPr>
            </w:pPr>
          </w:p>
        </w:tc>
        <w:tc>
          <w:tcPr>
            <w:tcW w:w="3240" w:type="dxa"/>
            <w:gridSpan w:val="2"/>
            <w:tcBorders>
              <w:top w:val="single" w:sz="5" w:space="0" w:color="000000"/>
              <w:left w:val="single" w:sz="5" w:space="0" w:color="000000"/>
              <w:bottom w:val="single" w:sz="5" w:space="0" w:color="000000"/>
              <w:right w:val="single" w:sz="5" w:space="0" w:color="000000"/>
            </w:tcBorders>
          </w:tcPr>
          <w:p w14:paraId="7E33937D" w14:textId="77777777" w:rsidR="00982DE1" w:rsidRDefault="00982DE1" w:rsidP="00797234">
            <w:pPr>
              <w:rPr>
                <w:lang w:val="sl-SI"/>
              </w:rPr>
            </w:pPr>
          </w:p>
        </w:tc>
      </w:tr>
      <w:tr w:rsidR="00982DE1" w14:paraId="2D86C27A" w14:textId="77777777" w:rsidTr="00797234">
        <w:tc>
          <w:tcPr>
            <w:tcW w:w="2417" w:type="dxa"/>
            <w:tcBorders>
              <w:top w:val="single" w:sz="5" w:space="0" w:color="000000"/>
              <w:left w:val="single" w:sz="5" w:space="0" w:color="000000"/>
              <w:bottom w:val="single" w:sz="5" w:space="0" w:color="000000"/>
              <w:right w:val="single" w:sz="5" w:space="0" w:color="000000"/>
            </w:tcBorders>
          </w:tcPr>
          <w:p w14:paraId="04303ED1" w14:textId="77777777" w:rsidR="00982DE1" w:rsidRDefault="00982DE1" w:rsidP="00797234">
            <w:pPr>
              <w:pStyle w:val="TableParagraph"/>
              <w:spacing w:line="246" w:lineRule="exact"/>
              <w:ind w:left="668"/>
              <w:rPr>
                <w:rFonts w:ascii="Times New Roman" w:eastAsia="Times New Roman" w:hAnsi="Times New Roman" w:cs="Times New Roman"/>
                <w:lang w:val="sl-SI"/>
              </w:rPr>
            </w:pPr>
            <w:r>
              <w:rPr>
                <w:rFonts w:ascii="Times New Roman" w:eastAsia="Times New Roman" w:hAnsi="Times New Roman" w:cs="Times New Roman"/>
                <w:spacing w:val="-1"/>
                <w:lang w:val="sl-SI"/>
              </w:rPr>
              <w:t>Odziv »Ped ACR« 30 (n/N)</w:t>
            </w:r>
          </w:p>
        </w:tc>
        <w:tc>
          <w:tcPr>
            <w:tcW w:w="3521" w:type="dxa"/>
            <w:gridSpan w:val="2"/>
            <w:tcBorders>
              <w:top w:val="single" w:sz="5" w:space="0" w:color="000000"/>
              <w:left w:val="single" w:sz="5" w:space="0" w:color="000000"/>
              <w:bottom w:val="single" w:sz="5" w:space="0" w:color="000000"/>
              <w:right w:val="single" w:sz="5" w:space="0" w:color="000000"/>
            </w:tcBorders>
          </w:tcPr>
          <w:p w14:paraId="49E67FF0" w14:textId="77777777" w:rsidR="00982DE1" w:rsidRDefault="00982DE1" w:rsidP="00797234">
            <w:pPr>
              <w:pStyle w:val="TableParagraph"/>
              <w:spacing w:line="246" w:lineRule="exact"/>
              <w:ind w:left="1091"/>
              <w:rPr>
                <w:rFonts w:ascii="Times New Roman" w:eastAsia="Times New Roman" w:hAnsi="Times New Roman" w:cs="Times New Roman"/>
                <w:lang w:val="sl-SI"/>
              </w:rPr>
            </w:pPr>
            <w:r>
              <w:rPr>
                <w:rFonts w:ascii="Times New Roman" w:eastAsia="Times New Roman" w:hAnsi="Times New Roman" w:cs="Times New Roman"/>
                <w:spacing w:val="-1"/>
                <w:lang w:val="sl-SI"/>
              </w:rPr>
              <w:t>94,1 % (80/85)</w:t>
            </w:r>
          </w:p>
        </w:tc>
        <w:tc>
          <w:tcPr>
            <w:tcW w:w="3240" w:type="dxa"/>
            <w:gridSpan w:val="2"/>
            <w:tcBorders>
              <w:top w:val="single" w:sz="5" w:space="0" w:color="000000"/>
              <w:left w:val="single" w:sz="5" w:space="0" w:color="000000"/>
              <w:bottom w:val="single" w:sz="5" w:space="0" w:color="000000"/>
              <w:right w:val="single" w:sz="5" w:space="0" w:color="000000"/>
            </w:tcBorders>
          </w:tcPr>
          <w:p w14:paraId="2AC6F3E1" w14:textId="77777777" w:rsidR="00982DE1" w:rsidRDefault="00982DE1" w:rsidP="00797234">
            <w:pPr>
              <w:pStyle w:val="TableParagraph"/>
              <w:spacing w:line="246" w:lineRule="exact"/>
              <w:ind w:left="951"/>
              <w:rPr>
                <w:rFonts w:ascii="Times New Roman" w:eastAsia="Times New Roman" w:hAnsi="Times New Roman" w:cs="Times New Roman"/>
                <w:lang w:val="sl-SI"/>
              </w:rPr>
            </w:pPr>
            <w:r>
              <w:rPr>
                <w:rFonts w:ascii="Times New Roman" w:eastAsia="Times New Roman" w:hAnsi="Times New Roman" w:cs="Times New Roman"/>
                <w:spacing w:val="-1"/>
                <w:lang w:val="sl-SI"/>
              </w:rPr>
              <w:t>74,4 % (64/86)</w:t>
            </w:r>
          </w:p>
        </w:tc>
      </w:tr>
      <w:tr w:rsidR="00982DE1" w14:paraId="09E1D756" w14:textId="77777777" w:rsidTr="00797234">
        <w:tc>
          <w:tcPr>
            <w:tcW w:w="9178" w:type="dxa"/>
            <w:gridSpan w:val="5"/>
            <w:tcBorders>
              <w:top w:val="single" w:sz="5" w:space="0" w:color="000000"/>
              <w:left w:val="single" w:sz="5" w:space="0" w:color="000000"/>
              <w:bottom w:val="single" w:sz="5" w:space="0" w:color="000000"/>
              <w:right w:val="single" w:sz="5" w:space="0" w:color="000000"/>
            </w:tcBorders>
          </w:tcPr>
          <w:p w14:paraId="25DF7D97" w14:textId="77777777" w:rsidR="00982DE1" w:rsidRDefault="00982DE1" w:rsidP="009C57D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Rezultati učinkovitosti</w:t>
            </w:r>
          </w:p>
        </w:tc>
      </w:tr>
      <w:tr w:rsidR="00982DE1" w14:paraId="6F49B0B8" w14:textId="77777777" w:rsidTr="00797234">
        <w:tc>
          <w:tcPr>
            <w:tcW w:w="2417" w:type="dxa"/>
            <w:tcBorders>
              <w:top w:val="single" w:sz="5" w:space="0" w:color="000000"/>
              <w:left w:val="single" w:sz="5" w:space="0" w:color="000000"/>
              <w:bottom w:val="single" w:sz="5" w:space="0" w:color="000000"/>
              <w:right w:val="single" w:sz="5" w:space="0" w:color="000000"/>
            </w:tcBorders>
          </w:tcPr>
          <w:p w14:paraId="380EAAAD" w14:textId="77777777" w:rsidR="00982DE1" w:rsidRDefault="00982DE1" w:rsidP="00797234">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Dvojno slepa 32 tednov</w:t>
            </w:r>
          </w:p>
        </w:tc>
        <w:tc>
          <w:tcPr>
            <w:tcW w:w="1762" w:type="dxa"/>
            <w:tcBorders>
              <w:top w:val="single" w:sz="5" w:space="0" w:color="000000"/>
              <w:left w:val="single" w:sz="5" w:space="0" w:color="000000"/>
              <w:bottom w:val="single" w:sz="5" w:space="0" w:color="000000"/>
              <w:right w:val="single" w:sz="5" w:space="0" w:color="000000"/>
            </w:tcBorders>
          </w:tcPr>
          <w:p w14:paraId="25B67DAD" w14:textId="77777777" w:rsidR="00982DE1" w:rsidRDefault="00982DE1" w:rsidP="00797234">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Adalimumab/MTX</w:t>
            </w:r>
          </w:p>
          <w:p w14:paraId="65000C9E" w14:textId="77777777" w:rsidR="00982DE1" w:rsidRDefault="00982DE1" w:rsidP="00797234">
            <w:pPr>
              <w:pStyle w:val="TableParagraph"/>
              <w:spacing w:before="1"/>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(N = 38)</w:t>
            </w:r>
          </w:p>
        </w:tc>
        <w:tc>
          <w:tcPr>
            <w:tcW w:w="1759" w:type="dxa"/>
            <w:tcBorders>
              <w:top w:val="single" w:sz="5" w:space="0" w:color="000000"/>
              <w:left w:val="single" w:sz="5" w:space="0" w:color="000000"/>
              <w:bottom w:val="single" w:sz="5" w:space="0" w:color="000000"/>
              <w:right w:val="single" w:sz="5" w:space="0" w:color="000000"/>
            </w:tcBorders>
          </w:tcPr>
          <w:p w14:paraId="4DF10122" w14:textId="77777777" w:rsidR="00982DE1" w:rsidRDefault="00982DE1" w:rsidP="00797234">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Placebo/MTX</w:t>
            </w:r>
          </w:p>
          <w:p w14:paraId="31C5593B" w14:textId="77777777" w:rsidR="00982DE1" w:rsidRDefault="00982DE1" w:rsidP="00797234">
            <w:pPr>
              <w:pStyle w:val="TableParagraph"/>
              <w:spacing w:before="1"/>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(N = 37)</w:t>
            </w:r>
          </w:p>
        </w:tc>
        <w:tc>
          <w:tcPr>
            <w:tcW w:w="1651" w:type="dxa"/>
            <w:tcBorders>
              <w:top w:val="single" w:sz="5" w:space="0" w:color="000000"/>
              <w:left w:val="single" w:sz="5" w:space="0" w:color="000000"/>
              <w:bottom w:val="single" w:sz="5" w:space="0" w:color="000000"/>
              <w:right w:val="single" w:sz="5" w:space="0" w:color="000000"/>
            </w:tcBorders>
          </w:tcPr>
          <w:p w14:paraId="7AFD0B24" w14:textId="77777777" w:rsidR="00982DE1" w:rsidRDefault="00982DE1" w:rsidP="00797234">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Adalimumab</w:t>
            </w:r>
          </w:p>
          <w:p w14:paraId="58A154B2" w14:textId="77777777" w:rsidR="00982DE1" w:rsidRDefault="00982DE1" w:rsidP="00797234">
            <w:pPr>
              <w:pStyle w:val="TableParagraph"/>
              <w:spacing w:before="1"/>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(N = 30)</w:t>
            </w:r>
          </w:p>
        </w:tc>
        <w:tc>
          <w:tcPr>
            <w:tcW w:w="1589" w:type="dxa"/>
            <w:tcBorders>
              <w:top w:val="single" w:sz="5" w:space="0" w:color="000000"/>
              <w:left w:val="single" w:sz="5" w:space="0" w:color="000000"/>
              <w:bottom w:val="single" w:sz="5" w:space="0" w:color="000000"/>
              <w:right w:val="single" w:sz="5" w:space="0" w:color="000000"/>
            </w:tcBorders>
          </w:tcPr>
          <w:p w14:paraId="403B0ACE" w14:textId="77777777" w:rsidR="00982DE1" w:rsidRDefault="00982DE1" w:rsidP="00797234">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Placebo</w:t>
            </w:r>
          </w:p>
          <w:p w14:paraId="341A4805" w14:textId="77777777" w:rsidR="00982DE1" w:rsidRDefault="00982DE1" w:rsidP="00797234">
            <w:pPr>
              <w:pStyle w:val="TableParagraph"/>
              <w:spacing w:before="1"/>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(N = 28)</w:t>
            </w:r>
          </w:p>
        </w:tc>
      </w:tr>
      <w:tr w:rsidR="00982DE1" w14:paraId="4EA21EF2" w14:textId="77777777" w:rsidTr="00797234">
        <w:tc>
          <w:tcPr>
            <w:tcW w:w="2417" w:type="dxa"/>
            <w:tcBorders>
              <w:top w:val="single" w:sz="5" w:space="0" w:color="000000"/>
              <w:left w:val="single" w:sz="5" w:space="0" w:color="000000"/>
              <w:bottom w:val="single" w:sz="5" w:space="0" w:color="000000"/>
              <w:right w:val="single" w:sz="5" w:space="0" w:color="000000"/>
            </w:tcBorders>
          </w:tcPr>
          <w:p w14:paraId="790D78ED" w14:textId="77777777" w:rsidR="00982DE1" w:rsidRDefault="00982DE1" w:rsidP="00797234">
            <w:pPr>
              <w:pStyle w:val="TableParagraph"/>
              <w:spacing w:line="246" w:lineRule="exact"/>
              <w:ind w:left="668"/>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Zagon bolezni na koncu </w:t>
            </w:r>
            <w:r>
              <w:rPr>
                <w:rFonts w:ascii="Times New Roman" w:eastAsia="Times New Roman" w:hAnsi="Times New Roman" w:cs="Times New Roman"/>
                <w:lang w:val="sl-SI"/>
              </w:rPr>
              <w:t xml:space="preserve">32-tedenskega </w:t>
            </w:r>
            <w:r>
              <w:rPr>
                <w:rFonts w:ascii="Times New Roman" w:eastAsia="Times New Roman" w:hAnsi="Times New Roman" w:cs="Times New Roman"/>
                <w:lang w:val="sl-SI"/>
              </w:rPr>
              <w:lastRenderedPageBreak/>
              <w:t>obdobja</w:t>
            </w:r>
            <w:r>
              <w:rPr>
                <w:rFonts w:ascii="Times New Roman" w:eastAsia="Times New Roman" w:hAnsi="Times New Roman" w:cs="Times New Roman"/>
                <w:vertAlign w:val="superscript"/>
                <w:lang w:val="sl-SI"/>
              </w:rPr>
              <w:t>a</w:t>
            </w:r>
            <w:r>
              <w:rPr>
                <w:rFonts w:ascii="Times New Roman" w:eastAsia="Times New Roman" w:hAnsi="Times New Roman" w:cs="Times New Roman"/>
                <w:lang w:val="sl-SI"/>
              </w:rPr>
              <w:t xml:space="preserve"> (n/N)</w:t>
            </w:r>
          </w:p>
        </w:tc>
        <w:tc>
          <w:tcPr>
            <w:tcW w:w="1762" w:type="dxa"/>
            <w:tcBorders>
              <w:top w:val="single" w:sz="5" w:space="0" w:color="000000"/>
              <w:left w:val="single" w:sz="5" w:space="0" w:color="000000"/>
              <w:bottom w:val="single" w:sz="5" w:space="0" w:color="000000"/>
              <w:right w:val="single" w:sz="5" w:space="0" w:color="000000"/>
            </w:tcBorders>
          </w:tcPr>
          <w:p w14:paraId="14E5267E" w14:textId="77777777" w:rsidR="00982DE1" w:rsidRDefault="00982DE1" w:rsidP="00797234">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lastRenderedPageBreak/>
              <w:t>36,8 % (14/38)</w:t>
            </w:r>
          </w:p>
        </w:tc>
        <w:tc>
          <w:tcPr>
            <w:tcW w:w="1759" w:type="dxa"/>
            <w:tcBorders>
              <w:top w:val="single" w:sz="5" w:space="0" w:color="000000"/>
              <w:left w:val="single" w:sz="5" w:space="0" w:color="000000"/>
              <w:bottom w:val="single" w:sz="5" w:space="0" w:color="000000"/>
              <w:right w:val="single" w:sz="5" w:space="0" w:color="000000"/>
            </w:tcBorders>
          </w:tcPr>
          <w:p w14:paraId="36027622" w14:textId="77777777" w:rsidR="00982DE1" w:rsidRDefault="00982DE1" w:rsidP="00797234">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64,9 % (24/37)</w:t>
            </w:r>
            <w:r>
              <w:rPr>
                <w:rFonts w:ascii="Times New Roman" w:eastAsia="Times New Roman" w:hAnsi="Times New Roman" w:cs="Times New Roman"/>
                <w:spacing w:val="-1"/>
                <w:vertAlign w:val="superscript"/>
                <w:lang w:val="sl-SI"/>
              </w:rPr>
              <w:t>b</w:t>
            </w:r>
          </w:p>
        </w:tc>
        <w:tc>
          <w:tcPr>
            <w:tcW w:w="1651" w:type="dxa"/>
            <w:tcBorders>
              <w:top w:val="single" w:sz="5" w:space="0" w:color="000000"/>
              <w:left w:val="single" w:sz="5" w:space="0" w:color="000000"/>
              <w:bottom w:val="single" w:sz="5" w:space="0" w:color="000000"/>
              <w:right w:val="single" w:sz="5" w:space="0" w:color="000000"/>
            </w:tcBorders>
          </w:tcPr>
          <w:p w14:paraId="177ABF56" w14:textId="77777777" w:rsidR="00982DE1" w:rsidRDefault="00982DE1" w:rsidP="00797234">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43,3 % (13/30)</w:t>
            </w:r>
          </w:p>
        </w:tc>
        <w:tc>
          <w:tcPr>
            <w:tcW w:w="1589" w:type="dxa"/>
            <w:tcBorders>
              <w:top w:val="single" w:sz="5" w:space="0" w:color="000000"/>
              <w:left w:val="single" w:sz="5" w:space="0" w:color="000000"/>
              <w:bottom w:val="single" w:sz="5" w:space="0" w:color="000000"/>
              <w:right w:val="single" w:sz="5" w:space="0" w:color="000000"/>
            </w:tcBorders>
          </w:tcPr>
          <w:p w14:paraId="5B0AF692" w14:textId="77777777" w:rsidR="00982DE1" w:rsidRDefault="00982DE1" w:rsidP="00797234">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71,4 % </w:t>
            </w:r>
            <w:r>
              <w:rPr>
                <w:rFonts w:ascii="Times New Roman" w:eastAsia="Times New Roman" w:hAnsi="Times New Roman" w:cs="Times New Roman"/>
                <w:spacing w:val="-1"/>
                <w:lang w:val="sl-SI"/>
              </w:rPr>
              <w:t>(20/28)</w:t>
            </w:r>
            <w:r>
              <w:rPr>
                <w:rFonts w:ascii="Times New Roman" w:eastAsia="Times New Roman" w:hAnsi="Times New Roman" w:cs="Times New Roman"/>
                <w:spacing w:val="-1"/>
                <w:vertAlign w:val="superscript"/>
                <w:lang w:val="sl-SI"/>
              </w:rPr>
              <w:t>c</w:t>
            </w:r>
          </w:p>
        </w:tc>
      </w:tr>
      <w:tr w:rsidR="00982DE1" w14:paraId="385412BB" w14:textId="77777777" w:rsidTr="00797234">
        <w:tc>
          <w:tcPr>
            <w:tcW w:w="2417" w:type="dxa"/>
            <w:tcBorders>
              <w:top w:val="single" w:sz="5" w:space="0" w:color="000000"/>
              <w:left w:val="single" w:sz="5" w:space="0" w:color="000000"/>
              <w:bottom w:val="single" w:sz="5" w:space="0" w:color="000000"/>
              <w:right w:val="single" w:sz="5" w:space="0" w:color="000000"/>
            </w:tcBorders>
          </w:tcPr>
          <w:p w14:paraId="3C8A16EF" w14:textId="77777777" w:rsidR="00982DE1" w:rsidRDefault="00982DE1" w:rsidP="00797234">
            <w:pPr>
              <w:pStyle w:val="TableParagraph"/>
              <w:spacing w:line="246" w:lineRule="exact"/>
              <w:ind w:left="668"/>
              <w:rPr>
                <w:rFonts w:ascii="Times New Roman" w:eastAsia="Times New Roman" w:hAnsi="Times New Roman" w:cs="Times New Roman"/>
                <w:lang w:val="sl-SI"/>
              </w:rPr>
            </w:pPr>
            <w:r>
              <w:rPr>
                <w:rFonts w:ascii="Times New Roman" w:eastAsia="Times New Roman" w:hAnsi="Times New Roman" w:cs="Times New Roman"/>
                <w:spacing w:val="-1"/>
                <w:lang w:val="sl-SI"/>
              </w:rPr>
              <w:t>Mediana časa do zagona bolezni</w:t>
            </w:r>
          </w:p>
        </w:tc>
        <w:tc>
          <w:tcPr>
            <w:tcW w:w="1762" w:type="dxa"/>
            <w:tcBorders>
              <w:top w:val="single" w:sz="5" w:space="0" w:color="000000"/>
              <w:left w:val="single" w:sz="5" w:space="0" w:color="000000"/>
              <w:bottom w:val="single" w:sz="5" w:space="0" w:color="000000"/>
              <w:right w:val="single" w:sz="5" w:space="0" w:color="000000"/>
            </w:tcBorders>
          </w:tcPr>
          <w:p w14:paraId="189EB3AE" w14:textId="314F0BB4" w:rsidR="00982DE1" w:rsidRDefault="00306881" w:rsidP="00797234">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&gt;</w:t>
            </w:r>
            <w:r w:rsidR="00982DE1">
              <w:rPr>
                <w:rFonts w:ascii="Times New Roman" w:eastAsia="Times New Roman" w:hAnsi="Times New Roman" w:cs="Times New Roman"/>
                <w:lang w:val="sl-SI"/>
              </w:rPr>
              <w:t> 32 tednov</w:t>
            </w:r>
          </w:p>
        </w:tc>
        <w:tc>
          <w:tcPr>
            <w:tcW w:w="1759" w:type="dxa"/>
            <w:tcBorders>
              <w:top w:val="single" w:sz="5" w:space="0" w:color="000000"/>
              <w:left w:val="single" w:sz="5" w:space="0" w:color="000000"/>
              <w:bottom w:val="single" w:sz="5" w:space="0" w:color="000000"/>
              <w:right w:val="single" w:sz="5" w:space="0" w:color="000000"/>
            </w:tcBorders>
          </w:tcPr>
          <w:p w14:paraId="1B5FE06C" w14:textId="77777777" w:rsidR="00982DE1" w:rsidRDefault="00982DE1" w:rsidP="00797234">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20 tednov</w:t>
            </w:r>
          </w:p>
        </w:tc>
        <w:tc>
          <w:tcPr>
            <w:tcW w:w="1651" w:type="dxa"/>
            <w:tcBorders>
              <w:top w:val="single" w:sz="5" w:space="0" w:color="000000"/>
              <w:left w:val="single" w:sz="5" w:space="0" w:color="000000"/>
              <w:bottom w:val="single" w:sz="5" w:space="0" w:color="000000"/>
              <w:right w:val="single" w:sz="5" w:space="0" w:color="000000"/>
            </w:tcBorders>
          </w:tcPr>
          <w:p w14:paraId="48314A47" w14:textId="77777777" w:rsidR="00982DE1" w:rsidRDefault="00982DE1" w:rsidP="00797234">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&gt; 32 tednov</w:t>
            </w:r>
          </w:p>
        </w:tc>
        <w:tc>
          <w:tcPr>
            <w:tcW w:w="1589" w:type="dxa"/>
            <w:tcBorders>
              <w:top w:val="single" w:sz="5" w:space="0" w:color="000000"/>
              <w:left w:val="single" w:sz="5" w:space="0" w:color="000000"/>
              <w:bottom w:val="single" w:sz="5" w:space="0" w:color="000000"/>
              <w:right w:val="single" w:sz="5" w:space="0" w:color="000000"/>
            </w:tcBorders>
          </w:tcPr>
          <w:p w14:paraId="25FB64BB" w14:textId="77777777" w:rsidR="00982DE1" w:rsidRDefault="00982DE1" w:rsidP="00797234">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14 tednov</w:t>
            </w:r>
          </w:p>
        </w:tc>
      </w:tr>
    </w:tbl>
    <w:p w14:paraId="4197F78D" w14:textId="77777777" w:rsidR="00982DE1" w:rsidRDefault="00982DE1" w:rsidP="00721C46">
      <w:pPr>
        <w:pStyle w:val="a3"/>
        <w:ind w:leftChars="100" w:left="220"/>
        <w:rPr>
          <w:lang w:val="sl-SI"/>
        </w:rPr>
      </w:pPr>
      <w:r>
        <w:rPr>
          <w:rFonts w:eastAsia="Times New Roman"/>
          <w:position w:val="8"/>
          <w:vertAlign w:val="superscript"/>
          <w:lang w:val="sl-SI"/>
        </w:rPr>
        <w:t>a</w:t>
      </w:r>
      <w:r>
        <w:rPr>
          <w:rFonts w:eastAsia="Times New Roman"/>
          <w:position w:val="8"/>
          <w:lang w:val="sl-SI"/>
        </w:rPr>
        <w:t xml:space="preserve"> Odzivi »Ped ACR« 30/50/70 so bili 48. teden značilno večji kot pri bolnikih, ki so dobivali placebo</w:t>
      </w:r>
    </w:p>
    <w:p w14:paraId="7E00C50B" w14:textId="77777777" w:rsidR="00982DE1" w:rsidRDefault="00982DE1" w:rsidP="00721C46">
      <w:pPr>
        <w:pStyle w:val="a3"/>
        <w:ind w:leftChars="100" w:left="220"/>
        <w:rPr>
          <w:lang w:val="sl-SI"/>
        </w:rPr>
      </w:pPr>
      <w:r>
        <w:rPr>
          <w:rFonts w:eastAsia="Times New Roman"/>
          <w:position w:val="8"/>
          <w:vertAlign w:val="superscript"/>
          <w:lang w:val="sl-SI"/>
        </w:rPr>
        <w:t>b</w:t>
      </w:r>
      <w:r>
        <w:rPr>
          <w:rFonts w:eastAsia="Times New Roman"/>
          <w:position w:val="8"/>
          <w:lang w:val="sl-SI"/>
        </w:rPr>
        <w:t xml:space="preserve"> p = 0,015</w:t>
      </w:r>
    </w:p>
    <w:p w14:paraId="7E943B9E" w14:textId="77777777" w:rsidR="00982DE1" w:rsidRDefault="00982DE1" w:rsidP="00721C46">
      <w:pPr>
        <w:pStyle w:val="a3"/>
        <w:ind w:leftChars="100" w:left="220"/>
        <w:rPr>
          <w:lang w:val="sl-SI"/>
        </w:rPr>
      </w:pPr>
      <w:r>
        <w:rPr>
          <w:rFonts w:eastAsia="Times New Roman"/>
          <w:position w:val="8"/>
          <w:vertAlign w:val="superscript"/>
          <w:lang w:val="sl-SI"/>
        </w:rPr>
        <w:t>c</w:t>
      </w:r>
      <w:r>
        <w:rPr>
          <w:rFonts w:eastAsia="Times New Roman"/>
          <w:position w:val="8"/>
          <w:lang w:val="sl-SI"/>
        </w:rPr>
        <w:t xml:space="preserve"> p = 0,031</w:t>
      </w:r>
    </w:p>
    <w:p w14:paraId="17C009B9" w14:textId="77777777" w:rsidR="00982DE1" w:rsidRDefault="00982DE1" w:rsidP="00982DE1">
      <w:pPr>
        <w:spacing w:before="14" w:line="240" w:lineRule="exact"/>
        <w:rPr>
          <w:sz w:val="24"/>
          <w:szCs w:val="24"/>
          <w:lang w:val="sl-SI"/>
        </w:rPr>
      </w:pPr>
    </w:p>
    <w:p w14:paraId="3D41B248" w14:textId="3067D9CB" w:rsidR="00982DE1" w:rsidRDefault="00982DE1" w:rsidP="00982DE1">
      <w:pPr>
        <w:pStyle w:val="a3"/>
        <w:rPr>
          <w:lang w:val="sl-SI"/>
        </w:rPr>
      </w:pPr>
      <w:r>
        <w:rPr>
          <w:rFonts w:eastAsia="Times New Roman"/>
          <w:spacing w:val="1"/>
          <w:lang w:val="sl-SI"/>
        </w:rPr>
        <w:t>Med bolniki, ki so se odzvali 16. teden (n = 144), so se odzivi »P</w:t>
      </w:r>
      <w:r w:rsidR="006A7666">
        <w:rPr>
          <w:rFonts w:eastAsia="Times New Roman"/>
          <w:spacing w:val="1"/>
          <w:lang w:val="sl-SI"/>
        </w:rPr>
        <w:t>a</w:t>
      </w:r>
      <w:r>
        <w:rPr>
          <w:rFonts w:eastAsia="Times New Roman"/>
          <w:spacing w:val="1"/>
          <w:lang w:val="sl-SI"/>
        </w:rPr>
        <w:t>ediatric ACR« 30/50/70/90 v odprti podaljšani fazi ohranili do 6 let pri tistih, ki so ves čas študije dobivali adalimumab. Skupno je bilo 6 let ali več zdravljenih 19 preiskovancev, od tega 11 iz izhodiščne starostne skupine od 4 do 12 let in 8 iz izhodiščne starostne skupine od 13 do 17 let.</w:t>
      </w:r>
    </w:p>
    <w:p w14:paraId="1C615737" w14:textId="77777777" w:rsidR="00982DE1" w:rsidRDefault="00982DE1" w:rsidP="00982DE1">
      <w:pPr>
        <w:spacing w:before="14" w:line="240" w:lineRule="exact"/>
        <w:rPr>
          <w:sz w:val="24"/>
          <w:szCs w:val="24"/>
          <w:lang w:val="sl-SI"/>
        </w:rPr>
      </w:pPr>
    </w:p>
    <w:p w14:paraId="5D5B9166" w14:textId="77777777" w:rsidR="00982DE1" w:rsidRDefault="00982DE1" w:rsidP="00982DE1">
      <w:pPr>
        <w:pStyle w:val="a3"/>
        <w:rPr>
          <w:lang w:val="sl-SI"/>
        </w:rPr>
      </w:pPr>
      <w:r>
        <w:rPr>
          <w:rFonts w:eastAsia="Times New Roman"/>
          <w:lang w:val="sl-SI"/>
        </w:rPr>
        <w:t>Celotni odzivi so bili med zdravljenjem s kombinacijo adalimumaba in metotreksata na splošno boljši in pri manj bolnikih so se pojavila protitelesa kot med zdravljenjem samo z adalimumabom. Z upoštevanjem teh ugotovitev je adalimumab priporočljivo uporabljati v kombinaciji z metotreksatom, kot monoterapijo pa pri bolnikih, za katere uporaba metotreksata ni primerna (glejte poglavje 4.2).</w:t>
      </w:r>
    </w:p>
    <w:p w14:paraId="1CE5EDA5" w14:textId="77777777" w:rsidR="00982DE1" w:rsidRDefault="00982DE1" w:rsidP="00982DE1">
      <w:pPr>
        <w:pStyle w:val="a3"/>
        <w:rPr>
          <w:lang w:val="sl-SI"/>
        </w:rPr>
      </w:pPr>
    </w:p>
    <w:p w14:paraId="3BDA8285" w14:textId="77777777" w:rsidR="00982DE1" w:rsidRDefault="00982DE1" w:rsidP="00982DE1">
      <w:pPr>
        <w:pStyle w:val="a3"/>
        <w:rPr>
          <w:lang w:val="sl-SI"/>
        </w:rPr>
      </w:pPr>
      <w:r>
        <w:rPr>
          <w:rFonts w:eastAsia="Times New Roman"/>
          <w:spacing w:val="1"/>
          <w:lang w:val="sl-SI"/>
        </w:rPr>
        <w:t>pJIA II</w:t>
      </w:r>
    </w:p>
    <w:p w14:paraId="48CE0F45" w14:textId="77777777" w:rsidR="00982DE1" w:rsidRDefault="00982DE1" w:rsidP="00982DE1">
      <w:pPr>
        <w:spacing w:before="11" w:line="240" w:lineRule="exact"/>
        <w:rPr>
          <w:sz w:val="24"/>
          <w:szCs w:val="24"/>
          <w:lang w:val="sl-SI"/>
        </w:rPr>
      </w:pPr>
    </w:p>
    <w:p w14:paraId="242C9393" w14:textId="77777777" w:rsidR="00982DE1" w:rsidRDefault="00982DE1" w:rsidP="00982DE1">
      <w:pPr>
        <w:pStyle w:val="a3"/>
        <w:rPr>
          <w:lang w:val="sl-SI"/>
        </w:rPr>
      </w:pPr>
      <w:r>
        <w:rPr>
          <w:rFonts w:eastAsia="Times New Roman"/>
          <w:lang w:val="sl-SI"/>
        </w:rPr>
        <w:t>Varnost in učinkovitost adalimumaba so ocenili v odprti, multicentrični študiji pri 32 otrocih</w:t>
      </w:r>
    </w:p>
    <w:p w14:paraId="5D262925" w14:textId="77777777" w:rsidR="00982DE1" w:rsidRDefault="00982DE1" w:rsidP="00982DE1">
      <w:pPr>
        <w:pStyle w:val="a3"/>
        <w:rPr>
          <w:lang w:val="sl-SI"/>
        </w:rPr>
      </w:pPr>
      <w:r>
        <w:rPr>
          <w:rFonts w:eastAsia="Times New Roman"/>
          <w:lang w:val="sl-SI"/>
        </w:rPr>
        <w:t>(starih od 2 do &lt; 4 leta ali starih 4 leta ali več in s telesno maso &lt; 15 kg) z zmernim do zelo aktivnim poliartikularnim JIA. Bolniki so vsaj 24 tednov prejemali adalimumab v odmerku 24 mg/m</w:t>
      </w:r>
      <w:r>
        <w:rPr>
          <w:rFonts w:eastAsia="Times New Roman"/>
          <w:sz w:val="14"/>
          <w:szCs w:val="14"/>
          <w:lang w:val="sl-SI"/>
        </w:rPr>
        <w:t>2</w:t>
      </w:r>
      <w:r>
        <w:rPr>
          <w:rFonts w:eastAsia="Times New Roman"/>
          <w:lang w:val="sl-SI"/>
        </w:rPr>
        <w:t xml:space="preserve"> telesne površine (in do največ 20 mg) vsak drugi teden kot enkraten odmerek v subkutani injekciji. Med študijo je večina preiskovancev sočasno uporabljala metotreksat, manj pa jih je navedlo uporabo kortikosteroidov ali NSAID.</w:t>
      </w:r>
    </w:p>
    <w:p w14:paraId="1C0559DE" w14:textId="77777777" w:rsidR="00982DE1" w:rsidRDefault="00982DE1" w:rsidP="00982DE1">
      <w:pPr>
        <w:spacing w:before="14" w:line="240" w:lineRule="exact"/>
        <w:rPr>
          <w:sz w:val="24"/>
          <w:szCs w:val="24"/>
          <w:lang w:val="sl-SI"/>
        </w:rPr>
      </w:pPr>
    </w:p>
    <w:p w14:paraId="145562EE" w14:textId="6A6EB51F" w:rsidR="00982DE1" w:rsidRDefault="00982DE1" w:rsidP="00982DE1">
      <w:pPr>
        <w:pStyle w:val="a3"/>
        <w:rPr>
          <w:lang w:val="sl-SI"/>
        </w:rPr>
      </w:pPr>
      <w:r>
        <w:rPr>
          <w:rFonts w:eastAsia="Times New Roman"/>
          <w:lang w:val="sl-SI"/>
        </w:rPr>
        <w:t>12. teden je bil odziv PedACR30 93,5 % in 24. teden 90,0 % (z uporabo pristopa z opaženimi podatki). Deleži preiskovancev s PedACR50/70/90 so bili 12. teden 90,3 %/61,3 %/38,7 % in 24. teden 83,3 %/73,3 %/36,7 %. Med tistimi, ki so se odzvali (P</w:t>
      </w:r>
      <w:r w:rsidR="006A7666">
        <w:rPr>
          <w:rFonts w:eastAsia="Times New Roman"/>
          <w:lang w:val="sl-SI"/>
        </w:rPr>
        <w:t>a</w:t>
      </w:r>
      <w:r>
        <w:rPr>
          <w:rFonts w:eastAsia="Times New Roman"/>
          <w:lang w:val="sl-SI"/>
        </w:rPr>
        <w:t>ediatric ACR 30) do 24. tedna (n = 27 od 30 bolnikov), se je odziv P</w:t>
      </w:r>
      <w:r w:rsidR="006A7666">
        <w:rPr>
          <w:rFonts w:eastAsia="Times New Roman"/>
          <w:lang w:val="sl-SI"/>
        </w:rPr>
        <w:t>a</w:t>
      </w:r>
      <w:r>
        <w:rPr>
          <w:rFonts w:eastAsia="Times New Roman"/>
          <w:lang w:val="sl-SI"/>
        </w:rPr>
        <w:t>ediatric ACR 30 v odprti podaljšani fazi ohranil do 60 tednov pri bolnikih, ki so med tem celotnim obdobjem prejemali adalimumab. Skupno je bilo 60 tednov ali več zdravljenih 20 preiskovancev.</w:t>
      </w:r>
    </w:p>
    <w:p w14:paraId="2AC110AA" w14:textId="77777777" w:rsidR="00982DE1" w:rsidRDefault="00982DE1" w:rsidP="00982DE1">
      <w:pPr>
        <w:pStyle w:val="a3"/>
        <w:rPr>
          <w:sz w:val="24"/>
          <w:szCs w:val="24"/>
          <w:lang w:val="sl-SI"/>
        </w:rPr>
      </w:pPr>
    </w:p>
    <w:p w14:paraId="4BA9192E" w14:textId="77777777" w:rsidR="00982DE1" w:rsidRDefault="00982DE1" w:rsidP="00982DE1">
      <w:pPr>
        <w:pStyle w:val="a3"/>
        <w:rPr>
          <w:rFonts w:eastAsia="Times New Roman"/>
          <w:lang w:val="sl-SI"/>
        </w:rPr>
      </w:pPr>
      <w:r>
        <w:rPr>
          <w:rFonts w:eastAsia="Times New Roman"/>
          <w:i/>
          <w:iCs/>
          <w:u w:val="single" w:color="000000"/>
          <w:lang w:val="sl-SI"/>
        </w:rPr>
        <w:t>Artritis, povezan z entezitisom</w:t>
      </w:r>
    </w:p>
    <w:p w14:paraId="3137E83B" w14:textId="77777777" w:rsidR="00982DE1" w:rsidRDefault="00982DE1" w:rsidP="00982DE1">
      <w:pPr>
        <w:pStyle w:val="a3"/>
        <w:rPr>
          <w:sz w:val="18"/>
          <w:szCs w:val="18"/>
          <w:lang w:val="sl-SI"/>
        </w:rPr>
      </w:pPr>
    </w:p>
    <w:p w14:paraId="48D4F633" w14:textId="353F4118" w:rsidR="00982DE1" w:rsidRDefault="00982DE1" w:rsidP="00982DE1">
      <w:pPr>
        <w:pStyle w:val="a3"/>
        <w:rPr>
          <w:lang w:val="sl-SI"/>
        </w:rPr>
      </w:pPr>
      <w:r>
        <w:rPr>
          <w:rFonts w:eastAsia="Times New Roman"/>
          <w:lang w:val="sl-SI"/>
        </w:rPr>
        <w:t>Varnost in učinkovitost adalimumaba so ocenili v multicentrični, randomizirani, dvojno slepi študiji pri 46 pediatričnih bolnikih (starih od 6 do 17 let) z zmernim artritisom, povezanim z entezitisom. Bolniki so bili randomizirani za prejemanje bodisi 24 mg/m</w:t>
      </w:r>
      <w:r>
        <w:rPr>
          <w:rFonts w:eastAsia="Times New Roman"/>
          <w:sz w:val="14"/>
          <w:szCs w:val="14"/>
          <w:lang w:val="sl-SI"/>
        </w:rPr>
        <w:t>2</w:t>
      </w:r>
      <w:r>
        <w:rPr>
          <w:rFonts w:eastAsia="Times New Roman"/>
          <w:lang w:val="sl-SI"/>
        </w:rPr>
        <w:t xml:space="preserve"> telesne površine adalimumaba do največjega posamičnega odmerka 40 mg ali placebo vsak drugi teden, 12 tednov. Obdobju dvojno slepega preskušanja je sledilo obdobje odprtega preskušanja, v katerem so bolniki prejemali 24 mg/m</w:t>
      </w:r>
      <w:r>
        <w:rPr>
          <w:rFonts w:eastAsia="Times New Roman"/>
          <w:sz w:val="14"/>
          <w:szCs w:val="14"/>
          <w:lang w:val="sl-SI"/>
        </w:rPr>
        <w:t>2</w:t>
      </w:r>
      <w:r>
        <w:rPr>
          <w:rFonts w:eastAsia="Times New Roman"/>
          <w:lang w:val="sl-SI"/>
        </w:rPr>
        <w:t xml:space="preserve"> telesne površine adalimumaba do največjega posamičnega odmerka 40 mg vsak drugi teden subkutano do največ 192 tednov. Primarni opazovani dogodek je bil odstotek spremembe od izhodiščne vrednosti do 12. tedna v številu aktivnih sklepov z artritisom (oteklina, ki ni nastala zaradi deformacije ali sklepi z zmanjšano gibljivostjo ter bolečino in/ali občutljivostjo); slednji je bil dosežen s povprečnim zmanjšanjem za –62,6 % (mediana sprememba –88,9 %) pri skupini bolnikov, ki je prejemala adalimumab v primerjavi z –11,6 % (mediana sprememba –50,0 %) v skupini bolnikov, ki je prejemala placebo. Izboljšanje v številu aktivnih sklepov z artritisom se je ohranilo v obdobju odprtega preskušanja po 156. tednu pri 26 od 31 (84 %) bolnikov, ki so prejemali adalimumab in so ostali v študiji. Čeprav ni statistično značilno, je bilo pri večini bolnikov dokazano klinično izboljšanje sekundarnih opazovanih dogodkov, kot so število mest entezitisa, število občutljivih sklepov, število oteklih sklepov, odziv glede na merila P</w:t>
      </w:r>
      <w:r w:rsidR="006A7666">
        <w:rPr>
          <w:rFonts w:eastAsia="Times New Roman"/>
          <w:lang w:val="sl-SI"/>
        </w:rPr>
        <w:t>a</w:t>
      </w:r>
      <w:r>
        <w:rPr>
          <w:rFonts w:eastAsia="Times New Roman"/>
          <w:lang w:val="sl-SI"/>
        </w:rPr>
        <w:t>ediatric ARC 50 in P</w:t>
      </w:r>
      <w:r w:rsidR="006A7666">
        <w:rPr>
          <w:rFonts w:eastAsia="Times New Roman"/>
          <w:lang w:val="sl-SI"/>
        </w:rPr>
        <w:t>a</w:t>
      </w:r>
      <w:r>
        <w:rPr>
          <w:rFonts w:eastAsia="Times New Roman"/>
          <w:lang w:val="sl-SI"/>
        </w:rPr>
        <w:t>ediatric ARC 70.</w:t>
      </w:r>
    </w:p>
    <w:p w14:paraId="69F8BA7F" w14:textId="77777777" w:rsidR="007E758B" w:rsidRDefault="007E758B">
      <w:pPr>
        <w:spacing w:before="16" w:line="240" w:lineRule="exact"/>
        <w:rPr>
          <w:sz w:val="24"/>
          <w:szCs w:val="24"/>
          <w:lang w:val="sl-SI"/>
        </w:rPr>
      </w:pPr>
    </w:p>
    <w:p w14:paraId="0A62ABEC" w14:textId="77777777" w:rsidR="001B1C67" w:rsidRDefault="001B1C67" w:rsidP="001B1C67">
      <w:pPr>
        <w:pStyle w:val="a3"/>
        <w:rPr>
          <w:rFonts w:eastAsia="Times New Roman"/>
          <w:lang w:val="sl-SI"/>
        </w:rPr>
      </w:pPr>
      <w:r>
        <w:rPr>
          <w:rFonts w:eastAsia="Times New Roman"/>
          <w:i/>
          <w:iCs/>
          <w:spacing w:val="-1"/>
          <w:lang w:val="sl-SI"/>
        </w:rPr>
        <w:t>Psoriaza v plakih pri pediatričnih bolnikih</w:t>
      </w:r>
    </w:p>
    <w:p w14:paraId="066A36F5" w14:textId="77777777" w:rsidR="001B1C67" w:rsidRDefault="001B1C67" w:rsidP="001B1C67">
      <w:pPr>
        <w:pStyle w:val="a3"/>
        <w:rPr>
          <w:sz w:val="24"/>
          <w:szCs w:val="24"/>
          <w:lang w:val="sl-SI"/>
        </w:rPr>
      </w:pPr>
    </w:p>
    <w:p w14:paraId="33CB0DA7" w14:textId="77777777" w:rsidR="001B1C67" w:rsidRDefault="001B1C67" w:rsidP="001B1C67">
      <w:pPr>
        <w:pStyle w:val="a3"/>
        <w:rPr>
          <w:lang w:val="sl-SI"/>
        </w:rPr>
      </w:pPr>
      <w:r>
        <w:rPr>
          <w:rFonts w:eastAsia="Times New Roman"/>
          <w:lang w:val="sl-SI"/>
        </w:rPr>
        <w:t xml:space="preserve">Učinkovitost adalimumaba je bila ocenjena v randomizirani, dvojno slepi, kontrolirani študiji, v katero je bilo vključenih 114 pediatričnih bolnikov od 4. leta starosti, s hudo kronično psoriazo v plakih (definirano z </w:t>
      </w:r>
      <w:r>
        <w:rPr>
          <w:rFonts w:eastAsia="Times New Roman"/>
          <w:lang w:val="sl-SI"/>
        </w:rPr>
        <w:lastRenderedPageBreak/>
        <w:t>zdravnikovo globalno oceno (PGA – Physician's Global Assessment) ≥ 4 ali &gt; 20 % zajete telesne površine ali &gt; 10 % zajete telesne površine z zelo grobimi lezijami ali indeksom obsežnosti in izrazitosti psoriaze (PASI – Psoriasis Area and Severity Index) ≥ 20 ali ≥ 10 s klinično pomembnim zajetjem obraza, genitalij ali dlani/stopal), ki ni bila ustrezno nadzorovana s topikalnim zdravljenjem in helioterapijo ali fototerapijo.</w:t>
      </w:r>
    </w:p>
    <w:p w14:paraId="0FD77F6F" w14:textId="77777777" w:rsidR="001B1C67" w:rsidRDefault="001B1C67" w:rsidP="001B1C67">
      <w:pPr>
        <w:pStyle w:val="a3"/>
        <w:rPr>
          <w:sz w:val="24"/>
          <w:szCs w:val="24"/>
          <w:lang w:val="sl-SI"/>
        </w:rPr>
      </w:pPr>
    </w:p>
    <w:p w14:paraId="59408EE7" w14:textId="60CE7CB5" w:rsidR="001B1C67" w:rsidRDefault="001B1C67" w:rsidP="001B1C67">
      <w:pPr>
        <w:pStyle w:val="a3"/>
        <w:rPr>
          <w:lang w:val="sl-SI"/>
        </w:rPr>
      </w:pPr>
      <w:r>
        <w:rPr>
          <w:rFonts w:eastAsia="Times New Roman"/>
          <w:lang w:val="sl-SI"/>
        </w:rPr>
        <w:t>Bolniki so prejemali adalimumab v odmerkih 0,8 mg/kg vsak drugi teden (do največ 40 mg), 0,4 mg/kg vsak drugi teden (do največ 20 mg) ali 0,1–0,4 mg/kg metotreksata na teden (do največ 25 mg). V 16 tednu se je več bolnikov, ki so bili randomizirani na adalimumab 0,8 mg/kg, pozitivno odzvalo v smislu učinkovitosti (npr. PASI 75) kot tistih, ki so bili randomizirani na odmerek 0,4 mg/kg vsak drugi teden ali metotreksat.</w:t>
      </w:r>
    </w:p>
    <w:p w14:paraId="1CB71BFF" w14:textId="77777777" w:rsidR="001B1C67" w:rsidRDefault="001B1C67" w:rsidP="001B1C67">
      <w:pPr>
        <w:rPr>
          <w:lang w:val="sl-SI"/>
        </w:rPr>
      </w:pPr>
    </w:p>
    <w:p w14:paraId="37B9C494" w14:textId="4080CA23" w:rsidR="001B1C67" w:rsidRDefault="001B1C67" w:rsidP="001B1C67">
      <w:pPr>
        <w:pStyle w:val="a3"/>
        <w:jc w:val="center"/>
        <w:rPr>
          <w:b/>
          <w:lang w:val="sl-SI"/>
        </w:rPr>
      </w:pPr>
      <w:r>
        <w:rPr>
          <w:rFonts w:eastAsia="Times New Roman"/>
          <w:b/>
          <w:bCs/>
          <w:lang w:val="sl-SI"/>
        </w:rPr>
        <w:t>Preglednica 2</w:t>
      </w:r>
      <w:r w:rsidR="006A7666">
        <w:rPr>
          <w:rFonts w:eastAsia="Times New Roman"/>
          <w:b/>
          <w:bCs/>
          <w:lang w:val="sl-SI"/>
        </w:rPr>
        <w:t>7</w:t>
      </w:r>
    </w:p>
    <w:p w14:paraId="101999A9" w14:textId="069D265F" w:rsidR="0016539A" w:rsidRDefault="001B1C67" w:rsidP="001B1C67">
      <w:pPr>
        <w:pStyle w:val="a3"/>
        <w:jc w:val="center"/>
        <w:rPr>
          <w:rFonts w:eastAsia="Times New Roman"/>
          <w:b/>
          <w:bCs/>
          <w:lang w:val="sl-SI"/>
        </w:rPr>
      </w:pPr>
      <w:r>
        <w:rPr>
          <w:rFonts w:eastAsia="Times New Roman"/>
          <w:b/>
          <w:bCs/>
          <w:lang w:val="sl-SI"/>
        </w:rPr>
        <w:t>Rezultati učinkovitosti v 16. tednu pri pediatričnih bolnikih s psoriazo v plakih</w:t>
      </w:r>
    </w:p>
    <w:p w14:paraId="501EBFCA" w14:textId="77777777" w:rsidR="00721C46" w:rsidRDefault="00721C46" w:rsidP="001B1C67">
      <w:pPr>
        <w:pStyle w:val="a3"/>
        <w:jc w:val="center"/>
        <w:rPr>
          <w:b/>
          <w:lang w:val="sl-SI"/>
        </w:rPr>
      </w:pPr>
    </w:p>
    <w:p w14:paraId="4A0996EA" w14:textId="77777777" w:rsidR="001B1C67" w:rsidRDefault="001B1C67" w:rsidP="001B1C67">
      <w:pPr>
        <w:spacing w:before="4" w:line="10" w:lineRule="exact"/>
        <w:rPr>
          <w:sz w:val="4"/>
          <w:szCs w:val="4"/>
          <w:lang w:val="sl-SI"/>
        </w:rPr>
      </w:pPr>
    </w:p>
    <w:tbl>
      <w:tblPr>
        <w:tblStyle w:val="TableNormal1"/>
        <w:tblW w:w="0" w:type="auto"/>
        <w:tblInd w:w="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25"/>
        <w:gridCol w:w="1843"/>
        <w:gridCol w:w="3630"/>
      </w:tblGrid>
      <w:tr w:rsidR="001B1C67" w:rsidRPr="00AC7013" w14:paraId="35F92B8A" w14:textId="77777777" w:rsidTr="001452D7">
        <w:tc>
          <w:tcPr>
            <w:tcW w:w="2925" w:type="dxa"/>
          </w:tcPr>
          <w:p w14:paraId="6CEF7056" w14:textId="77777777" w:rsidR="001B1C67" w:rsidRDefault="001B1C67" w:rsidP="00797234">
            <w:pPr>
              <w:rPr>
                <w:lang w:val="sl-SI"/>
              </w:rPr>
            </w:pPr>
          </w:p>
        </w:tc>
        <w:tc>
          <w:tcPr>
            <w:tcW w:w="1843" w:type="dxa"/>
          </w:tcPr>
          <w:p w14:paraId="38B59192" w14:textId="77777777" w:rsidR="001B1C67" w:rsidRDefault="001B1C67" w:rsidP="00797234">
            <w:pPr>
              <w:pStyle w:val="TableParagraph"/>
              <w:ind w:left="537" w:right="535"/>
              <w:jc w:val="center"/>
              <w:rPr>
                <w:rFonts w:ascii="Times New Roman" w:eastAsia="Times New Roman" w:hAnsi="Times New Roman" w:cs="Times New Roman"/>
                <w:lang w:val="sl-SI"/>
              </w:rPr>
            </w:pPr>
            <w:r>
              <w:rPr>
                <w:rFonts w:ascii="Times New Roman" w:eastAsia="Times New Roman" w:hAnsi="Times New Roman" w:cs="Times New Roman"/>
                <w:lang w:val="sl-SI"/>
              </w:rPr>
              <w:t>MTX</w:t>
            </w:r>
            <w:r>
              <w:rPr>
                <w:rFonts w:ascii="Times New Roman" w:eastAsia="Times New Roman" w:hAnsi="Times New Roman" w:cs="Times New Roman"/>
                <w:vertAlign w:val="superscript"/>
                <w:lang w:val="sl-SI"/>
              </w:rPr>
              <w:t>a</w:t>
            </w:r>
          </w:p>
          <w:p w14:paraId="289E7178" w14:textId="77777777" w:rsidR="001B1C67" w:rsidRDefault="001B1C67" w:rsidP="00797234">
            <w:pPr>
              <w:pStyle w:val="TableParagraph"/>
              <w:ind w:left="563" w:right="563"/>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N = 37</w:t>
            </w:r>
          </w:p>
        </w:tc>
        <w:tc>
          <w:tcPr>
            <w:tcW w:w="3630" w:type="dxa"/>
          </w:tcPr>
          <w:p w14:paraId="73DCF173" w14:textId="77777777" w:rsidR="00472D63" w:rsidRDefault="001B1C67" w:rsidP="00797234">
            <w:pPr>
              <w:pStyle w:val="TableParagraph"/>
              <w:spacing w:before="5"/>
              <w:ind w:left="113" w:right="102"/>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Adalimumab 0,8 mg vsak drugi teden </w:t>
            </w:r>
          </w:p>
          <w:p w14:paraId="6173E3DB" w14:textId="5F0C3F15" w:rsidR="001B1C67" w:rsidRDefault="001B1C67" w:rsidP="00797234">
            <w:pPr>
              <w:pStyle w:val="TableParagraph"/>
              <w:spacing w:before="5"/>
              <w:ind w:left="113" w:right="102"/>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N = 38</w:t>
            </w:r>
          </w:p>
        </w:tc>
      </w:tr>
      <w:tr w:rsidR="001B1C67" w14:paraId="25F710FE" w14:textId="77777777" w:rsidTr="001452D7">
        <w:tc>
          <w:tcPr>
            <w:tcW w:w="2925" w:type="dxa"/>
          </w:tcPr>
          <w:p w14:paraId="330824F3" w14:textId="77777777" w:rsidR="001B1C67" w:rsidRDefault="001B1C67" w:rsidP="00797234">
            <w:pPr>
              <w:pStyle w:val="TableParagraph"/>
              <w:spacing w:before="4"/>
              <w:ind w:left="227"/>
              <w:rPr>
                <w:rFonts w:ascii="Times New Roman" w:eastAsia="Times New Roman" w:hAnsi="Times New Roman" w:cs="Times New Roman"/>
                <w:lang w:val="sl-SI"/>
              </w:rPr>
            </w:pPr>
            <w:r>
              <w:rPr>
                <w:rFonts w:ascii="Times New Roman" w:eastAsia="Times New Roman" w:hAnsi="Times New Roman" w:cs="Times New Roman"/>
                <w:spacing w:val="-1"/>
                <w:lang w:val="sl-SI"/>
              </w:rPr>
              <w:t>PASI 75</w:t>
            </w:r>
            <w:r>
              <w:rPr>
                <w:rFonts w:ascii="Times New Roman" w:eastAsia="Times New Roman" w:hAnsi="Times New Roman" w:cs="Times New Roman"/>
                <w:spacing w:val="-1"/>
                <w:vertAlign w:val="superscript"/>
                <w:lang w:val="sl-SI"/>
              </w:rPr>
              <w:t>b</w:t>
            </w:r>
          </w:p>
        </w:tc>
        <w:tc>
          <w:tcPr>
            <w:tcW w:w="1843" w:type="dxa"/>
          </w:tcPr>
          <w:p w14:paraId="5A7E539F" w14:textId="77777777" w:rsidR="001B1C67" w:rsidRDefault="001B1C67" w:rsidP="00797234">
            <w:pPr>
              <w:pStyle w:val="TableParagraph"/>
              <w:spacing w:before="9"/>
              <w:ind w:left="337"/>
              <w:rPr>
                <w:rFonts w:ascii="Times New Roman" w:eastAsia="Times New Roman" w:hAnsi="Times New Roman" w:cs="Times New Roman"/>
                <w:lang w:val="sl-SI"/>
              </w:rPr>
            </w:pPr>
            <w:r>
              <w:rPr>
                <w:rFonts w:ascii="Times New Roman" w:eastAsia="Times New Roman" w:hAnsi="Times New Roman" w:cs="Times New Roman"/>
                <w:spacing w:val="-1"/>
                <w:lang w:val="sl-SI"/>
              </w:rPr>
              <w:t>12 (32,4 %)</w:t>
            </w:r>
          </w:p>
        </w:tc>
        <w:tc>
          <w:tcPr>
            <w:tcW w:w="3630" w:type="dxa"/>
            <w:vAlign w:val="center"/>
          </w:tcPr>
          <w:p w14:paraId="3B5AD055" w14:textId="77777777" w:rsidR="001B1C67" w:rsidRDefault="001B1C67" w:rsidP="00797234">
            <w:pPr>
              <w:pStyle w:val="TableParagraph"/>
              <w:spacing w:before="9"/>
              <w:jc w:val="center"/>
              <w:rPr>
                <w:rFonts w:ascii="Times New Roman" w:eastAsia="Times New Roman" w:hAnsi="Times New Roman" w:cs="Times New Roman"/>
                <w:lang w:val="sl-SI"/>
              </w:rPr>
            </w:pPr>
            <w:r>
              <w:rPr>
                <w:rFonts w:ascii="Times New Roman" w:eastAsia="Times New Roman" w:hAnsi="Times New Roman" w:cs="Times New Roman"/>
                <w:lang w:val="sl-SI"/>
              </w:rPr>
              <w:t>22 (57,9 %)</w:t>
            </w:r>
          </w:p>
        </w:tc>
      </w:tr>
      <w:tr w:rsidR="001B1C67" w14:paraId="007AF9E9" w14:textId="77777777" w:rsidTr="001452D7">
        <w:tc>
          <w:tcPr>
            <w:tcW w:w="2925" w:type="dxa"/>
          </w:tcPr>
          <w:p w14:paraId="12539806" w14:textId="77777777" w:rsidR="001B1C67" w:rsidRDefault="001B1C67" w:rsidP="00797234">
            <w:pPr>
              <w:pStyle w:val="TableParagraph"/>
              <w:spacing w:before="4"/>
              <w:ind w:left="227"/>
              <w:rPr>
                <w:rFonts w:ascii="Times New Roman" w:eastAsia="Times New Roman" w:hAnsi="Times New Roman" w:cs="Times New Roman"/>
                <w:lang w:val="sl-SI"/>
              </w:rPr>
            </w:pPr>
            <w:r>
              <w:rPr>
                <w:rFonts w:ascii="Times New Roman" w:eastAsia="Times New Roman" w:hAnsi="Times New Roman" w:cs="Times New Roman"/>
                <w:spacing w:val="-1"/>
                <w:lang w:val="sl-SI"/>
              </w:rPr>
              <w:t>PGA: čisto/minimalno</w:t>
            </w:r>
            <w:r>
              <w:rPr>
                <w:rFonts w:ascii="Times New Roman" w:eastAsia="Times New Roman" w:hAnsi="Times New Roman" w:cs="Times New Roman"/>
                <w:spacing w:val="-1"/>
                <w:vertAlign w:val="superscript"/>
                <w:lang w:val="sl-SI"/>
              </w:rPr>
              <w:t>c</w:t>
            </w:r>
          </w:p>
        </w:tc>
        <w:tc>
          <w:tcPr>
            <w:tcW w:w="1843" w:type="dxa"/>
          </w:tcPr>
          <w:p w14:paraId="2BFBD70D" w14:textId="77777777" w:rsidR="001B1C67" w:rsidRDefault="001B1C67" w:rsidP="00797234">
            <w:pPr>
              <w:pStyle w:val="TableParagraph"/>
              <w:spacing w:before="9"/>
              <w:ind w:left="337"/>
              <w:rPr>
                <w:rFonts w:ascii="Times New Roman" w:eastAsia="Times New Roman" w:hAnsi="Times New Roman" w:cs="Times New Roman"/>
                <w:lang w:val="sl-SI"/>
              </w:rPr>
            </w:pPr>
            <w:r>
              <w:rPr>
                <w:rFonts w:ascii="Times New Roman" w:eastAsia="Times New Roman" w:hAnsi="Times New Roman" w:cs="Times New Roman"/>
                <w:spacing w:val="-1"/>
                <w:lang w:val="sl-SI"/>
              </w:rPr>
              <w:t>15 (40,5 %)</w:t>
            </w:r>
          </w:p>
        </w:tc>
        <w:tc>
          <w:tcPr>
            <w:tcW w:w="3630" w:type="dxa"/>
            <w:vAlign w:val="center"/>
          </w:tcPr>
          <w:p w14:paraId="7775E263" w14:textId="77777777" w:rsidR="001B1C67" w:rsidRDefault="001B1C67" w:rsidP="00797234">
            <w:pPr>
              <w:pStyle w:val="TableParagraph"/>
              <w:spacing w:before="9"/>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23 (60,5 %)</w:t>
            </w:r>
          </w:p>
        </w:tc>
      </w:tr>
      <w:tr w:rsidR="001B1C67" w:rsidRPr="00652F18" w14:paraId="00E69921" w14:textId="77777777" w:rsidTr="00797234">
        <w:tc>
          <w:tcPr>
            <w:tcW w:w="8398" w:type="dxa"/>
            <w:gridSpan w:val="3"/>
          </w:tcPr>
          <w:p w14:paraId="08D2228F" w14:textId="77777777" w:rsidR="001B1C67" w:rsidRDefault="001B1C67" w:rsidP="00797234">
            <w:pPr>
              <w:pStyle w:val="TableParagraph"/>
              <w:spacing w:before="4"/>
              <w:ind w:left="6"/>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a</w:t>
            </w:r>
            <w:r>
              <w:rPr>
                <w:rFonts w:ascii="Times New Roman" w:eastAsia="Times New Roman" w:hAnsi="Times New Roman" w:cs="Times New Roman"/>
                <w:position w:val="8"/>
                <w:lang w:val="sl-SI"/>
              </w:rPr>
              <w:t xml:space="preserve"> MTX = metotreksat</w:t>
            </w:r>
          </w:p>
          <w:p w14:paraId="0084834C" w14:textId="77777777" w:rsidR="001B1C67" w:rsidRDefault="001B1C67" w:rsidP="00797234">
            <w:pPr>
              <w:pStyle w:val="TableParagraph"/>
              <w:ind w:left="6"/>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b</w:t>
            </w:r>
            <w:r>
              <w:rPr>
                <w:rFonts w:ascii="Times New Roman" w:eastAsia="Times New Roman" w:hAnsi="Times New Roman" w:cs="Times New Roman"/>
                <w:position w:val="8"/>
                <w:lang w:val="sl-SI"/>
              </w:rPr>
              <w:t xml:space="preserve"> P = 0,027, adalimumab 0,8 mg/kg v primerjavi z MTX</w:t>
            </w:r>
          </w:p>
          <w:p w14:paraId="76ADB430" w14:textId="77777777" w:rsidR="001B1C67" w:rsidRDefault="001B1C67" w:rsidP="00797234">
            <w:pPr>
              <w:pStyle w:val="TableParagraph"/>
              <w:ind w:left="6"/>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c</w:t>
            </w:r>
            <w:r>
              <w:rPr>
                <w:rFonts w:ascii="Times New Roman" w:eastAsia="Times New Roman" w:hAnsi="Times New Roman" w:cs="Times New Roman"/>
                <w:position w:val="8"/>
                <w:lang w:val="sl-SI"/>
              </w:rPr>
              <w:t xml:space="preserve"> P = 0,083, adalimumab 0,8 mg/kg v primerjavi z MTX</w:t>
            </w:r>
          </w:p>
        </w:tc>
      </w:tr>
    </w:tbl>
    <w:p w14:paraId="298D3BD0" w14:textId="77777777" w:rsidR="001B1C67" w:rsidRDefault="001B1C67" w:rsidP="001B1C67">
      <w:pPr>
        <w:spacing w:before="3" w:line="170" w:lineRule="exact"/>
        <w:rPr>
          <w:sz w:val="17"/>
          <w:szCs w:val="17"/>
          <w:lang w:val="sl-SI"/>
        </w:rPr>
      </w:pPr>
    </w:p>
    <w:p w14:paraId="2A3C7694" w14:textId="6C9313AD" w:rsidR="001B1C67" w:rsidRDefault="001B1C67" w:rsidP="001B1C67">
      <w:pPr>
        <w:pStyle w:val="a3"/>
        <w:rPr>
          <w:lang w:val="sl-SI"/>
        </w:rPr>
      </w:pPr>
      <w:r>
        <w:rPr>
          <w:rFonts w:eastAsia="Times New Roman"/>
          <w:lang w:val="sl-SI"/>
        </w:rPr>
        <w:t>Bolniki, ki so dosegli PASI 75 in PGA čisto ali minimalno, so bili z zdravljenja odpuščeni in spremljani do 36 tednov glede izgube nadzora nad boleznijo (tj. poslabšanje PGA za najmanj 2 stopnji). Bolniki so bili nato znova zdravljeni z adalimumabom v odmerku 0,8 mg/kg vsak drugi teden še nadaljnjih 16 tednov, pri čemer so bile opažene stopnje odziva podobne kot v prejšnjem dvojno slepem obdobju: odziv PASI 75 pri 78,9 % (15 od 19 oseb) in PGA čisto ali minimalno pri 52,6 % (10 od 19 oseb).</w:t>
      </w:r>
    </w:p>
    <w:p w14:paraId="6C9DCCD7" w14:textId="77777777" w:rsidR="001B1C67" w:rsidRDefault="001B1C67" w:rsidP="001B1C67">
      <w:pPr>
        <w:pStyle w:val="a3"/>
        <w:rPr>
          <w:sz w:val="24"/>
          <w:szCs w:val="24"/>
          <w:lang w:val="sl-SI"/>
        </w:rPr>
      </w:pPr>
    </w:p>
    <w:p w14:paraId="7CC837B8" w14:textId="77777777" w:rsidR="001B1C67" w:rsidRDefault="001B1C67" w:rsidP="001B1C67">
      <w:pPr>
        <w:pStyle w:val="a3"/>
        <w:rPr>
          <w:lang w:val="sl-SI"/>
        </w:rPr>
      </w:pPr>
      <w:r>
        <w:rPr>
          <w:rFonts w:eastAsia="Times New Roman"/>
          <w:lang w:val="sl-SI"/>
        </w:rPr>
        <w:t>V odprtem obdobju študije so se odzivi PASI 75 in PGA čisto ali minimalno ohranili še do dodatnih 52 tednov brez novih varnostnih ugotovitev.</w:t>
      </w:r>
    </w:p>
    <w:p w14:paraId="21231646" w14:textId="465870E4" w:rsidR="00982DE1" w:rsidRPr="001B1C67" w:rsidRDefault="00982DE1">
      <w:pPr>
        <w:spacing w:before="16" w:line="240" w:lineRule="exact"/>
        <w:rPr>
          <w:sz w:val="24"/>
          <w:szCs w:val="24"/>
          <w:lang w:val="sl-SI"/>
        </w:rPr>
      </w:pPr>
    </w:p>
    <w:p w14:paraId="59C505D6" w14:textId="77777777" w:rsidR="001B1C67" w:rsidRDefault="001B1C67" w:rsidP="001B1C67">
      <w:pPr>
        <w:pStyle w:val="a3"/>
        <w:rPr>
          <w:rFonts w:eastAsia="Times New Roman"/>
          <w:lang w:val="sl-SI"/>
        </w:rPr>
      </w:pPr>
      <w:r>
        <w:rPr>
          <w:rFonts w:eastAsia="Times New Roman"/>
          <w:i/>
          <w:iCs/>
          <w:spacing w:val="-1"/>
          <w:lang w:val="sl-SI"/>
        </w:rPr>
        <w:t>Hidradenitis suppurativa pri mladostnikih</w:t>
      </w:r>
    </w:p>
    <w:p w14:paraId="767DBFCD" w14:textId="77777777" w:rsidR="001B1C67" w:rsidRDefault="001B1C67" w:rsidP="001B1C67">
      <w:pPr>
        <w:pStyle w:val="a3"/>
        <w:rPr>
          <w:sz w:val="24"/>
          <w:szCs w:val="24"/>
          <w:lang w:val="sl-SI"/>
        </w:rPr>
      </w:pPr>
    </w:p>
    <w:p w14:paraId="51340C3D" w14:textId="77777777" w:rsidR="001B1C67" w:rsidRDefault="001B1C67" w:rsidP="001B1C67">
      <w:pPr>
        <w:pStyle w:val="a3"/>
        <w:rPr>
          <w:lang w:val="sl-SI"/>
        </w:rPr>
      </w:pPr>
      <w:r>
        <w:rPr>
          <w:rFonts w:eastAsia="Times New Roman"/>
          <w:lang w:val="sl-SI"/>
        </w:rPr>
        <w:t>Kliničnih preskušanj z adalimumabom pri mladostnikih s HS niso izvedli. Učinkovitost adalimumaba za zdravljenje mladostnikov s HS je napovedana na podlagi dokazane učinkovitosti in razmerja med izpostavljenostjo in odzivom pri odraslih bolnikih s HS ter verjetnosti, da so potek bolezni, patofiziologija in učinek zdravila bistveno podobni kot pri odraslih bolnikih, pri enaki ravni izpostavljenosti. Varnost priporočenega odmerka adalimumaba pri populaciji mladostnikov s HS temelji na varnostnem profilu indikacij adalimumaba pri odraslih in pediatričnih bolnikih pri podobnih ali pogostejših odmerkih (glejte poglavje 5.2).</w:t>
      </w:r>
    </w:p>
    <w:p w14:paraId="49EFC201" w14:textId="5132FB8A" w:rsidR="00982DE1" w:rsidRPr="001B1C67" w:rsidRDefault="00982DE1">
      <w:pPr>
        <w:spacing w:before="16" w:line="240" w:lineRule="exact"/>
        <w:rPr>
          <w:sz w:val="24"/>
          <w:szCs w:val="24"/>
          <w:lang w:val="sl-SI"/>
        </w:rPr>
      </w:pPr>
    </w:p>
    <w:p w14:paraId="196EC004" w14:textId="77777777" w:rsidR="001B1C67" w:rsidRDefault="001B1C67" w:rsidP="001B1C67">
      <w:pPr>
        <w:pStyle w:val="a3"/>
        <w:rPr>
          <w:i/>
          <w:lang w:val="sl-SI"/>
        </w:rPr>
      </w:pPr>
      <w:r>
        <w:rPr>
          <w:rFonts w:eastAsia="Times New Roman"/>
          <w:i/>
          <w:iCs/>
          <w:lang w:val="sl-SI"/>
        </w:rPr>
        <w:t>Crohnova bolezen pri pediatričnih bolnikih</w:t>
      </w:r>
    </w:p>
    <w:p w14:paraId="48C90E0D" w14:textId="77777777" w:rsidR="001B1C67" w:rsidRDefault="001B1C67" w:rsidP="001B1C67">
      <w:pPr>
        <w:pStyle w:val="a3"/>
        <w:rPr>
          <w:sz w:val="18"/>
          <w:szCs w:val="18"/>
          <w:lang w:val="sl-SI"/>
        </w:rPr>
      </w:pPr>
    </w:p>
    <w:p w14:paraId="642CF631" w14:textId="77777777" w:rsidR="001B1C67" w:rsidRDefault="001B1C67" w:rsidP="001B1C67">
      <w:pPr>
        <w:pStyle w:val="a3"/>
        <w:rPr>
          <w:lang w:val="sl-SI"/>
        </w:rPr>
      </w:pPr>
      <w:r>
        <w:rPr>
          <w:rFonts w:eastAsia="Times New Roman"/>
          <w:lang w:val="sl-SI"/>
        </w:rPr>
        <w:t>Adalimumab je bil ocenjen v multicentrični, randomizirani, dvojno slepi klinični študiji, ki je bila zasnovana za oceno učinkovitosti in varnosti indukcijskega in vzdrževalnega zdravljenja z odmerki, odvisnimi od telesne mase (&lt; 40 mg ali ≥ 40 mg) pri 192 pediatričnih bolnikih med 6. in 17. (vključno) letom starosti, z zmerno do hudo Crohnovo boleznijo (CD) definirano kot vrednost indeksa Pediatric Crohn’s Disease Activity Index (PCDAI) &gt; 30. Bolniki so morali biti neuspešno zdravljeni s konvencionalno terapijo (vključno s kortikosteroidom in/ali z imunomodulatorjem) zaradi Crohnove bolezni. Bolniki so lahko pred tem tudi postali neodzivni ali so imeli intoleranco na infliksimab.</w:t>
      </w:r>
    </w:p>
    <w:p w14:paraId="2BED9E1A" w14:textId="77777777" w:rsidR="001B1C67" w:rsidRDefault="001B1C67" w:rsidP="001B1C67">
      <w:pPr>
        <w:pStyle w:val="a3"/>
        <w:rPr>
          <w:sz w:val="24"/>
          <w:szCs w:val="24"/>
          <w:lang w:val="sl-SI"/>
        </w:rPr>
      </w:pPr>
    </w:p>
    <w:p w14:paraId="55D71F4A" w14:textId="77777777" w:rsidR="001B1C67" w:rsidRDefault="001B1C67" w:rsidP="001B1C67">
      <w:pPr>
        <w:pStyle w:val="a3"/>
        <w:rPr>
          <w:lang w:val="sl-SI"/>
        </w:rPr>
      </w:pPr>
      <w:r>
        <w:rPr>
          <w:rFonts w:eastAsia="Times New Roman"/>
          <w:lang w:val="sl-SI"/>
        </w:rPr>
        <w:t>Vsi bolniki so prejeli odprto indukcijsko zdravljenje v odmerku glede na svojo začetno telesno maso: 160 mg v 0. tednu in 80 mg v 2. tednu bolniki z ≥ 40 kg ter 80 mg in 40 mg v tem vrstnem redu bolniki z</w:t>
      </w:r>
    </w:p>
    <w:p w14:paraId="38D83D8A" w14:textId="77777777" w:rsidR="001B1C67" w:rsidRDefault="001B1C67" w:rsidP="001B1C67">
      <w:pPr>
        <w:pStyle w:val="a3"/>
        <w:rPr>
          <w:lang w:val="sl-SI"/>
        </w:rPr>
      </w:pPr>
      <w:r>
        <w:rPr>
          <w:rFonts w:eastAsia="Times New Roman"/>
          <w:lang w:val="sl-SI"/>
        </w:rPr>
        <w:t>&lt; 40 kg.</w:t>
      </w:r>
    </w:p>
    <w:p w14:paraId="5ABDA0F0" w14:textId="77777777" w:rsidR="001B1C67" w:rsidRDefault="001B1C67" w:rsidP="001B1C67">
      <w:pPr>
        <w:pStyle w:val="a3"/>
        <w:rPr>
          <w:sz w:val="24"/>
          <w:szCs w:val="24"/>
          <w:lang w:val="sl-SI"/>
        </w:rPr>
      </w:pPr>
    </w:p>
    <w:p w14:paraId="37D3EDCE" w14:textId="27D78113" w:rsidR="001B1C67" w:rsidRDefault="001B1C67" w:rsidP="001B1C67">
      <w:pPr>
        <w:pStyle w:val="a3"/>
        <w:rPr>
          <w:lang w:val="sl-SI"/>
        </w:rPr>
      </w:pPr>
      <w:r>
        <w:rPr>
          <w:rFonts w:eastAsia="Times New Roman"/>
          <w:lang w:val="sl-SI"/>
        </w:rPr>
        <w:t>V 4. tednu so bili bolniki glede na svojo telesno maso v tem času randomizirani v razmerju 1 : 1 bodisi v vzdrževalni režim z majhnim odmerkom ali vzdrževalni režim s standardnim odmerkom, kot kaže preglednica 2</w:t>
      </w:r>
      <w:r w:rsidR="006A7666">
        <w:rPr>
          <w:rFonts w:eastAsia="Times New Roman"/>
          <w:lang w:val="sl-SI"/>
        </w:rPr>
        <w:t>8</w:t>
      </w:r>
      <w:r>
        <w:rPr>
          <w:rFonts w:eastAsia="Times New Roman"/>
          <w:lang w:val="sl-SI"/>
        </w:rPr>
        <w:t>.</w:t>
      </w:r>
    </w:p>
    <w:p w14:paraId="5856D0C6" w14:textId="77777777" w:rsidR="001B1C67" w:rsidRDefault="001B1C67" w:rsidP="001B1C67">
      <w:pPr>
        <w:pStyle w:val="a3"/>
        <w:rPr>
          <w:sz w:val="24"/>
          <w:szCs w:val="24"/>
          <w:lang w:val="sl-SI"/>
        </w:rPr>
      </w:pPr>
    </w:p>
    <w:p w14:paraId="7091F004" w14:textId="3944F475" w:rsidR="001B1C67" w:rsidRDefault="001B1C67" w:rsidP="001B1C67">
      <w:pPr>
        <w:pStyle w:val="a3"/>
        <w:jc w:val="center"/>
        <w:rPr>
          <w:b/>
          <w:lang w:val="sl-SI"/>
        </w:rPr>
      </w:pPr>
      <w:r>
        <w:rPr>
          <w:rFonts w:eastAsia="Times New Roman"/>
          <w:b/>
          <w:bCs/>
          <w:lang w:val="sl-SI"/>
        </w:rPr>
        <w:t>Preglednica 2</w:t>
      </w:r>
      <w:r w:rsidR="006A7666">
        <w:rPr>
          <w:rFonts w:eastAsia="Times New Roman"/>
          <w:b/>
          <w:bCs/>
          <w:lang w:val="sl-SI"/>
        </w:rPr>
        <w:t>8</w:t>
      </w:r>
      <w:r>
        <w:rPr>
          <w:rFonts w:eastAsia="Times New Roman"/>
          <w:b/>
          <w:bCs/>
          <w:lang w:val="sl-SI"/>
        </w:rPr>
        <w:t>. Vzdrževalni režim</w:t>
      </w:r>
    </w:p>
    <w:tbl>
      <w:tblPr>
        <w:tblStyle w:val="TableNormal1"/>
        <w:tblW w:w="0" w:type="auto"/>
        <w:tblInd w:w="845" w:type="dxa"/>
        <w:tblLayout w:type="fixed"/>
        <w:tblLook w:val="01E0" w:firstRow="1" w:lastRow="1" w:firstColumn="1" w:lastColumn="1" w:noHBand="0" w:noVBand="0"/>
      </w:tblPr>
      <w:tblGrid>
        <w:gridCol w:w="2693"/>
        <w:gridCol w:w="2410"/>
        <w:gridCol w:w="2835"/>
      </w:tblGrid>
      <w:tr w:rsidR="001B1C67" w14:paraId="5C921049" w14:textId="77777777" w:rsidTr="00797234">
        <w:tc>
          <w:tcPr>
            <w:tcW w:w="2693" w:type="dxa"/>
            <w:tcBorders>
              <w:top w:val="single" w:sz="5" w:space="0" w:color="000000"/>
              <w:left w:val="single" w:sz="5" w:space="0" w:color="000000"/>
              <w:bottom w:val="single" w:sz="5" w:space="0" w:color="000000"/>
              <w:right w:val="single" w:sz="5" w:space="0" w:color="000000"/>
            </w:tcBorders>
          </w:tcPr>
          <w:p w14:paraId="29B1B98C" w14:textId="3F1AD204" w:rsidR="001B1C67" w:rsidRDefault="006A7666" w:rsidP="00797234">
            <w:pPr>
              <w:pStyle w:val="TableParagraph"/>
              <w:spacing w:line="249" w:lineRule="exact"/>
              <w:ind w:left="102"/>
              <w:rPr>
                <w:rFonts w:ascii="Times New Roman" w:eastAsia="Times New Roman" w:hAnsi="Times New Roman" w:cs="Times New Roman"/>
                <w:lang w:val="sl-SI"/>
              </w:rPr>
            </w:pPr>
            <w:r w:rsidRPr="006A7666">
              <w:rPr>
                <w:rFonts w:ascii="Times New Roman" w:eastAsia="Times New Roman" w:hAnsi="Times New Roman" w:cs="Times New Roman"/>
                <w:b/>
                <w:bCs/>
                <w:lang w:val="sl-SI"/>
              </w:rPr>
              <w:t>Masa bolnika</w:t>
            </w:r>
          </w:p>
        </w:tc>
        <w:tc>
          <w:tcPr>
            <w:tcW w:w="2410" w:type="dxa"/>
            <w:tcBorders>
              <w:top w:val="single" w:sz="5" w:space="0" w:color="000000"/>
              <w:left w:val="single" w:sz="5" w:space="0" w:color="000000"/>
              <w:bottom w:val="single" w:sz="5" w:space="0" w:color="000000"/>
              <w:right w:val="single" w:sz="5" w:space="0" w:color="000000"/>
            </w:tcBorders>
          </w:tcPr>
          <w:p w14:paraId="2227FF83" w14:textId="77777777" w:rsidR="001B1C67" w:rsidRDefault="001B1C67" w:rsidP="00797234">
            <w:pPr>
              <w:pStyle w:val="TableParagraph"/>
              <w:spacing w:line="249"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2"/>
                <w:lang w:val="sl-SI"/>
              </w:rPr>
              <w:t>Majhni odmerek</w:t>
            </w:r>
          </w:p>
        </w:tc>
        <w:tc>
          <w:tcPr>
            <w:tcW w:w="2835" w:type="dxa"/>
            <w:tcBorders>
              <w:top w:val="single" w:sz="5" w:space="0" w:color="000000"/>
              <w:left w:val="single" w:sz="5" w:space="0" w:color="000000"/>
              <w:bottom w:val="single" w:sz="5" w:space="0" w:color="000000"/>
              <w:right w:val="single" w:sz="5" w:space="0" w:color="000000"/>
            </w:tcBorders>
          </w:tcPr>
          <w:p w14:paraId="7381FB49" w14:textId="77777777" w:rsidR="001B1C67" w:rsidRDefault="001B1C67" w:rsidP="00797234">
            <w:pPr>
              <w:pStyle w:val="TableParagraph"/>
              <w:spacing w:line="249"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 xml:space="preserve">Standardni </w:t>
            </w:r>
            <w:r>
              <w:rPr>
                <w:rFonts w:ascii="Times New Roman" w:eastAsia="Times New Roman" w:hAnsi="Times New Roman" w:cs="Times New Roman"/>
                <w:b/>
                <w:bCs/>
                <w:lang w:val="sl-SI"/>
              </w:rPr>
              <w:t>odmerek</w:t>
            </w:r>
          </w:p>
        </w:tc>
      </w:tr>
      <w:tr w:rsidR="001B1C67" w14:paraId="57E2A5FF" w14:textId="77777777" w:rsidTr="00797234">
        <w:tc>
          <w:tcPr>
            <w:tcW w:w="2693" w:type="dxa"/>
            <w:tcBorders>
              <w:top w:val="single" w:sz="5" w:space="0" w:color="000000"/>
              <w:left w:val="single" w:sz="5" w:space="0" w:color="000000"/>
              <w:bottom w:val="single" w:sz="5" w:space="0" w:color="000000"/>
              <w:right w:val="single" w:sz="5" w:space="0" w:color="000000"/>
            </w:tcBorders>
          </w:tcPr>
          <w:p w14:paraId="6A87A898" w14:textId="77777777" w:rsidR="001B1C67" w:rsidRDefault="001B1C67" w:rsidP="00797234">
            <w:pPr>
              <w:pStyle w:val="TableParagraph"/>
              <w:spacing w:line="244"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&lt; 40 kg</w:t>
            </w:r>
          </w:p>
        </w:tc>
        <w:tc>
          <w:tcPr>
            <w:tcW w:w="2410" w:type="dxa"/>
            <w:tcBorders>
              <w:top w:val="single" w:sz="5" w:space="0" w:color="000000"/>
              <w:left w:val="single" w:sz="5" w:space="0" w:color="000000"/>
              <w:bottom w:val="single" w:sz="5" w:space="0" w:color="000000"/>
              <w:right w:val="single" w:sz="5" w:space="0" w:color="000000"/>
            </w:tcBorders>
          </w:tcPr>
          <w:p w14:paraId="715BB485" w14:textId="77777777" w:rsidR="001B1C67" w:rsidRDefault="001B1C67" w:rsidP="00797234">
            <w:pPr>
              <w:pStyle w:val="TableParagraph"/>
              <w:spacing w:line="244"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10 mg vsak drugi teden</w:t>
            </w:r>
          </w:p>
        </w:tc>
        <w:tc>
          <w:tcPr>
            <w:tcW w:w="2835" w:type="dxa"/>
            <w:tcBorders>
              <w:top w:val="single" w:sz="5" w:space="0" w:color="000000"/>
              <w:left w:val="single" w:sz="5" w:space="0" w:color="000000"/>
              <w:bottom w:val="single" w:sz="5" w:space="0" w:color="000000"/>
              <w:right w:val="single" w:sz="5" w:space="0" w:color="000000"/>
            </w:tcBorders>
          </w:tcPr>
          <w:p w14:paraId="66294255" w14:textId="77777777" w:rsidR="001B1C67" w:rsidRDefault="001B1C67" w:rsidP="00797234">
            <w:pPr>
              <w:pStyle w:val="TableParagraph"/>
              <w:spacing w:line="244"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20 mg vsak drugi teden</w:t>
            </w:r>
          </w:p>
        </w:tc>
      </w:tr>
      <w:tr w:rsidR="001B1C67" w14:paraId="15F569B7" w14:textId="77777777" w:rsidTr="00797234">
        <w:tc>
          <w:tcPr>
            <w:tcW w:w="2693" w:type="dxa"/>
            <w:tcBorders>
              <w:top w:val="single" w:sz="5" w:space="0" w:color="000000"/>
              <w:left w:val="single" w:sz="5" w:space="0" w:color="000000"/>
              <w:bottom w:val="single" w:sz="5" w:space="0" w:color="000000"/>
              <w:right w:val="single" w:sz="5" w:space="0" w:color="000000"/>
            </w:tcBorders>
          </w:tcPr>
          <w:p w14:paraId="2D070FCA" w14:textId="77777777" w:rsidR="001B1C67" w:rsidRDefault="001B1C67" w:rsidP="00797234">
            <w:pPr>
              <w:pStyle w:val="TableParagraph"/>
              <w:spacing w:line="244"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 40 kg</w:t>
            </w:r>
          </w:p>
        </w:tc>
        <w:tc>
          <w:tcPr>
            <w:tcW w:w="2410" w:type="dxa"/>
            <w:tcBorders>
              <w:top w:val="single" w:sz="5" w:space="0" w:color="000000"/>
              <w:left w:val="single" w:sz="5" w:space="0" w:color="000000"/>
              <w:bottom w:val="single" w:sz="5" w:space="0" w:color="000000"/>
              <w:right w:val="single" w:sz="5" w:space="0" w:color="000000"/>
            </w:tcBorders>
          </w:tcPr>
          <w:p w14:paraId="02F57E4C" w14:textId="77777777" w:rsidR="001B1C67" w:rsidRDefault="001B1C67" w:rsidP="00797234">
            <w:pPr>
              <w:pStyle w:val="TableParagraph"/>
              <w:spacing w:line="244"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20 mg vsak drugi teden</w:t>
            </w:r>
          </w:p>
        </w:tc>
        <w:tc>
          <w:tcPr>
            <w:tcW w:w="2835" w:type="dxa"/>
            <w:tcBorders>
              <w:top w:val="single" w:sz="5" w:space="0" w:color="000000"/>
              <w:left w:val="single" w:sz="5" w:space="0" w:color="000000"/>
              <w:bottom w:val="single" w:sz="5" w:space="0" w:color="000000"/>
              <w:right w:val="single" w:sz="5" w:space="0" w:color="000000"/>
            </w:tcBorders>
          </w:tcPr>
          <w:p w14:paraId="1EFAC8C8" w14:textId="77777777" w:rsidR="001B1C67" w:rsidRDefault="001B1C67" w:rsidP="00797234">
            <w:pPr>
              <w:pStyle w:val="TableParagraph"/>
              <w:spacing w:line="244"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40 mg vsak drugi teden</w:t>
            </w:r>
          </w:p>
        </w:tc>
      </w:tr>
    </w:tbl>
    <w:p w14:paraId="02E55FC9" w14:textId="77777777" w:rsidR="001B1C67" w:rsidRDefault="001B1C67" w:rsidP="001B1C67">
      <w:pPr>
        <w:pStyle w:val="a3"/>
        <w:rPr>
          <w:lang w:val="sl-SI"/>
        </w:rPr>
      </w:pPr>
    </w:p>
    <w:p w14:paraId="34984E61" w14:textId="77777777" w:rsidR="001B1C67" w:rsidRDefault="001B1C67" w:rsidP="001B1C67">
      <w:pPr>
        <w:pStyle w:val="a3"/>
        <w:rPr>
          <w:rFonts w:eastAsia="Times New Roman"/>
          <w:lang w:val="sl-SI"/>
        </w:rPr>
      </w:pPr>
      <w:r>
        <w:rPr>
          <w:rFonts w:eastAsia="Times New Roman"/>
          <w:i/>
          <w:iCs/>
          <w:spacing w:val="-1"/>
          <w:u w:val="single" w:color="000000"/>
          <w:lang w:val="sl-SI"/>
        </w:rPr>
        <w:t>Rezultati učinkovitosti</w:t>
      </w:r>
    </w:p>
    <w:p w14:paraId="5203A719" w14:textId="77777777" w:rsidR="001B1C67" w:rsidRDefault="001B1C67" w:rsidP="001B1C67">
      <w:pPr>
        <w:pStyle w:val="a3"/>
        <w:rPr>
          <w:sz w:val="19"/>
          <w:szCs w:val="19"/>
          <w:lang w:val="sl-SI"/>
        </w:rPr>
      </w:pPr>
    </w:p>
    <w:p w14:paraId="712E3BFA" w14:textId="77777777" w:rsidR="001B1C67" w:rsidRDefault="001B1C67" w:rsidP="001B1C67">
      <w:pPr>
        <w:pStyle w:val="a3"/>
        <w:rPr>
          <w:lang w:val="sl-SI"/>
        </w:rPr>
      </w:pPr>
      <w:r>
        <w:rPr>
          <w:rFonts w:eastAsia="Times New Roman"/>
          <w:lang w:val="sl-SI"/>
        </w:rPr>
        <w:t xml:space="preserve">Primarni cilj študije je bila klinična remisija v 26. tednu, definirana kot vrednost PCDAI </w:t>
      </w:r>
      <w:r>
        <w:rPr>
          <w:rFonts w:ascii="Symbol" w:eastAsia="Symbol" w:hAnsi="Symbol" w:cs="Symbol"/>
          <w:lang w:val="sl-SI"/>
        </w:rPr>
        <w:sym w:font="Symbol" w:char="F0A3"/>
      </w:r>
      <w:r>
        <w:rPr>
          <w:rFonts w:ascii="Symbol" w:eastAsia="Symbol" w:hAnsi="Symbol" w:cs="Symbol"/>
          <w:lang w:val="sl-SI"/>
        </w:rPr>
        <w:sym w:font="Symbol" w:char="F020"/>
      </w:r>
      <w:r>
        <w:rPr>
          <w:rFonts w:eastAsia="Times New Roman"/>
          <w:lang w:val="sl-SI"/>
        </w:rPr>
        <w:t> 10.</w:t>
      </w:r>
    </w:p>
    <w:p w14:paraId="15BFD41E" w14:textId="77777777" w:rsidR="001B1C67" w:rsidRDefault="001B1C67" w:rsidP="001B1C67">
      <w:pPr>
        <w:pStyle w:val="a3"/>
        <w:rPr>
          <w:sz w:val="24"/>
          <w:szCs w:val="24"/>
          <w:lang w:val="sl-SI"/>
        </w:rPr>
      </w:pPr>
    </w:p>
    <w:p w14:paraId="7B3944C2" w14:textId="731D6F53" w:rsidR="001B1C67" w:rsidRDefault="001B1C67" w:rsidP="001B1C67">
      <w:pPr>
        <w:pStyle w:val="a3"/>
        <w:rPr>
          <w:rFonts w:eastAsia="Times New Roman"/>
          <w:lang w:val="sl-SI"/>
        </w:rPr>
      </w:pPr>
      <w:r>
        <w:rPr>
          <w:rFonts w:eastAsia="Times New Roman"/>
          <w:lang w:val="sl-SI"/>
        </w:rPr>
        <w:t>Stopnja klinične remisije in kliničnega odziva (definiran kot zmanjšanje vrednosti PCDAI vsaj za 15 točk od začetne vrednosti) sta predstavljena v preglednici 2</w:t>
      </w:r>
      <w:r w:rsidR="006A7666">
        <w:rPr>
          <w:rFonts w:eastAsia="Times New Roman"/>
          <w:lang w:val="sl-SI"/>
        </w:rPr>
        <w:t>9</w:t>
      </w:r>
      <w:r>
        <w:rPr>
          <w:rFonts w:eastAsia="Times New Roman"/>
          <w:lang w:val="sl-SI"/>
        </w:rPr>
        <w:t>. Stopnja prenehanja zdravljenja s kortikosteroidi ali imunomodulatorji je predstavljena v preglednici </w:t>
      </w:r>
      <w:r w:rsidR="006A7666">
        <w:rPr>
          <w:rFonts w:eastAsia="Times New Roman"/>
          <w:lang w:val="sl-SI"/>
        </w:rPr>
        <w:t>30</w:t>
      </w:r>
      <w:r>
        <w:rPr>
          <w:rFonts w:eastAsia="Times New Roman"/>
          <w:lang w:val="sl-SI"/>
        </w:rPr>
        <w:t>.</w:t>
      </w:r>
    </w:p>
    <w:p w14:paraId="3B283226" w14:textId="77777777" w:rsidR="001B1C67" w:rsidRDefault="001B1C67" w:rsidP="001B1C67">
      <w:pPr>
        <w:rPr>
          <w:rFonts w:ascii="Times New Roman" w:hAnsi="Times New Roman" w:cs="Times New Roman"/>
          <w:lang w:val="sl-SI"/>
        </w:rPr>
      </w:pPr>
    </w:p>
    <w:tbl>
      <w:tblPr>
        <w:tblStyle w:val="TableNormal1"/>
        <w:tblW w:w="0" w:type="auto"/>
        <w:jc w:val="center"/>
        <w:tblLayout w:type="fixed"/>
        <w:tblLook w:val="01E0" w:firstRow="1" w:lastRow="1" w:firstColumn="1" w:lastColumn="1" w:noHBand="0" w:noVBand="0"/>
      </w:tblPr>
      <w:tblGrid>
        <w:gridCol w:w="2695"/>
        <w:gridCol w:w="2002"/>
        <w:gridCol w:w="1975"/>
        <w:gridCol w:w="2470"/>
      </w:tblGrid>
      <w:tr w:rsidR="001B1C67" w:rsidRPr="00AC7013" w14:paraId="10901ABD" w14:textId="77777777" w:rsidTr="001452D7">
        <w:trPr>
          <w:trHeight w:val="450"/>
          <w:jc w:val="center"/>
        </w:trPr>
        <w:tc>
          <w:tcPr>
            <w:tcW w:w="9142" w:type="dxa"/>
            <w:gridSpan w:val="4"/>
            <w:tcBorders>
              <w:top w:val="single" w:sz="7" w:space="0" w:color="000000"/>
              <w:left w:val="single" w:sz="7" w:space="0" w:color="000000"/>
              <w:bottom w:val="single" w:sz="7" w:space="0" w:color="000000"/>
              <w:right w:val="single" w:sz="7" w:space="0" w:color="000000"/>
            </w:tcBorders>
          </w:tcPr>
          <w:p w14:paraId="1018ADDB" w14:textId="24C2E872" w:rsidR="001B1C67" w:rsidRDefault="001B1C67" w:rsidP="00797234">
            <w:pPr>
              <w:pStyle w:val="a3"/>
              <w:keepLines/>
              <w:jc w:val="center"/>
              <w:rPr>
                <w:b/>
                <w:lang w:val="sl-SI"/>
              </w:rPr>
            </w:pPr>
            <w:r>
              <w:rPr>
                <w:rFonts w:eastAsia="Times New Roman"/>
                <w:b/>
                <w:bCs/>
                <w:lang w:val="sl-SI"/>
              </w:rPr>
              <w:t>Preglednica 2</w:t>
            </w:r>
            <w:r w:rsidR="006A7666">
              <w:rPr>
                <w:rFonts w:eastAsia="Times New Roman"/>
                <w:b/>
                <w:bCs/>
                <w:lang w:val="sl-SI"/>
              </w:rPr>
              <w:t>9</w:t>
            </w:r>
          </w:p>
          <w:p w14:paraId="1DD25A11" w14:textId="77777777" w:rsidR="001B1C67" w:rsidRDefault="001B1C67" w:rsidP="00797234">
            <w:pPr>
              <w:pStyle w:val="a3"/>
              <w:keepLines/>
              <w:jc w:val="center"/>
              <w:rPr>
                <w:b/>
                <w:lang w:val="sl-SI"/>
              </w:rPr>
            </w:pPr>
            <w:r>
              <w:rPr>
                <w:rFonts w:eastAsia="Times New Roman"/>
                <w:b/>
                <w:bCs/>
                <w:lang w:val="sl-SI"/>
              </w:rPr>
              <w:t>Študija Crohnove bolezni pri pediatričnih bolnikih</w:t>
            </w:r>
          </w:p>
          <w:p w14:paraId="29D5F7CC" w14:textId="77777777" w:rsidR="001B1C67" w:rsidRDefault="001B1C67" w:rsidP="00797234">
            <w:pPr>
              <w:pStyle w:val="a3"/>
              <w:keepLines/>
              <w:jc w:val="center"/>
              <w:rPr>
                <w:rFonts w:eastAsia="Times New Roman"/>
                <w:lang w:val="sl-SI"/>
              </w:rPr>
            </w:pPr>
            <w:r>
              <w:rPr>
                <w:rFonts w:eastAsia="Times New Roman"/>
                <w:b/>
                <w:bCs/>
                <w:lang w:val="sl-SI"/>
              </w:rPr>
              <w:t>PCDAI klinična remisija in odziv</w:t>
            </w:r>
          </w:p>
        </w:tc>
      </w:tr>
      <w:tr w:rsidR="001B1C67" w14:paraId="4B4D41E0" w14:textId="77777777" w:rsidTr="001452D7">
        <w:trPr>
          <w:trHeight w:val="740"/>
          <w:jc w:val="center"/>
        </w:trPr>
        <w:tc>
          <w:tcPr>
            <w:tcW w:w="2695" w:type="dxa"/>
            <w:tcBorders>
              <w:top w:val="single" w:sz="7" w:space="0" w:color="000000"/>
              <w:left w:val="single" w:sz="7" w:space="0" w:color="000000"/>
              <w:bottom w:val="single" w:sz="7" w:space="0" w:color="000000"/>
              <w:right w:val="single" w:sz="7" w:space="0" w:color="000000"/>
            </w:tcBorders>
          </w:tcPr>
          <w:p w14:paraId="035E7F09" w14:textId="77777777" w:rsidR="001B1C67" w:rsidRDefault="001B1C67" w:rsidP="00797234">
            <w:pPr>
              <w:rPr>
                <w:lang w:val="sl-SI"/>
              </w:rPr>
            </w:pPr>
          </w:p>
        </w:tc>
        <w:tc>
          <w:tcPr>
            <w:tcW w:w="2002" w:type="dxa"/>
            <w:tcBorders>
              <w:top w:val="single" w:sz="7" w:space="0" w:color="000000"/>
              <w:left w:val="single" w:sz="7" w:space="0" w:color="000000"/>
              <w:bottom w:val="single" w:sz="7" w:space="0" w:color="000000"/>
              <w:right w:val="single" w:sz="7" w:space="0" w:color="000000"/>
            </w:tcBorders>
          </w:tcPr>
          <w:p w14:paraId="5B3C1C7D" w14:textId="77777777" w:rsidR="001B1C67" w:rsidRDefault="001B1C67" w:rsidP="00797234">
            <w:pPr>
              <w:pStyle w:val="TableParagraph"/>
              <w:spacing w:before="1" w:line="252" w:lineRule="exact"/>
              <w:ind w:left="111" w:right="98"/>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Standardni odmerek 40/20 mg vsak drugi teden</w:t>
            </w:r>
          </w:p>
          <w:p w14:paraId="2C1DC54C" w14:textId="77777777" w:rsidR="001B1C67" w:rsidRDefault="001B1C67" w:rsidP="00797234">
            <w:pPr>
              <w:pStyle w:val="TableParagraph"/>
              <w:spacing w:line="251" w:lineRule="exact"/>
              <w:ind w:left="480" w:right="468"/>
              <w:jc w:val="center"/>
              <w:rPr>
                <w:rFonts w:ascii="Times New Roman" w:eastAsia="Times New Roman" w:hAnsi="Times New Roman" w:cs="Times New Roman"/>
                <w:lang w:val="sl-SI"/>
              </w:rPr>
            </w:pPr>
            <w:r>
              <w:rPr>
                <w:rFonts w:ascii="Times New Roman" w:eastAsia="Times New Roman" w:hAnsi="Times New Roman" w:cs="Times New Roman"/>
                <w:b/>
                <w:bCs/>
                <w:lang w:val="sl-SI"/>
              </w:rPr>
              <w:t>N = 93</w:t>
            </w:r>
          </w:p>
        </w:tc>
        <w:tc>
          <w:tcPr>
            <w:tcW w:w="1975" w:type="dxa"/>
            <w:tcBorders>
              <w:top w:val="single" w:sz="7" w:space="0" w:color="000000"/>
              <w:left w:val="single" w:sz="7" w:space="0" w:color="000000"/>
              <w:bottom w:val="single" w:sz="7" w:space="0" w:color="000000"/>
              <w:right w:val="single" w:sz="7" w:space="0" w:color="000000"/>
            </w:tcBorders>
          </w:tcPr>
          <w:p w14:paraId="0D26BEF1" w14:textId="77777777" w:rsidR="001B1C67" w:rsidRDefault="001B1C67" w:rsidP="00797234">
            <w:pPr>
              <w:pStyle w:val="TableParagraph"/>
              <w:spacing w:before="1" w:line="252" w:lineRule="exact"/>
              <w:ind w:left="157" w:right="142" w:firstLine="1"/>
              <w:jc w:val="center"/>
              <w:rPr>
                <w:rFonts w:ascii="Times New Roman" w:eastAsia="Times New Roman" w:hAnsi="Times New Roman" w:cs="Times New Roman"/>
                <w:lang w:val="sl-SI"/>
              </w:rPr>
            </w:pPr>
            <w:r>
              <w:rPr>
                <w:rFonts w:ascii="Times New Roman" w:eastAsia="Times New Roman" w:hAnsi="Times New Roman" w:cs="Times New Roman"/>
                <w:b/>
                <w:bCs/>
                <w:spacing w:val="-2"/>
                <w:lang w:val="sl-SI"/>
              </w:rPr>
              <w:t>Majhni odmerek 20/10 mg vsak drugi teden</w:t>
            </w:r>
          </w:p>
          <w:p w14:paraId="2277DE39" w14:textId="77777777" w:rsidR="001B1C67" w:rsidRDefault="001B1C67" w:rsidP="00797234">
            <w:pPr>
              <w:pStyle w:val="TableParagraph"/>
              <w:spacing w:line="251" w:lineRule="exact"/>
              <w:ind w:left="468" w:right="456"/>
              <w:jc w:val="center"/>
              <w:rPr>
                <w:rFonts w:ascii="Times New Roman" w:eastAsia="Times New Roman" w:hAnsi="Times New Roman" w:cs="Times New Roman"/>
                <w:lang w:val="sl-SI"/>
              </w:rPr>
            </w:pPr>
            <w:r>
              <w:rPr>
                <w:rFonts w:ascii="Times New Roman" w:eastAsia="Times New Roman" w:hAnsi="Times New Roman" w:cs="Times New Roman"/>
                <w:b/>
                <w:bCs/>
                <w:lang w:val="sl-SI"/>
              </w:rPr>
              <w:t>N = 95</w:t>
            </w:r>
          </w:p>
        </w:tc>
        <w:tc>
          <w:tcPr>
            <w:tcW w:w="2469" w:type="dxa"/>
            <w:tcBorders>
              <w:top w:val="single" w:sz="7" w:space="0" w:color="000000"/>
              <w:left w:val="single" w:sz="7" w:space="0" w:color="000000"/>
              <w:bottom w:val="single" w:sz="7" w:space="0" w:color="000000"/>
              <w:right w:val="single" w:sz="7" w:space="0" w:color="000000"/>
            </w:tcBorders>
          </w:tcPr>
          <w:p w14:paraId="6B94ECCC" w14:textId="77777777" w:rsidR="001B1C67" w:rsidRDefault="001B1C67" w:rsidP="001452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b/>
                <w:bCs/>
                <w:lang w:val="sl-SI"/>
              </w:rPr>
              <w:t>Vrednost p</w:t>
            </w:r>
            <w:r>
              <w:rPr>
                <w:rFonts w:ascii="Times New Roman" w:eastAsia="Times New Roman" w:hAnsi="Times New Roman" w:cs="Times New Roman"/>
                <w:lang w:val="sl-SI"/>
              </w:rPr>
              <w:t>*</w:t>
            </w:r>
          </w:p>
        </w:tc>
      </w:tr>
      <w:tr w:rsidR="001B1C67" w14:paraId="7821A9F7" w14:textId="77777777" w:rsidTr="001452D7">
        <w:trPr>
          <w:trHeight w:val="159"/>
          <w:jc w:val="center"/>
        </w:trPr>
        <w:tc>
          <w:tcPr>
            <w:tcW w:w="2695" w:type="dxa"/>
            <w:tcBorders>
              <w:top w:val="single" w:sz="7" w:space="0" w:color="000000"/>
              <w:left w:val="single" w:sz="7" w:space="0" w:color="000000"/>
              <w:bottom w:val="single" w:sz="7" w:space="0" w:color="000000"/>
              <w:right w:val="single" w:sz="7" w:space="0" w:color="000000"/>
            </w:tcBorders>
          </w:tcPr>
          <w:p w14:paraId="6DE4FA46" w14:textId="77777777" w:rsidR="001B1C67" w:rsidRDefault="001B1C67" w:rsidP="00797234">
            <w:pPr>
              <w:pStyle w:val="TableParagraph"/>
              <w:spacing w:line="251" w:lineRule="exact"/>
              <w:ind w:left="13"/>
              <w:rPr>
                <w:rFonts w:ascii="Times New Roman" w:eastAsia="Times New Roman" w:hAnsi="Times New Roman" w:cs="Times New Roman"/>
                <w:lang w:val="sl-SI"/>
              </w:rPr>
            </w:pPr>
            <w:r>
              <w:rPr>
                <w:rFonts w:ascii="Times New Roman" w:eastAsia="Times New Roman" w:hAnsi="Times New Roman" w:cs="Times New Roman"/>
                <w:b/>
                <w:bCs/>
                <w:lang w:val="sl-SI"/>
              </w:rPr>
              <w:t>26. teden</w:t>
            </w:r>
          </w:p>
        </w:tc>
        <w:tc>
          <w:tcPr>
            <w:tcW w:w="2002" w:type="dxa"/>
            <w:tcBorders>
              <w:top w:val="single" w:sz="7" w:space="0" w:color="000000"/>
              <w:left w:val="single" w:sz="7" w:space="0" w:color="000000"/>
              <w:bottom w:val="single" w:sz="7" w:space="0" w:color="000000"/>
              <w:right w:val="single" w:sz="7" w:space="0" w:color="000000"/>
            </w:tcBorders>
          </w:tcPr>
          <w:p w14:paraId="04624FB6" w14:textId="77777777" w:rsidR="001B1C67" w:rsidRDefault="001B1C67" w:rsidP="00797234">
            <w:pPr>
              <w:rPr>
                <w:lang w:val="sl-SI"/>
              </w:rPr>
            </w:pPr>
          </w:p>
        </w:tc>
        <w:tc>
          <w:tcPr>
            <w:tcW w:w="1975" w:type="dxa"/>
            <w:tcBorders>
              <w:top w:val="single" w:sz="7" w:space="0" w:color="000000"/>
              <w:left w:val="single" w:sz="7" w:space="0" w:color="000000"/>
              <w:bottom w:val="single" w:sz="7" w:space="0" w:color="000000"/>
              <w:right w:val="single" w:sz="7" w:space="0" w:color="000000"/>
            </w:tcBorders>
          </w:tcPr>
          <w:p w14:paraId="4A98AB65" w14:textId="77777777" w:rsidR="001B1C67" w:rsidRDefault="001B1C67" w:rsidP="00797234">
            <w:pPr>
              <w:rPr>
                <w:lang w:val="sl-SI"/>
              </w:rPr>
            </w:pPr>
          </w:p>
        </w:tc>
        <w:tc>
          <w:tcPr>
            <w:tcW w:w="2469" w:type="dxa"/>
            <w:tcBorders>
              <w:top w:val="single" w:sz="7" w:space="0" w:color="000000"/>
              <w:left w:val="single" w:sz="7" w:space="0" w:color="000000"/>
              <w:bottom w:val="single" w:sz="7" w:space="0" w:color="000000"/>
              <w:right w:val="single" w:sz="7" w:space="0" w:color="000000"/>
            </w:tcBorders>
          </w:tcPr>
          <w:p w14:paraId="5DF416F5" w14:textId="77777777" w:rsidR="001B1C67" w:rsidRDefault="001B1C67" w:rsidP="001452D7">
            <w:pPr>
              <w:jc w:val="center"/>
              <w:rPr>
                <w:lang w:val="sl-SI"/>
              </w:rPr>
            </w:pPr>
          </w:p>
        </w:tc>
      </w:tr>
      <w:tr w:rsidR="001B1C67" w14:paraId="08BE6F2F" w14:textId="77777777" w:rsidTr="001452D7">
        <w:trPr>
          <w:trHeight w:val="142"/>
          <w:jc w:val="center"/>
        </w:trPr>
        <w:tc>
          <w:tcPr>
            <w:tcW w:w="2695" w:type="dxa"/>
            <w:tcBorders>
              <w:top w:val="single" w:sz="7" w:space="0" w:color="000000"/>
              <w:left w:val="single" w:sz="7" w:space="0" w:color="000000"/>
              <w:bottom w:val="single" w:sz="7" w:space="0" w:color="000000"/>
              <w:right w:val="single" w:sz="7" w:space="0" w:color="000000"/>
            </w:tcBorders>
          </w:tcPr>
          <w:p w14:paraId="3E825753" w14:textId="77777777" w:rsidR="001B1C67" w:rsidRDefault="001B1C67" w:rsidP="00797234">
            <w:pPr>
              <w:pStyle w:val="TableParagraph"/>
              <w:spacing w:line="246" w:lineRule="exact"/>
              <w:ind w:left="179"/>
              <w:rPr>
                <w:rFonts w:ascii="Times New Roman" w:eastAsia="Times New Roman" w:hAnsi="Times New Roman" w:cs="Times New Roman"/>
                <w:lang w:val="sl-SI"/>
              </w:rPr>
            </w:pPr>
            <w:r>
              <w:rPr>
                <w:rFonts w:ascii="Times New Roman" w:eastAsia="Times New Roman" w:hAnsi="Times New Roman" w:cs="Times New Roman"/>
                <w:spacing w:val="-1"/>
                <w:lang w:val="sl-SI"/>
              </w:rPr>
              <w:t>Klinična remisija</w:t>
            </w:r>
          </w:p>
        </w:tc>
        <w:tc>
          <w:tcPr>
            <w:tcW w:w="2002" w:type="dxa"/>
            <w:tcBorders>
              <w:top w:val="single" w:sz="7" w:space="0" w:color="000000"/>
              <w:left w:val="single" w:sz="7" w:space="0" w:color="000000"/>
              <w:bottom w:val="single" w:sz="7" w:space="0" w:color="000000"/>
              <w:right w:val="single" w:sz="7" w:space="0" w:color="000000"/>
            </w:tcBorders>
          </w:tcPr>
          <w:p w14:paraId="295CE8E4" w14:textId="77777777" w:rsidR="001B1C67" w:rsidRDefault="001B1C67" w:rsidP="001452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38,7 %</w:t>
            </w:r>
          </w:p>
        </w:tc>
        <w:tc>
          <w:tcPr>
            <w:tcW w:w="1975" w:type="dxa"/>
            <w:tcBorders>
              <w:top w:val="single" w:sz="7" w:space="0" w:color="000000"/>
              <w:left w:val="single" w:sz="7" w:space="0" w:color="000000"/>
              <w:bottom w:val="single" w:sz="7" w:space="0" w:color="000000"/>
              <w:right w:val="single" w:sz="7" w:space="0" w:color="000000"/>
            </w:tcBorders>
          </w:tcPr>
          <w:p w14:paraId="6C5F2F38" w14:textId="77777777" w:rsidR="001B1C67" w:rsidRDefault="001B1C67" w:rsidP="001452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28,4 %</w:t>
            </w:r>
          </w:p>
        </w:tc>
        <w:tc>
          <w:tcPr>
            <w:tcW w:w="2469" w:type="dxa"/>
            <w:tcBorders>
              <w:top w:val="single" w:sz="7" w:space="0" w:color="000000"/>
              <w:left w:val="single" w:sz="7" w:space="0" w:color="000000"/>
              <w:bottom w:val="single" w:sz="7" w:space="0" w:color="000000"/>
              <w:right w:val="single" w:sz="7" w:space="0" w:color="000000"/>
            </w:tcBorders>
          </w:tcPr>
          <w:p w14:paraId="1AA3609F" w14:textId="77777777" w:rsidR="001B1C67" w:rsidRDefault="001B1C67" w:rsidP="001452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0,075</w:t>
            </w:r>
          </w:p>
        </w:tc>
      </w:tr>
      <w:tr w:rsidR="001B1C67" w14:paraId="6C40088F" w14:textId="77777777" w:rsidTr="001452D7">
        <w:trPr>
          <w:trHeight w:val="148"/>
          <w:jc w:val="center"/>
        </w:trPr>
        <w:tc>
          <w:tcPr>
            <w:tcW w:w="2695" w:type="dxa"/>
            <w:tcBorders>
              <w:top w:val="single" w:sz="7" w:space="0" w:color="000000"/>
              <w:left w:val="single" w:sz="7" w:space="0" w:color="000000"/>
              <w:bottom w:val="single" w:sz="7" w:space="0" w:color="000000"/>
              <w:right w:val="single" w:sz="7" w:space="0" w:color="000000"/>
            </w:tcBorders>
          </w:tcPr>
          <w:p w14:paraId="0CBC1320" w14:textId="77777777" w:rsidR="001B1C67" w:rsidRDefault="001B1C67" w:rsidP="00797234">
            <w:pPr>
              <w:pStyle w:val="TableParagraph"/>
              <w:spacing w:line="248" w:lineRule="exact"/>
              <w:ind w:left="179"/>
              <w:rPr>
                <w:rFonts w:ascii="Times New Roman" w:eastAsia="Times New Roman" w:hAnsi="Times New Roman" w:cs="Times New Roman"/>
                <w:lang w:val="sl-SI"/>
              </w:rPr>
            </w:pPr>
            <w:r>
              <w:rPr>
                <w:rFonts w:ascii="Times New Roman" w:eastAsia="Times New Roman" w:hAnsi="Times New Roman" w:cs="Times New Roman"/>
                <w:spacing w:val="-1"/>
                <w:lang w:val="sl-SI"/>
              </w:rPr>
              <w:t>Klinični odziv</w:t>
            </w:r>
          </w:p>
        </w:tc>
        <w:tc>
          <w:tcPr>
            <w:tcW w:w="2002" w:type="dxa"/>
            <w:tcBorders>
              <w:top w:val="single" w:sz="7" w:space="0" w:color="000000"/>
              <w:left w:val="single" w:sz="7" w:space="0" w:color="000000"/>
              <w:bottom w:val="single" w:sz="7" w:space="0" w:color="000000"/>
              <w:right w:val="single" w:sz="7" w:space="0" w:color="000000"/>
            </w:tcBorders>
          </w:tcPr>
          <w:p w14:paraId="26367D2E" w14:textId="77777777" w:rsidR="001B1C67" w:rsidRDefault="001B1C67" w:rsidP="001452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59,1 %</w:t>
            </w:r>
          </w:p>
        </w:tc>
        <w:tc>
          <w:tcPr>
            <w:tcW w:w="1975" w:type="dxa"/>
            <w:tcBorders>
              <w:top w:val="single" w:sz="7" w:space="0" w:color="000000"/>
              <w:left w:val="single" w:sz="7" w:space="0" w:color="000000"/>
              <w:bottom w:val="single" w:sz="7" w:space="0" w:color="000000"/>
              <w:right w:val="single" w:sz="7" w:space="0" w:color="000000"/>
            </w:tcBorders>
          </w:tcPr>
          <w:p w14:paraId="136D1D4A" w14:textId="77777777" w:rsidR="001B1C67" w:rsidRDefault="001B1C67" w:rsidP="001452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48,4 %</w:t>
            </w:r>
          </w:p>
        </w:tc>
        <w:tc>
          <w:tcPr>
            <w:tcW w:w="2469" w:type="dxa"/>
            <w:tcBorders>
              <w:top w:val="single" w:sz="7" w:space="0" w:color="000000"/>
              <w:left w:val="single" w:sz="7" w:space="0" w:color="000000"/>
              <w:bottom w:val="single" w:sz="7" w:space="0" w:color="000000"/>
              <w:right w:val="single" w:sz="7" w:space="0" w:color="000000"/>
            </w:tcBorders>
          </w:tcPr>
          <w:p w14:paraId="5C094F9C" w14:textId="77777777" w:rsidR="001B1C67" w:rsidRDefault="001B1C67" w:rsidP="001452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0,073</w:t>
            </w:r>
          </w:p>
        </w:tc>
      </w:tr>
      <w:tr w:rsidR="001B1C67" w14:paraId="42C81EC0" w14:textId="77777777" w:rsidTr="001452D7">
        <w:trPr>
          <w:trHeight w:val="153"/>
          <w:jc w:val="center"/>
        </w:trPr>
        <w:tc>
          <w:tcPr>
            <w:tcW w:w="2695" w:type="dxa"/>
            <w:tcBorders>
              <w:top w:val="single" w:sz="7" w:space="0" w:color="000000"/>
              <w:left w:val="single" w:sz="7" w:space="0" w:color="000000"/>
              <w:bottom w:val="single" w:sz="7" w:space="0" w:color="000000"/>
              <w:right w:val="single" w:sz="7" w:space="0" w:color="000000"/>
            </w:tcBorders>
          </w:tcPr>
          <w:p w14:paraId="6F953D93" w14:textId="77777777" w:rsidR="001B1C67" w:rsidRDefault="001B1C67" w:rsidP="00797234">
            <w:pPr>
              <w:pStyle w:val="TableParagraph"/>
              <w:spacing w:line="251" w:lineRule="exact"/>
              <w:ind w:left="13"/>
              <w:rPr>
                <w:rFonts w:ascii="Times New Roman" w:eastAsia="Times New Roman" w:hAnsi="Times New Roman" w:cs="Times New Roman"/>
                <w:lang w:val="sl-SI"/>
              </w:rPr>
            </w:pPr>
            <w:r>
              <w:rPr>
                <w:rFonts w:ascii="Times New Roman" w:eastAsia="Times New Roman" w:hAnsi="Times New Roman" w:cs="Times New Roman"/>
                <w:b/>
                <w:bCs/>
                <w:lang w:val="sl-SI"/>
              </w:rPr>
              <w:t>52. teden</w:t>
            </w:r>
          </w:p>
        </w:tc>
        <w:tc>
          <w:tcPr>
            <w:tcW w:w="2002" w:type="dxa"/>
            <w:tcBorders>
              <w:top w:val="single" w:sz="7" w:space="0" w:color="000000"/>
              <w:left w:val="single" w:sz="7" w:space="0" w:color="000000"/>
              <w:bottom w:val="single" w:sz="7" w:space="0" w:color="000000"/>
              <w:right w:val="single" w:sz="7" w:space="0" w:color="000000"/>
            </w:tcBorders>
          </w:tcPr>
          <w:p w14:paraId="4B681255" w14:textId="77777777" w:rsidR="001B1C67" w:rsidRDefault="001B1C67" w:rsidP="00797234">
            <w:pPr>
              <w:rPr>
                <w:lang w:val="sl-SI"/>
              </w:rPr>
            </w:pPr>
          </w:p>
        </w:tc>
        <w:tc>
          <w:tcPr>
            <w:tcW w:w="1975" w:type="dxa"/>
            <w:tcBorders>
              <w:top w:val="single" w:sz="7" w:space="0" w:color="000000"/>
              <w:left w:val="single" w:sz="7" w:space="0" w:color="000000"/>
              <w:bottom w:val="single" w:sz="7" w:space="0" w:color="000000"/>
              <w:right w:val="single" w:sz="7" w:space="0" w:color="000000"/>
            </w:tcBorders>
          </w:tcPr>
          <w:p w14:paraId="7294304D" w14:textId="77777777" w:rsidR="001B1C67" w:rsidRDefault="001B1C67" w:rsidP="00797234">
            <w:pPr>
              <w:rPr>
                <w:lang w:val="sl-SI"/>
              </w:rPr>
            </w:pPr>
          </w:p>
        </w:tc>
        <w:tc>
          <w:tcPr>
            <w:tcW w:w="2469" w:type="dxa"/>
            <w:tcBorders>
              <w:top w:val="single" w:sz="7" w:space="0" w:color="000000"/>
              <w:left w:val="single" w:sz="7" w:space="0" w:color="000000"/>
              <w:bottom w:val="single" w:sz="7" w:space="0" w:color="000000"/>
              <w:right w:val="single" w:sz="7" w:space="0" w:color="000000"/>
            </w:tcBorders>
          </w:tcPr>
          <w:p w14:paraId="3A0DE99E" w14:textId="77777777" w:rsidR="001B1C67" w:rsidRDefault="001B1C67" w:rsidP="001452D7">
            <w:pPr>
              <w:jc w:val="center"/>
              <w:rPr>
                <w:lang w:val="sl-SI"/>
              </w:rPr>
            </w:pPr>
          </w:p>
        </w:tc>
      </w:tr>
      <w:tr w:rsidR="001B1C67" w14:paraId="57B8AA51" w14:textId="77777777" w:rsidTr="001452D7">
        <w:trPr>
          <w:trHeight w:val="148"/>
          <w:jc w:val="center"/>
        </w:trPr>
        <w:tc>
          <w:tcPr>
            <w:tcW w:w="2695" w:type="dxa"/>
            <w:tcBorders>
              <w:top w:val="single" w:sz="7" w:space="0" w:color="000000"/>
              <w:left w:val="single" w:sz="7" w:space="0" w:color="000000"/>
              <w:bottom w:val="single" w:sz="7" w:space="0" w:color="000000"/>
              <w:right w:val="single" w:sz="7" w:space="0" w:color="000000"/>
            </w:tcBorders>
          </w:tcPr>
          <w:p w14:paraId="1250891D" w14:textId="77777777" w:rsidR="001B1C67" w:rsidRDefault="001B1C67" w:rsidP="00797234">
            <w:pPr>
              <w:pStyle w:val="TableParagraph"/>
              <w:spacing w:line="246" w:lineRule="exact"/>
              <w:ind w:left="179"/>
              <w:rPr>
                <w:rFonts w:ascii="Times New Roman" w:eastAsia="Times New Roman" w:hAnsi="Times New Roman" w:cs="Times New Roman"/>
                <w:lang w:val="sl-SI"/>
              </w:rPr>
            </w:pPr>
            <w:r>
              <w:rPr>
                <w:rFonts w:ascii="Times New Roman" w:eastAsia="Times New Roman" w:hAnsi="Times New Roman" w:cs="Times New Roman"/>
                <w:spacing w:val="-1"/>
                <w:lang w:val="sl-SI"/>
              </w:rPr>
              <w:t>Klinična remisija</w:t>
            </w:r>
          </w:p>
        </w:tc>
        <w:tc>
          <w:tcPr>
            <w:tcW w:w="2002" w:type="dxa"/>
            <w:tcBorders>
              <w:top w:val="single" w:sz="7" w:space="0" w:color="000000"/>
              <w:left w:val="single" w:sz="7" w:space="0" w:color="000000"/>
              <w:bottom w:val="single" w:sz="7" w:space="0" w:color="000000"/>
              <w:right w:val="single" w:sz="7" w:space="0" w:color="000000"/>
            </w:tcBorders>
          </w:tcPr>
          <w:p w14:paraId="36A8DD73" w14:textId="77777777" w:rsidR="001B1C67" w:rsidRDefault="001B1C67" w:rsidP="001452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33,3 %</w:t>
            </w:r>
          </w:p>
        </w:tc>
        <w:tc>
          <w:tcPr>
            <w:tcW w:w="1975" w:type="dxa"/>
            <w:tcBorders>
              <w:top w:val="single" w:sz="7" w:space="0" w:color="000000"/>
              <w:left w:val="single" w:sz="7" w:space="0" w:color="000000"/>
              <w:bottom w:val="single" w:sz="7" w:space="0" w:color="000000"/>
              <w:right w:val="single" w:sz="7" w:space="0" w:color="000000"/>
            </w:tcBorders>
          </w:tcPr>
          <w:p w14:paraId="07445C4C" w14:textId="77777777" w:rsidR="001B1C67" w:rsidRDefault="001B1C67" w:rsidP="001452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23,2 %</w:t>
            </w:r>
          </w:p>
        </w:tc>
        <w:tc>
          <w:tcPr>
            <w:tcW w:w="2469" w:type="dxa"/>
            <w:tcBorders>
              <w:top w:val="single" w:sz="7" w:space="0" w:color="000000"/>
              <w:left w:val="single" w:sz="7" w:space="0" w:color="000000"/>
              <w:bottom w:val="single" w:sz="7" w:space="0" w:color="000000"/>
              <w:right w:val="single" w:sz="7" w:space="0" w:color="000000"/>
            </w:tcBorders>
          </w:tcPr>
          <w:p w14:paraId="64958914" w14:textId="77777777" w:rsidR="001B1C67" w:rsidRDefault="001B1C67" w:rsidP="001452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0,100</w:t>
            </w:r>
          </w:p>
        </w:tc>
      </w:tr>
      <w:tr w:rsidR="001B1C67" w14:paraId="11D8C1E7" w14:textId="77777777" w:rsidTr="001452D7">
        <w:trPr>
          <w:trHeight w:val="142"/>
          <w:jc w:val="center"/>
        </w:trPr>
        <w:tc>
          <w:tcPr>
            <w:tcW w:w="2695" w:type="dxa"/>
            <w:tcBorders>
              <w:top w:val="single" w:sz="7" w:space="0" w:color="000000"/>
              <w:left w:val="single" w:sz="7" w:space="0" w:color="000000"/>
              <w:bottom w:val="single" w:sz="7" w:space="0" w:color="000000"/>
              <w:right w:val="single" w:sz="7" w:space="0" w:color="000000"/>
            </w:tcBorders>
          </w:tcPr>
          <w:p w14:paraId="626ACE66" w14:textId="77777777" w:rsidR="001B1C67" w:rsidRDefault="001B1C67" w:rsidP="00797234">
            <w:pPr>
              <w:pStyle w:val="TableParagraph"/>
              <w:spacing w:line="248" w:lineRule="exact"/>
              <w:ind w:left="179"/>
              <w:rPr>
                <w:rFonts w:ascii="Times New Roman" w:eastAsia="Times New Roman" w:hAnsi="Times New Roman" w:cs="Times New Roman"/>
                <w:lang w:val="sl-SI"/>
              </w:rPr>
            </w:pPr>
            <w:r>
              <w:rPr>
                <w:rFonts w:ascii="Times New Roman" w:eastAsia="Times New Roman" w:hAnsi="Times New Roman" w:cs="Times New Roman"/>
                <w:spacing w:val="-1"/>
                <w:lang w:val="sl-SI"/>
              </w:rPr>
              <w:t>Klinični odziv</w:t>
            </w:r>
          </w:p>
        </w:tc>
        <w:tc>
          <w:tcPr>
            <w:tcW w:w="2002" w:type="dxa"/>
            <w:tcBorders>
              <w:top w:val="single" w:sz="7" w:space="0" w:color="000000"/>
              <w:left w:val="single" w:sz="7" w:space="0" w:color="000000"/>
              <w:bottom w:val="single" w:sz="7" w:space="0" w:color="000000"/>
              <w:right w:val="single" w:sz="7" w:space="0" w:color="000000"/>
            </w:tcBorders>
          </w:tcPr>
          <w:p w14:paraId="367D0B41" w14:textId="77777777" w:rsidR="001B1C67" w:rsidRDefault="001B1C67" w:rsidP="001452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41,9 %</w:t>
            </w:r>
          </w:p>
        </w:tc>
        <w:tc>
          <w:tcPr>
            <w:tcW w:w="1975" w:type="dxa"/>
            <w:tcBorders>
              <w:top w:val="single" w:sz="7" w:space="0" w:color="000000"/>
              <w:left w:val="single" w:sz="7" w:space="0" w:color="000000"/>
              <w:bottom w:val="single" w:sz="7" w:space="0" w:color="000000"/>
              <w:right w:val="single" w:sz="7" w:space="0" w:color="000000"/>
            </w:tcBorders>
          </w:tcPr>
          <w:p w14:paraId="76257B2D" w14:textId="77777777" w:rsidR="001B1C67" w:rsidRDefault="001B1C67" w:rsidP="001452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28,4 %</w:t>
            </w:r>
          </w:p>
        </w:tc>
        <w:tc>
          <w:tcPr>
            <w:tcW w:w="2469" w:type="dxa"/>
            <w:tcBorders>
              <w:top w:val="single" w:sz="7" w:space="0" w:color="000000"/>
              <w:left w:val="single" w:sz="7" w:space="0" w:color="000000"/>
              <w:bottom w:val="single" w:sz="7" w:space="0" w:color="000000"/>
              <w:right w:val="single" w:sz="7" w:space="0" w:color="000000"/>
            </w:tcBorders>
          </w:tcPr>
          <w:p w14:paraId="16F360E4" w14:textId="77777777" w:rsidR="001B1C67" w:rsidRDefault="001B1C67" w:rsidP="001452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0,038</w:t>
            </w:r>
          </w:p>
        </w:tc>
      </w:tr>
      <w:tr w:rsidR="001B1C67" w:rsidRPr="00AC7013" w14:paraId="0CE768DF" w14:textId="77777777" w:rsidTr="001452D7">
        <w:trPr>
          <w:trHeight w:val="142"/>
          <w:jc w:val="center"/>
        </w:trPr>
        <w:tc>
          <w:tcPr>
            <w:tcW w:w="9142" w:type="dxa"/>
            <w:gridSpan w:val="4"/>
            <w:tcBorders>
              <w:top w:val="single" w:sz="7" w:space="0" w:color="000000"/>
              <w:left w:val="single" w:sz="7" w:space="0" w:color="000000"/>
              <w:bottom w:val="single" w:sz="7" w:space="0" w:color="000000"/>
              <w:right w:val="single" w:sz="7" w:space="0" w:color="000000"/>
            </w:tcBorders>
          </w:tcPr>
          <w:p w14:paraId="439381CD" w14:textId="77777777" w:rsidR="001B1C67" w:rsidRDefault="001B1C67" w:rsidP="00797234">
            <w:pPr>
              <w:pStyle w:val="TableParagraph"/>
              <w:spacing w:line="246" w:lineRule="exact"/>
              <w:ind w:left="13"/>
              <w:rPr>
                <w:rFonts w:ascii="Times New Roman" w:eastAsia="Times New Roman" w:hAnsi="Times New Roman" w:cs="Times New Roman"/>
                <w:lang w:val="sl-SI"/>
              </w:rPr>
            </w:pPr>
            <w:r>
              <w:rPr>
                <w:rFonts w:ascii="Times New Roman" w:eastAsia="Times New Roman" w:hAnsi="Times New Roman" w:cs="Times New Roman"/>
                <w:lang w:val="sl-SI"/>
              </w:rPr>
              <w:t>* Vrednost p za primerjavo standardnega in majhnega odmerka.</w:t>
            </w:r>
          </w:p>
        </w:tc>
      </w:tr>
    </w:tbl>
    <w:p w14:paraId="24AEECDC" w14:textId="77777777" w:rsidR="001B1C67" w:rsidRDefault="001B1C67" w:rsidP="001B1C67">
      <w:pPr>
        <w:spacing w:before="10" w:line="240" w:lineRule="exact"/>
        <w:rPr>
          <w:sz w:val="24"/>
          <w:szCs w:val="24"/>
          <w:lang w:val="sl-SI"/>
        </w:rPr>
      </w:pPr>
    </w:p>
    <w:p w14:paraId="65C17016" w14:textId="77777777" w:rsidR="001B1C67" w:rsidRDefault="001B1C67" w:rsidP="001B1C67">
      <w:pPr>
        <w:rPr>
          <w:sz w:val="24"/>
          <w:szCs w:val="24"/>
          <w:lang w:val="sl-SI"/>
        </w:rPr>
      </w:pPr>
    </w:p>
    <w:tbl>
      <w:tblPr>
        <w:tblStyle w:val="TableNormal1"/>
        <w:tblW w:w="9180" w:type="dxa"/>
        <w:jc w:val="center"/>
        <w:tblLayout w:type="fixed"/>
        <w:tblLook w:val="01E0" w:firstRow="1" w:lastRow="1" w:firstColumn="1" w:lastColumn="1" w:noHBand="0" w:noVBand="0"/>
      </w:tblPr>
      <w:tblGrid>
        <w:gridCol w:w="3368"/>
        <w:gridCol w:w="2268"/>
        <w:gridCol w:w="1812"/>
        <w:gridCol w:w="1732"/>
      </w:tblGrid>
      <w:tr w:rsidR="001B1C67" w:rsidRPr="00652F18" w14:paraId="347559C7" w14:textId="77777777" w:rsidTr="001452D7">
        <w:trPr>
          <w:jc w:val="center"/>
        </w:trPr>
        <w:tc>
          <w:tcPr>
            <w:tcW w:w="9180" w:type="dxa"/>
            <w:gridSpan w:val="4"/>
            <w:tcBorders>
              <w:top w:val="single" w:sz="7" w:space="0" w:color="000000"/>
              <w:left w:val="single" w:sz="7" w:space="0" w:color="000000"/>
              <w:bottom w:val="single" w:sz="7" w:space="0" w:color="000000"/>
              <w:right w:val="single" w:sz="7" w:space="0" w:color="000000"/>
            </w:tcBorders>
          </w:tcPr>
          <w:p w14:paraId="48F5F6B9" w14:textId="645C184E" w:rsidR="001B1C67" w:rsidRDefault="001B1C67" w:rsidP="00797234">
            <w:pPr>
              <w:pStyle w:val="TableParagraph"/>
              <w:spacing w:before="3" w:line="252" w:lineRule="exact"/>
              <w:ind w:right="142" w:hanging="12"/>
              <w:jc w:val="center"/>
              <w:rPr>
                <w:rFonts w:ascii="Times New Roman" w:eastAsia="Times New Roman" w:hAnsi="Times New Roman" w:cs="Times New Roman"/>
                <w:b/>
                <w:bCs/>
                <w:lang w:val="sl-SI"/>
              </w:rPr>
            </w:pPr>
            <w:r>
              <w:rPr>
                <w:rFonts w:ascii="Times New Roman" w:eastAsia="Times New Roman" w:hAnsi="Times New Roman" w:cs="Times New Roman"/>
                <w:b/>
                <w:bCs/>
                <w:lang w:val="sl-SI"/>
              </w:rPr>
              <w:t xml:space="preserve">Preglednica </w:t>
            </w:r>
            <w:r w:rsidR="006A7666">
              <w:rPr>
                <w:rFonts w:ascii="Times New Roman" w:eastAsia="Times New Roman" w:hAnsi="Times New Roman" w:cs="Times New Roman"/>
                <w:b/>
                <w:bCs/>
                <w:lang w:val="sl-SI"/>
              </w:rPr>
              <w:t>30</w:t>
            </w:r>
            <w:r>
              <w:rPr>
                <w:rFonts w:ascii="Times New Roman" w:eastAsia="Times New Roman" w:hAnsi="Times New Roman" w:cs="Times New Roman"/>
                <w:b/>
                <w:bCs/>
                <w:lang w:val="sl-SI"/>
              </w:rPr>
              <w:t>.</w:t>
            </w:r>
          </w:p>
          <w:p w14:paraId="1F070547" w14:textId="77777777" w:rsidR="001B1C67" w:rsidRDefault="001B1C67" w:rsidP="00797234">
            <w:pPr>
              <w:pStyle w:val="TableParagraph"/>
              <w:spacing w:before="3" w:line="252" w:lineRule="exact"/>
              <w:ind w:left="2234" w:right="142" w:hanging="12"/>
              <w:rPr>
                <w:rFonts w:ascii="Times New Roman" w:eastAsia="Times New Roman" w:hAnsi="Times New Roman" w:cs="Times New Roman"/>
                <w:lang w:val="sl-SI"/>
              </w:rPr>
            </w:pPr>
            <w:r>
              <w:rPr>
                <w:rFonts w:ascii="Times New Roman" w:eastAsia="Times New Roman" w:hAnsi="Times New Roman" w:cs="Times New Roman"/>
                <w:b/>
                <w:bCs/>
                <w:lang w:val="sl-SI"/>
              </w:rPr>
              <w:t>Študija Crohnove bolezni pri pediatričnih bolnikih:</w:t>
            </w:r>
          </w:p>
          <w:p w14:paraId="6B62481C" w14:textId="77777777" w:rsidR="001B1C67" w:rsidRDefault="001B1C67" w:rsidP="00797234">
            <w:pPr>
              <w:pStyle w:val="TableParagraph"/>
              <w:spacing w:line="249" w:lineRule="exact"/>
              <w:ind w:left="431"/>
              <w:rPr>
                <w:rFonts w:ascii="Times New Roman" w:eastAsia="Times New Roman" w:hAnsi="Times New Roman" w:cs="Times New Roman"/>
                <w:lang w:val="sl-SI"/>
              </w:rPr>
            </w:pPr>
            <w:r>
              <w:rPr>
                <w:rFonts w:ascii="Times New Roman" w:eastAsia="Times New Roman" w:hAnsi="Times New Roman" w:cs="Times New Roman"/>
                <w:b/>
                <w:bCs/>
                <w:spacing w:val="-1"/>
                <w:lang w:val="sl-SI"/>
              </w:rPr>
              <w:t>Prenehanje zdravljenja s kortikosteroidi ali imunomodulatorji in remisija fistule</w:t>
            </w:r>
          </w:p>
        </w:tc>
      </w:tr>
      <w:tr w:rsidR="001B1C67" w14:paraId="2D0DE000" w14:textId="77777777" w:rsidTr="001452D7">
        <w:trPr>
          <w:jc w:val="center"/>
        </w:trPr>
        <w:tc>
          <w:tcPr>
            <w:tcW w:w="3368" w:type="dxa"/>
            <w:tcBorders>
              <w:top w:val="single" w:sz="7" w:space="0" w:color="000000"/>
              <w:left w:val="single" w:sz="7" w:space="0" w:color="000000"/>
              <w:bottom w:val="single" w:sz="7" w:space="0" w:color="000000"/>
              <w:right w:val="single" w:sz="7" w:space="0" w:color="000000"/>
            </w:tcBorders>
          </w:tcPr>
          <w:p w14:paraId="1501E7A9" w14:textId="77777777" w:rsidR="001B1C67" w:rsidRDefault="001B1C67" w:rsidP="00797234">
            <w:pPr>
              <w:rPr>
                <w:lang w:val="sl-SI"/>
              </w:rPr>
            </w:pPr>
          </w:p>
        </w:tc>
        <w:tc>
          <w:tcPr>
            <w:tcW w:w="2268" w:type="dxa"/>
            <w:tcBorders>
              <w:top w:val="single" w:sz="7" w:space="0" w:color="000000"/>
              <w:left w:val="single" w:sz="7" w:space="0" w:color="000000"/>
              <w:bottom w:val="single" w:sz="7" w:space="0" w:color="000000"/>
              <w:right w:val="single" w:sz="7" w:space="0" w:color="000000"/>
            </w:tcBorders>
          </w:tcPr>
          <w:p w14:paraId="0520F300" w14:textId="77777777" w:rsidR="001B1C67" w:rsidRDefault="001B1C67" w:rsidP="00797234">
            <w:pPr>
              <w:pStyle w:val="TableParagraph"/>
              <w:spacing w:line="251" w:lineRule="exact"/>
              <w:ind w:left="133" w:right="105"/>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 xml:space="preserve">Standardni odmerek </w:t>
            </w:r>
            <w:r>
              <w:rPr>
                <w:rFonts w:ascii="Times New Roman" w:eastAsia="Times New Roman" w:hAnsi="Times New Roman" w:cs="Times New Roman"/>
                <w:b/>
                <w:bCs/>
                <w:lang w:val="sl-SI"/>
              </w:rPr>
              <w:t>40/20 mg vsak drugi teden</w:t>
            </w:r>
          </w:p>
        </w:tc>
        <w:tc>
          <w:tcPr>
            <w:tcW w:w="1812" w:type="dxa"/>
            <w:tcBorders>
              <w:top w:val="single" w:sz="7" w:space="0" w:color="000000"/>
              <w:left w:val="single" w:sz="7" w:space="0" w:color="000000"/>
              <w:bottom w:val="single" w:sz="7" w:space="0" w:color="000000"/>
              <w:right w:val="single" w:sz="7" w:space="0" w:color="000000"/>
            </w:tcBorders>
          </w:tcPr>
          <w:p w14:paraId="5C16E7BE" w14:textId="77777777" w:rsidR="001B1C67" w:rsidRDefault="001B1C67" w:rsidP="00797234">
            <w:pPr>
              <w:pStyle w:val="TableParagraph"/>
              <w:spacing w:line="251" w:lineRule="exact"/>
              <w:ind w:left="97" w:right="105"/>
              <w:jc w:val="center"/>
              <w:rPr>
                <w:rFonts w:ascii="Times New Roman" w:eastAsia="Times New Roman" w:hAnsi="Times New Roman" w:cs="Times New Roman"/>
                <w:lang w:val="sl-SI"/>
              </w:rPr>
            </w:pPr>
            <w:r>
              <w:rPr>
                <w:rFonts w:ascii="Times New Roman" w:eastAsia="Times New Roman" w:hAnsi="Times New Roman" w:cs="Times New Roman"/>
                <w:b/>
                <w:bCs/>
                <w:spacing w:val="-2"/>
                <w:lang w:val="sl-SI"/>
              </w:rPr>
              <w:t xml:space="preserve">Majhni odmerek </w:t>
            </w:r>
            <w:r>
              <w:rPr>
                <w:rFonts w:ascii="Times New Roman" w:eastAsia="Times New Roman" w:hAnsi="Times New Roman" w:cs="Times New Roman"/>
                <w:b/>
                <w:bCs/>
                <w:lang w:val="sl-SI"/>
              </w:rPr>
              <w:t>20/10 mg vsak drugi teden</w:t>
            </w:r>
          </w:p>
        </w:tc>
        <w:tc>
          <w:tcPr>
            <w:tcW w:w="1732" w:type="dxa"/>
            <w:tcBorders>
              <w:top w:val="single" w:sz="7" w:space="0" w:color="000000"/>
              <w:left w:val="single" w:sz="7" w:space="0" w:color="000000"/>
              <w:bottom w:val="single" w:sz="7" w:space="0" w:color="000000"/>
              <w:right w:val="single" w:sz="7" w:space="0" w:color="000000"/>
            </w:tcBorders>
          </w:tcPr>
          <w:p w14:paraId="75C54C52" w14:textId="77777777" w:rsidR="001B1C67" w:rsidRDefault="001B1C67" w:rsidP="00797234">
            <w:pPr>
              <w:pStyle w:val="TableParagraph"/>
              <w:spacing w:line="251" w:lineRule="exact"/>
              <w:ind w:left="186"/>
              <w:jc w:val="center"/>
              <w:rPr>
                <w:rFonts w:ascii="Times New Roman" w:eastAsia="Times New Roman" w:hAnsi="Times New Roman" w:cs="Times New Roman"/>
                <w:lang w:val="sl-SI"/>
              </w:rPr>
            </w:pPr>
            <w:r>
              <w:rPr>
                <w:rFonts w:ascii="Times New Roman" w:eastAsia="Times New Roman" w:hAnsi="Times New Roman" w:cs="Times New Roman"/>
                <w:b/>
                <w:bCs/>
                <w:lang w:val="sl-SI"/>
              </w:rPr>
              <w:t>Vrednost p</w:t>
            </w:r>
            <w:r>
              <w:rPr>
                <w:rFonts w:ascii="Times New Roman" w:eastAsia="Times New Roman" w:hAnsi="Times New Roman" w:cs="Times New Roman"/>
                <w:b/>
                <w:bCs/>
                <w:vertAlign w:val="superscript"/>
                <w:lang w:val="sl-SI"/>
              </w:rPr>
              <w:t>1</w:t>
            </w:r>
          </w:p>
        </w:tc>
      </w:tr>
      <w:tr w:rsidR="001B1C67" w14:paraId="7F705801" w14:textId="77777777" w:rsidTr="001452D7">
        <w:trPr>
          <w:jc w:val="center"/>
        </w:trPr>
        <w:tc>
          <w:tcPr>
            <w:tcW w:w="3368" w:type="dxa"/>
            <w:tcBorders>
              <w:top w:val="single" w:sz="7" w:space="0" w:color="000000"/>
              <w:left w:val="single" w:sz="7" w:space="0" w:color="000000"/>
              <w:bottom w:val="single" w:sz="7" w:space="0" w:color="000000"/>
              <w:right w:val="single" w:sz="7" w:space="0" w:color="000000"/>
            </w:tcBorders>
          </w:tcPr>
          <w:p w14:paraId="08571D5F" w14:textId="77777777" w:rsidR="001B1C67" w:rsidRDefault="001B1C67" w:rsidP="00797234">
            <w:pPr>
              <w:pStyle w:val="TableParagraph"/>
              <w:spacing w:line="251" w:lineRule="exact"/>
              <w:ind w:left="-1"/>
              <w:rPr>
                <w:rFonts w:ascii="Times New Roman" w:eastAsia="Times New Roman" w:hAnsi="Times New Roman" w:cs="Times New Roman"/>
                <w:lang w:val="sl-SI"/>
              </w:rPr>
            </w:pPr>
            <w:r>
              <w:rPr>
                <w:rFonts w:ascii="Times New Roman" w:eastAsia="Times New Roman" w:hAnsi="Times New Roman" w:cs="Times New Roman"/>
                <w:b/>
                <w:bCs/>
                <w:spacing w:val="-1"/>
                <w:lang w:val="sl-SI"/>
              </w:rPr>
              <w:t>Prenehanje s kortikosteroidi</w:t>
            </w:r>
          </w:p>
        </w:tc>
        <w:tc>
          <w:tcPr>
            <w:tcW w:w="2268" w:type="dxa"/>
            <w:tcBorders>
              <w:top w:val="single" w:sz="7" w:space="0" w:color="000000"/>
              <w:left w:val="single" w:sz="7" w:space="0" w:color="000000"/>
              <w:bottom w:val="single" w:sz="7" w:space="0" w:color="000000"/>
              <w:right w:val="single" w:sz="7" w:space="0" w:color="000000"/>
            </w:tcBorders>
          </w:tcPr>
          <w:p w14:paraId="110E6FED" w14:textId="77777777" w:rsidR="001B1C67" w:rsidRDefault="001B1C67" w:rsidP="00797234">
            <w:pPr>
              <w:pStyle w:val="TableParagraph"/>
              <w:spacing w:line="251"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33</w:t>
            </w:r>
          </w:p>
        </w:tc>
        <w:tc>
          <w:tcPr>
            <w:tcW w:w="1812" w:type="dxa"/>
            <w:tcBorders>
              <w:top w:val="single" w:sz="7" w:space="0" w:color="000000"/>
              <w:left w:val="single" w:sz="7" w:space="0" w:color="000000"/>
              <w:bottom w:val="single" w:sz="7" w:space="0" w:color="000000"/>
              <w:right w:val="single" w:sz="7" w:space="0" w:color="000000"/>
            </w:tcBorders>
          </w:tcPr>
          <w:p w14:paraId="71E8833A" w14:textId="77777777" w:rsidR="001B1C67" w:rsidRDefault="001B1C67" w:rsidP="00797234">
            <w:pPr>
              <w:pStyle w:val="TableParagraph"/>
              <w:spacing w:line="251"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38</w:t>
            </w:r>
          </w:p>
        </w:tc>
        <w:tc>
          <w:tcPr>
            <w:tcW w:w="1732" w:type="dxa"/>
            <w:tcBorders>
              <w:top w:val="single" w:sz="7" w:space="0" w:color="000000"/>
              <w:left w:val="single" w:sz="7" w:space="0" w:color="000000"/>
              <w:bottom w:val="single" w:sz="7" w:space="0" w:color="000000"/>
              <w:right w:val="single" w:sz="7" w:space="0" w:color="000000"/>
            </w:tcBorders>
          </w:tcPr>
          <w:p w14:paraId="7FFF47BF" w14:textId="77777777" w:rsidR="001B1C67" w:rsidRDefault="001B1C67" w:rsidP="00797234">
            <w:pPr>
              <w:ind w:left="142"/>
              <w:jc w:val="center"/>
              <w:rPr>
                <w:lang w:val="sl-SI"/>
              </w:rPr>
            </w:pPr>
          </w:p>
        </w:tc>
      </w:tr>
      <w:tr w:rsidR="001B1C67" w14:paraId="1733DD93" w14:textId="77777777" w:rsidTr="001452D7">
        <w:trPr>
          <w:jc w:val="center"/>
        </w:trPr>
        <w:tc>
          <w:tcPr>
            <w:tcW w:w="3368" w:type="dxa"/>
            <w:tcBorders>
              <w:top w:val="single" w:sz="7" w:space="0" w:color="000000"/>
              <w:left w:val="single" w:sz="7" w:space="0" w:color="000000"/>
              <w:bottom w:val="single" w:sz="7" w:space="0" w:color="000000"/>
              <w:right w:val="single" w:sz="7" w:space="0" w:color="000000"/>
            </w:tcBorders>
          </w:tcPr>
          <w:p w14:paraId="13ED14AE" w14:textId="77777777" w:rsidR="001B1C67" w:rsidRDefault="001B1C67" w:rsidP="00797234">
            <w:pPr>
              <w:pStyle w:val="TableParagraph"/>
              <w:spacing w:line="246" w:lineRule="exact"/>
              <w:ind w:left="-1"/>
              <w:rPr>
                <w:rFonts w:ascii="Times New Roman" w:eastAsia="Times New Roman" w:hAnsi="Times New Roman" w:cs="Times New Roman"/>
                <w:lang w:val="sl-SI"/>
              </w:rPr>
            </w:pPr>
            <w:r>
              <w:rPr>
                <w:rFonts w:ascii="Times New Roman" w:eastAsia="Times New Roman" w:hAnsi="Times New Roman" w:cs="Times New Roman"/>
                <w:lang w:val="sl-SI"/>
              </w:rPr>
              <w:t>26. teden</w:t>
            </w:r>
          </w:p>
        </w:tc>
        <w:tc>
          <w:tcPr>
            <w:tcW w:w="2268" w:type="dxa"/>
            <w:tcBorders>
              <w:top w:val="single" w:sz="7" w:space="0" w:color="000000"/>
              <w:left w:val="single" w:sz="7" w:space="0" w:color="000000"/>
              <w:bottom w:val="single" w:sz="7" w:space="0" w:color="000000"/>
              <w:right w:val="single" w:sz="7" w:space="0" w:color="000000"/>
            </w:tcBorders>
          </w:tcPr>
          <w:p w14:paraId="093F037F" w14:textId="77777777" w:rsidR="001B1C67" w:rsidRDefault="001B1C67" w:rsidP="00797234">
            <w:pPr>
              <w:pStyle w:val="TableParagraph"/>
              <w:spacing w:line="246"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lang w:val="sl-SI"/>
              </w:rPr>
              <w:t>84,8 %</w:t>
            </w:r>
          </w:p>
        </w:tc>
        <w:tc>
          <w:tcPr>
            <w:tcW w:w="1812" w:type="dxa"/>
            <w:tcBorders>
              <w:top w:val="single" w:sz="7" w:space="0" w:color="000000"/>
              <w:left w:val="single" w:sz="7" w:space="0" w:color="000000"/>
              <w:bottom w:val="single" w:sz="7" w:space="0" w:color="000000"/>
              <w:right w:val="single" w:sz="7" w:space="0" w:color="000000"/>
            </w:tcBorders>
          </w:tcPr>
          <w:p w14:paraId="5175E006" w14:textId="77777777" w:rsidR="001B1C67" w:rsidRDefault="001B1C67" w:rsidP="00797234">
            <w:pPr>
              <w:pStyle w:val="TableParagraph"/>
              <w:spacing w:line="246"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lang w:val="sl-SI"/>
              </w:rPr>
              <w:t>65,8 %</w:t>
            </w:r>
          </w:p>
        </w:tc>
        <w:tc>
          <w:tcPr>
            <w:tcW w:w="1732" w:type="dxa"/>
            <w:tcBorders>
              <w:top w:val="single" w:sz="7" w:space="0" w:color="000000"/>
              <w:left w:val="single" w:sz="7" w:space="0" w:color="000000"/>
              <w:bottom w:val="single" w:sz="7" w:space="0" w:color="000000"/>
              <w:right w:val="single" w:sz="7" w:space="0" w:color="000000"/>
            </w:tcBorders>
          </w:tcPr>
          <w:p w14:paraId="32202B8F" w14:textId="77777777" w:rsidR="001B1C67" w:rsidRDefault="001B1C67" w:rsidP="00797234">
            <w:pPr>
              <w:pStyle w:val="TableParagraph"/>
              <w:spacing w:line="246" w:lineRule="exact"/>
              <w:ind w:left="142"/>
              <w:jc w:val="center"/>
              <w:rPr>
                <w:rFonts w:ascii="Times New Roman" w:eastAsia="Times New Roman" w:hAnsi="Times New Roman" w:cs="Times New Roman"/>
                <w:lang w:val="sl-SI"/>
              </w:rPr>
            </w:pPr>
            <w:r>
              <w:rPr>
                <w:rFonts w:ascii="Times New Roman" w:eastAsia="Times New Roman" w:hAnsi="Times New Roman" w:cs="Times New Roman"/>
                <w:lang w:val="sl-SI"/>
              </w:rPr>
              <w:t>0,066</w:t>
            </w:r>
          </w:p>
        </w:tc>
      </w:tr>
      <w:tr w:rsidR="001B1C67" w14:paraId="540ED085" w14:textId="77777777" w:rsidTr="001452D7">
        <w:trPr>
          <w:trHeight w:val="163"/>
          <w:jc w:val="center"/>
        </w:trPr>
        <w:tc>
          <w:tcPr>
            <w:tcW w:w="3368" w:type="dxa"/>
            <w:tcBorders>
              <w:top w:val="single" w:sz="7" w:space="0" w:color="000000"/>
              <w:left w:val="single" w:sz="7" w:space="0" w:color="000000"/>
              <w:bottom w:val="single" w:sz="7" w:space="0" w:color="000000"/>
              <w:right w:val="single" w:sz="7" w:space="0" w:color="000000"/>
            </w:tcBorders>
          </w:tcPr>
          <w:p w14:paraId="3BC814F6" w14:textId="77777777" w:rsidR="001B1C67" w:rsidRDefault="001B1C67" w:rsidP="00797234">
            <w:pPr>
              <w:pStyle w:val="TableParagraph"/>
              <w:spacing w:line="246" w:lineRule="exact"/>
              <w:ind w:left="-1"/>
              <w:rPr>
                <w:rFonts w:ascii="Times New Roman" w:eastAsia="Times New Roman" w:hAnsi="Times New Roman" w:cs="Times New Roman"/>
                <w:lang w:val="sl-SI"/>
              </w:rPr>
            </w:pPr>
            <w:r>
              <w:rPr>
                <w:rFonts w:ascii="Times New Roman" w:eastAsia="Times New Roman" w:hAnsi="Times New Roman" w:cs="Times New Roman"/>
                <w:lang w:val="sl-SI"/>
              </w:rPr>
              <w:t>52. teden</w:t>
            </w:r>
          </w:p>
        </w:tc>
        <w:tc>
          <w:tcPr>
            <w:tcW w:w="2268" w:type="dxa"/>
            <w:tcBorders>
              <w:top w:val="single" w:sz="7" w:space="0" w:color="000000"/>
              <w:left w:val="single" w:sz="7" w:space="0" w:color="000000"/>
              <w:bottom w:val="single" w:sz="7" w:space="0" w:color="000000"/>
              <w:right w:val="single" w:sz="7" w:space="0" w:color="000000"/>
            </w:tcBorders>
          </w:tcPr>
          <w:p w14:paraId="05D902ED" w14:textId="77777777" w:rsidR="001B1C67" w:rsidRDefault="001B1C67" w:rsidP="00797234">
            <w:pPr>
              <w:pStyle w:val="TableParagraph"/>
              <w:spacing w:line="246"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lang w:val="sl-SI"/>
              </w:rPr>
              <w:t>69,7 %</w:t>
            </w:r>
          </w:p>
        </w:tc>
        <w:tc>
          <w:tcPr>
            <w:tcW w:w="1812" w:type="dxa"/>
            <w:tcBorders>
              <w:top w:val="single" w:sz="7" w:space="0" w:color="000000"/>
              <w:left w:val="single" w:sz="7" w:space="0" w:color="000000"/>
              <w:bottom w:val="single" w:sz="7" w:space="0" w:color="000000"/>
              <w:right w:val="single" w:sz="7" w:space="0" w:color="000000"/>
            </w:tcBorders>
          </w:tcPr>
          <w:p w14:paraId="7152049A" w14:textId="77777777" w:rsidR="001B1C67" w:rsidRDefault="001B1C67" w:rsidP="00797234">
            <w:pPr>
              <w:pStyle w:val="TableParagraph"/>
              <w:spacing w:line="246"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lang w:val="sl-SI"/>
              </w:rPr>
              <w:t>60,5 %</w:t>
            </w:r>
          </w:p>
        </w:tc>
        <w:tc>
          <w:tcPr>
            <w:tcW w:w="1732" w:type="dxa"/>
            <w:tcBorders>
              <w:top w:val="single" w:sz="7" w:space="0" w:color="000000"/>
              <w:left w:val="single" w:sz="7" w:space="0" w:color="000000"/>
              <w:bottom w:val="single" w:sz="7" w:space="0" w:color="000000"/>
              <w:right w:val="single" w:sz="7" w:space="0" w:color="000000"/>
            </w:tcBorders>
          </w:tcPr>
          <w:p w14:paraId="72878539" w14:textId="77777777" w:rsidR="001B1C67" w:rsidRDefault="001B1C67" w:rsidP="00797234">
            <w:pPr>
              <w:pStyle w:val="TableParagraph"/>
              <w:spacing w:line="246" w:lineRule="exact"/>
              <w:ind w:left="142"/>
              <w:jc w:val="center"/>
              <w:rPr>
                <w:rFonts w:ascii="Times New Roman" w:eastAsia="Times New Roman" w:hAnsi="Times New Roman" w:cs="Times New Roman"/>
                <w:lang w:val="sl-SI"/>
              </w:rPr>
            </w:pPr>
            <w:r>
              <w:rPr>
                <w:rFonts w:ascii="Times New Roman" w:eastAsia="Times New Roman" w:hAnsi="Times New Roman" w:cs="Times New Roman"/>
                <w:lang w:val="sl-SI"/>
              </w:rPr>
              <w:t>0,420</w:t>
            </w:r>
          </w:p>
        </w:tc>
      </w:tr>
      <w:tr w:rsidR="001B1C67" w14:paraId="43E6A52C" w14:textId="77777777" w:rsidTr="001452D7">
        <w:trPr>
          <w:jc w:val="center"/>
        </w:trPr>
        <w:tc>
          <w:tcPr>
            <w:tcW w:w="3368" w:type="dxa"/>
            <w:tcBorders>
              <w:top w:val="single" w:sz="7" w:space="0" w:color="000000"/>
              <w:left w:val="single" w:sz="7" w:space="0" w:color="000000"/>
              <w:bottom w:val="single" w:sz="7" w:space="0" w:color="000000"/>
              <w:right w:val="single" w:sz="7" w:space="0" w:color="000000"/>
            </w:tcBorders>
          </w:tcPr>
          <w:p w14:paraId="57625F0C" w14:textId="77777777" w:rsidR="001B1C67" w:rsidRDefault="001B1C67" w:rsidP="00797234">
            <w:pPr>
              <w:pStyle w:val="TableParagraph"/>
              <w:spacing w:line="251" w:lineRule="exact"/>
              <w:ind w:left="-1"/>
              <w:rPr>
                <w:rFonts w:ascii="Times New Roman" w:eastAsia="Times New Roman" w:hAnsi="Times New Roman" w:cs="Times New Roman"/>
                <w:lang w:val="sl-SI"/>
              </w:rPr>
            </w:pPr>
            <w:r>
              <w:rPr>
                <w:rFonts w:ascii="Times New Roman" w:eastAsia="Times New Roman" w:hAnsi="Times New Roman" w:cs="Times New Roman"/>
                <w:b/>
                <w:bCs/>
                <w:spacing w:val="-1"/>
                <w:lang w:val="sl-SI"/>
              </w:rPr>
              <w:t>Prenehanje z imunomodulatorji</w:t>
            </w:r>
            <w:r>
              <w:rPr>
                <w:rFonts w:ascii="Times New Roman" w:eastAsia="Times New Roman" w:hAnsi="Times New Roman" w:cs="Times New Roman"/>
                <w:b/>
                <w:bCs/>
                <w:spacing w:val="-1"/>
                <w:vertAlign w:val="superscript"/>
                <w:lang w:val="sl-SI"/>
              </w:rPr>
              <w:t>2</w:t>
            </w:r>
          </w:p>
        </w:tc>
        <w:tc>
          <w:tcPr>
            <w:tcW w:w="2268" w:type="dxa"/>
            <w:tcBorders>
              <w:top w:val="single" w:sz="7" w:space="0" w:color="000000"/>
              <w:left w:val="single" w:sz="7" w:space="0" w:color="000000"/>
              <w:bottom w:val="single" w:sz="7" w:space="0" w:color="000000"/>
              <w:right w:val="single" w:sz="7" w:space="0" w:color="000000"/>
            </w:tcBorders>
          </w:tcPr>
          <w:p w14:paraId="73E53C4D" w14:textId="77777777" w:rsidR="001B1C67" w:rsidRDefault="001B1C67" w:rsidP="00797234">
            <w:pPr>
              <w:pStyle w:val="TableParagraph"/>
              <w:spacing w:line="251"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60</w:t>
            </w:r>
          </w:p>
        </w:tc>
        <w:tc>
          <w:tcPr>
            <w:tcW w:w="1812" w:type="dxa"/>
            <w:tcBorders>
              <w:top w:val="single" w:sz="7" w:space="0" w:color="000000"/>
              <w:left w:val="single" w:sz="7" w:space="0" w:color="000000"/>
              <w:bottom w:val="single" w:sz="7" w:space="0" w:color="000000"/>
              <w:right w:val="single" w:sz="7" w:space="0" w:color="000000"/>
            </w:tcBorders>
          </w:tcPr>
          <w:p w14:paraId="3C475A39" w14:textId="77777777" w:rsidR="001B1C67" w:rsidRDefault="001B1C67" w:rsidP="00797234">
            <w:pPr>
              <w:pStyle w:val="TableParagraph"/>
              <w:spacing w:line="251"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57</w:t>
            </w:r>
          </w:p>
        </w:tc>
        <w:tc>
          <w:tcPr>
            <w:tcW w:w="1732" w:type="dxa"/>
            <w:tcBorders>
              <w:top w:val="single" w:sz="7" w:space="0" w:color="000000"/>
              <w:left w:val="single" w:sz="7" w:space="0" w:color="000000"/>
              <w:bottom w:val="single" w:sz="7" w:space="0" w:color="000000"/>
              <w:right w:val="single" w:sz="7" w:space="0" w:color="000000"/>
            </w:tcBorders>
          </w:tcPr>
          <w:p w14:paraId="185D071D" w14:textId="77777777" w:rsidR="001B1C67" w:rsidRDefault="001B1C67" w:rsidP="00797234">
            <w:pPr>
              <w:ind w:left="142"/>
              <w:jc w:val="center"/>
              <w:rPr>
                <w:lang w:val="sl-SI"/>
              </w:rPr>
            </w:pPr>
          </w:p>
        </w:tc>
      </w:tr>
      <w:tr w:rsidR="001B1C67" w14:paraId="6EB77862" w14:textId="77777777" w:rsidTr="001452D7">
        <w:trPr>
          <w:jc w:val="center"/>
        </w:trPr>
        <w:tc>
          <w:tcPr>
            <w:tcW w:w="3368" w:type="dxa"/>
            <w:tcBorders>
              <w:top w:val="single" w:sz="7" w:space="0" w:color="000000"/>
              <w:left w:val="single" w:sz="7" w:space="0" w:color="000000"/>
              <w:bottom w:val="single" w:sz="7" w:space="0" w:color="000000"/>
              <w:right w:val="single" w:sz="7" w:space="0" w:color="000000"/>
            </w:tcBorders>
          </w:tcPr>
          <w:p w14:paraId="025B6753" w14:textId="77777777" w:rsidR="001B1C67" w:rsidRDefault="001B1C67" w:rsidP="00797234">
            <w:pPr>
              <w:pStyle w:val="TableParagraph"/>
              <w:spacing w:line="246" w:lineRule="exact"/>
              <w:ind w:left="-1"/>
              <w:rPr>
                <w:rFonts w:ascii="Times New Roman" w:eastAsia="Times New Roman" w:hAnsi="Times New Roman" w:cs="Times New Roman"/>
                <w:lang w:val="sl-SI"/>
              </w:rPr>
            </w:pPr>
            <w:r>
              <w:rPr>
                <w:rFonts w:ascii="Times New Roman" w:eastAsia="Times New Roman" w:hAnsi="Times New Roman" w:cs="Times New Roman"/>
                <w:lang w:val="sl-SI"/>
              </w:rPr>
              <w:t>52. teden</w:t>
            </w:r>
          </w:p>
        </w:tc>
        <w:tc>
          <w:tcPr>
            <w:tcW w:w="2268" w:type="dxa"/>
            <w:tcBorders>
              <w:top w:val="single" w:sz="7" w:space="0" w:color="000000"/>
              <w:left w:val="single" w:sz="7" w:space="0" w:color="000000"/>
              <w:bottom w:val="single" w:sz="7" w:space="0" w:color="000000"/>
              <w:right w:val="single" w:sz="7" w:space="0" w:color="000000"/>
            </w:tcBorders>
          </w:tcPr>
          <w:p w14:paraId="07978292" w14:textId="77777777" w:rsidR="001B1C67" w:rsidRDefault="001B1C67" w:rsidP="00797234">
            <w:pPr>
              <w:pStyle w:val="TableParagraph"/>
              <w:spacing w:line="246"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lang w:val="sl-SI"/>
              </w:rPr>
              <w:t>30,0 %</w:t>
            </w:r>
          </w:p>
        </w:tc>
        <w:tc>
          <w:tcPr>
            <w:tcW w:w="1812" w:type="dxa"/>
            <w:tcBorders>
              <w:top w:val="single" w:sz="7" w:space="0" w:color="000000"/>
              <w:left w:val="single" w:sz="7" w:space="0" w:color="000000"/>
              <w:bottom w:val="single" w:sz="7" w:space="0" w:color="000000"/>
              <w:right w:val="single" w:sz="7" w:space="0" w:color="000000"/>
            </w:tcBorders>
          </w:tcPr>
          <w:p w14:paraId="5A78BCFC" w14:textId="77777777" w:rsidR="001B1C67" w:rsidRDefault="001B1C67" w:rsidP="00797234">
            <w:pPr>
              <w:pStyle w:val="TableParagraph"/>
              <w:spacing w:line="246"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lang w:val="sl-SI"/>
              </w:rPr>
              <w:t>29,8 %</w:t>
            </w:r>
          </w:p>
        </w:tc>
        <w:tc>
          <w:tcPr>
            <w:tcW w:w="1732" w:type="dxa"/>
            <w:tcBorders>
              <w:top w:val="single" w:sz="7" w:space="0" w:color="000000"/>
              <w:left w:val="single" w:sz="7" w:space="0" w:color="000000"/>
              <w:bottom w:val="single" w:sz="7" w:space="0" w:color="000000"/>
              <w:right w:val="single" w:sz="7" w:space="0" w:color="000000"/>
            </w:tcBorders>
          </w:tcPr>
          <w:p w14:paraId="64F6E4E1" w14:textId="77777777" w:rsidR="001B1C67" w:rsidRDefault="001B1C67" w:rsidP="00797234">
            <w:pPr>
              <w:pStyle w:val="TableParagraph"/>
              <w:spacing w:line="246" w:lineRule="exact"/>
              <w:ind w:left="142"/>
              <w:jc w:val="center"/>
              <w:rPr>
                <w:rFonts w:ascii="Times New Roman" w:eastAsia="Times New Roman" w:hAnsi="Times New Roman" w:cs="Times New Roman"/>
                <w:lang w:val="sl-SI"/>
              </w:rPr>
            </w:pPr>
            <w:r>
              <w:rPr>
                <w:rFonts w:ascii="Times New Roman" w:eastAsia="Times New Roman" w:hAnsi="Times New Roman" w:cs="Times New Roman"/>
                <w:lang w:val="sl-SI"/>
              </w:rPr>
              <w:t>0,983</w:t>
            </w:r>
          </w:p>
        </w:tc>
      </w:tr>
      <w:tr w:rsidR="001B1C67" w14:paraId="29E598BE" w14:textId="77777777" w:rsidTr="001452D7">
        <w:trPr>
          <w:jc w:val="center"/>
        </w:trPr>
        <w:tc>
          <w:tcPr>
            <w:tcW w:w="3368" w:type="dxa"/>
            <w:tcBorders>
              <w:top w:val="single" w:sz="7" w:space="0" w:color="000000"/>
              <w:left w:val="single" w:sz="7" w:space="0" w:color="000000"/>
              <w:bottom w:val="single" w:sz="7" w:space="0" w:color="000000"/>
              <w:right w:val="single" w:sz="7" w:space="0" w:color="000000"/>
            </w:tcBorders>
          </w:tcPr>
          <w:p w14:paraId="0F922FFB" w14:textId="77777777" w:rsidR="001B1C67" w:rsidRDefault="001B1C67" w:rsidP="00797234">
            <w:pPr>
              <w:pStyle w:val="TableParagraph"/>
              <w:spacing w:line="251" w:lineRule="exact"/>
              <w:ind w:left="-1"/>
              <w:rPr>
                <w:rFonts w:ascii="Times New Roman" w:eastAsia="Times New Roman" w:hAnsi="Times New Roman" w:cs="Times New Roman"/>
                <w:lang w:val="sl-SI"/>
              </w:rPr>
            </w:pPr>
            <w:r>
              <w:rPr>
                <w:rFonts w:ascii="Times New Roman" w:eastAsia="Times New Roman" w:hAnsi="Times New Roman" w:cs="Times New Roman"/>
                <w:b/>
                <w:bCs/>
                <w:spacing w:val="-1"/>
                <w:lang w:val="sl-SI"/>
              </w:rPr>
              <w:t>Remisija fistule</w:t>
            </w:r>
            <w:r>
              <w:rPr>
                <w:rFonts w:ascii="Times New Roman" w:eastAsia="Times New Roman" w:hAnsi="Times New Roman" w:cs="Times New Roman"/>
                <w:b/>
                <w:bCs/>
                <w:spacing w:val="-1"/>
                <w:vertAlign w:val="superscript"/>
                <w:lang w:val="sl-SI"/>
              </w:rPr>
              <w:t>3</w:t>
            </w:r>
          </w:p>
        </w:tc>
        <w:tc>
          <w:tcPr>
            <w:tcW w:w="2268" w:type="dxa"/>
            <w:tcBorders>
              <w:top w:val="single" w:sz="7" w:space="0" w:color="000000"/>
              <w:left w:val="single" w:sz="7" w:space="0" w:color="000000"/>
              <w:bottom w:val="single" w:sz="7" w:space="0" w:color="000000"/>
              <w:right w:val="single" w:sz="7" w:space="0" w:color="000000"/>
            </w:tcBorders>
          </w:tcPr>
          <w:p w14:paraId="764764B5" w14:textId="77777777" w:rsidR="001B1C67" w:rsidRDefault="001B1C67" w:rsidP="00797234">
            <w:pPr>
              <w:pStyle w:val="TableParagraph"/>
              <w:spacing w:line="251"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15</w:t>
            </w:r>
          </w:p>
        </w:tc>
        <w:tc>
          <w:tcPr>
            <w:tcW w:w="1812" w:type="dxa"/>
            <w:tcBorders>
              <w:top w:val="single" w:sz="7" w:space="0" w:color="000000"/>
              <w:left w:val="single" w:sz="7" w:space="0" w:color="000000"/>
              <w:bottom w:val="single" w:sz="7" w:space="0" w:color="000000"/>
              <w:right w:val="single" w:sz="7" w:space="0" w:color="000000"/>
            </w:tcBorders>
          </w:tcPr>
          <w:p w14:paraId="2BEF5A42" w14:textId="77777777" w:rsidR="001B1C67" w:rsidRDefault="001B1C67" w:rsidP="00797234">
            <w:pPr>
              <w:pStyle w:val="TableParagraph"/>
              <w:spacing w:line="251"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21</w:t>
            </w:r>
          </w:p>
        </w:tc>
        <w:tc>
          <w:tcPr>
            <w:tcW w:w="1732" w:type="dxa"/>
            <w:tcBorders>
              <w:top w:val="single" w:sz="7" w:space="0" w:color="000000"/>
              <w:left w:val="single" w:sz="7" w:space="0" w:color="000000"/>
              <w:bottom w:val="single" w:sz="7" w:space="0" w:color="000000"/>
              <w:right w:val="single" w:sz="7" w:space="0" w:color="000000"/>
            </w:tcBorders>
          </w:tcPr>
          <w:p w14:paraId="18665C0A" w14:textId="77777777" w:rsidR="001B1C67" w:rsidRDefault="001B1C67" w:rsidP="00797234">
            <w:pPr>
              <w:ind w:left="142"/>
              <w:jc w:val="center"/>
              <w:rPr>
                <w:lang w:val="sl-SI"/>
              </w:rPr>
            </w:pPr>
          </w:p>
        </w:tc>
      </w:tr>
      <w:tr w:rsidR="001B1C67" w14:paraId="7EDC9AE0" w14:textId="77777777" w:rsidTr="001452D7">
        <w:trPr>
          <w:jc w:val="center"/>
        </w:trPr>
        <w:tc>
          <w:tcPr>
            <w:tcW w:w="3368" w:type="dxa"/>
            <w:tcBorders>
              <w:top w:val="single" w:sz="7" w:space="0" w:color="000000"/>
              <w:left w:val="single" w:sz="7" w:space="0" w:color="000000"/>
              <w:bottom w:val="single" w:sz="7" w:space="0" w:color="000000"/>
              <w:right w:val="single" w:sz="7" w:space="0" w:color="000000"/>
            </w:tcBorders>
          </w:tcPr>
          <w:p w14:paraId="682171D6" w14:textId="77777777" w:rsidR="001B1C67" w:rsidRDefault="001B1C67" w:rsidP="00797234">
            <w:pPr>
              <w:pStyle w:val="TableParagraph"/>
              <w:spacing w:line="246" w:lineRule="exact"/>
              <w:ind w:left="-1"/>
              <w:rPr>
                <w:rFonts w:ascii="Times New Roman" w:eastAsia="Times New Roman" w:hAnsi="Times New Roman" w:cs="Times New Roman"/>
                <w:lang w:val="sl-SI"/>
              </w:rPr>
            </w:pPr>
            <w:r>
              <w:rPr>
                <w:rFonts w:ascii="Times New Roman" w:eastAsia="Times New Roman" w:hAnsi="Times New Roman" w:cs="Times New Roman"/>
                <w:lang w:val="sl-SI"/>
              </w:rPr>
              <w:t>26. teden</w:t>
            </w:r>
          </w:p>
        </w:tc>
        <w:tc>
          <w:tcPr>
            <w:tcW w:w="2268" w:type="dxa"/>
            <w:tcBorders>
              <w:top w:val="single" w:sz="7" w:space="0" w:color="000000"/>
              <w:left w:val="single" w:sz="7" w:space="0" w:color="000000"/>
              <w:bottom w:val="single" w:sz="7" w:space="0" w:color="000000"/>
              <w:right w:val="single" w:sz="7" w:space="0" w:color="000000"/>
            </w:tcBorders>
          </w:tcPr>
          <w:p w14:paraId="6618FD26" w14:textId="77777777" w:rsidR="001B1C67" w:rsidRDefault="001B1C67" w:rsidP="00797234">
            <w:pPr>
              <w:pStyle w:val="TableParagraph"/>
              <w:spacing w:line="246"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lang w:val="sl-SI"/>
              </w:rPr>
              <w:t>46,7 %</w:t>
            </w:r>
          </w:p>
        </w:tc>
        <w:tc>
          <w:tcPr>
            <w:tcW w:w="1812" w:type="dxa"/>
            <w:tcBorders>
              <w:top w:val="single" w:sz="7" w:space="0" w:color="000000"/>
              <w:left w:val="single" w:sz="7" w:space="0" w:color="000000"/>
              <w:bottom w:val="single" w:sz="7" w:space="0" w:color="000000"/>
              <w:right w:val="single" w:sz="7" w:space="0" w:color="000000"/>
            </w:tcBorders>
          </w:tcPr>
          <w:p w14:paraId="67B495E9" w14:textId="77777777" w:rsidR="001B1C67" w:rsidRDefault="001B1C67" w:rsidP="00797234">
            <w:pPr>
              <w:pStyle w:val="TableParagraph"/>
              <w:spacing w:line="246"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lang w:val="sl-SI"/>
              </w:rPr>
              <w:t>38,1 %</w:t>
            </w:r>
          </w:p>
        </w:tc>
        <w:tc>
          <w:tcPr>
            <w:tcW w:w="1732" w:type="dxa"/>
            <w:tcBorders>
              <w:top w:val="single" w:sz="7" w:space="0" w:color="000000"/>
              <w:left w:val="single" w:sz="7" w:space="0" w:color="000000"/>
              <w:bottom w:val="single" w:sz="7" w:space="0" w:color="000000"/>
              <w:right w:val="single" w:sz="7" w:space="0" w:color="000000"/>
            </w:tcBorders>
          </w:tcPr>
          <w:p w14:paraId="15E7F632" w14:textId="77777777" w:rsidR="001B1C67" w:rsidRDefault="001B1C67" w:rsidP="00797234">
            <w:pPr>
              <w:pStyle w:val="TableParagraph"/>
              <w:spacing w:line="246" w:lineRule="exact"/>
              <w:ind w:left="142"/>
              <w:jc w:val="center"/>
              <w:rPr>
                <w:rFonts w:ascii="Times New Roman" w:eastAsia="Times New Roman" w:hAnsi="Times New Roman" w:cs="Times New Roman"/>
                <w:lang w:val="sl-SI"/>
              </w:rPr>
            </w:pPr>
            <w:r>
              <w:rPr>
                <w:rFonts w:ascii="Times New Roman" w:eastAsia="Times New Roman" w:hAnsi="Times New Roman" w:cs="Times New Roman"/>
                <w:lang w:val="sl-SI"/>
              </w:rPr>
              <w:t>0,608</w:t>
            </w:r>
          </w:p>
        </w:tc>
      </w:tr>
      <w:tr w:rsidR="001B1C67" w14:paraId="68B2FDB0" w14:textId="77777777" w:rsidTr="001452D7">
        <w:trPr>
          <w:jc w:val="center"/>
        </w:trPr>
        <w:tc>
          <w:tcPr>
            <w:tcW w:w="3368" w:type="dxa"/>
            <w:tcBorders>
              <w:top w:val="single" w:sz="7" w:space="0" w:color="000000"/>
              <w:left w:val="single" w:sz="7" w:space="0" w:color="000000"/>
              <w:bottom w:val="single" w:sz="5" w:space="0" w:color="000000"/>
              <w:right w:val="single" w:sz="7" w:space="0" w:color="000000"/>
            </w:tcBorders>
          </w:tcPr>
          <w:p w14:paraId="702E84D9" w14:textId="77777777" w:rsidR="001B1C67" w:rsidRDefault="001B1C67" w:rsidP="00797234">
            <w:pPr>
              <w:pStyle w:val="TableParagraph"/>
              <w:spacing w:line="246" w:lineRule="exact"/>
              <w:ind w:left="-1"/>
              <w:rPr>
                <w:rFonts w:ascii="Times New Roman" w:eastAsia="Times New Roman" w:hAnsi="Times New Roman" w:cs="Times New Roman"/>
                <w:lang w:val="sl-SI"/>
              </w:rPr>
            </w:pPr>
            <w:r>
              <w:rPr>
                <w:rFonts w:ascii="Times New Roman" w:eastAsia="Times New Roman" w:hAnsi="Times New Roman" w:cs="Times New Roman"/>
                <w:lang w:val="sl-SI"/>
              </w:rPr>
              <w:t>52. teden</w:t>
            </w:r>
          </w:p>
        </w:tc>
        <w:tc>
          <w:tcPr>
            <w:tcW w:w="2268" w:type="dxa"/>
            <w:tcBorders>
              <w:top w:val="single" w:sz="7" w:space="0" w:color="000000"/>
              <w:left w:val="single" w:sz="7" w:space="0" w:color="000000"/>
              <w:bottom w:val="single" w:sz="5" w:space="0" w:color="000000"/>
              <w:right w:val="single" w:sz="7" w:space="0" w:color="000000"/>
            </w:tcBorders>
          </w:tcPr>
          <w:p w14:paraId="43AB743D" w14:textId="77777777" w:rsidR="001B1C67" w:rsidRDefault="001B1C67" w:rsidP="00797234">
            <w:pPr>
              <w:pStyle w:val="TableParagraph"/>
              <w:spacing w:line="246"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lang w:val="sl-SI"/>
              </w:rPr>
              <w:t>40,0 %</w:t>
            </w:r>
          </w:p>
        </w:tc>
        <w:tc>
          <w:tcPr>
            <w:tcW w:w="1812" w:type="dxa"/>
            <w:tcBorders>
              <w:top w:val="single" w:sz="7" w:space="0" w:color="000000"/>
              <w:left w:val="single" w:sz="7" w:space="0" w:color="000000"/>
              <w:bottom w:val="single" w:sz="5" w:space="0" w:color="000000"/>
              <w:right w:val="single" w:sz="7" w:space="0" w:color="000000"/>
            </w:tcBorders>
          </w:tcPr>
          <w:p w14:paraId="2397284C" w14:textId="77777777" w:rsidR="001B1C67" w:rsidRDefault="001B1C67" w:rsidP="00797234">
            <w:pPr>
              <w:pStyle w:val="TableParagraph"/>
              <w:spacing w:line="246"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lang w:val="sl-SI"/>
              </w:rPr>
              <w:t>23,8 %</w:t>
            </w:r>
          </w:p>
        </w:tc>
        <w:tc>
          <w:tcPr>
            <w:tcW w:w="1732" w:type="dxa"/>
            <w:tcBorders>
              <w:top w:val="single" w:sz="7" w:space="0" w:color="000000"/>
              <w:left w:val="single" w:sz="7" w:space="0" w:color="000000"/>
              <w:bottom w:val="single" w:sz="5" w:space="0" w:color="000000"/>
              <w:right w:val="single" w:sz="7" w:space="0" w:color="000000"/>
            </w:tcBorders>
          </w:tcPr>
          <w:p w14:paraId="78F1A0CE" w14:textId="77777777" w:rsidR="001B1C67" w:rsidRDefault="001B1C67" w:rsidP="00797234">
            <w:pPr>
              <w:pStyle w:val="TableParagraph"/>
              <w:spacing w:line="246" w:lineRule="exact"/>
              <w:ind w:left="142"/>
              <w:jc w:val="center"/>
              <w:rPr>
                <w:rFonts w:ascii="Times New Roman" w:eastAsia="Times New Roman" w:hAnsi="Times New Roman" w:cs="Times New Roman"/>
                <w:lang w:val="sl-SI"/>
              </w:rPr>
            </w:pPr>
            <w:r>
              <w:rPr>
                <w:rFonts w:ascii="Times New Roman" w:eastAsia="Times New Roman" w:hAnsi="Times New Roman" w:cs="Times New Roman"/>
                <w:lang w:val="sl-SI"/>
              </w:rPr>
              <w:t>0,303</w:t>
            </w:r>
          </w:p>
        </w:tc>
      </w:tr>
    </w:tbl>
    <w:p w14:paraId="35BB36B5" w14:textId="110CD79C" w:rsidR="001B1C67" w:rsidRDefault="001B1C67" w:rsidP="00721C46">
      <w:pPr>
        <w:pStyle w:val="a3"/>
        <w:numPr>
          <w:ilvl w:val="0"/>
          <w:numId w:val="1"/>
        </w:numPr>
        <w:ind w:leftChars="100" w:left="390" w:hanging="170"/>
        <w:rPr>
          <w:lang w:val="sl-SI"/>
        </w:rPr>
      </w:pPr>
      <w:r>
        <w:rPr>
          <w:rFonts w:eastAsia="Times New Roman"/>
          <w:lang w:val="sl-SI"/>
        </w:rPr>
        <w:t>Vrednost p za primerjavo standardnega in majhnega odmerka.</w:t>
      </w:r>
    </w:p>
    <w:p w14:paraId="6A2E9B90" w14:textId="77777777" w:rsidR="001B1C67" w:rsidRDefault="001B1C67" w:rsidP="00721C46">
      <w:pPr>
        <w:pStyle w:val="a3"/>
        <w:numPr>
          <w:ilvl w:val="0"/>
          <w:numId w:val="1"/>
        </w:numPr>
        <w:ind w:leftChars="100" w:left="390" w:hanging="170"/>
        <w:rPr>
          <w:lang w:val="sl-SI"/>
        </w:rPr>
      </w:pPr>
      <w:r>
        <w:rPr>
          <w:rFonts w:eastAsia="Times New Roman"/>
          <w:lang w:val="sl-SI"/>
        </w:rPr>
        <w:t>Zdravljenje z imunosupresivi je bilo lahko prekinjeno v 26. tednu ali po njem po presoji raziskovalca, če je bolnik izpolnjeval kriterije kliničnega odziva.</w:t>
      </w:r>
    </w:p>
    <w:p w14:paraId="1912CD0A" w14:textId="77777777" w:rsidR="001B1C67" w:rsidRDefault="001B1C67" w:rsidP="00721C46">
      <w:pPr>
        <w:pStyle w:val="a3"/>
        <w:numPr>
          <w:ilvl w:val="0"/>
          <w:numId w:val="1"/>
        </w:numPr>
        <w:ind w:leftChars="100" w:left="390" w:hanging="170"/>
        <w:rPr>
          <w:lang w:val="sl-SI"/>
        </w:rPr>
      </w:pPr>
      <w:r>
        <w:rPr>
          <w:rFonts w:eastAsia="Times New Roman"/>
          <w:lang w:val="sl-SI"/>
        </w:rPr>
        <w:lastRenderedPageBreak/>
        <w:t>Definiran kot zaprtje vseh fistul, ki so bile prisotne ob začetku študije na vsaj 2 zaporednih obiskih po začetku.</w:t>
      </w:r>
    </w:p>
    <w:p w14:paraId="0150B76D" w14:textId="77777777" w:rsidR="001B1C67" w:rsidRDefault="001B1C67" w:rsidP="001B1C67">
      <w:pPr>
        <w:spacing w:before="8" w:line="170" w:lineRule="exact"/>
        <w:rPr>
          <w:sz w:val="17"/>
          <w:szCs w:val="17"/>
          <w:lang w:val="sl-SI"/>
        </w:rPr>
      </w:pPr>
    </w:p>
    <w:p w14:paraId="10998C52" w14:textId="77777777" w:rsidR="001B1C67" w:rsidRDefault="001B1C67" w:rsidP="001B1C67">
      <w:pPr>
        <w:pStyle w:val="a3"/>
        <w:rPr>
          <w:lang w:val="sl-SI"/>
        </w:rPr>
      </w:pPr>
      <w:r>
        <w:rPr>
          <w:rFonts w:eastAsia="Times New Roman"/>
          <w:lang w:val="sl-SI"/>
        </w:rPr>
        <w:t>V obeh skupinah so opazili statistično pomembno povečanje (izboljšanje) indeksa telesne mase in hitrosti rasti od začetka študije do 26. in 52. tedna.</w:t>
      </w:r>
    </w:p>
    <w:p w14:paraId="6DA8D059" w14:textId="77777777" w:rsidR="001B1C67" w:rsidRDefault="001B1C67" w:rsidP="001B1C67">
      <w:pPr>
        <w:spacing w:before="14" w:line="240" w:lineRule="exact"/>
        <w:rPr>
          <w:sz w:val="24"/>
          <w:szCs w:val="24"/>
          <w:lang w:val="sl-SI"/>
        </w:rPr>
      </w:pPr>
    </w:p>
    <w:p w14:paraId="004DD245" w14:textId="77777777" w:rsidR="001B1C67" w:rsidRDefault="001B1C67" w:rsidP="001B1C67">
      <w:pPr>
        <w:pStyle w:val="a3"/>
        <w:rPr>
          <w:lang w:val="sl-SI"/>
        </w:rPr>
      </w:pPr>
      <w:r>
        <w:rPr>
          <w:rFonts w:eastAsia="Times New Roman"/>
          <w:lang w:val="sl-SI"/>
        </w:rPr>
        <w:t>Opazili so tudi statistično in klinično pomembno izboljšanje parametrov kakovosti življenja (vključno z IMPACT III) glede na začetek študije.</w:t>
      </w:r>
    </w:p>
    <w:p w14:paraId="44885A89" w14:textId="77777777" w:rsidR="001B1C67" w:rsidRDefault="001B1C67" w:rsidP="001B1C67">
      <w:pPr>
        <w:pStyle w:val="a3"/>
        <w:rPr>
          <w:lang w:val="sl-SI"/>
        </w:rPr>
      </w:pPr>
    </w:p>
    <w:p w14:paraId="3E061FD3" w14:textId="77777777" w:rsidR="001B1C67" w:rsidRDefault="001B1C67" w:rsidP="001B1C67">
      <w:pPr>
        <w:pStyle w:val="a3"/>
        <w:rPr>
          <w:lang w:val="sl-SI"/>
        </w:rPr>
      </w:pPr>
      <w:r>
        <w:rPr>
          <w:rFonts w:eastAsia="Times New Roman"/>
          <w:lang w:val="sl-SI"/>
        </w:rPr>
        <w:t>Sto bolnikov (n = 100) iz študije Crohnove bolezni pri pediatričnih bolnikih je nadaljevalo v odprti dolgoročni podaljšani študiji. Po 5 letih zdravljenja z adalimumabom se je glede na PCDAI klinična remisija nadaljevala pri 74,0 % (37/50) od 50 bolnikov, ki so ostali v študiji, klinični odziv pa se je nadaljeval pri 92,0 % (46/50) bolnikov, ki so ostali v študiji.</w:t>
      </w:r>
    </w:p>
    <w:p w14:paraId="2BE8B95F" w14:textId="4E7AC48A" w:rsidR="00982DE1" w:rsidRDefault="00982DE1">
      <w:pPr>
        <w:spacing w:before="16" w:line="240" w:lineRule="exact"/>
        <w:rPr>
          <w:sz w:val="24"/>
          <w:szCs w:val="24"/>
          <w:lang w:val="sl-SI"/>
        </w:rPr>
      </w:pPr>
    </w:p>
    <w:p w14:paraId="51969449" w14:textId="77777777" w:rsidR="006A7666" w:rsidRPr="00472D63" w:rsidRDefault="006A7666" w:rsidP="006A7666">
      <w:pPr>
        <w:keepNext/>
        <w:rPr>
          <w:rFonts w:ascii="Times New Roman" w:hAnsi="Times New Roman" w:cs="Times New Roman"/>
          <w:bCs/>
          <w:i/>
          <w:lang w:val="sl-SI"/>
        </w:rPr>
      </w:pPr>
      <w:r w:rsidRPr="00472D63">
        <w:rPr>
          <w:rFonts w:ascii="Times New Roman" w:hAnsi="Times New Roman" w:cs="Times New Roman"/>
          <w:i/>
          <w:lang w:val="sl-SI"/>
        </w:rPr>
        <w:t>Ulcerozni kolitis pri pediatričnih bolnikih</w:t>
      </w:r>
    </w:p>
    <w:p w14:paraId="18C3A357" w14:textId="77777777" w:rsidR="006A7666" w:rsidRPr="00472D63" w:rsidRDefault="006A7666" w:rsidP="006A7666">
      <w:pPr>
        <w:keepNext/>
        <w:rPr>
          <w:rFonts w:ascii="Times New Roman" w:hAnsi="Times New Roman" w:cs="Times New Roman"/>
          <w:bCs/>
          <w:i/>
          <w:lang w:val="sl-SI"/>
        </w:rPr>
      </w:pPr>
    </w:p>
    <w:p w14:paraId="245E0CE2" w14:textId="12D16DA7" w:rsidR="006A7666" w:rsidRPr="00472D63" w:rsidRDefault="006A7666" w:rsidP="006A7666">
      <w:pPr>
        <w:rPr>
          <w:rFonts w:ascii="Times New Roman" w:hAnsi="Times New Roman" w:cs="Times New Roman"/>
          <w:lang w:val="sl-SI"/>
        </w:rPr>
      </w:pPr>
      <w:r w:rsidRPr="00472D63">
        <w:rPr>
          <w:rFonts w:ascii="Times New Roman" w:hAnsi="Times New Roman" w:cs="Times New Roman"/>
          <w:lang w:val="sl-SI"/>
        </w:rPr>
        <w:t>Varnost in učinkovitost zdravila adalimumaba sta bili ocenjeni v multicentrični, randomizirani, dvojno slepi študiji pri 93 pediatričnih bolnikih, starih od 5 do 17 let, z zmernim do hudim ulceroznim kolitisom (ocena Mayo od 6 do 12 z endoskopsko podoceno od 2 do 3 točk, potrjeno s centralno odčitano endoskopijo), ki so imeli nezadosten odziv ali intoleranco na konvencionalno zdravljenje. Približno 16 % bolnikov v študiji je imelo neuspešno predhodno zdravljenje z zaviralci TNF. Bolnikom, ki so ob vključitvi v študijo prejemali kortikosteroide, je bilo po 4. tednu dovoljeno postopno zmanjševanje zdravljenja s kortikosteroidi.</w:t>
      </w:r>
    </w:p>
    <w:p w14:paraId="4721107E" w14:textId="77777777" w:rsidR="006A7666" w:rsidRPr="00472D63" w:rsidRDefault="006A7666" w:rsidP="006A7666">
      <w:pPr>
        <w:rPr>
          <w:rFonts w:ascii="Times New Roman" w:hAnsi="Times New Roman" w:cs="Times New Roman"/>
          <w:lang w:val="sl-SI"/>
        </w:rPr>
      </w:pPr>
    </w:p>
    <w:p w14:paraId="5A829C2C" w14:textId="654704F1" w:rsidR="006A7666" w:rsidRPr="00407F29" w:rsidRDefault="006A7666" w:rsidP="006A7666">
      <w:pPr>
        <w:rPr>
          <w:rFonts w:ascii="Times New Roman" w:hAnsi="Times New Roman" w:cs="Times New Roman"/>
          <w:lang w:val="sl-SI"/>
        </w:rPr>
      </w:pPr>
      <w:r w:rsidRPr="00407F29">
        <w:rPr>
          <w:rStyle w:val="normaltextrun"/>
          <w:rFonts w:ascii="Times New Roman" w:hAnsi="Times New Roman" w:cs="Times New Roman"/>
          <w:shd w:val="clear" w:color="auto" w:fill="FFFFFF"/>
          <w:lang w:val="sl-SI"/>
        </w:rPr>
        <w:t xml:space="preserve">V indukcijskem obdobju študije so randomizirali 77 bolnikov v razmerju 3 : 2, tako da so prejemali dvojno slepo zdravljenje z zdravilom adalimumaba z začetnim odmerkom 2,4 mg/kg (največ 160 mg) v 0. tednu in 1. tednu in 1,2 mg/kg (največ 80 mg) v 2. tednu ali z začetnim odmerkom 2,4 mg/kg (največ 160 mg) v 0. tednu, placebom v 1. tednu in 1,2 mg/kg (največ 80 mg) v 2. tednu. Obe skupini sta prejeli odmerek 0,6 mg/kg (največ 40 mg) v 4. tednu in 6. tednu. Po spremembi zasnove študije je preostalih 16 bolnikov, ki so jih vključili v indukcijsko obdobje, </w:t>
      </w:r>
      <w:r w:rsidR="00383D29" w:rsidRPr="00407F29">
        <w:rPr>
          <w:rStyle w:val="normaltextrun"/>
          <w:rFonts w:ascii="Times New Roman" w:hAnsi="Times New Roman" w:cs="Times New Roman"/>
          <w:shd w:val="clear" w:color="auto" w:fill="FFFFFF"/>
          <w:lang w:val="sl-SI"/>
        </w:rPr>
        <w:t xml:space="preserve">nezaslepljeno </w:t>
      </w:r>
      <w:r w:rsidRPr="00407F29">
        <w:rPr>
          <w:rStyle w:val="normaltextrun"/>
          <w:rFonts w:ascii="Times New Roman" w:hAnsi="Times New Roman" w:cs="Times New Roman"/>
          <w:shd w:val="clear" w:color="auto" w:fill="FFFFFF"/>
          <w:lang w:val="sl-SI"/>
        </w:rPr>
        <w:t>prejemalo zdravljenje z zdravilom adalimumaba z začetnim odmerkom 2,4 mg/kg (največ 160 mg) v 0. tednu in 1. tednu in 1,2 mg/kg (največ 80 mg) v 2. tednu.</w:t>
      </w:r>
      <w:r w:rsidRPr="00407F29">
        <w:rPr>
          <w:rStyle w:val="eop"/>
          <w:rFonts w:ascii="Times New Roman" w:hAnsi="Times New Roman" w:cs="Times New Roman"/>
          <w:shd w:val="clear" w:color="auto" w:fill="FFFFFF"/>
          <w:lang w:val="sl-SI"/>
        </w:rPr>
        <w:t> </w:t>
      </w:r>
    </w:p>
    <w:p w14:paraId="5FAE1B20" w14:textId="77777777" w:rsidR="006A7666" w:rsidRPr="00407F29" w:rsidRDefault="006A7666" w:rsidP="006A7666">
      <w:pPr>
        <w:rPr>
          <w:rFonts w:ascii="Times New Roman" w:hAnsi="Times New Roman" w:cs="Times New Roman"/>
          <w:lang w:val="sl-SI"/>
        </w:rPr>
      </w:pPr>
    </w:p>
    <w:p w14:paraId="35537DFB" w14:textId="77379C85" w:rsidR="006A7666" w:rsidRPr="00407F29" w:rsidRDefault="006A7666" w:rsidP="006A7666">
      <w:pPr>
        <w:rPr>
          <w:rStyle w:val="eop"/>
          <w:rFonts w:ascii="Times New Roman" w:hAnsi="Times New Roman" w:cs="Times New Roman"/>
          <w:shd w:val="clear" w:color="auto" w:fill="FFFFFF"/>
          <w:lang w:val="sl-SI"/>
        </w:rPr>
      </w:pPr>
      <w:r w:rsidRPr="008E156D">
        <w:rPr>
          <w:rStyle w:val="normaltextrun"/>
          <w:rFonts w:ascii="Times New Roman" w:hAnsi="Times New Roman" w:cs="Times New Roman"/>
          <w:shd w:val="clear" w:color="auto" w:fill="FFFFFF"/>
          <w:lang w:val="sl-SI"/>
        </w:rPr>
        <w:t xml:space="preserve">V 8. tednu so 62 bolnikov, ki so dosegli klinični odziv po delni oceni Mayo (PMS – Partial Mayo Score; opredeljen kot zmanjšanje PMS </w:t>
      </w:r>
      <w:r w:rsidRPr="008E156D">
        <w:rPr>
          <w:rStyle w:val="normaltextrun"/>
          <w:rFonts w:ascii="Times New Roman" w:hAnsi="Times New Roman" w:cs="Times New Roman" w:hint="eastAsia"/>
          <w:shd w:val="clear" w:color="auto" w:fill="FFFFFF"/>
          <w:lang w:val="sl-SI"/>
        </w:rPr>
        <w:t>≥</w:t>
      </w:r>
      <w:r w:rsidRPr="008E156D">
        <w:rPr>
          <w:rStyle w:val="normaltextrun"/>
          <w:rFonts w:ascii="Times New Roman" w:hAnsi="Times New Roman" w:cs="Times New Roman" w:hint="eastAsia"/>
          <w:shd w:val="clear" w:color="auto" w:fill="FFFFFF"/>
          <w:lang w:val="sl-SI"/>
        </w:rPr>
        <w:t> </w:t>
      </w:r>
      <w:r w:rsidRPr="008E156D">
        <w:rPr>
          <w:rStyle w:val="normaltextrun"/>
          <w:rFonts w:ascii="Times New Roman" w:hAnsi="Times New Roman" w:cs="Times New Roman"/>
          <w:shd w:val="clear" w:color="auto" w:fill="FFFFFF"/>
          <w:lang w:val="sl-SI"/>
        </w:rPr>
        <w:t xml:space="preserve">2 točki in </w:t>
      </w:r>
      <w:r w:rsidRPr="008E156D">
        <w:rPr>
          <w:rStyle w:val="normaltextrun"/>
          <w:rFonts w:ascii="Times New Roman" w:hAnsi="Times New Roman" w:cs="Times New Roman" w:hint="eastAsia"/>
          <w:shd w:val="clear" w:color="auto" w:fill="FFFFFF"/>
          <w:lang w:val="sl-SI"/>
        </w:rPr>
        <w:t>≥</w:t>
      </w:r>
      <w:r w:rsidRPr="008E156D">
        <w:rPr>
          <w:rStyle w:val="normaltextrun"/>
          <w:rFonts w:ascii="Times New Roman" w:hAnsi="Times New Roman" w:cs="Times New Roman" w:hint="eastAsia"/>
          <w:shd w:val="clear" w:color="auto" w:fill="FFFFFF"/>
          <w:lang w:val="sl-SI"/>
        </w:rPr>
        <w:t> </w:t>
      </w:r>
      <w:r w:rsidRPr="008E156D">
        <w:rPr>
          <w:rStyle w:val="normaltextrun"/>
          <w:rFonts w:ascii="Times New Roman" w:hAnsi="Times New Roman" w:cs="Times New Roman"/>
          <w:shd w:val="clear" w:color="auto" w:fill="FFFFFF"/>
          <w:lang w:val="sl-SI"/>
        </w:rPr>
        <w:t>30 % glede na izhodišče), uravnoteženo randomizirali tako, da so prejemali dvojno slepo vzdrževalno zdravljenje z zdravilom adalimumaba z odmerkom 0,6 mg/kg</w:t>
      </w:r>
      <w:r w:rsidRPr="00407F29">
        <w:rPr>
          <w:rStyle w:val="normaltextrun"/>
          <w:rFonts w:ascii="Times New Roman" w:hAnsi="Times New Roman" w:cs="Times New Roman"/>
          <w:shd w:val="clear" w:color="auto" w:fill="FFFFFF"/>
          <w:lang w:val="sl-SI"/>
        </w:rPr>
        <w:t xml:space="preserve"> (največ 40 mg) vsak teden (</w:t>
      </w:r>
      <w:r w:rsidRPr="00407F29">
        <w:rPr>
          <w:rStyle w:val="spellingerror"/>
          <w:rFonts w:ascii="Times New Roman" w:hAnsi="Times New Roman" w:cs="Times New Roman"/>
          <w:shd w:val="clear" w:color="auto" w:fill="FFFFFF"/>
          <w:lang w:val="sl-SI"/>
        </w:rPr>
        <w:t>VT</w:t>
      </w:r>
      <w:r w:rsidRPr="00407F29">
        <w:rPr>
          <w:rStyle w:val="normaltextrun"/>
          <w:rFonts w:ascii="Times New Roman" w:hAnsi="Times New Roman" w:cs="Times New Roman"/>
          <w:shd w:val="clear" w:color="auto" w:fill="FFFFFF"/>
          <w:lang w:val="sl-SI"/>
        </w:rPr>
        <w:t>) ali z vzdrževalnim odmerkom 0,6 mg/kg (največ 40 mg) vsak drugi teden (</w:t>
      </w:r>
      <w:r w:rsidRPr="00407F29">
        <w:rPr>
          <w:rStyle w:val="spellingerror"/>
          <w:rFonts w:ascii="Times New Roman" w:hAnsi="Times New Roman" w:cs="Times New Roman"/>
          <w:shd w:val="clear" w:color="auto" w:fill="FFFFFF"/>
          <w:lang w:val="sl-SI"/>
        </w:rPr>
        <w:t>VDT</w:t>
      </w:r>
      <w:r w:rsidRPr="00407F29">
        <w:rPr>
          <w:rStyle w:val="normaltextrun"/>
          <w:rFonts w:ascii="Times New Roman" w:hAnsi="Times New Roman" w:cs="Times New Roman"/>
          <w:shd w:val="clear" w:color="auto" w:fill="FFFFFF"/>
          <w:lang w:val="sl-SI"/>
        </w:rPr>
        <w:t>). Pred spremembo zasnove študije so 12 dodatnih bolnikov, ki so dosegli klinični odziv po PMS, randomizirali tako, da so prejemali placebo, niso pa jih vključili v potrditveno analizo učinkovitosti.</w:t>
      </w:r>
    </w:p>
    <w:p w14:paraId="5F14DA7A" w14:textId="77777777" w:rsidR="006A7666" w:rsidRPr="00407F29" w:rsidRDefault="006A7666" w:rsidP="006A7666">
      <w:pPr>
        <w:rPr>
          <w:rFonts w:ascii="Times New Roman" w:hAnsi="Times New Roman" w:cs="Times New Roman"/>
          <w:lang w:val="sl-SI"/>
        </w:rPr>
      </w:pPr>
    </w:p>
    <w:p w14:paraId="3E0E616C" w14:textId="77777777" w:rsidR="006A7666" w:rsidRPr="00407F29" w:rsidRDefault="006A7666" w:rsidP="006A7666">
      <w:pPr>
        <w:rPr>
          <w:rFonts w:ascii="Times New Roman" w:hAnsi="Times New Roman" w:cs="Times New Roman"/>
          <w:lang w:val="sl-SI"/>
        </w:rPr>
      </w:pPr>
      <w:r w:rsidRPr="00407F29">
        <w:rPr>
          <w:rFonts w:ascii="Times New Roman" w:hAnsi="Times New Roman" w:cs="Times New Roman"/>
          <w:lang w:val="sl-SI"/>
        </w:rPr>
        <w:t>Zagon bolezni je bil opredeljen kot povečanje PMS za najmanj 3 točke (za bolnike s PMS od 0 do 2 v 8. tednu), najmanj 2 točki (za bolnike s PMS od 3 do 4 v 8. tednu) ali najmanj 1 točko (za bolnike s PMS od 5 do 6 v 8. tednu). </w:t>
      </w:r>
    </w:p>
    <w:p w14:paraId="48BC43AD" w14:textId="77777777" w:rsidR="006A7666" w:rsidRPr="00407F29" w:rsidRDefault="006A7666" w:rsidP="006A7666">
      <w:pPr>
        <w:rPr>
          <w:rFonts w:ascii="Times New Roman" w:hAnsi="Times New Roman" w:cs="Times New Roman"/>
          <w:lang w:val="sl-SI"/>
        </w:rPr>
      </w:pPr>
    </w:p>
    <w:p w14:paraId="38975C74" w14:textId="6BE736A3" w:rsidR="007E758B" w:rsidRPr="008E156D" w:rsidRDefault="006A7666" w:rsidP="00721C46">
      <w:pPr>
        <w:rPr>
          <w:lang w:val="sl-SI"/>
        </w:rPr>
      </w:pPr>
      <w:r w:rsidRPr="00407F29">
        <w:rPr>
          <w:rFonts w:ascii="Times New Roman" w:hAnsi="Times New Roman" w:cs="Times New Roman"/>
          <w:lang w:val="sl-SI"/>
        </w:rPr>
        <w:t>Bolnike, ki so dosegli merila za zagon bolezni v 12. tednu ali pozneje, so randomizirali tako, da so prejeli ponovni začetni odmerek 2,4 mg/kg (največ 160 mg) ali odmerek 0,6 mg/kg (največ 40 mg) ter potem še naprej prejemali svoj določeni vzdrževalni režim odmerjanja.</w:t>
      </w:r>
    </w:p>
    <w:p w14:paraId="4FC35C4A" w14:textId="573C1FA8" w:rsidR="006A7666" w:rsidRPr="001452D7" w:rsidRDefault="006A7666" w:rsidP="006A7666">
      <w:pPr>
        <w:pStyle w:val="gtcbodytext"/>
        <w:spacing w:after="0" w:line="240" w:lineRule="auto"/>
        <w:rPr>
          <w:i/>
          <w:iCs/>
          <w:sz w:val="22"/>
          <w:szCs w:val="22"/>
          <w:u w:val="single"/>
          <w:lang w:val="sl-SI"/>
        </w:rPr>
      </w:pPr>
      <w:r w:rsidRPr="001452D7">
        <w:rPr>
          <w:i/>
          <w:sz w:val="22"/>
          <w:u w:val="single"/>
          <w:lang w:val="sl-SI"/>
        </w:rPr>
        <w:t>Rezultati učinkovitosti</w:t>
      </w:r>
    </w:p>
    <w:p w14:paraId="14B86B90" w14:textId="77777777" w:rsidR="006A7666" w:rsidRPr="00407F29" w:rsidRDefault="006A7666" w:rsidP="006A7666">
      <w:pPr>
        <w:rPr>
          <w:rFonts w:ascii="Times New Roman" w:hAnsi="Times New Roman" w:cs="Times New Roman"/>
          <w:lang w:val="sl-SI"/>
        </w:rPr>
      </w:pPr>
    </w:p>
    <w:p w14:paraId="02031D47" w14:textId="634F781F" w:rsidR="006A7666" w:rsidRPr="00407F29" w:rsidRDefault="00383D29" w:rsidP="006A7666">
      <w:pPr>
        <w:rPr>
          <w:rFonts w:ascii="Times New Roman" w:hAnsi="Times New Roman" w:cs="Times New Roman"/>
          <w:lang w:val="sl-SI"/>
        </w:rPr>
      </w:pPr>
      <w:r w:rsidRPr="00407F29">
        <w:rPr>
          <w:rFonts w:ascii="Times New Roman" w:hAnsi="Times New Roman" w:cs="Times New Roman"/>
          <w:lang w:val="sl-SI"/>
        </w:rPr>
        <w:t>Soprimarna</w:t>
      </w:r>
      <w:r w:rsidR="006A7666" w:rsidRPr="00407F29">
        <w:rPr>
          <w:rFonts w:ascii="Times New Roman" w:hAnsi="Times New Roman" w:cs="Times New Roman"/>
          <w:lang w:val="sl-SI"/>
        </w:rPr>
        <w:t xml:space="preserve"> opazovana izida v študiji sta bila klinična remisija po PMS (opredeljena kot PMS </w:t>
      </w:r>
      <w:r w:rsidR="006A7666" w:rsidRPr="00407F29">
        <w:rPr>
          <w:rFonts w:ascii="Times New Roman" w:hAnsi="Times New Roman" w:cs="Times New Roman" w:hint="eastAsia"/>
          <w:lang w:val="sl-SI"/>
        </w:rPr>
        <w:t>≤</w:t>
      </w:r>
      <w:r w:rsidR="006A7666" w:rsidRPr="00407F29">
        <w:rPr>
          <w:rFonts w:ascii="Times New Roman" w:hAnsi="Times New Roman" w:cs="Times New Roman" w:hint="eastAsia"/>
          <w:lang w:val="sl-SI"/>
        </w:rPr>
        <w:t> </w:t>
      </w:r>
      <w:r w:rsidR="006A7666" w:rsidRPr="00407F29">
        <w:rPr>
          <w:rFonts w:ascii="Times New Roman" w:hAnsi="Times New Roman" w:cs="Times New Roman"/>
          <w:lang w:val="sl-SI"/>
        </w:rPr>
        <w:t xml:space="preserve">2 brez posamezne podocene &gt; 1) v 8. tednu in klinična remisija po FMS (Full Mayo Score – popolna ocena Mayo) (opredeljena kot ocena Mayo </w:t>
      </w:r>
      <w:r w:rsidR="006A7666" w:rsidRPr="00407F29">
        <w:rPr>
          <w:rFonts w:ascii="Times New Roman" w:hAnsi="Times New Roman" w:cs="Times New Roman" w:hint="eastAsia"/>
          <w:lang w:val="sl-SI"/>
        </w:rPr>
        <w:t>≤</w:t>
      </w:r>
      <w:r w:rsidR="006A7666" w:rsidRPr="00407F29">
        <w:rPr>
          <w:rFonts w:ascii="Times New Roman" w:hAnsi="Times New Roman" w:cs="Times New Roman" w:hint="eastAsia"/>
          <w:lang w:val="sl-SI"/>
        </w:rPr>
        <w:t> </w:t>
      </w:r>
      <w:r w:rsidR="006A7666" w:rsidRPr="00407F29">
        <w:rPr>
          <w:rFonts w:ascii="Times New Roman" w:hAnsi="Times New Roman" w:cs="Times New Roman"/>
          <w:lang w:val="sl-SI"/>
        </w:rPr>
        <w:t>2 brez posamezne podocene &gt; 1) v 52. tednu pri bolnikih, ki so dosegli klinični odziv po PMS v 8. tednu.</w:t>
      </w:r>
    </w:p>
    <w:p w14:paraId="4C86D57B" w14:textId="77777777" w:rsidR="006A7666" w:rsidRPr="00407F29" w:rsidRDefault="006A7666" w:rsidP="006A7666">
      <w:pPr>
        <w:textAlignment w:val="baseline"/>
        <w:rPr>
          <w:rFonts w:ascii="Times New Roman" w:hAnsi="Times New Roman" w:cs="Times New Roman"/>
          <w:lang w:val="sl-SI" w:eastAsia="en-GB"/>
        </w:rPr>
      </w:pPr>
    </w:p>
    <w:p w14:paraId="6BB89B5C" w14:textId="66888EC1" w:rsidR="006A7666" w:rsidRPr="00407F29" w:rsidRDefault="006A7666" w:rsidP="006A7666">
      <w:pPr>
        <w:textAlignment w:val="baseline"/>
        <w:rPr>
          <w:rFonts w:ascii="Times New Roman" w:hAnsi="Times New Roman" w:cs="Times New Roman"/>
          <w:lang w:val="sl-SI"/>
        </w:rPr>
      </w:pPr>
      <w:r w:rsidRPr="00407F29">
        <w:rPr>
          <w:rFonts w:ascii="Times New Roman" w:hAnsi="Times New Roman" w:cs="Times New Roman"/>
          <w:lang w:val="sl-SI"/>
        </w:rPr>
        <w:t>Stopnje klinične remisije po PMS v 8. tednu pri bolnikih v vsaki od skupin z dvojno slepim indukcijskim zdravljenjem z zdravilom adalimumaba so predstavljene v preglednici 31. </w:t>
      </w:r>
    </w:p>
    <w:p w14:paraId="7B58A3C2" w14:textId="01E5075E" w:rsidR="00721C46" w:rsidRDefault="006A7666" w:rsidP="00721C46">
      <w:pPr>
        <w:pStyle w:val="gtcbodytext"/>
        <w:spacing w:after="0" w:line="240" w:lineRule="auto"/>
        <w:jc w:val="center"/>
        <w:rPr>
          <w:b/>
          <w:sz w:val="22"/>
          <w:lang w:val="sl-SI"/>
        </w:rPr>
      </w:pPr>
      <w:r w:rsidRPr="00472D63">
        <w:rPr>
          <w:b/>
          <w:sz w:val="22"/>
          <w:lang w:val="sl-SI"/>
        </w:rPr>
        <w:t>Preglednica 31: Klinična remisija po PMS v 8. tednu</w:t>
      </w:r>
    </w:p>
    <w:p w14:paraId="33A15CCA" w14:textId="77777777" w:rsidR="00721C46" w:rsidRPr="00472D63" w:rsidRDefault="00721C46" w:rsidP="00721C46">
      <w:pPr>
        <w:pStyle w:val="gtcbodytext"/>
        <w:spacing w:before="0" w:after="0" w:line="240" w:lineRule="auto"/>
        <w:jc w:val="center"/>
        <w:rPr>
          <w:rStyle w:val="normaltextrun"/>
          <w:b/>
          <w:sz w:val="22"/>
          <w:szCs w:val="22"/>
          <w:lang w:val="sl-SI" w:eastAsia="sl-SI"/>
        </w:rPr>
      </w:pPr>
    </w:p>
    <w:tbl>
      <w:tblPr>
        <w:tblW w:w="4916" w:type="pct"/>
        <w:jc w:val="center"/>
        <w:tblLook w:val="04A0" w:firstRow="1" w:lastRow="0" w:firstColumn="1" w:lastColumn="0" w:noHBand="0" w:noVBand="1"/>
      </w:tblPr>
      <w:tblGrid>
        <w:gridCol w:w="3300"/>
        <w:gridCol w:w="3034"/>
        <w:gridCol w:w="3089"/>
      </w:tblGrid>
      <w:tr w:rsidR="006A7666" w:rsidRPr="006A7666" w14:paraId="72FFD94B" w14:textId="77777777" w:rsidTr="0030421B">
        <w:trPr>
          <w:jc w:val="center"/>
        </w:trPr>
        <w:tc>
          <w:tcPr>
            <w:tcW w:w="1751"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7169E00B" w14:textId="77777777" w:rsidR="006A7666" w:rsidRPr="00797234" w:rsidRDefault="006A7666" w:rsidP="00797234">
            <w:pPr>
              <w:rPr>
                <w:rFonts w:ascii="Times New Roman" w:hAnsi="Times New Roman" w:cs="Times New Roman"/>
                <w:lang w:val="sl-SI"/>
              </w:rPr>
            </w:pPr>
          </w:p>
        </w:tc>
        <w:tc>
          <w:tcPr>
            <w:tcW w:w="1610"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5C50155" w14:textId="16217D24" w:rsidR="006A7666" w:rsidRPr="006A7666" w:rsidRDefault="006A7666" w:rsidP="00797234">
            <w:pPr>
              <w:pStyle w:val="paragraph"/>
              <w:spacing w:before="0" w:beforeAutospacing="0" w:after="0" w:afterAutospacing="0"/>
              <w:jc w:val="center"/>
              <w:textAlignment w:val="baseline"/>
              <w:rPr>
                <w:b/>
                <w:bCs/>
                <w:sz w:val="22"/>
                <w:szCs w:val="22"/>
              </w:rPr>
            </w:pPr>
            <w:r>
              <w:rPr>
                <w:rStyle w:val="spellingerror"/>
                <w:b/>
                <w:sz w:val="22"/>
              </w:rPr>
              <w:t>Adalimumab</w:t>
            </w:r>
            <w:r w:rsidRPr="006A7666">
              <w:rPr>
                <w:rStyle w:val="spellingerror"/>
                <w:b/>
                <w:sz w:val="22"/>
                <w:vertAlign w:val="superscript"/>
              </w:rPr>
              <w:t>a</w:t>
            </w:r>
            <w:r w:rsidRPr="006A7666">
              <w:rPr>
                <w:rStyle w:val="eop"/>
                <w:b/>
                <w:sz w:val="22"/>
              </w:rPr>
              <w:t> </w:t>
            </w:r>
          </w:p>
          <w:p w14:paraId="71D0CCC1" w14:textId="77777777" w:rsidR="006A7666" w:rsidRPr="00797234" w:rsidRDefault="006A7666" w:rsidP="00797234">
            <w:pPr>
              <w:jc w:val="center"/>
              <w:rPr>
                <w:rStyle w:val="eop"/>
                <w:rFonts w:ascii="Times New Roman" w:hAnsi="Times New Roman" w:cs="Times New Roman"/>
                <w:b/>
                <w:bCs/>
                <w:lang w:val="sl-SI"/>
              </w:rPr>
            </w:pPr>
            <w:r w:rsidRPr="00797234">
              <w:rPr>
                <w:rStyle w:val="normaltextrun"/>
                <w:rFonts w:ascii="Times New Roman" w:hAnsi="Times New Roman" w:cs="Times New Roman"/>
                <w:b/>
                <w:lang w:val="sl-SI"/>
              </w:rPr>
              <w:t>Največ 160 mg v 0. tednu / Placebo v 1. tednu</w:t>
            </w:r>
            <w:r w:rsidRPr="00797234">
              <w:rPr>
                <w:rStyle w:val="eop"/>
                <w:rFonts w:ascii="Times New Roman" w:hAnsi="Times New Roman" w:cs="Times New Roman"/>
                <w:b/>
                <w:lang w:val="sl-SI"/>
              </w:rPr>
              <w:t> </w:t>
            </w:r>
          </w:p>
          <w:p w14:paraId="724BEEC3" w14:textId="77777777" w:rsidR="006A7666" w:rsidRPr="00797234" w:rsidRDefault="006A7666" w:rsidP="00797234">
            <w:pPr>
              <w:jc w:val="center"/>
              <w:rPr>
                <w:rFonts w:ascii="Times New Roman" w:hAnsi="Times New Roman" w:cs="Times New Roman"/>
                <w:lang w:val="sl-SI"/>
              </w:rPr>
            </w:pPr>
            <w:r w:rsidRPr="00797234">
              <w:rPr>
                <w:rStyle w:val="eop"/>
                <w:rFonts w:ascii="Times New Roman" w:hAnsi="Times New Roman" w:cs="Times New Roman"/>
                <w:lang w:val="sl-SI"/>
              </w:rPr>
              <w:t>N = 30</w:t>
            </w:r>
          </w:p>
        </w:tc>
        <w:tc>
          <w:tcPr>
            <w:tcW w:w="1640"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613A958" w14:textId="528AE2B1" w:rsidR="006A7666" w:rsidRPr="006A7666" w:rsidRDefault="006A7666" w:rsidP="00797234">
            <w:pPr>
              <w:pStyle w:val="paragraph"/>
              <w:spacing w:before="0" w:beforeAutospacing="0" w:after="0" w:afterAutospacing="0"/>
              <w:jc w:val="center"/>
              <w:textAlignment w:val="baseline"/>
              <w:rPr>
                <w:b/>
                <w:bCs/>
                <w:sz w:val="22"/>
                <w:szCs w:val="22"/>
              </w:rPr>
            </w:pPr>
            <w:r>
              <w:rPr>
                <w:rStyle w:val="spellingerror"/>
                <w:b/>
                <w:sz w:val="22"/>
              </w:rPr>
              <w:t>Adalimumab</w:t>
            </w:r>
            <w:r w:rsidRPr="006A7666">
              <w:rPr>
                <w:rStyle w:val="spellingerror"/>
                <w:b/>
                <w:sz w:val="22"/>
                <w:vertAlign w:val="superscript"/>
              </w:rPr>
              <w:t>b</w:t>
            </w:r>
            <w:r w:rsidRPr="006A7666">
              <w:rPr>
                <w:rStyle w:val="normaltextrun"/>
                <w:b/>
                <w:sz w:val="22"/>
                <w:vertAlign w:val="superscript"/>
              </w:rPr>
              <w:t>, c</w:t>
            </w:r>
            <w:r w:rsidRPr="006A7666">
              <w:rPr>
                <w:rStyle w:val="eop"/>
                <w:b/>
                <w:sz w:val="22"/>
              </w:rPr>
              <w:t> </w:t>
            </w:r>
          </w:p>
          <w:p w14:paraId="1B549493" w14:textId="77777777" w:rsidR="006A7666" w:rsidRPr="00797234" w:rsidRDefault="006A7666" w:rsidP="00797234">
            <w:pPr>
              <w:jc w:val="center"/>
              <w:rPr>
                <w:rStyle w:val="eop"/>
                <w:rFonts w:ascii="Times New Roman" w:hAnsi="Times New Roman" w:cs="Times New Roman"/>
                <w:b/>
                <w:bCs/>
                <w:lang w:val="sl-SI"/>
              </w:rPr>
            </w:pPr>
            <w:r w:rsidRPr="00797234">
              <w:rPr>
                <w:rStyle w:val="normaltextrun"/>
                <w:rFonts w:ascii="Times New Roman" w:hAnsi="Times New Roman" w:cs="Times New Roman"/>
                <w:b/>
                <w:lang w:val="sl-SI"/>
              </w:rPr>
              <w:t>Največ 160 mg v 0. tednu in 1. tednu</w:t>
            </w:r>
            <w:r w:rsidRPr="00797234">
              <w:rPr>
                <w:rStyle w:val="eop"/>
                <w:rFonts w:ascii="Times New Roman" w:hAnsi="Times New Roman" w:cs="Times New Roman"/>
                <w:b/>
                <w:lang w:val="sl-SI"/>
              </w:rPr>
              <w:t> </w:t>
            </w:r>
          </w:p>
          <w:p w14:paraId="16D48BB2" w14:textId="77777777" w:rsidR="006A7666" w:rsidRPr="00797234" w:rsidRDefault="006A7666" w:rsidP="00797234">
            <w:pPr>
              <w:jc w:val="center"/>
              <w:rPr>
                <w:rFonts w:ascii="Times New Roman" w:hAnsi="Times New Roman" w:cs="Times New Roman"/>
                <w:lang w:val="sl-SI"/>
              </w:rPr>
            </w:pPr>
            <w:r w:rsidRPr="00797234">
              <w:rPr>
                <w:rStyle w:val="eop"/>
                <w:rFonts w:ascii="Times New Roman" w:hAnsi="Times New Roman" w:cs="Times New Roman"/>
                <w:lang w:val="sl-SI"/>
              </w:rPr>
              <w:t>N = 47</w:t>
            </w:r>
          </w:p>
        </w:tc>
      </w:tr>
      <w:tr w:rsidR="006A7666" w:rsidRPr="006A7666" w14:paraId="477F584F" w14:textId="77777777" w:rsidTr="0030421B">
        <w:trPr>
          <w:jc w:val="center"/>
        </w:trPr>
        <w:tc>
          <w:tcPr>
            <w:tcW w:w="1751"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5C4003D6" w14:textId="77777777" w:rsidR="006A7666" w:rsidRPr="00797234" w:rsidRDefault="006A7666" w:rsidP="00797234">
            <w:pPr>
              <w:rPr>
                <w:rFonts w:ascii="Times New Roman" w:hAnsi="Times New Roman" w:cs="Times New Roman"/>
                <w:lang w:val="sl-SI"/>
              </w:rPr>
            </w:pPr>
            <w:r w:rsidRPr="00797234">
              <w:rPr>
                <w:rFonts w:ascii="Times New Roman" w:hAnsi="Times New Roman" w:cs="Times New Roman"/>
                <w:lang w:val="sl-SI"/>
              </w:rPr>
              <w:t>Klinična remisija</w:t>
            </w:r>
          </w:p>
        </w:tc>
        <w:tc>
          <w:tcPr>
            <w:tcW w:w="1610"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1EE010AC" w14:textId="77777777" w:rsidR="006A7666" w:rsidRPr="00797234" w:rsidRDefault="006A7666" w:rsidP="00797234">
            <w:pPr>
              <w:jc w:val="center"/>
              <w:rPr>
                <w:rFonts w:ascii="Times New Roman" w:hAnsi="Times New Roman" w:cs="Times New Roman"/>
                <w:lang w:val="sl-SI"/>
              </w:rPr>
            </w:pPr>
            <w:r w:rsidRPr="00797234">
              <w:rPr>
                <w:rFonts w:ascii="Times New Roman" w:hAnsi="Times New Roman" w:cs="Times New Roman"/>
                <w:lang w:val="sl-SI"/>
              </w:rPr>
              <w:t>13/30 (43,3%)</w:t>
            </w:r>
          </w:p>
        </w:tc>
        <w:tc>
          <w:tcPr>
            <w:tcW w:w="1640"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4EC477E" w14:textId="77777777" w:rsidR="006A7666" w:rsidRPr="00797234" w:rsidRDefault="006A7666" w:rsidP="00797234">
            <w:pPr>
              <w:jc w:val="center"/>
              <w:rPr>
                <w:rFonts w:ascii="Times New Roman" w:hAnsi="Times New Roman" w:cs="Times New Roman"/>
                <w:vertAlign w:val="superscript"/>
                <w:lang w:val="sl-SI"/>
              </w:rPr>
            </w:pPr>
            <w:r w:rsidRPr="00797234">
              <w:rPr>
                <w:rFonts w:ascii="Times New Roman" w:hAnsi="Times New Roman" w:cs="Times New Roman"/>
                <w:lang w:val="sl-SI"/>
              </w:rPr>
              <w:t>28/47 (59,6 %)</w:t>
            </w:r>
          </w:p>
        </w:tc>
      </w:tr>
      <w:tr w:rsidR="006A7666" w:rsidRPr="00652F18" w14:paraId="336C2E54" w14:textId="77777777" w:rsidTr="0030421B">
        <w:trPr>
          <w:trHeight w:val="1867"/>
          <w:jc w:val="center"/>
        </w:trPr>
        <w:tc>
          <w:tcPr>
            <w:tcW w:w="5000" w:type="pct"/>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7B6B96A1" w14:textId="2BB64923" w:rsidR="006A7666" w:rsidRPr="006A7666" w:rsidRDefault="006A7666" w:rsidP="00797234">
            <w:pPr>
              <w:pStyle w:val="paragraph"/>
              <w:spacing w:before="0" w:beforeAutospacing="0" w:after="0" w:afterAutospacing="0"/>
              <w:textAlignment w:val="baseline"/>
              <w:rPr>
                <w:sz w:val="22"/>
                <w:szCs w:val="22"/>
              </w:rPr>
            </w:pPr>
            <w:r w:rsidRPr="006A7666">
              <w:rPr>
                <w:rStyle w:val="normaltextrun"/>
                <w:sz w:val="22"/>
                <w:vertAlign w:val="superscript"/>
              </w:rPr>
              <w:t>a </w:t>
            </w:r>
            <w:r>
              <w:rPr>
                <w:rStyle w:val="normaltextrun"/>
                <w:sz w:val="22"/>
              </w:rPr>
              <w:t>Adalimumaba</w:t>
            </w:r>
            <w:r w:rsidRPr="006A7666">
              <w:rPr>
                <w:rStyle w:val="normaltextrun"/>
                <w:sz w:val="22"/>
              </w:rPr>
              <w:t xml:space="preserve"> 2,4 mg/kg (največ 160 mg) v 0. tednu, placebo v 1. tednu in </w:t>
            </w:r>
            <w:r>
              <w:rPr>
                <w:rStyle w:val="normaltextrun"/>
                <w:sz w:val="22"/>
              </w:rPr>
              <w:t>adalimumaba</w:t>
            </w:r>
            <w:r w:rsidRPr="006A7666">
              <w:rPr>
                <w:rStyle w:val="normaltextrun"/>
                <w:sz w:val="22"/>
              </w:rPr>
              <w:t xml:space="preserve"> 1,2 mg/kg (največ 80 mg) v 2. tednu</w:t>
            </w:r>
            <w:r w:rsidRPr="006A7666">
              <w:rPr>
                <w:rStyle w:val="eop"/>
                <w:sz w:val="22"/>
              </w:rPr>
              <w:t> </w:t>
            </w:r>
          </w:p>
          <w:p w14:paraId="697E86B6" w14:textId="495D4F4E" w:rsidR="006A7666" w:rsidRPr="006A7666" w:rsidRDefault="006A7666" w:rsidP="00797234">
            <w:pPr>
              <w:pStyle w:val="paragraph"/>
              <w:spacing w:before="0" w:beforeAutospacing="0" w:after="0" w:afterAutospacing="0"/>
              <w:textAlignment w:val="baseline"/>
              <w:rPr>
                <w:sz w:val="22"/>
                <w:szCs w:val="22"/>
              </w:rPr>
            </w:pPr>
            <w:r w:rsidRPr="006A7666">
              <w:rPr>
                <w:rStyle w:val="normaltextrun"/>
                <w:sz w:val="22"/>
                <w:vertAlign w:val="superscript"/>
              </w:rPr>
              <w:t>b </w:t>
            </w:r>
            <w:r>
              <w:rPr>
                <w:rStyle w:val="normaltextrun"/>
                <w:sz w:val="22"/>
              </w:rPr>
              <w:t>Adalimumaba</w:t>
            </w:r>
            <w:r w:rsidRPr="006A7666">
              <w:rPr>
                <w:rStyle w:val="normaltextrun"/>
                <w:sz w:val="22"/>
              </w:rPr>
              <w:t xml:space="preserve"> 2,4 mg/kg (največ 160 mg) v 0. tednu in 1. tednu in </w:t>
            </w:r>
            <w:r>
              <w:rPr>
                <w:rStyle w:val="normaltextrun"/>
                <w:sz w:val="22"/>
              </w:rPr>
              <w:t>adalimumaba</w:t>
            </w:r>
            <w:r w:rsidRPr="006A7666">
              <w:rPr>
                <w:rStyle w:val="normaltextrun"/>
                <w:sz w:val="22"/>
              </w:rPr>
              <w:t xml:space="preserve"> 1,2 mg/kg (največ 80 mg) v 2. tednu</w:t>
            </w:r>
            <w:r w:rsidRPr="006A7666">
              <w:rPr>
                <w:rStyle w:val="eop"/>
                <w:sz w:val="22"/>
              </w:rPr>
              <w:t> </w:t>
            </w:r>
          </w:p>
          <w:p w14:paraId="3602E76F" w14:textId="305549EA" w:rsidR="006A7666" w:rsidRPr="006A7666" w:rsidRDefault="006A7666" w:rsidP="00797234">
            <w:pPr>
              <w:pStyle w:val="paragraph"/>
              <w:spacing w:before="0" w:beforeAutospacing="0" w:after="0" w:afterAutospacing="0"/>
              <w:textAlignment w:val="baseline"/>
              <w:rPr>
                <w:sz w:val="22"/>
                <w:szCs w:val="22"/>
              </w:rPr>
            </w:pPr>
            <w:r w:rsidRPr="006A7666">
              <w:rPr>
                <w:rStyle w:val="normaltextrun"/>
                <w:sz w:val="22"/>
                <w:vertAlign w:val="superscript"/>
              </w:rPr>
              <w:t>c</w:t>
            </w:r>
            <w:r w:rsidRPr="006A7666">
              <w:rPr>
                <w:rStyle w:val="normaltextrun"/>
                <w:sz w:val="22"/>
              </w:rPr>
              <w:t xml:space="preserve"> Ni vključeno </w:t>
            </w:r>
            <w:r w:rsidR="00383D29" w:rsidRPr="00383D29">
              <w:rPr>
                <w:rStyle w:val="normaltextrun"/>
                <w:sz w:val="22"/>
              </w:rPr>
              <w:t>nezaslepljeno</w:t>
            </w:r>
            <w:r w:rsidRPr="006A7666">
              <w:rPr>
                <w:rStyle w:val="normaltextrun"/>
                <w:sz w:val="22"/>
              </w:rPr>
              <w:t xml:space="preserve"> zdravljenje z začetnim odmerkom zdravila </w:t>
            </w:r>
            <w:r>
              <w:rPr>
                <w:rStyle w:val="normaltextrun"/>
                <w:sz w:val="22"/>
              </w:rPr>
              <w:t>adalimumaba</w:t>
            </w:r>
            <w:r w:rsidRPr="006A7666">
              <w:rPr>
                <w:rStyle w:val="normaltextrun"/>
                <w:sz w:val="22"/>
              </w:rPr>
              <w:t xml:space="preserve"> 2,4 mg/kg (največ 160 mg) v 0. tednu in 1. tednu in 1,2 mg/kg (največ 80 mg) v 2. tednu</w:t>
            </w:r>
          </w:p>
          <w:p w14:paraId="287555B5" w14:textId="77777777" w:rsidR="006A7666" w:rsidRPr="006A7666" w:rsidRDefault="006A7666" w:rsidP="00797234">
            <w:pPr>
              <w:pStyle w:val="paragraph"/>
              <w:spacing w:before="0" w:beforeAutospacing="0" w:after="0" w:afterAutospacing="0"/>
              <w:textAlignment w:val="baseline"/>
              <w:rPr>
                <w:sz w:val="22"/>
                <w:szCs w:val="22"/>
              </w:rPr>
            </w:pPr>
            <w:r w:rsidRPr="006A7666">
              <w:rPr>
                <w:rStyle w:val="normaltextrun"/>
                <w:sz w:val="22"/>
              </w:rPr>
              <w:t>Opomba 1: Obe indukcijski skupini sta prejeli odmerek 0,6 mg/kg (največ 40 mg) v 4. tednu in 6. tednu</w:t>
            </w:r>
            <w:r w:rsidRPr="006A7666">
              <w:rPr>
                <w:rStyle w:val="eop"/>
                <w:sz w:val="22"/>
              </w:rPr>
              <w:t> </w:t>
            </w:r>
          </w:p>
          <w:p w14:paraId="3865C610" w14:textId="77777777" w:rsidR="006A7666" w:rsidRPr="0028193B" w:rsidRDefault="006A7666" w:rsidP="00797234">
            <w:pPr>
              <w:pStyle w:val="paragraph"/>
              <w:spacing w:before="0" w:beforeAutospacing="0" w:after="0" w:afterAutospacing="0"/>
              <w:textAlignment w:val="baseline"/>
              <w:rPr>
                <w:sz w:val="22"/>
                <w:szCs w:val="22"/>
              </w:rPr>
            </w:pPr>
            <w:r w:rsidRPr="0028193B">
              <w:rPr>
                <w:rStyle w:val="normaltextrun"/>
                <w:sz w:val="22"/>
              </w:rPr>
              <w:t>Opomba 2: Bolnike z manjkajočimi vrednostmi v 8. tednu so obravnavali, kot da niso dosegli opazovanega izida</w:t>
            </w:r>
            <w:r w:rsidRPr="0028193B">
              <w:rPr>
                <w:rStyle w:val="eop"/>
                <w:sz w:val="22"/>
              </w:rPr>
              <w:t> </w:t>
            </w:r>
          </w:p>
        </w:tc>
      </w:tr>
    </w:tbl>
    <w:p w14:paraId="583A102D" w14:textId="77777777" w:rsidR="006A7666" w:rsidRPr="00797234" w:rsidRDefault="006A7666" w:rsidP="006A7666">
      <w:pPr>
        <w:rPr>
          <w:rFonts w:ascii="Times New Roman" w:hAnsi="Times New Roman" w:cs="Times New Roman"/>
          <w:lang w:val="sl-SI"/>
        </w:rPr>
      </w:pPr>
    </w:p>
    <w:p w14:paraId="468B6903" w14:textId="21C9B147" w:rsidR="006A7666" w:rsidRPr="008E156D" w:rsidRDefault="006A7666" w:rsidP="006A7666">
      <w:pPr>
        <w:rPr>
          <w:rFonts w:ascii="Times New Roman" w:hAnsi="Times New Roman" w:cs="Times New Roman"/>
          <w:lang w:val="sl-SI"/>
        </w:rPr>
      </w:pPr>
      <w:r w:rsidRPr="00797234">
        <w:rPr>
          <w:rStyle w:val="normaltextrun"/>
          <w:rFonts w:ascii="Times New Roman" w:hAnsi="Times New Roman" w:cs="Times New Roman"/>
          <w:shd w:val="clear" w:color="auto" w:fill="FFFFFF"/>
          <w:lang w:val="sl-SI"/>
        </w:rPr>
        <w:t xml:space="preserve">V 52. tednu so pri bolnikih, ki so prejemali zdravilo </w:t>
      </w:r>
      <w:r>
        <w:rPr>
          <w:rStyle w:val="normaltextrun"/>
          <w:rFonts w:ascii="Times New Roman" w:hAnsi="Times New Roman" w:cs="Times New Roman"/>
          <w:shd w:val="clear" w:color="auto" w:fill="FFFFFF"/>
          <w:lang w:val="sl-SI"/>
        </w:rPr>
        <w:t>adalimumaba</w:t>
      </w:r>
      <w:r w:rsidRPr="00797234">
        <w:rPr>
          <w:rStyle w:val="normaltextrun"/>
          <w:rFonts w:ascii="Times New Roman" w:hAnsi="Times New Roman" w:cs="Times New Roman"/>
          <w:shd w:val="clear" w:color="auto" w:fill="FFFFFF"/>
          <w:lang w:val="sl-SI"/>
        </w:rPr>
        <w:t xml:space="preserve"> z dvojno slepim vzdrževalnim odmerkom </w:t>
      </w:r>
      <w:r w:rsidRPr="00407F29">
        <w:rPr>
          <w:rStyle w:val="normaltextrun"/>
          <w:rFonts w:ascii="Times New Roman" w:hAnsi="Times New Roman" w:cs="Times New Roman"/>
          <w:shd w:val="clear" w:color="auto" w:fill="FFFFFF"/>
          <w:lang w:val="sl-SI"/>
        </w:rPr>
        <w:t xml:space="preserve">največ 40 mg </w:t>
      </w:r>
      <w:r w:rsidRPr="00407F29">
        <w:rPr>
          <w:rStyle w:val="spellingerror"/>
          <w:rFonts w:ascii="Times New Roman" w:hAnsi="Times New Roman" w:cs="Times New Roman"/>
          <w:shd w:val="clear" w:color="auto" w:fill="FFFFFF"/>
          <w:lang w:val="sl-SI"/>
        </w:rPr>
        <w:t>vsak</w:t>
      </w:r>
      <w:r w:rsidR="00FC2FB8">
        <w:rPr>
          <w:rStyle w:val="spellingerror"/>
          <w:rFonts w:ascii="Times New Roman" w:hAnsi="Times New Roman" w:cs="Times New Roman"/>
          <w:shd w:val="clear" w:color="auto" w:fill="FFFFFF"/>
          <w:lang w:val="sl-SI"/>
        </w:rPr>
        <w:t xml:space="preserve"> drugi</w:t>
      </w:r>
      <w:r w:rsidRPr="00407F29">
        <w:rPr>
          <w:rStyle w:val="spellingerror"/>
          <w:rFonts w:ascii="Times New Roman" w:hAnsi="Times New Roman" w:cs="Times New Roman"/>
          <w:shd w:val="clear" w:color="auto" w:fill="FFFFFF"/>
          <w:lang w:val="sl-SI"/>
        </w:rPr>
        <w:t xml:space="preserve"> teden</w:t>
      </w:r>
      <w:r w:rsidRPr="00407F29">
        <w:rPr>
          <w:rStyle w:val="normaltextrun"/>
          <w:rFonts w:ascii="Times New Roman" w:hAnsi="Times New Roman" w:cs="Times New Roman"/>
          <w:shd w:val="clear" w:color="auto" w:fill="FFFFFF"/>
          <w:lang w:val="sl-SI"/>
        </w:rPr>
        <w:t xml:space="preserve"> (0,6 mg/kg) oziroma največ 40 mg </w:t>
      </w:r>
      <w:r w:rsidRPr="00407F29">
        <w:rPr>
          <w:rStyle w:val="spellingerror"/>
          <w:rFonts w:ascii="Times New Roman" w:hAnsi="Times New Roman" w:cs="Times New Roman"/>
          <w:shd w:val="clear" w:color="auto" w:fill="FFFFFF"/>
          <w:lang w:val="sl-SI"/>
        </w:rPr>
        <w:t>vsak teden</w:t>
      </w:r>
      <w:r w:rsidRPr="00407F29">
        <w:rPr>
          <w:rStyle w:val="normaltextrun"/>
          <w:rFonts w:ascii="Times New Roman" w:hAnsi="Times New Roman" w:cs="Times New Roman"/>
          <w:shd w:val="clear" w:color="auto" w:fill="FFFFFF"/>
          <w:lang w:val="sl-SI"/>
        </w:rPr>
        <w:t xml:space="preserve"> (0,6 mg/kg</w:t>
      </w:r>
      <w:r w:rsidR="00FC2FB8">
        <w:rPr>
          <w:rStyle w:val="normaltextrun"/>
          <w:rFonts w:ascii="Times New Roman" w:hAnsi="Times New Roman" w:cs="Times New Roman"/>
          <w:shd w:val="clear" w:color="auto" w:fill="FFFFFF"/>
          <w:lang w:val="sl-SI"/>
        </w:rPr>
        <w:t>)</w:t>
      </w:r>
      <w:r w:rsidRPr="00407F29">
        <w:rPr>
          <w:rStyle w:val="normaltextrun"/>
          <w:rFonts w:ascii="Times New Roman" w:hAnsi="Times New Roman" w:cs="Times New Roman"/>
          <w:shd w:val="clear" w:color="auto" w:fill="FFFFFF"/>
          <w:lang w:val="sl-SI"/>
        </w:rPr>
        <w:t xml:space="preserve">, ocenili klinično </w:t>
      </w:r>
      <w:r w:rsidRPr="008E156D">
        <w:rPr>
          <w:rStyle w:val="normaltextrun"/>
          <w:rFonts w:ascii="Times New Roman" w:hAnsi="Times New Roman" w:cs="Times New Roman"/>
          <w:shd w:val="clear" w:color="auto" w:fill="FFFFFF"/>
          <w:lang w:val="sl-SI"/>
        </w:rPr>
        <w:t xml:space="preserve">remisijo po FMS pri bolnikih z odzivom v 8. tednu, klinični odziv po FMS (opredeljen kot zmanjšanje ocene Mayo </w:t>
      </w:r>
      <w:r w:rsidRPr="008E156D">
        <w:rPr>
          <w:rStyle w:val="normaltextrun"/>
          <w:rFonts w:ascii="Times New Roman" w:hAnsi="Times New Roman" w:cs="Times New Roman" w:hint="eastAsia"/>
          <w:shd w:val="clear" w:color="auto" w:fill="FFFFFF"/>
          <w:lang w:val="sl-SI"/>
        </w:rPr>
        <w:t>≥</w:t>
      </w:r>
      <w:r w:rsidRPr="008E156D">
        <w:rPr>
          <w:rStyle w:val="normaltextrun"/>
          <w:rFonts w:ascii="Times New Roman" w:hAnsi="Times New Roman" w:cs="Times New Roman" w:hint="eastAsia"/>
          <w:shd w:val="clear" w:color="auto" w:fill="FFFFFF"/>
          <w:lang w:val="sl-SI"/>
        </w:rPr>
        <w:t> </w:t>
      </w:r>
      <w:r w:rsidRPr="008E156D">
        <w:rPr>
          <w:rStyle w:val="normaltextrun"/>
          <w:rFonts w:ascii="Times New Roman" w:hAnsi="Times New Roman" w:cs="Times New Roman"/>
          <w:shd w:val="clear" w:color="auto" w:fill="FFFFFF"/>
          <w:lang w:val="sl-SI"/>
        </w:rPr>
        <w:t xml:space="preserve">3 točke in </w:t>
      </w:r>
      <w:r w:rsidRPr="008E156D">
        <w:rPr>
          <w:rStyle w:val="normaltextrun"/>
          <w:rFonts w:ascii="Times New Roman" w:hAnsi="Times New Roman" w:cs="Times New Roman" w:hint="eastAsia"/>
          <w:shd w:val="clear" w:color="auto" w:fill="FFFFFF"/>
          <w:lang w:val="sl-SI"/>
        </w:rPr>
        <w:t>≥</w:t>
      </w:r>
      <w:r w:rsidRPr="008E156D">
        <w:rPr>
          <w:rStyle w:val="normaltextrun"/>
          <w:rFonts w:ascii="Times New Roman" w:hAnsi="Times New Roman" w:cs="Times New Roman" w:hint="eastAsia"/>
          <w:shd w:val="clear" w:color="auto" w:fill="FFFFFF"/>
          <w:lang w:val="sl-SI"/>
        </w:rPr>
        <w:t> </w:t>
      </w:r>
      <w:r w:rsidRPr="008E156D">
        <w:rPr>
          <w:rStyle w:val="normaltextrun"/>
          <w:rFonts w:ascii="Times New Roman" w:hAnsi="Times New Roman" w:cs="Times New Roman"/>
          <w:shd w:val="clear" w:color="auto" w:fill="FFFFFF"/>
          <w:lang w:val="sl-SI"/>
        </w:rPr>
        <w:t xml:space="preserve">30 % glede na izhodišče) pri bolnikih z odzivom v 8. tednu, sluznično celjenje po FMS (opredeljeno kot endoskopsko oceno Mayo </w:t>
      </w:r>
      <w:r w:rsidRPr="008E156D">
        <w:rPr>
          <w:rStyle w:val="normaltextrun"/>
          <w:rFonts w:ascii="Times New Roman" w:hAnsi="Times New Roman" w:cs="Times New Roman" w:hint="eastAsia"/>
          <w:shd w:val="clear" w:color="auto" w:fill="FFFFFF"/>
          <w:lang w:val="sl-SI"/>
        </w:rPr>
        <w:t>≤</w:t>
      </w:r>
      <w:r w:rsidRPr="008E156D">
        <w:rPr>
          <w:rStyle w:val="normaltextrun"/>
          <w:rFonts w:ascii="Times New Roman" w:hAnsi="Times New Roman" w:cs="Times New Roman" w:hint="eastAsia"/>
          <w:shd w:val="clear" w:color="auto" w:fill="FFFFFF"/>
          <w:lang w:val="sl-SI"/>
        </w:rPr>
        <w:t> </w:t>
      </w:r>
      <w:r w:rsidRPr="008E156D">
        <w:rPr>
          <w:rStyle w:val="normaltextrun"/>
          <w:rFonts w:ascii="Times New Roman" w:hAnsi="Times New Roman" w:cs="Times New Roman"/>
          <w:shd w:val="clear" w:color="auto" w:fill="FFFFFF"/>
          <w:lang w:val="sl-SI"/>
        </w:rPr>
        <w:t>1) pri bolnikih z odzivom v 8. tednu, klinično remisijo po FMS pri bolnikih z remisijo v 8. tednu in delež udeležencev z remisijo brez kortikosteroidov po FMS pri bolnikih z odzivom v 8. tednu (preglednica 32).</w:t>
      </w:r>
    </w:p>
    <w:p w14:paraId="6D4869AF" w14:textId="77777777" w:rsidR="006A7666" w:rsidRPr="00797234" w:rsidRDefault="006A7666" w:rsidP="006A7666">
      <w:pPr>
        <w:jc w:val="center"/>
        <w:textAlignment w:val="baseline"/>
        <w:rPr>
          <w:rFonts w:ascii="Times New Roman" w:hAnsi="Times New Roman" w:cs="Times New Roman"/>
          <w:b/>
          <w:lang w:val="sl-SI" w:eastAsia="en-GB"/>
        </w:rPr>
      </w:pPr>
    </w:p>
    <w:p w14:paraId="3BF36635" w14:textId="45C057B8" w:rsidR="00721C46" w:rsidRDefault="006A7666" w:rsidP="006A7666">
      <w:pPr>
        <w:jc w:val="center"/>
        <w:textAlignment w:val="baseline"/>
        <w:rPr>
          <w:rFonts w:ascii="Times New Roman" w:hAnsi="Times New Roman" w:cs="Times New Roman"/>
          <w:b/>
          <w:lang w:val="sl-SI"/>
        </w:rPr>
      </w:pPr>
      <w:r w:rsidRPr="00797234">
        <w:rPr>
          <w:rFonts w:ascii="Times New Roman" w:hAnsi="Times New Roman" w:cs="Times New Roman"/>
          <w:b/>
          <w:lang w:val="sl-SI"/>
        </w:rPr>
        <w:t>Preglednica 32: Rezultati učinkovitosti v 52. tednu </w:t>
      </w:r>
    </w:p>
    <w:p w14:paraId="7E2D3020" w14:textId="77777777" w:rsidR="00721C46" w:rsidRPr="00797234" w:rsidRDefault="00721C46" w:rsidP="006A7666">
      <w:pPr>
        <w:jc w:val="center"/>
        <w:textAlignment w:val="baseline"/>
        <w:rPr>
          <w:rFonts w:ascii="Times New Roman" w:hAnsi="Times New Roman" w:cs="Times New Roman"/>
          <w:b/>
          <w:lang w:val="sl-SI"/>
        </w:rPr>
      </w:pPr>
    </w:p>
    <w:tbl>
      <w:tblPr>
        <w:tblW w:w="949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46"/>
        <w:gridCol w:w="3000"/>
        <w:gridCol w:w="3344"/>
      </w:tblGrid>
      <w:tr w:rsidR="006A7666" w:rsidRPr="00AC7013" w14:paraId="69B1D37B" w14:textId="77777777" w:rsidTr="0030421B">
        <w:trPr>
          <w:trHeight w:val="248"/>
          <w:jc w:val="center"/>
        </w:trPr>
        <w:tc>
          <w:tcPr>
            <w:tcW w:w="3146" w:type="dxa"/>
            <w:tcBorders>
              <w:top w:val="single" w:sz="6" w:space="0" w:color="auto"/>
              <w:left w:val="single" w:sz="6" w:space="0" w:color="auto"/>
              <w:bottom w:val="single" w:sz="6" w:space="0" w:color="auto"/>
              <w:right w:val="single" w:sz="6" w:space="0" w:color="auto"/>
            </w:tcBorders>
            <w:hideMark/>
          </w:tcPr>
          <w:p w14:paraId="642336C4" w14:textId="77777777" w:rsidR="006A7666" w:rsidRPr="00797234" w:rsidRDefault="006A7666" w:rsidP="00797234">
            <w:pPr>
              <w:jc w:val="center"/>
              <w:textAlignment w:val="baseline"/>
              <w:rPr>
                <w:rFonts w:ascii="Times New Roman" w:hAnsi="Times New Roman" w:cs="Times New Roman"/>
                <w:lang w:val="sl-SI" w:eastAsia="en-GB"/>
              </w:rPr>
            </w:pPr>
          </w:p>
        </w:tc>
        <w:tc>
          <w:tcPr>
            <w:tcW w:w="3000" w:type="dxa"/>
            <w:tcBorders>
              <w:top w:val="single" w:sz="6" w:space="0" w:color="auto"/>
              <w:left w:val="nil"/>
              <w:bottom w:val="single" w:sz="6" w:space="0" w:color="auto"/>
              <w:right w:val="single" w:sz="6" w:space="0" w:color="auto"/>
            </w:tcBorders>
            <w:vAlign w:val="center"/>
            <w:hideMark/>
          </w:tcPr>
          <w:p w14:paraId="35F8EEF2" w14:textId="3FF56C85" w:rsidR="006A7666" w:rsidRPr="00797234" w:rsidRDefault="006A7666" w:rsidP="00797234">
            <w:pPr>
              <w:jc w:val="center"/>
              <w:textAlignment w:val="baseline"/>
              <w:rPr>
                <w:rFonts w:ascii="Times New Roman" w:hAnsi="Times New Roman" w:cs="Times New Roman"/>
                <w:lang w:val="sl-SI"/>
              </w:rPr>
            </w:pPr>
            <w:r>
              <w:rPr>
                <w:rFonts w:ascii="Times New Roman" w:hAnsi="Times New Roman" w:cs="Times New Roman"/>
                <w:b/>
                <w:lang w:val="sl-SI"/>
              </w:rPr>
              <w:t>Adalimumab</w:t>
            </w:r>
            <w:r w:rsidRPr="00797234">
              <w:rPr>
                <w:rFonts w:ascii="Times New Roman" w:hAnsi="Times New Roman" w:cs="Times New Roman"/>
                <w:b/>
                <w:vertAlign w:val="superscript"/>
                <w:lang w:val="sl-SI"/>
              </w:rPr>
              <w:t>a</w:t>
            </w:r>
            <w:r w:rsidRPr="00797234">
              <w:rPr>
                <w:rFonts w:ascii="Times New Roman" w:hAnsi="Times New Roman" w:cs="Times New Roman"/>
                <w:b/>
                <w:lang w:val="sl-SI"/>
              </w:rPr>
              <w:t> </w:t>
            </w:r>
            <w:r w:rsidRPr="00797234">
              <w:rPr>
                <w:rFonts w:ascii="Times New Roman" w:hAnsi="Times New Roman" w:cs="Times New Roman"/>
                <w:lang w:val="sl-SI"/>
              </w:rPr>
              <w:t> </w:t>
            </w:r>
          </w:p>
          <w:p w14:paraId="29F3896A" w14:textId="77777777" w:rsidR="006A7666" w:rsidRPr="00797234" w:rsidRDefault="006A7666" w:rsidP="00797234">
            <w:pPr>
              <w:jc w:val="center"/>
              <w:textAlignment w:val="baseline"/>
              <w:rPr>
                <w:rFonts w:ascii="Times New Roman" w:hAnsi="Times New Roman" w:cs="Times New Roman"/>
                <w:lang w:val="sl-SI"/>
              </w:rPr>
            </w:pPr>
            <w:r w:rsidRPr="00797234">
              <w:rPr>
                <w:rFonts w:ascii="Times New Roman" w:hAnsi="Times New Roman" w:cs="Times New Roman"/>
                <w:b/>
                <w:lang w:val="sl-SI"/>
              </w:rPr>
              <w:t>Največ 40 mg vsak drugi teden</w:t>
            </w:r>
            <w:r w:rsidRPr="00797234">
              <w:rPr>
                <w:rFonts w:ascii="Times New Roman" w:hAnsi="Times New Roman" w:cs="Times New Roman"/>
                <w:lang w:val="sl-SI"/>
              </w:rPr>
              <w:t> </w:t>
            </w:r>
          </w:p>
          <w:p w14:paraId="7EEB76A1" w14:textId="77777777" w:rsidR="006A7666" w:rsidRPr="00797234" w:rsidRDefault="006A7666" w:rsidP="00797234">
            <w:pPr>
              <w:jc w:val="center"/>
              <w:textAlignment w:val="baseline"/>
              <w:rPr>
                <w:rFonts w:ascii="Times New Roman" w:hAnsi="Times New Roman" w:cs="Times New Roman"/>
                <w:lang w:val="sl-SI"/>
              </w:rPr>
            </w:pPr>
            <w:r w:rsidRPr="00797234">
              <w:rPr>
                <w:rFonts w:ascii="Times New Roman" w:hAnsi="Times New Roman" w:cs="Times New Roman"/>
                <w:lang w:val="sl-SI"/>
              </w:rPr>
              <w:t>N = 31</w:t>
            </w:r>
          </w:p>
        </w:tc>
        <w:tc>
          <w:tcPr>
            <w:tcW w:w="3344" w:type="dxa"/>
            <w:tcBorders>
              <w:top w:val="single" w:sz="6" w:space="0" w:color="auto"/>
              <w:left w:val="nil"/>
              <w:bottom w:val="single" w:sz="6" w:space="0" w:color="auto"/>
              <w:right w:val="single" w:sz="6" w:space="0" w:color="auto"/>
            </w:tcBorders>
            <w:vAlign w:val="center"/>
            <w:hideMark/>
          </w:tcPr>
          <w:p w14:paraId="2A32F780" w14:textId="4F517F65" w:rsidR="006A7666" w:rsidRPr="00797234" w:rsidRDefault="006A7666" w:rsidP="00797234">
            <w:pPr>
              <w:jc w:val="center"/>
              <w:textAlignment w:val="baseline"/>
              <w:rPr>
                <w:rFonts w:ascii="Times New Roman" w:hAnsi="Times New Roman" w:cs="Times New Roman"/>
                <w:lang w:val="sl-SI"/>
              </w:rPr>
            </w:pPr>
            <w:r>
              <w:rPr>
                <w:rFonts w:ascii="Times New Roman" w:hAnsi="Times New Roman" w:cs="Times New Roman"/>
                <w:b/>
                <w:lang w:val="sl-SI"/>
              </w:rPr>
              <w:t>Adalimumab</w:t>
            </w:r>
            <w:r w:rsidRPr="00797234">
              <w:rPr>
                <w:rFonts w:ascii="Times New Roman" w:hAnsi="Times New Roman" w:cs="Times New Roman"/>
                <w:b/>
                <w:vertAlign w:val="superscript"/>
                <w:lang w:val="sl-SI"/>
              </w:rPr>
              <w:t>b</w:t>
            </w:r>
            <w:r w:rsidRPr="00797234">
              <w:rPr>
                <w:rFonts w:ascii="Times New Roman" w:hAnsi="Times New Roman" w:cs="Times New Roman"/>
                <w:b/>
                <w:lang w:val="sl-SI"/>
              </w:rPr>
              <w:t> </w:t>
            </w:r>
            <w:r w:rsidRPr="00797234">
              <w:rPr>
                <w:rFonts w:ascii="Times New Roman" w:hAnsi="Times New Roman" w:cs="Times New Roman"/>
                <w:lang w:val="sl-SI"/>
              </w:rPr>
              <w:t> </w:t>
            </w:r>
          </w:p>
          <w:p w14:paraId="004DAA78" w14:textId="77777777" w:rsidR="006A7666" w:rsidRPr="00797234" w:rsidRDefault="006A7666" w:rsidP="00797234">
            <w:pPr>
              <w:jc w:val="center"/>
              <w:textAlignment w:val="baseline"/>
              <w:rPr>
                <w:rFonts w:ascii="Times New Roman" w:hAnsi="Times New Roman" w:cs="Times New Roman"/>
                <w:lang w:val="sl-SI"/>
              </w:rPr>
            </w:pPr>
            <w:r w:rsidRPr="00797234">
              <w:rPr>
                <w:rFonts w:ascii="Times New Roman" w:hAnsi="Times New Roman" w:cs="Times New Roman"/>
                <w:b/>
                <w:lang w:val="sl-SI"/>
              </w:rPr>
              <w:t>Največ 40 mg vsak teden</w:t>
            </w:r>
            <w:r w:rsidRPr="00797234">
              <w:rPr>
                <w:rFonts w:ascii="Times New Roman" w:hAnsi="Times New Roman" w:cs="Times New Roman"/>
                <w:lang w:val="sl-SI"/>
              </w:rPr>
              <w:t> </w:t>
            </w:r>
          </w:p>
          <w:p w14:paraId="3E915D37" w14:textId="77777777" w:rsidR="006A7666" w:rsidRPr="00797234" w:rsidRDefault="006A7666" w:rsidP="00797234">
            <w:pPr>
              <w:jc w:val="center"/>
              <w:textAlignment w:val="baseline"/>
              <w:rPr>
                <w:rFonts w:ascii="Times New Roman" w:hAnsi="Times New Roman" w:cs="Times New Roman"/>
                <w:lang w:val="sl-SI"/>
              </w:rPr>
            </w:pPr>
            <w:r w:rsidRPr="00797234">
              <w:rPr>
                <w:rFonts w:ascii="Times New Roman" w:hAnsi="Times New Roman" w:cs="Times New Roman"/>
                <w:lang w:val="sl-SI"/>
              </w:rPr>
              <w:t>N = 31</w:t>
            </w:r>
          </w:p>
        </w:tc>
      </w:tr>
      <w:tr w:rsidR="006A7666" w:rsidRPr="006A7666" w14:paraId="0CA7BF66" w14:textId="77777777" w:rsidTr="0030421B">
        <w:trPr>
          <w:trHeight w:val="155"/>
          <w:jc w:val="center"/>
        </w:trPr>
        <w:tc>
          <w:tcPr>
            <w:tcW w:w="3146" w:type="dxa"/>
            <w:tcBorders>
              <w:top w:val="nil"/>
              <w:left w:val="single" w:sz="6" w:space="0" w:color="auto"/>
              <w:bottom w:val="single" w:sz="6" w:space="0" w:color="auto"/>
              <w:right w:val="single" w:sz="6" w:space="0" w:color="auto"/>
            </w:tcBorders>
            <w:vAlign w:val="center"/>
            <w:hideMark/>
          </w:tcPr>
          <w:p w14:paraId="660B0F5D" w14:textId="77777777" w:rsidR="006A7666" w:rsidRPr="00797234" w:rsidRDefault="006A7666" w:rsidP="00797234">
            <w:pPr>
              <w:textAlignment w:val="baseline"/>
              <w:rPr>
                <w:rFonts w:ascii="Times New Roman" w:hAnsi="Times New Roman" w:cs="Times New Roman"/>
                <w:lang w:val="sl-SI"/>
              </w:rPr>
            </w:pPr>
            <w:r w:rsidRPr="00797234">
              <w:rPr>
                <w:rFonts w:ascii="Times New Roman" w:hAnsi="Times New Roman" w:cs="Times New Roman"/>
                <w:lang w:val="sl-SI"/>
              </w:rPr>
              <w:t>Klinična remisija pri bolnikih z odzivom po PMS v 8. tednu </w:t>
            </w:r>
          </w:p>
        </w:tc>
        <w:tc>
          <w:tcPr>
            <w:tcW w:w="3000" w:type="dxa"/>
            <w:tcBorders>
              <w:top w:val="nil"/>
              <w:left w:val="nil"/>
              <w:bottom w:val="single" w:sz="6" w:space="0" w:color="auto"/>
              <w:right w:val="single" w:sz="6" w:space="0" w:color="auto"/>
            </w:tcBorders>
            <w:vAlign w:val="center"/>
            <w:hideMark/>
          </w:tcPr>
          <w:p w14:paraId="51596263" w14:textId="77777777" w:rsidR="006A7666" w:rsidRPr="00797234" w:rsidRDefault="006A7666" w:rsidP="00797234">
            <w:pPr>
              <w:jc w:val="center"/>
              <w:textAlignment w:val="baseline"/>
              <w:rPr>
                <w:rFonts w:ascii="Times New Roman" w:hAnsi="Times New Roman" w:cs="Times New Roman"/>
                <w:lang w:val="sl-SI"/>
              </w:rPr>
            </w:pPr>
            <w:r w:rsidRPr="00797234">
              <w:rPr>
                <w:rFonts w:ascii="Times New Roman" w:hAnsi="Times New Roman" w:cs="Times New Roman"/>
                <w:lang w:val="sl-SI"/>
              </w:rPr>
              <w:t>9/31 (29,0 %) </w:t>
            </w:r>
          </w:p>
        </w:tc>
        <w:tc>
          <w:tcPr>
            <w:tcW w:w="3344" w:type="dxa"/>
            <w:tcBorders>
              <w:top w:val="nil"/>
              <w:left w:val="nil"/>
              <w:bottom w:val="single" w:sz="6" w:space="0" w:color="auto"/>
              <w:right w:val="single" w:sz="6" w:space="0" w:color="auto"/>
            </w:tcBorders>
            <w:vAlign w:val="center"/>
            <w:hideMark/>
          </w:tcPr>
          <w:p w14:paraId="6D20569D" w14:textId="77777777" w:rsidR="006A7666" w:rsidRPr="00797234" w:rsidRDefault="006A7666" w:rsidP="00797234">
            <w:pPr>
              <w:jc w:val="center"/>
              <w:textAlignment w:val="baseline"/>
              <w:rPr>
                <w:rFonts w:ascii="Times New Roman" w:hAnsi="Times New Roman" w:cs="Times New Roman"/>
                <w:lang w:val="sl-SI"/>
              </w:rPr>
            </w:pPr>
            <w:r w:rsidRPr="00797234">
              <w:rPr>
                <w:rFonts w:ascii="Times New Roman" w:hAnsi="Times New Roman" w:cs="Times New Roman"/>
                <w:lang w:val="sl-SI"/>
              </w:rPr>
              <w:t>14/31 (45,2 %)</w:t>
            </w:r>
          </w:p>
        </w:tc>
      </w:tr>
      <w:tr w:rsidR="006A7666" w:rsidRPr="006A7666" w14:paraId="721291EB" w14:textId="77777777" w:rsidTr="0030421B">
        <w:trPr>
          <w:trHeight w:val="150"/>
          <w:jc w:val="center"/>
        </w:trPr>
        <w:tc>
          <w:tcPr>
            <w:tcW w:w="3146" w:type="dxa"/>
            <w:tcBorders>
              <w:top w:val="nil"/>
              <w:left w:val="single" w:sz="6" w:space="0" w:color="auto"/>
              <w:bottom w:val="single" w:sz="6" w:space="0" w:color="auto"/>
              <w:right w:val="single" w:sz="6" w:space="0" w:color="auto"/>
            </w:tcBorders>
            <w:vAlign w:val="center"/>
            <w:hideMark/>
          </w:tcPr>
          <w:p w14:paraId="1A6650FF" w14:textId="77777777" w:rsidR="006A7666" w:rsidRPr="00797234" w:rsidRDefault="006A7666" w:rsidP="00797234">
            <w:pPr>
              <w:textAlignment w:val="baseline"/>
              <w:rPr>
                <w:rFonts w:ascii="Times New Roman" w:hAnsi="Times New Roman" w:cs="Times New Roman"/>
                <w:lang w:val="sl-SI"/>
              </w:rPr>
            </w:pPr>
            <w:r w:rsidRPr="00797234">
              <w:rPr>
                <w:rFonts w:ascii="Times New Roman" w:hAnsi="Times New Roman" w:cs="Times New Roman"/>
                <w:lang w:val="sl-SI"/>
              </w:rPr>
              <w:t>Klinični odziv pri bolnikih z odzivom po PMS v 8. tednu </w:t>
            </w:r>
          </w:p>
        </w:tc>
        <w:tc>
          <w:tcPr>
            <w:tcW w:w="3000" w:type="dxa"/>
            <w:tcBorders>
              <w:top w:val="nil"/>
              <w:left w:val="nil"/>
              <w:bottom w:val="single" w:sz="6" w:space="0" w:color="auto"/>
              <w:right w:val="single" w:sz="6" w:space="0" w:color="auto"/>
            </w:tcBorders>
            <w:vAlign w:val="center"/>
            <w:hideMark/>
          </w:tcPr>
          <w:p w14:paraId="623E0F2A" w14:textId="77777777" w:rsidR="006A7666" w:rsidRPr="00797234" w:rsidRDefault="006A7666" w:rsidP="00797234">
            <w:pPr>
              <w:jc w:val="center"/>
              <w:textAlignment w:val="baseline"/>
              <w:rPr>
                <w:rFonts w:ascii="Times New Roman" w:hAnsi="Times New Roman" w:cs="Times New Roman"/>
                <w:lang w:val="sl-SI"/>
              </w:rPr>
            </w:pPr>
            <w:r w:rsidRPr="00797234">
              <w:rPr>
                <w:rFonts w:ascii="Times New Roman" w:hAnsi="Times New Roman" w:cs="Times New Roman"/>
                <w:lang w:val="sl-SI"/>
              </w:rPr>
              <w:t>19/31 (61,3 %) </w:t>
            </w:r>
          </w:p>
        </w:tc>
        <w:tc>
          <w:tcPr>
            <w:tcW w:w="3344" w:type="dxa"/>
            <w:tcBorders>
              <w:top w:val="nil"/>
              <w:left w:val="nil"/>
              <w:bottom w:val="single" w:sz="6" w:space="0" w:color="auto"/>
              <w:right w:val="single" w:sz="6" w:space="0" w:color="auto"/>
            </w:tcBorders>
            <w:vAlign w:val="center"/>
            <w:hideMark/>
          </w:tcPr>
          <w:p w14:paraId="01D8B7DF" w14:textId="77777777" w:rsidR="006A7666" w:rsidRPr="00797234" w:rsidRDefault="006A7666" w:rsidP="00797234">
            <w:pPr>
              <w:jc w:val="center"/>
              <w:textAlignment w:val="baseline"/>
              <w:rPr>
                <w:rFonts w:ascii="Times New Roman" w:hAnsi="Times New Roman" w:cs="Times New Roman"/>
                <w:lang w:val="sl-SI"/>
              </w:rPr>
            </w:pPr>
            <w:r w:rsidRPr="00797234">
              <w:rPr>
                <w:rFonts w:ascii="Times New Roman" w:hAnsi="Times New Roman" w:cs="Times New Roman"/>
                <w:lang w:val="sl-SI"/>
              </w:rPr>
              <w:t>21/31 (67,7 %) </w:t>
            </w:r>
          </w:p>
        </w:tc>
      </w:tr>
      <w:tr w:rsidR="006A7666" w:rsidRPr="006A7666" w14:paraId="0460ECEB" w14:textId="77777777" w:rsidTr="0030421B">
        <w:trPr>
          <w:trHeight w:val="206"/>
          <w:jc w:val="center"/>
        </w:trPr>
        <w:tc>
          <w:tcPr>
            <w:tcW w:w="3146" w:type="dxa"/>
            <w:tcBorders>
              <w:top w:val="nil"/>
              <w:left w:val="single" w:sz="6" w:space="0" w:color="auto"/>
              <w:bottom w:val="single" w:sz="6" w:space="0" w:color="auto"/>
              <w:right w:val="single" w:sz="6" w:space="0" w:color="auto"/>
            </w:tcBorders>
            <w:vAlign w:val="center"/>
            <w:hideMark/>
          </w:tcPr>
          <w:p w14:paraId="4D74CF25" w14:textId="77777777" w:rsidR="006A7666" w:rsidRPr="00797234" w:rsidRDefault="006A7666" w:rsidP="00797234">
            <w:pPr>
              <w:textAlignment w:val="baseline"/>
              <w:rPr>
                <w:rFonts w:ascii="Times New Roman" w:hAnsi="Times New Roman" w:cs="Times New Roman"/>
                <w:lang w:val="sl-SI"/>
              </w:rPr>
            </w:pPr>
            <w:r w:rsidRPr="00797234">
              <w:rPr>
                <w:rFonts w:ascii="Times New Roman" w:hAnsi="Times New Roman" w:cs="Times New Roman"/>
                <w:lang w:val="sl-SI"/>
              </w:rPr>
              <w:t>Sluznično celjenje pri bolnikih z odzivom po PMS v 8. tednu </w:t>
            </w:r>
          </w:p>
        </w:tc>
        <w:tc>
          <w:tcPr>
            <w:tcW w:w="3000" w:type="dxa"/>
            <w:tcBorders>
              <w:top w:val="nil"/>
              <w:left w:val="nil"/>
              <w:bottom w:val="single" w:sz="6" w:space="0" w:color="auto"/>
              <w:right w:val="single" w:sz="6" w:space="0" w:color="auto"/>
            </w:tcBorders>
            <w:vAlign w:val="center"/>
            <w:hideMark/>
          </w:tcPr>
          <w:p w14:paraId="153BA911" w14:textId="77777777" w:rsidR="006A7666" w:rsidRPr="00797234" w:rsidRDefault="006A7666" w:rsidP="00797234">
            <w:pPr>
              <w:jc w:val="center"/>
              <w:textAlignment w:val="baseline"/>
              <w:rPr>
                <w:rFonts w:ascii="Times New Roman" w:hAnsi="Times New Roman" w:cs="Times New Roman"/>
                <w:lang w:val="sl-SI"/>
              </w:rPr>
            </w:pPr>
            <w:r w:rsidRPr="00797234">
              <w:rPr>
                <w:rFonts w:ascii="Times New Roman" w:hAnsi="Times New Roman" w:cs="Times New Roman"/>
                <w:lang w:val="sl-SI"/>
              </w:rPr>
              <w:t>12/31 (38,7 %) </w:t>
            </w:r>
          </w:p>
        </w:tc>
        <w:tc>
          <w:tcPr>
            <w:tcW w:w="3344" w:type="dxa"/>
            <w:tcBorders>
              <w:top w:val="nil"/>
              <w:left w:val="nil"/>
              <w:bottom w:val="single" w:sz="6" w:space="0" w:color="auto"/>
              <w:right w:val="single" w:sz="6" w:space="0" w:color="auto"/>
            </w:tcBorders>
            <w:vAlign w:val="center"/>
            <w:hideMark/>
          </w:tcPr>
          <w:p w14:paraId="2CD1B6DC" w14:textId="77777777" w:rsidR="006A7666" w:rsidRPr="00797234" w:rsidRDefault="006A7666" w:rsidP="00797234">
            <w:pPr>
              <w:jc w:val="center"/>
              <w:textAlignment w:val="baseline"/>
              <w:rPr>
                <w:rFonts w:ascii="Times New Roman" w:hAnsi="Times New Roman" w:cs="Times New Roman"/>
                <w:lang w:val="sl-SI"/>
              </w:rPr>
            </w:pPr>
            <w:r w:rsidRPr="00797234">
              <w:rPr>
                <w:rFonts w:ascii="Times New Roman" w:hAnsi="Times New Roman" w:cs="Times New Roman"/>
                <w:lang w:val="sl-SI"/>
              </w:rPr>
              <w:t>16/31 (51,6 %) </w:t>
            </w:r>
          </w:p>
        </w:tc>
      </w:tr>
      <w:tr w:rsidR="006A7666" w:rsidRPr="006A7666" w14:paraId="59EF89E0" w14:textId="77777777" w:rsidTr="0030421B">
        <w:trPr>
          <w:trHeight w:val="204"/>
          <w:jc w:val="center"/>
        </w:trPr>
        <w:tc>
          <w:tcPr>
            <w:tcW w:w="3146" w:type="dxa"/>
            <w:tcBorders>
              <w:top w:val="nil"/>
              <w:left w:val="single" w:sz="6" w:space="0" w:color="auto"/>
              <w:bottom w:val="single" w:sz="6" w:space="0" w:color="auto"/>
              <w:right w:val="single" w:sz="6" w:space="0" w:color="auto"/>
            </w:tcBorders>
            <w:vAlign w:val="center"/>
            <w:hideMark/>
          </w:tcPr>
          <w:p w14:paraId="156DA26E" w14:textId="77777777" w:rsidR="006A7666" w:rsidRPr="00797234" w:rsidRDefault="006A7666" w:rsidP="00797234">
            <w:pPr>
              <w:textAlignment w:val="baseline"/>
              <w:rPr>
                <w:rFonts w:ascii="Times New Roman" w:hAnsi="Times New Roman" w:cs="Times New Roman"/>
                <w:lang w:val="sl-SI"/>
              </w:rPr>
            </w:pPr>
            <w:r w:rsidRPr="00797234">
              <w:rPr>
                <w:rFonts w:ascii="Times New Roman" w:hAnsi="Times New Roman" w:cs="Times New Roman"/>
                <w:lang w:val="sl-SI"/>
              </w:rPr>
              <w:t>Klinična remisija pri bolnikih z remisijo po PMS v 8. tednu </w:t>
            </w:r>
          </w:p>
        </w:tc>
        <w:tc>
          <w:tcPr>
            <w:tcW w:w="3000" w:type="dxa"/>
            <w:tcBorders>
              <w:top w:val="nil"/>
              <w:left w:val="nil"/>
              <w:bottom w:val="single" w:sz="6" w:space="0" w:color="auto"/>
              <w:right w:val="single" w:sz="6" w:space="0" w:color="auto"/>
            </w:tcBorders>
            <w:vAlign w:val="center"/>
            <w:hideMark/>
          </w:tcPr>
          <w:p w14:paraId="29FD0C23" w14:textId="77777777" w:rsidR="006A7666" w:rsidRPr="00797234" w:rsidRDefault="006A7666" w:rsidP="00797234">
            <w:pPr>
              <w:jc w:val="center"/>
              <w:textAlignment w:val="baseline"/>
              <w:rPr>
                <w:rFonts w:ascii="Times New Roman" w:hAnsi="Times New Roman" w:cs="Times New Roman"/>
                <w:lang w:val="sl-SI"/>
              </w:rPr>
            </w:pPr>
            <w:r w:rsidRPr="00797234">
              <w:rPr>
                <w:rFonts w:ascii="Times New Roman" w:hAnsi="Times New Roman" w:cs="Times New Roman"/>
                <w:lang w:val="sl-SI"/>
              </w:rPr>
              <w:t>9/21 (42,9 %) </w:t>
            </w:r>
          </w:p>
        </w:tc>
        <w:tc>
          <w:tcPr>
            <w:tcW w:w="3344" w:type="dxa"/>
            <w:tcBorders>
              <w:top w:val="nil"/>
              <w:left w:val="nil"/>
              <w:bottom w:val="single" w:sz="6" w:space="0" w:color="auto"/>
              <w:right w:val="single" w:sz="6" w:space="0" w:color="auto"/>
            </w:tcBorders>
            <w:vAlign w:val="center"/>
            <w:hideMark/>
          </w:tcPr>
          <w:p w14:paraId="6BC75AB4" w14:textId="77777777" w:rsidR="006A7666" w:rsidRPr="00797234" w:rsidRDefault="006A7666" w:rsidP="00797234">
            <w:pPr>
              <w:jc w:val="center"/>
              <w:textAlignment w:val="baseline"/>
              <w:rPr>
                <w:rFonts w:ascii="Times New Roman" w:hAnsi="Times New Roman" w:cs="Times New Roman"/>
                <w:lang w:val="sl-SI"/>
              </w:rPr>
            </w:pPr>
            <w:r w:rsidRPr="00797234">
              <w:rPr>
                <w:rFonts w:ascii="Times New Roman" w:hAnsi="Times New Roman" w:cs="Times New Roman"/>
                <w:lang w:val="sl-SI"/>
              </w:rPr>
              <w:t>10/22 (45,5 %) </w:t>
            </w:r>
          </w:p>
        </w:tc>
      </w:tr>
      <w:tr w:rsidR="006A7666" w:rsidRPr="006A7666" w14:paraId="569B49F2" w14:textId="77777777" w:rsidTr="0030421B">
        <w:trPr>
          <w:trHeight w:val="274"/>
          <w:jc w:val="center"/>
        </w:trPr>
        <w:tc>
          <w:tcPr>
            <w:tcW w:w="3146" w:type="dxa"/>
            <w:tcBorders>
              <w:top w:val="nil"/>
              <w:left w:val="single" w:sz="6" w:space="0" w:color="auto"/>
              <w:bottom w:val="single" w:sz="6" w:space="0" w:color="auto"/>
              <w:right w:val="single" w:sz="6" w:space="0" w:color="auto"/>
            </w:tcBorders>
            <w:vAlign w:val="center"/>
            <w:hideMark/>
          </w:tcPr>
          <w:p w14:paraId="55893229" w14:textId="77777777" w:rsidR="006A7666" w:rsidRPr="00797234" w:rsidRDefault="006A7666" w:rsidP="00797234">
            <w:pPr>
              <w:textAlignment w:val="baseline"/>
              <w:rPr>
                <w:rFonts w:ascii="Times New Roman" w:hAnsi="Times New Roman" w:cs="Times New Roman"/>
                <w:lang w:val="sl-SI"/>
              </w:rPr>
            </w:pPr>
            <w:r w:rsidRPr="00797234">
              <w:rPr>
                <w:rFonts w:ascii="Times New Roman" w:hAnsi="Times New Roman" w:cs="Times New Roman"/>
                <w:lang w:val="sl-SI"/>
              </w:rPr>
              <w:t>Remisija brez kortikosteroidov pri bolnikih z odzivom po PMS v 8. tednu</w:t>
            </w:r>
            <w:r w:rsidRPr="00797234">
              <w:rPr>
                <w:rFonts w:ascii="Times New Roman" w:hAnsi="Times New Roman" w:cs="Times New Roman"/>
                <w:vertAlign w:val="superscript"/>
                <w:lang w:val="sl-SI"/>
              </w:rPr>
              <w:t>c</w:t>
            </w:r>
            <w:r w:rsidRPr="00797234">
              <w:rPr>
                <w:rFonts w:ascii="Times New Roman" w:hAnsi="Times New Roman" w:cs="Times New Roman"/>
                <w:lang w:val="sl-SI"/>
              </w:rPr>
              <w:t> </w:t>
            </w:r>
          </w:p>
        </w:tc>
        <w:tc>
          <w:tcPr>
            <w:tcW w:w="3000" w:type="dxa"/>
            <w:tcBorders>
              <w:top w:val="nil"/>
              <w:left w:val="nil"/>
              <w:bottom w:val="single" w:sz="6" w:space="0" w:color="auto"/>
              <w:right w:val="single" w:sz="6" w:space="0" w:color="auto"/>
            </w:tcBorders>
            <w:vAlign w:val="center"/>
            <w:hideMark/>
          </w:tcPr>
          <w:p w14:paraId="0B563C4B" w14:textId="77777777" w:rsidR="006A7666" w:rsidRPr="00797234" w:rsidRDefault="006A7666" w:rsidP="00797234">
            <w:pPr>
              <w:jc w:val="center"/>
              <w:textAlignment w:val="baseline"/>
              <w:rPr>
                <w:rFonts w:ascii="Times New Roman" w:hAnsi="Times New Roman" w:cs="Times New Roman"/>
                <w:lang w:val="sl-SI"/>
              </w:rPr>
            </w:pPr>
            <w:r w:rsidRPr="00797234">
              <w:rPr>
                <w:rFonts w:ascii="Times New Roman" w:hAnsi="Times New Roman" w:cs="Times New Roman"/>
                <w:lang w:val="sl-SI"/>
              </w:rPr>
              <w:t>4/13 (30,8 %) </w:t>
            </w:r>
          </w:p>
        </w:tc>
        <w:tc>
          <w:tcPr>
            <w:tcW w:w="3344" w:type="dxa"/>
            <w:tcBorders>
              <w:top w:val="nil"/>
              <w:left w:val="nil"/>
              <w:bottom w:val="single" w:sz="6" w:space="0" w:color="auto"/>
              <w:right w:val="single" w:sz="6" w:space="0" w:color="auto"/>
            </w:tcBorders>
            <w:vAlign w:val="center"/>
            <w:hideMark/>
          </w:tcPr>
          <w:p w14:paraId="0653C438" w14:textId="77777777" w:rsidR="006A7666" w:rsidRPr="00797234" w:rsidRDefault="006A7666" w:rsidP="00797234">
            <w:pPr>
              <w:jc w:val="center"/>
              <w:textAlignment w:val="baseline"/>
              <w:rPr>
                <w:rFonts w:ascii="Times New Roman" w:hAnsi="Times New Roman" w:cs="Times New Roman"/>
                <w:lang w:val="sl-SI"/>
              </w:rPr>
            </w:pPr>
            <w:r w:rsidRPr="00797234">
              <w:rPr>
                <w:rFonts w:ascii="Times New Roman" w:hAnsi="Times New Roman" w:cs="Times New Roman"/>
                <w:lang w:val="sl-SI"/>
              </w:rPr>
              <w:t>5/16 (31,3 %) </w:t>
            </w:r>
          </w:p>
        </w:tc>
      </w:tr>
      <w:tr w:rsidR="006A7666" w:rsidRPr="00652F18" w14:paraId="5F8ED5C2" w14:textId="77777777" w:rsidTr="0030421B">
        <w:trPr>
          <w:trHeight w:val="410"/>
          <w:jc w:val="center"/>
        </w:trPr>
        <w:tc>
          <w:tcPr>
            <w:tcW w:w="9490" w:type="dxa"/>
            <w:gridSpan w:val="3"/>
            <w:tcBorders>
              <w:top w:val="nil"/>
              <w:left w:val="single" w:sz="6" w:space="0" w:color="auto"/>
              <w:bottom w:val="single" w:sz="6" w:space="0" w:color="auto"/>
              <w:right w:val="single" w:sz="6" w:space="0" w:color="auto"/>
            </w:tcBorders>
            <w:hideMark/>
          </w:tcPr>
          <w:p w14:paraId="1E70AC32" w14:textId="44DD6FCD" w:rsidR="006A7666" w:rsidRPr="00797234" w:rsidRDefault="006A7666" w:rsidP="00797234">
            <w:pPr>
              <w:textAlignment w:val="baseline"/>
              <w:rPr>
                <w:rFonts w:ascii="Times New Roman" w:hAnsi="Times New Roman" w:cs="Times New Roman"/>
                <w:lang w:val="sl-SI"/>
              </w:rPr>
            </w:pPr>
            <w:r w:rsidRPr="00797234">
              <w:rPr>
                <w:rFonts w:ascii="Times New Roman" w:hAnsi="Times New Roman" w:cs="Times New Roman"/>
                <w:vertAlign w:val="superscript"/>
                <w:lang w:val="sl-SI"/>
              </w:rPr>
              <w:t>a </w:t>
            </w:r>
            <w:r>
              <w:rPr>
                <w:rFonts w:ascii="Times New Roman" w:hAnsi="Times New Roman" w:cs="Times New Roman"/>
                <w:lang w:val="sl-SI"/>
              </w:rPr>
              <w:t>Adalimumaba</w:t>
            </w:r>
            <w:r w:rsidRPr="00797234">
              <w:rPr>
                <w:rFonts w:ascii="Times New Roman" w:hAnsi="Times New Roman" w:cs="Times New Roman"/>
                <w:lang w:val="sl-SI"/>
              </w:rPr>
              <w:t xml:space="preserve"> 0,6 mg/kg (največ 40 mg) vsak drugi teden </w:t>
            </w:r>
          </w:p>
          <w:p w14:paraId="638AC77D" w14:textId="50D3F5B3" w:rsidR="006A7666" w:rsidRPr="00797234" w:rsidRDefault="006A7666" w:rsidP="00797234">
            <w:pPr>
              <w:textAlignment w:val="baseline"/>
              <w:rPr>
                <w:rFonts w:ascii="Times New Roman" w:hAnsi="Times New Roman" w:cs="Times New Roman"/>
                <w:lang w:val="sl-SI"/>
              </w:rPr>
            </w:pPr>
            <w:r w:rsidRPr="00797234">
              <w:rPr>
                <w:rFonts w:ascii="Times New Roman" w:hAnsi="Times New Roman" w:cs="Times New Roman"/>
                <w:vertAlign w:val="superscript"/>
                <w:lang w:val="sl-SI"/>
              </w:rPr>
              <w:t>b </w:t>
            </w:r>
            <w:r>
              <w:rPr>
                <w:rFonts w:ascii="Times New Roman" w:hAnsi="Times New Roman" w:cs="Times New Roman"/>
                <w:lang w:val="sl-SI"/>
              </w:rPr>
              <w:t>Adalimumaba</w:t>
            </w:r>
            <w:r w:rsidRPr="00797234">
              <w:rPr>
                <w:rFonts w:ascii="Times New Roman" w:hAnsi="Times New Roman" w:cs="Times New Roman"/>
                <w:lang w:val="sl-SI"/>
              </w:rPr>
              <w:t xml:space="preserve"> 0,6 mg/kg (največ 40 mg) vsak teden </w:t>
            </w:r>
          </w:p>
          <w:p w14:paraId="5E13F1A2" w14:textId="77777777" w:rsidR="006A7666" w:rsidRPr="00797234" w:rsidRDefault="006A7666" w:rsidP="00797234">
            <w:pPr>
              <w:textAlignment w:val="baseline"/>
              <w:rPr>
                <w:rFonts w:ascii="Times New Roman" w:hAnsi="Times New Roman" w:cs="Times New Roman"/>
                <w:lang w:val="sl-SI"/>
              </w:rPr>
            </w:pPr>
            <w:r w:rsidRPr="00797234">
              <w:rPr>
                <w:rFonts w:ascii="Times New Roman" w:hAnsi="Times New Roman" w:cs="Times New Roman"/>
                <w:vertAlign w:val="superscript"/>
                <w:lang w:val="sl-SI"/>
              </w:rPr>
              <w:t>c</w:t>
            </w:r>
            <w:r w:rsidRPr="00797234">
              <w:rPr>
                <w:rFonts w:ascii="Times New Roman" w:hAnsi="Times New Roman" w:cs="Times New Roman"/>
                <w:lang w:val="sl-SI"/>
              </w:rPr>
              <w:t> Pri bolnikih, ki so ob izhodišču sočasno prejemali kortikosteroide </w:t>
            </w:r>
          </w:p>
          <w:p w14:paraId="3E29AAEB" w14:textId="77777777" w:rsidR="006A7666" w:rsidRPr="00797234" w:rsidRDefault="006A7666" w:rsidP="00797234">
            <w:pPr>
              <w:textAlignment w:val="baseline"/>
              <w:rPr>
                <w:rFonts w:ascii="Times New Roman" w:hAnsi="Times New Roman" w:cs="Times New Roman"/>
                <w:lang w:val="sl-SI"/>
              </w:rPr>
            </w:pPr>
            <w:r w:rsidRPr="00797234">
              <w:rPr>
                <w:rFonts w:ascii="Times New Roman" w:hAnsi="Times New Roman" w:cs="Times New Roman"/>
                <w:lang w:val="sl-SI"/>
              </w:rPr>
              <w:t>Opomba: Bolnike z manjkajočimi vrednostmi v 52. tednu ali tiste, ki so bili randomizirani za prejemanje ponovnega začetnega odmerka ali vzdrževalnega zdravljenja, so obravnavali kot neodzivne glede opazovanih izidov v 52. tednu </w:t>
            </w:r>
          </w:p>
        </w:tc>
      </w:tr>
    </w:tbl>
    <w:p w14:paraId="05AB4BE5" w14:textId="77777777" w:rsidR="006A7666" w:rsidRPr="00797234" w:rsidRDefault="006A7666" w:rsidP="006A7666">
      <w:pPr>
        <w:rPr>
          <w:rFonts w:ascii="Times New Roman" w:hAnsi="Times New Roman" w:cs="Times New Roman"/>
          <w:lang w:val="sl-SI"/>
        </w:rPr>
      </w:pPr>
    </w:p>
    <w:p w14:paraId="178B508F" w14:textId="53E05196" w:rsidR="006A7666" w:rsidRPr="008E156D" w:rsidRDefault="006A7666" w:rsidP="006A7666">
      <w:pPr>
        <w:rPr>
          <w:rFonts w:ascii="Times New Roman" w:hAnsi="Times New Roman" w:cs="Times New Roman"/>
          <w:lang w:val="sl-SI"/>
        </w:rPr>
      </w:pPr>
      <w:r w:rsidRPr="008E156D">
        <w:rPr>
          <w:rFonts w:ascii="Times New Roman" w:hAnsi="Times New Roman" w:cs="Times New Roman"/>
          <w:lang w:val="sl-SI"/>
        </w:rPr>
        <w:lastRenderedPageBreak/>
        <w:t xml:space="preserve">Dodatni eksploracijski opazovani izidi učinkovitosti so zajemali klinični odziv po kazalniku aktivnosti ulceroznega kolitisa pri pediatričnih bolnikih (PUCAI – Paediatric Ulcerative Colitis Activity Index) (opredeljen kot zmanjšanje kazalnika PUCAI </w:t>
      </w:r>
      <w:r w:rsidRPr="008E156D">
        <w:rPr>
          <w:rFonts w:ascii="Times New Roman" w:hAnsi="Times New Roman" w:cs="Times New Roman" w:hint="eastAsia"/>
          <w:lang w:val="sl-SI"/>
        </w:rPr>
        <w:t>≥</w:t>
      </w:r>
      <w:r w:rsidRPr="008E156D">
        <w:rPr>
          <w:rFonts w:ascii="Times New Roman" w:hAnsi="Times New Roman" w:cs="Times New Roman" w:hint="eastAsia"/>
          <w:lang w:val="sl-SI"/>
        </w:rPr>
        <w:t> </w:t>
      </w:r>
      <w:r w:rsidRPr="008E156D">
        <w:rPr>
          <w:rFonts w:ascii="Times New Roman" w:hAnsi="Times New Roman" w:cs="Times New Roman"/>
          <w:lang w:val="sl-SI"/>
        </w:rPr>
        <w:t>20 točk glede na izhodišče) in klinično remisijo po kazalniku PUCAI (opredeljena kot zmanjšanje kazalnika PUCAI &lt; 10) v 8. tednu in 52. tednu (preglednica 33).</w:t>
      </w:r>
    </w:p>
    <w:p w14:paraId="569E328C" w14:textId="77777777" w:rsidR="006A7666" w:rsidRPr="00797234" w:rsidRDefault="006A7666" w:rsidP="006A7666">
      <w:pPr>
        <w:rPr>
          <w:rFonts w:ascii="Times New Roman" w:hAnsi="Times New Roman" w:cs="Times New Roman"/>
          <w:lang w:val="sl-SI"/>
        </w:rPr>
      </w:pPr>
    </w:p>
    <w:tbl>
      <w:tblPr>
        <w:tblW w:w="9538" w:type="dxa"/>
        <w:jc w:val="center"/>
        <w:tblCellMar>
          <w:left w:w="0" w:type="dxa"/>
          <w:right w:w="0" w:type="dxa"/>
        </w:tblCellMar>
        <w:tblLook w:val="04A0" w:firstRow="1" w:lastRow="0" w:firstColumn="1" w:lastColumn="0" w:noHBand="0" w:noVBand="1"/>
      </w:tblPr>
      <w:tblGrid>
        <w:gridCol w:w="3969"/>
        <w:gridCol w:w="2835"/>
        <w:gridCol w:w="2734"/>
      </w:tblGrid>
      <w:tr w:rsidR="006A7666" w:rsidRPr="00652F18" w14:paraId="19FA08D2" w14:textId="77777777" w:rsidTr="0030421B">
        <w:trPr>
          <w:trHeight w:val="60"/>
          <w:jc w:val="center"/>
        </w:trPr>
        <w:tc>
          <w:tcPr>
            <w:tcW w:w="9538" w:type="dxa"/>
            <w:gridSpan w:val="3"/>
            <w:tcMar>
              <w:top w:w="0" w:type="dxa"/>
              <w:left w:w="108" w:type="dxa"/>
              <w:bottom w:w="0" w:type="dxa"/>
              <w:right w:w="108" w:type="dxa"/>
            </w:tcMar>
          </w:tcPr>
          <w:p w14:paraId="49F1781B" w14:textId="77777777" w:rsidR="006A7666" w:rsidRDefault="006A7666" w:rsidP="00797234">
            <w:pPr>
              <w:jc w:val="center"/>
              <w:rPr>
                <w:rFonts w:ascii="Times New Roman" w:hAnsi="Times New Roman" w:cs="Times New Roman"/>
                <w:b/>
                <w:lang w:val="sl-SI"/>
              </w:rPr>
            </w:pPr>
            <w:bookmarkStart w:id="8" w:name="_Hlk51667533"/>
            <w:r w:rsidRPr="00797234">
              <w:rPr>
                <w:rFonts w:ascii="Times New Roman" w:hAnsi="Times New Roman" w:cs="Times New Roman"/>
                <w:b/>
                <w:lang w:val="sl-SI"/>
              </w:rPr>
              <w:t>Preglednica 33: Rezultati eksploracijskih opazovanih izidov po kazalniku PUCAI</w:t>
            </w:r>
          </w:p>
          <w:p w14:paraId="0E061255" w14:textId="12A4738C" w:rsidR="007E758B" w:rsidRPr="00797234" w:rsidRDefault="007E758B" w:rsidP="00797234">
            <w:pPr>
              <w:jc w:val="center"/>
              <w:rPr>
                <w:rFonts w:ascii="Times New Roman" w:hAnsi="Times New Roman" w:cs="Times New Roman"/>
                <w:b/>
                <w:bCs/>
                <w:lang w:val="sl-SI"/>
              </w:rPr>
            </w:pPr>
          </w:p>
        </w:tc>
      </w:tr>
      <w:tr w:rsidR="006A7666" w:rsidRPr="006A7666" w14:paraId="3D2FAE83" w14:textId="77777777" w:rsidTr="0030421B">
        <w:trPr>
          <w:trHeight w:val="265"/>
          <w:jc w:val="center"/>
        </w:trPr>
        <w:tc>
          <w:tcPr>
            <w:tcW w:w="3969" w:type="dxa"/>
            <w:vMerge w:val="restart"/>
            <w:tcBorders>
              <w:top w:val="single" w:sz="4" w:space="0" w:color="auto"/>
              <w:left w:val="single" w:sz="8" w:space="0" w:color="auto"/>
              <w:right w:val="single" w:sz="4" w:space="0" w:color="auto"/>
            </w:tcBorders>
            <w:tcMar>
              <w:top w:w="0" w:type="dxa"/>
              <w:left w:w="108" w:type="dxa"/>
              <w:bottom w:w="0" w:type="dxa"/>
              <w:right w:w="108" w:type="dxa"/>
            </w:tcMar>
          </w:tcPr>
          <w:p w14:paraId="28310DC6" w14:textId="77777777" w:rsidR="006A7666" w:rsidRPr="00797234" w:rsidRDefault="006A7666" w:rsidP="00797234">
            <w:pPr>
              <w:rPr>
                <w:rFonts w:ascii="Times New Roman" w:hAnsi="Times New Roman" w:cs="Times New Roman"/>
                <w:lang w:val="sl-SI"/>
              </w:rPr>
            </w:pPr>
          </w:p>
        </w:tc>
        <w:tc>
          <w:tcPr>
            <w:tcW w:w="5569"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EA2238" w14:textId="77777777" w:rsidR="006A7666" w:rsidRPr="00797234" w:rsidRDefault="006A7666" w:rsidP="00797234">
            <w:pPr>
              <w:jc w:val="center"/>
              <w:rPr>
                <w:rFonts w:ascii="Times New Roman" w:hAnsi="Times New Roman" w:cs="Times New Roman"/>
                <w:b/>
                <w:bCs/>
                <w:lang w:val="sl-SI"/>
              </w:rPr>
            </w:pPr>
            <w:r w:rsidRPr="00797234">
              <w:rPr>
                <w:rFonts w:ascii="Times New Roman" w:hAnsi="Times New Roman" w:cs="Times New Roman"/>
                <w:b/>
                <w:lang w:val="sl-SI"/>
              </w:rPr>
              <w:t>8. teden</w:t>
            </w:r>
          </w:p>
        </w:tc>
      </w:tr>
      <w:tr w:rsidR="006A7666" w:rsidRPr="006A7666" w14:paraId="4031B88D" w14:textId="77777777" w:rsidTr="0030421B">
        <w:trPr>
          <w:trHeight w:val="1042"/>
          <w:jc w:val="center"/>
        </w:trPr>
        <w:tc>
          <w:tcPr>
            <w:tcW w:w="3969" w:type="dxa"/>
            <w:vMerge/>
            <w:tcBorders>
              <w:left w:val="single" w:sz="8" w:space="0" w:color="auto"/>
              <w:bottom w:val="single" w:sz="4" w:space="0" w:color="auto"/>
              <w:right w:val="single" w:sz="8" w:space="0" w:color="auto"/>
            </w:tcBorders>
            <w:tcMar>
              <w:top w:w="0" w:type="dxa"/>
              <w:left w:w="108" w:type="dxa"/>
              <w:bottom w:w="0" w:type="dxa"/>
              <w:right w:w="108" w:type="dxa"/>
            </w:tcMar>
          </w:tcPr>
          <w:p w14:paraId="6946AE48" w14:textId="77777777" w:rsidR="006A7666" w:rsidRPr="00797234" w:rsidRDefault="006A7666" w:rsidP="00797234">
            <w:pPr>
              <w:rPr>
                <w:rFonts w:ascii="Times New Roman" w:hAnsi="Times New Roman" w:cs="Times New Roman"/>
                <w:lang w:val="sl-SI"/>
              </w:rPr>
            </w:pPr>
          </w:p>
        </w:tc>
        <w:tc>
          <w:tcPr>
            <w:tcW w:w="2835"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5798E010" w14:textId="3BAAECA0" w:rsidR="006A7666" w:rsidRPr="00797234" w:rsidRDefault="006A7666" w:rsidP="00797234">
            <w:pPr>
              <w:jc w:val="center"/>
              <w:rPr>
                <w:rFonts w:ascii="Times New Roman" w:hAnsi="Times New Roman" w:cs="Times New Roman"/>
                <w:b/>
                <w:bCs/>
                <w:vertAlign w:val="superscript"/>
                <w:lang w:val="sl-SI"/>
              </w:rPr>
            </w:pPr>
            <w:r>
              <w:rPr>
                <w:rFonts w:ascii="Times New Roman" w:hAnsi="Times New Roman" w:cs="Times New Roman"/>
                <w:b/>
                <w:lang w:val="sl-SI"/>
              </w:rPr>
              <w:t>Adalimumaba</w:t>
            </w:r>
            <w:r w:rsidRPr="00797234">
              <w:rPr>
                <w:rFonts w:ascii="Times New Roman" w:hAnsi="Times New Roman" w:cs="Times New Roman"/>
                <w:b/>
                <w:vertAlign w:val="superscript"/>
                <w:lang w:val="sl-SI"/>
              </w:rPr>
              <w:t>a</w:t>
            </w:r>
          </w:p>
          <w:p w14:paraId="1ED8B2D6" w14:textId="77777777" w:rsidR="006A7666" w:rsidRPr="00797234" w:rsidRDefault="006A7666" w:rsidP="00797234">
            <w:pPr>
              <w:jc w:val="center"/>
              <w:rPr>
                <w:rFonts w:ascii="Times New Roman" w:hAnsi="Times New Roman" w:cs="Times New Roman"/>
                <w:b/>
                <w:bCs/>
                <w:lang w:val="sl-SI"/>
              </w:rPr>
            </w:pPr>
            <w:r w:rsidRPr="00797234">
              <w:rPr>
                <w:rFonts w:ascii="Times New Roman" w:hAnsi="Times New Roman" w:cs="Times New Roman"/>
                <w:b/>
                <w:lang w:val="sl-SI"/>
              </w:rPr>
              <w:t>Največ 160 mg v 0. tednu / Placebo v 1. tednu</w:t>
            </w:r>
          </w:p>
          <w:p w14:paraId="7A517A3B" w14:textId="77777777" w:rsidR="006A7666" w:rsidRPr="00797234" w:rsidRDefault="006A7666" w:rsidP="00797234">
            <w:pPr>
              <w:jc w:val="center"/>
              <w:rPr>
                <w:rFonts w:ascii="Times New Roman" w:hAnsi="Times New Roman" w:cs="Times New Roman"/>
                <w:lang w:val="sl-SI"/>
              </w:rPr>
            </w:pPr>
            <w:r w:rsidRPr="00797234">
              <w:rPr>
                <w:rFonts w:ascii="Times New Roman" w:hAnsi="Times New Roman" w:cs="Times New Roman"/>
                <w:lang w:val="sl-SI"/>
              </w:rPr>
              <w:t>N = 30</w:t>
            </w:r>
          </w:p>
        </w:tc>
        <w:tc>
          <w:tcPr>
            <w:tcW w:w="2734"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22CB1602" w14:textId="2D0161DA" w:rsidR="006A7666" w:rsidRPr="00797234" w:rsidRDefault="006A7666" w:rsidP="00797234">
            <w:pPr>
              <w:jc w:val="center"/>
              <w:rPr>
                <w:rFonts w:ascii="Times New Roman" w:hAnsi="Times New Roman" w:cs="Times New Roman"/>
                <w:b/>
                <w:bCs/>
                <w:vertAlign w:val="superscript"/>
                <w:lang w:val="sl-SI"/>
              </w:rPr>
            </w:pPr>
            <w:r>
              <w:rPr>
                <w:rFonts w:ascii="Times New Roman" w:hAnsi="Times New Roman" w:cs="Times New Roman"/>
                <w:b/>
                <w:lang w:val="sl-SI"/>
              </w:rPr>
              <w:t>Adalimumaba</w:t>
            </w:r>
            <w:r w:rsidRPr="00797234">
              <w:rPr>
                <w:rFonts w:ascii="Times New Roman" w:hAnsi="Times New Roman" w:cs="Times New Roman"/>
                <w:b/>
                <w:vertAlign w:val="superscript"/>
                <w:lang w:val="sl-SI"/>
              </w:rPr>
              <w:t>b,c</w:t>
            </w:r>
          </w:p>
          <w:p w14:paraId="641805D8" w14:textId="77777777" w:rsidR="006A7666" w:rsidRPr="00797234" w:rsidRDefault="006A7666" w:rsidP="00797234">
            <w:pPr>
              <w:jc w:val="center"/>
              <w:rPr>
                <w:rFonts w:ascii="Times New Roman" w:hAnsi="Times New Roman" w:cs="Times New Roman"/>
                <w:b/>
                <w:bCs/>
                <w:lang w:val="sl-SI"/>
              </w:rPr>
            </w:pPr>
            <w:r w:rsidRPr="00797234">
              <w:rPr>
                <w:rFonts w:ascii="Times New Roman" w:hAnsi="Times New Roman" w:cs="Times New Roman"/>
                <w:b/>
                <w:lang w:val="sl-SI"/>
              </w:rPr>
              <w:t>Največ 160 mg v 0. tednu in 1. tednu</w:t>
            </w:r>
          </w:p>
          <w:p w14:paraId="08A51560" w14:textId="77777777" w:rsidR="006A7666" w:rsidRPr="00797234" w:rsidRDefault="006A7666" w:rsidP="00797234">
            <w:pPr>
              <w:jc w:val="center"/>
              <w:rPr>
                <w:rFonts w:ascii="Times New Roman" w:hAnsi="Times New Roman" w:cs="Times New Roman"/>
                <w:lang w:val="sl-SI"/>
              </w:rPr>
            </w:pPr>
            <w:r w:rsidRPr="00797234">
              <w:rPr>
                <w:rFonts w:ascii="Times New Roman" w:hAnsi="Times New Roman" w:cs="Times New Roman"/>
                <w:lang w:val="sl-SI"/>
              </w:rPr>
              <w:t>N = 47</w:t>
            </w:r>
          </w:p>
        </w:tc>
      </w:tr>
      <w:tr w:rsidR="006A7666" w:rsidRPr="006A7666" w14:paraId="7BFDAB13" w14:textId="77777777" w:rsidTr="0030421B">
        <w:trPr>
          <w:trHeight w:val="202"/>
          <w:jc w:val="center"/>
        </w:trPr>
        <w:tc>
          <w:tcPr>
            <w:tcW w:w="396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E81C74C" w14:textId="77777777" w:rsidR="006A7666" w:rsidRPr="00797234" w:rsidRDefault="006A7666" w:rsidP="00797234">
            <w:pPr>
              <w:rPr>
                <w:rFonts w:ascii="Times New Roman" w:hAnsi="Times New Roman" w:cs="Times New Roman"/>
                <w:lang w:val="sl-SI"/>
              </w:rPr>
            </w:pPr>
            <w:r w:rsidRPr="00797234">
              <w:rPr>
                <w:rFonts w:ascii="Times New Roman" w:hAnsi="Times New Roman" w:cs="Times New Roman"/>
                <w:lang w:val="sl-SI"/>
              </w:rPr>
              <w:t>Klinična remisija po PUCAI</w:t>
            </w:r>
          </w:p>
        </w:tc>
        <w:tc>
          <w:tcPr>
            <w:tcW w:w="28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3C792C9" w14:textId="77777777" w:rsidR="006A7666" w:rsidRPr="00797234" w:rsidRDefault="006A7666" w:rsidP="00797234">
            <w:pPr>
              <w:jc w:val="center"/>
              <w:rPr>
                <w:rFonts w:ascii="Times New Roman" w:hAnsi="Times New Roman" w:cs="Times New Roman"/>
                <w:lang w:val="sl-SI"/>
              </w:rPr>
            </w:pPr>
            <w:r w:rsidRPr="00797234">
              <w:rPr>
                <w:rFonts w:ascii="Times New Roman" w:hAnsi="Times New Roman" w:cs="Times New Roman"/>
                <w:lang w:val="sl-SI"/>
              </w:rPr>
              <w:t>10/30 (33,3 %)</w:t>
            </w:r>
          </w:p>
        </w:tc>
        <w:tc>
          <w:tcPr>
            <w:tcW w:w="27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572399" w14:textId="77777777" w:rsidR="006A7666" w:rsidRPr="00797234" w:rsidRDefault="006A7666" w:rsidP="00797234">
            <w:pPr>
              <w:jc w:val="center"/>
              <w:rPr>
                <w:rFonts w:ascii="Times New Roman" w:hAnsi="Times New Roman" w:cs="Times New Roman"/>
                <w:lang w:val="sl-SI"/>
              </w:rPr>
            </w:pPr>
            <w:r w:rsidRPr="00797234">
              <w:rPr>
                <w:rFonts w:ascii="Times New Roman" w:hAnsi="Times New Roman" w:cs="Times New Roman"/>
                <w:lang w:val="sl-SI"/>
              </w:rPr>
              <w:t>22/47 (46,8 %)</w:t>
            </w:r>
          </w:p>
        </w:tc>
      </w:tr>
      <w:tr w:rsidR="006A7666" w:rsidRPr="006A7666" w14:paraId="5BAE1AE2" w14:textId="77777777" w:rsidTr="0030421B">
        <w:trPr>
          <w:trHeight w:val="238"/>
          <w:jc w:val="center"/>
        </w:trPr>
        <w:tc>
          <w:tcPr>
            <w:tcW w:w="396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D98F9E7" w14:textId="77777777" w:rsidR="006A7666" w:rsidRPr="00797234" w:rsidRDefault="006A7666" w:rsidP="00797234">
            <w:pPr>
              <w:rPr>
                <w:rFonts w:ascii="Times New Roman" w:hAnsi="Times New Roman" w:cs="Times New Roman"/>
                <w:lang w:val="sl-SI"/>
              </w:rPr>
            </w:pPr>
            <w:r w:rsidRPr="00797234">
              <w:rPr>
                <w:rFonts w:ascii="Times New Roman" w:hAnsi="Times New Roman" w:cs="Times New Roman"/>
                <w:lang w:val="sl-SI"/>
              </w:rPr>
              <w:t>Klinični odziv po PUCAI</w:t>
            </w:r>
          </w:p>
        </w:tc>
        <w:tc>
          <w:tcPr>
            <w:tcW w:w="28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0B7F275" w14:textId="77777777" w:rsidR="006A7666" w:rsidRPr="00797234" w:rsidRDefault="006A7666" w:rsidP="00797234">
            <w:pPr>
              <w:jc w:val="center"/>
              <w:rPr>
                <w:rFonts w:ascii="Times New Roman" w:hAnsi="Times New Roman" w:cs="Times New Roman"/>
                <w:lang w:val="sl-SI"/>
              </w:rPr>
            </w:pPr>
            <w:r w:rsidRPr="00797234">
              <w:rPr>
                <w:rFonts w:ascii="Times New Roman" w:hAnsi="Times New Roman" w:cs="Times New Roman"/>
                <w:lang w:val="sl-SI"/>
              </w:rPr>
              <w:t>15/30 (50,0 %)</w:t>
            </w:r>
          </w:p>
        </w:tc>
        <w:tc>
          <w:tcPr>
            <w:tcW w:w="27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BDD1652" w14:textId="77777777" w:rsidR="006A7666" w:rsidRPr="00797234" w:rsidRDefault="006A7666" w:rsidP="00797234">
            <w:pPr>
              <w:jc w:val="center"/>
              <w:rPr>
                <w:rFonts w:ascii="Times New Roman" w:hAnsi="Times New Roman" w:cs="Times New Roman"/>
                <w:lang w:val="sl-SI"/>
              </w:rPr>
            </w:pPr>
            <w:r w:rsidRPr="00797234">
              <w:rPr>
                <w:rFonts w:ascii="Times New Roman" w:hAnsi="Times New Roman" w:cs="Times New Roman"/>
                <w:lang w:val="sl-SI"/>
              </w:rPr>
              <w:t>32/47 (68,1 %)</w:t>
            </w:r>
          </w:p>
        </w:tc>
      </w:tr>
      <w:tr w:rsidR="006A7666" w:rsidRPr="006A7666" w14:paraId="64EF87C6" w14:textId="77777777" w:rsidTr="0030421B">
        <w:trPr>
          <w:trHeight w:val="238"/>
          <w:jc w:val="center"/>
        </w:trPr>
        <w:tc>
          <w:tcPr>
            <w:tcW w:w="3969" w:type="dxa"/>
            <w:vMerge w:val="restart"/>
            <w:tcBorders>
              <w:top w:val="nil"/>
              <w:left w:val="single" w:sz="8" w:space="0" w:color="auto"/>
              <w:right w:val="single" w:sz="8" w:space="0" w:color="auto"/>
            </w:tcBorders>
            <w:tcMar>
              <w:top w:w="0" w:type="dxa"/>
              <w:left w:w="108" w:type="dxa"/>
              <w:bottom w:w="0" w:type="dxa"/>
              <w:right w:w="108" w:type="dxa"/>
            </w:tcMar>
          </w:tcPr>
          <w:p w14:paraId="414A464D" w14:textId="77777777" w:rsidR="006A7666" w:rsidRPr="00797234" w:rsidRDefault="006A7666" w:rsidP="00797234">
            <w:pPr>
              <w:rPr>
                <w:rFonts w:ascii="Times New Roman" w:hAnsi="Times New Roman" w:cs="Times New Roman"/>
                <w:lang w:val="sl-SI"/>
              </w:rPr>
            </w:pPr>
          </w:p>
        </w:tc>
        <w:tc>
          <w:tcPr>
            <w:tcW w:w="5569" w:type="dxa"/>
            <w:gridSpan w:val="2"/>
            <w:tcBorders>
              <w:top w:val="nil"/>
              <w:left w:val="nil"/>
              <w:bottom w:val="single" w:sz="4" w:space="0" w:color="auto"/>
              <w:right w:val="single" w:sz="8" w:space="0" w:color="auto"/>
            </w:tcBorders>
            <w:tcMar>
              <w:top w:w="0" w:type="dxa"/>
              <w:left w:w="108" w:type="dxa"/>
              <w:bottom w:w="0" w:type="dxa"/>
              <w:right w:w="108" w:type="dxa"/>
            </w:tcMar>
          </w:tcPr>
          <w:p w14:paraId="5977D33C" w14:textId="77777777" w:rsidR="006A7666" w:rsidRPr="00797234" w:rsidRDefault="006A7666" w:rsidP="00797234">
            <w:pPr>
              <w:jc w:val="center"/>
              <w:rPr>
                <w:rFonts w:ascii="Times New Roman" w:hAnsi="Times New Roman" w:cs="Times New Roman"/>
                <w:b/>
                <w:bCs/>
                <w:lang w:val="sl-SI"/>
              </w:rPr>
            </w:pPr>
            <w:r w:rsidRPr="00797234">
              <w:rPr>
                <w:rFonts w:ascii="Times New Roman" w:hAnsi="Times New Roman" w:cs="Times New Roman"/>
                <w:b/>
                <w:lang w:val="sl-SI"/>
              </w:rPr>
              <w:t>52. teden</w:t>
            </w:r>
          </w:p>
        </w:tc>
      </w:tr>
      <w:tr w:rsidR="006A7666" w:rsidRPr="00AC7013" w14:paraId="31CF276F" w14:textId="77777777" w:rsidTr="0030421B">
        <w:trPr>
          <w:trHeight w:val="238"/>
          <w:jc w:val="center"/>
        </w:trPr>
        <w:tc>
          <w:tcPr>
            <w:tcW w:w="3969" w:type="dxa"/>
            <w:vMerge/>
            <w:tcBorders>
              <w:left w:val="single" w:sz="8" w:space="0" w:color="auto"/>
              <w:bottom w:val="single" w:sz="4" w:space="0" w:color="auto"/>
              <w:right w:val="single" w:sz="8" w:space="0" w:color="auto"/>
            </w:tcBorders>
            <w:tcMar>
              <w:top w:w="0" w:type="dxa"/>
              <w:left w:w="108" w:type="dxa"/>
              <w:bottom w:w="0" w:type="dxa"/>
              <w:right w:w="108" w:type="dxa"/>
            </w:tcMar>
          </w:tcPr>
          <w:p w14:paraId="5438B51C" w14:textId="77777777" w:rsidR="006A7666" w:rsidRPr="00797234" w:rsidRDefault="006A7666" w:rsidP="00797234">
            <w:pPr>
              <w:rPr>
                <w:rFonts w:ascii="Times New Roman" w:hAnsi="Times New Roman" w:cs="Times New Roman"/>
                <w:lang w:val="sl-SI"/>
              </w:rPr>
            </w:pPr>
          </w:p>
        </w:tc>
        <w:tc>
          <w:tcPr>
            <w:tcW w:w="2835" w:type="dxa"/>
            <w:tcBorders>
              <w:top w:val="nil"/>
              <w:left w:val="nil"/>
              <w:bottom w:val="single" w:sz="4" w:space="0" w:color="auto"/>
              <w:right w:val="single" w:sz="8" w:space="0" w:color="auto"/>
            </w:tcBorders>
            <w:tcMar>
              <w:top w:w="0" w:type="dxa"/>
              <w:left w:w="108" w:type="dxa"/>
              <w:bottom w:w="0" w:type="dxa"/>
              <w:right w:w="108" w:type="dxa"/>
            </w:tcMar>
          </w:tcPr>
          <w:p w14:paraId="1E88C884" w14:textId="5C4AA96F" w:rsidR="006A7666" w:rsidRPr="00797234" w:rsidRDefault="006A7666" w:rsidP="00797234">
            <w:pPr>
              <w:jc w:val="center"/>
              <w:rPr>
                <w:rFonts w:ascii="Times New Roman" w:hAnsi="Times New Roman" w:cs="Times New Roman"/>
                <w:b/>
                <w:bCs/>
                <w:vertAlign w:val="superscript"/>
                <w:lang w:val="sl-SI"/>
              </w:rPr>
            </w:pPr>
            <w:r>
              <w:rPr>
                <w:rFonts w:ascii="Times New Roman" w:hAnsi="Times New Roman" w:cs="Times New Roman"/>
                <w:b/>
                <w:lang w:val="sl-SI"/>
              </w:rPr>
              <w:t>Adalimumaba</w:t>
            </w:r>
            <w:r w:rsidRPr="00797234">
              <w:rPr>
                <w:rFonts w:ascii="Times New Roman" w:hAnsi="Times New Roman" w:cs="Times New Roman"/>
                <w:b/>
                <w:vertAlign w:val="superscript"/>
                <w:lang w:val="sl-SI"/>
              </w:rPr>
              <w:t>d</w:t>
            </w:r>
          </w:p>
          <w:p w14:paraId="00814587" w14:textId="77777777" w:rsidR="006A7666" w:rsidRPr="00797234" w:rsidRDefault="006A7666" w:rsidP="00797234">
            <w:pPr>
              <w:jc w:val="center"/>
              <w:rPr>
                <w:rFonts w:ascii="Times New Roman" w:hAnsi="Times New Roman" w:cs="Times New Roman"/>
                <w:b/>
                <w:bCs/>
                <w:lang w:val="sl-SI"/>
              </w:rPr>
            </w:pPr>
            <w:r w:rsidRPr="00797234">
              <w:rPr>
                <w:rFonts w:ascii="Times New Roman" w:hAnsi="Times New Roman" w:cs="Times New Roman"/>
                <w:b/>
                <w:lang w:val="sl-SI"/>
              </w:rPr>
              <w:t>Največ 40 mg vsak drugi teden</w:t>
            </w:r>
          </w:p>
          <w:p w14:paraId="7A54E9C9" w14:textId="77777777" w:rsidR="006A7666" w:rsidRPr="00797234" w:rsidRDefault="006A7666" w:rsidP="00797234">
            <w:pPr>
              <w:jc w:val="center"/>
              <w:rPr>
                <w:rFonts w:ascii="Times New Roman" w:hAnsi="Times New Roman" w:cs="Times New Roman"/>
                <w:lang w:val="sl-SI"/>
              </w:rPr>
            </w:pPr>
            <w:r w:rsidRPr="00797234">
              <w:rPr>
                <w:rFonts w:ascii="Times New Roman" w:hAnsi="Times New Roman" w:cs="Times New Roman"/>
                <w:lang w:val="sl-SI"/>
              </w:rPr>
              <w:t>N = 31</w:t>
            </w:r>
          </w:p>
        </w:tc>
        <w:tc>
          <w:tcPr>
            <w:tcW w:w="2734" w:type="dxa"/>
            <w:tcBorders>
              <w:top w:val="nil"/>
              <w:left w:val="nil"/>
              <w:bottom w:val="single" w:sz="4" w:space="0" w:color="auto"/>
              <w:right w:val="single" w:sz="8" w:space="0" w:color="auto"/>
            </w:tcBorders>
            <w:tcMar>
              <w:top w:w="0" w:type="dxa"/>
              <w:left w:w="108" w:type="dxa"/>
              <w:bottom w:w="0" w:type="dxa"/>
              <w:right w:w="108" w:type="dxa"/>
            </w:tcMar>
          </w:tcPr>
          <w:p w14:paraId="2699C87F" w14:textId="6A8A2A41" w:rsidR="006A7666" w:rsidRPr="00797234" w:rsidRDefault="006A7666" w:rsidP="00797234">
            <w:pPr>
              <w:jc w:val="center"/>
              <w:rPr>
                <w:rFonts w:ascii="Times New Roman" w:hAnsi="Times New Roman" w:cs="Times New Roman"/>
                <w:b/>
                <w:bCs/>
                <w:vertAlign w:val="superscript"/>
                <w:lang w:val="sl-SI"/>
              </w:rPr>
            </w:pPr>
            <w:r>
              <w:rPr>
                <w:rFonts w:ascii="Times New Roman" w:hAnsi="Times New Roman" w:cs="Times New Roman"/>
                <w:b/>
                <w:lang w:val="sl-SI"/>
              </w:rPr>
              <w:t>Adalimumaba</w:t>
            </w:r>
            <w:r w:rsidRPr="00797234">
              <w:rPr>
                <w:rFonts w:ascii="Times New Roman" w:hAnsi="Times New Roman" w:cs="Times New Roman"/>
                <w:b/>
                <w:vertAlign w:val="superscript"/>
                <w:lang w:val="sl-SI"/>
              </w:rPr>
              <w:t>e</w:t>
            </w:r>
          </w:p>
          <w:p w14:paraId="74AD748B" w14:textId="77777777" w:rsidR="006A7666" w:rsidRPr="00797234" w:rsidRDefault="006A7666" w:rsidP="00797234">
            <w:pPr>
              <w:jc w:val="center"/>
              <w:rPr>
                <w:rFonts w:ascii="Times New Roman" w:hAnsi="Times New Roman" w:cs="Times New Roman"/>
                <w:b/>
                <w:bCs/>
                <w:lang w:val="sl-SI"/>
              </w:rPr>
            </w:pPr>
            <w:r w:rsidRPr="00797234">
              <w:rPr>
                <w:rFonts w:ascii="Times New Roman" w:hAnsi="Times New Roman" w:cs="Times New Roman"/>
                <w:b/>
                <w:lang w:val="sl-SI"/>
              </w:rPr>
              <w:t>Največ 40 mg vsak teden</w:t>
            </w:r>
          </w:p>
          <w:p w14:paraId="3D5CF27B" w14:textId="77777777" w:rsidR="006A7666" w:rsidRPr="00797234" w:rsidRDefault="006A7666" w:rsidP="00797234">
            <w:pPr>
              <w:jc w:val="center"/>
              <w:rPr>
                <w:rFonts w:ascii="Times New Roman" w:hAnsi="Times New Roman" w:cs="Times New Roman"/>
                <w:lang w:val="sl-SI"/>
              </w:rPr>
            </w:pPr>
            <w:r w:rsidRPr="00797234">
              <w:rPr>
                <w:rFonts w:ascii="Times New Roman" w:hAnsi="Times New Roman" w:cs="Times New Roman"/>
                <w:lang w:val="sl-SI"/>
              </w:rPr>
              <w:t>N = 31</w:t>
            </w:r>
          </w:p>
        </w:tc>
      </w:tr>
      <w:tr w:rsidR="006A7666" w:rsidRPr="006A7666" w14:paraId="7696D56D" w14:textId="77777777" w:rsidTr="0030421B">
        <w:trPr>
          <w:trHeight w:val="238"/>
          <w:jc w:val="center"/>
        </w:trPr>
        <w:tc>
          <w:tcPr>
            <w:tcW w:w="3969"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7328A37D" w14:textId="77777777" w:rsidR="006A7666" w:rsidRPr="00797234" w:rsidRDefault="006A7666" w:rsidP="00797234">
            <w:pPr>
              <w:rPr>
                <w:rFonts w:ascii="Times New Roman" w:hAnsi="Times New Roman" w:cs="Times New Roman"/>
                <w:lang w:val="sl-SI"/>
              </w:rPr>
            </w:pPr>
            <w:r w:rsidRPr="00797234">
              <w:rPr>
                <w:rFonts w:ascii="Times New Roman" w:hAnsi="Times New Roman" w:cs="Times New Roman"/>
                <w:lang w:val="sl-SI"/>
              </w:rPr>
              <w:t>Klinična remisija po PUCAI pri bolnikih z odzivom po PMS v 8. tednu</w:t>
            </w:r>
          </w:p>
        </w:tc>
        <w:tc>
          <w:tcPr>
            <w:tcW w:w="2835" w:type="dxa"/>
            <w:tcBorders>
              <w:top w:val="nil"/>
              <w:left w:val="nil"/>
              <w:bottom w:val="single" w:sz="4" w:space="0" w:color="auto"/>
              <w:right w:val="single" w:sz="8" w:space="0" w:color="auto"/>
            </w:tcBorders>
            <w:tcMar>
              <w:top w:w="0" w:type="dxa"/>
              <w:left w:w="108" w:type="dxa"/>
              <w:bottom w:w="0" w:type="dxa"/>
              <w:right w:w="108" w:type="dxa"/>
            </w:tcMar>
          </w:tcPr>
          <w:p w14:paraId="7914EE43" w14:textId="77777777" w:rsidR="006A7666" w:rsidRPr="00797234" w:rsidRDefault="006A7666" w:rsidP="00797234">
            <w:pPr>
              <w:jc w:val="center"/>
              <w:rPr>
                <w:rFonts w:ascii="Times New Roman" w:hAnsi="Times New Roman" w:cs="Times New Roman"/>
                <w:lang w:val="sl-SI"/>
              </w:rPr>
            </w:pPr>
            <w:r w:rsidRPr="00797234">
              <w:rPr>
                <w:rFonts w:ascii="Times New Roman" w:hAnsi="Times New Roman" w:cs="Times New Roman"/>
                <w:lang w:val="sl-SI"/>
              </w:rPr>
              <w:t>14/31 (45,2 %)</w:t>
            </w:r>
          </w:p>
        </w:tc>
        <w:tc>
          <w:tcPr>
            <w:tcW w:w="2734" w:type="dxa"/>
            <w:tcBorders>
              <w:top w:val="nil"/>
              <w:left w:val="nil"/>
              <w:bottom w:val="single" w:sz="4" w:space="0" w:color="auto"/>
              <w:right w:val="single" w:sz="8" w:space="0" w:color="auto"/>
            </w:tcBorders>
            <w:tcMar>
              <w:top w:w="0" w:type="dxa"/>
              <w:left w:w="108" w:type="dxa"/>
              <w:bottom w:w="0" w:type="dxa"/>
              <w:right w:w="108" w:type="dxa"/>
            </w:tcMar>
          </w:tcPr>
          <w:p w14:paraId="33058A49" w14:textId="77777777" w:rsidR="006A7666" w:rsidRPr="00797234" w:rsidRDefault="006A7666" w:rsidP="00797234">
            <w:pPr>
              <w:jc w:val="center"/>
              <w:rPr>
                <w:rFonts w:ascii="Times New Roman" w:hAnsi="Times New Roman" w:cs="Times New Roman"/>
                <w:lang w:val="sl-SI"/>
              </w:rPr>
            </w:pPr>
            <w:r w:rsidRPr="00797234">
              <w:rPr>
                <w:rFonts w:ascii="Times New Roman" w:hAnsi="Times New Roman" w:cs="Times New Roman"/>
                <w:lang w:val="sl-SI"/>
              </w:rPr>
              <w:t>18/31 (58,1 %)</w:t>
            </w:r>
          </w:p>
        </w:tc>
      </w:tr>
      <w:tr w:rsidR="006A7666" w:rsidRPr="006A7666" w14:paraId="17E2DAE6" w14:textId="77777777" w:rsidTr="0030421B">
        <w:trPr>
          <w:trHeight w:val="238"/>
          <w:jc w:val="center"/>
        </w:trPr>
        <w:tc>
          <w:tcPr>
            <w:tcW w:w="3969"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1386BEAC" w14:textId="77777777" w:rsidR="006A7666" w:rsidRPr="00797234" w:rsidRDefault="006A7666" w:rsidP="00797234">
            <w:pPr>
              <w:rPr>
                <w:rFonts w:ascii="Times New Roman" w:hAnsi="Times New Roman" w:cs="Times New Roman"/>
                <w:lang w:val="sl-SI"/>
              </w:rPr>
            </w:pPr>
            <w:r w:rsidRPr="00797234">
              <w:rPr>
                <w:rFonts w:ascii="Times New Roman" w:hAnsi="Times New Roman" w:cs="Times New Roman"/>
                <w:lang w:val="sl-SI"/>
              </w:rPr>
              <w:t>Klinični odziv po PUCAI pri bolnikih z odzivom po PMS v 8. tednu</w:t>
            </w:r>
          </w:p>
        </w:tc>
        <w:tc>
          <w:tcPr>
            <w:tcW w:w="2835" w:type="dxa"/>
            <w:tcBorders>
              <w:top w:val="nil"/>
              <w:left w:val="nil"/>
              <w:bottom w:val="single" w:sz="4" w:space="0" w:color="auto"/>
              <w:right w:val="single" w:sz="8" w:space="0" w:color="auto"/>
            </w:tcBorders>
            <w:tcMar>
              <w:top w:w="0" w:type="dxa"/>
              <w:left w:w="108" w:type="dxa"/>
              <w:bottom w:w="0" w:type="dxa"/>
              <w:right w:w="108" w:type="dxa"/>
            </w:tcMar>
          </w:tcPr>
          <w:p w14:paraId="334D7A91" w14:textId="77777777" w:rsidR="006A7666" w:rsidRPr="00797234" w:rsidRDefault="006A7666" w:rsidP="00797234">
            <w:pPr>
              <w:jc w:val="center"/>
              <w:rPr>
                <w:rFonts w:ascii="Times New Roman" w:hAnsi="Times New Roman" w:cs="Times New Roman"/>
                <w:lang w:val="sl-SI"/>
              </w:rPr>
            </w:pPr>
            <w:r w:rsidRPr="00797234">
              <w:rPr>
                <w:rFonts w:ascii="Times New Roman" w:hAnsi="Times New Roman" w:cs="Times New Roman"/>
                <w:lang w:val="sl-SI"/>
              </w:rPr>
              <w:t>18/31 (58,1 %)</w:t>
            </w:r>
          </w:p>
        </w:tc>
        <w:tc>
          <w:tcPr>
            <w:tcW w:w="2734" w:type="dxa"/>
            <w:tcBorders>
              <w:top w:val="nil"/>
              <w:left w:val="nil"/>
              <w:bottom w:val="single" w:sz="4" w:space="0" w:color="auto"/>
              <w:right w:val="single" w:sz="8" w:space="0" w:color="auto"/>
            </w:tcBorders>
            <w:tcMar>
              <w:top w:w="0" w:type="dxa"/>
              <w:left w:w="108" w:type="dxa"/>
              <w:bottom w:w="0" w:type="dxa"/>
              <w:right w:w="108" w:type="dxa"/>
            </w:tcMar>
          </w:tcPr>
          <w:p w14:paraId="3E63DB5A" w14:textId="77777777" w:rsidR="006A7666" w:rsidRPr="00797234" w:rsidRDefault="006A7666" w:rsidP="00797234">
            <w:pPr>
              <w:jc w:val="center"/>
              <w:rPr>
                <w:rFonts w:ascii="Times New Roman" w:hAnsi="Times New Roman" w:cs="Times New Roman"/>
                <w:lang w:val="sl-SI"/>
              </w:rPr>
            </w:pPr>
            <w:r w:rsidRPr="00797234">
              <w:rPr>
                <w:rFonts w:ascii="Times New Roman" w:hAnsi="Times New Roman" w:cs="Times New Roman"/>
                <w:lang w:val="sl-SI"/>
              </w:rPr>
              <w:t>16/31 (51,6 %)</w:t>
            </w:r>
          </w:p>
        </w:tc>
      </w:tr>
      <w:tr w:rsidR="006A7666" w:rsidRPr="00652F18" w14:paraId="2BFE155E" w14:textId="77777777" w:rsidTr="0030421B">
        <w:trPr>
          <w:trHeight w:val="533"/>
          <w:jc w:val="center"/>
        </w:trPr>
        <w:tc>
          <w:tcPr>
            <w:tcW w:w="9538" w:type="dxa"/>
            <w:gridSpan w:val="3"/>
            <w:tcBorders>
              <w:top w:val="nil"/>
              <w:left w:val="single" w:sz="8" w:space="0" w:color="auto"/>
              <w:bottom w:val="single" w:sz="4" w:space="0" w:color="auto"/>
              <w:right w:val="single" w:sz="8" w:space="0" w:color="auto"/>
            </w:tcBorders>
            <w:tcMar>
              <w:top w:w="0" w:type="dxa"/>
              <w:left w:w="108" w:type="dxa"/>
              <w:bottom w:w="0" w:type="dxa"/>
              <w:right w:w="108" w:type="dxa"/>
            </w:tcMar>
          </w:tcPr>
          <w:p w14:paraId="74F45CCE" w14:textId="09879584" w:rsidR="006A7666" w:rsidRPr="00797234" w:rsidRDefault="006A7666" w:rsidP="00797234">
            <w:pPr>
              <w:rPr>
                <w:rStyle w:val="eop"/>
                <w:rFonts w:ascii="Times New Roman" w:hAnsi="Times New Roman" w:cs="Times New Roman"/>
                <w:lang w:val="sl-SI"/>
              </w:rPr>
            </w:pPr>
            <w:r w:rsidRPr="00797234">
              <w:rPr>
                <w:rFonts w:ascii="Times New Roman" w:hAnsi="Times New Roman" w:cs="Times New Roman"/>
                <w:vertAlign w:val="superscript"/>
                <w:lang w:val="sl-SI"/>
              </w:rPr>
              <w:t>a</w:t>
            </w:r>
            <w:r w:rsidRPr="00797234">
              <w:rPr>
                <w:rFonts w:ascii="Times New Roman" w:hAnsi="Times New Roman" w:cs="Times New Roman"/>
                <w:lang w:val="sl-SI"/>
              </w:rPr>
              <w:t xml:space="preserve"> </w:t>
            </w:r>
            <w:r>
              <w:rPr>
                <w:rStyle w:val="normaltextrun"/>
              </w:rPr>
              <w:t>A</w:t>
            </w:r>
            <w:r>
              <w:rPr>
                <w:rStyle w:val="normaltextrun"/>
                <w:rFonts w:ascii="Times New Roman" w:hAnsi="Times New Roman" w:cs="Times New Roman"/>
                <w:lang w:val="sl-SI"/>
              </w:rPr>
              <w:t>dalimumaba</w:t>
            </w:r>
            <w:r w:rsidRPr="00797234">
              <w:rPr>
                <w:rStyle w:val="normaltextrun"/>
                <w:rFonts w:ascii="Times New Roman" w:hAnsi="Times New Roman" w:cs="Times New Roman"/>
                <w:lang w:val="sl-SI"/>
              </w:rPr>
              <w:t xml:space="preserve"> 2,4 mg/kg (največ 160 mg) v 0. tednu, placebo v 1. tednu in </w:t>
            </w:r>
            <w:r>
              <w:rPr>
                <w:rStyle w:val="normaltextrun"/>
                <w:rFonts w:ascii="Times New Roman" w:hAnsi="Times New Roman" w:cs="Times New Roman"/>
                <w:lang w:val="sl-SI"/>
              </w:rPr>
              <w:t>adalimumaba</w:t>
            </w:r>
            <w:r w:rsidRPr="00797234">
              <w:rPr>
                <w:rStyle w:val="normaltextrun"/>
                <w:rFonts w:ascii="Times New Roman" w:hAnsi="Times New Roman" w:cs="Times New Roman"/>
                <w:lang w:val="sl-SI"/>
              </w:rPr>
              <w:t xml:space="preserve"> 1,2 mg/kg (največ 80 mg) v 2. tednu</w:t>
            </w:r>
            <w:r w:rsidRPr="00797234">
              <w:rPr>
                <w:rStyle w:val="eop"/>
                <w:rFonts w:ascii="Times New Roman" w:hAnsi="Times New Roman" w:cs="Times New Roman"/>
                <w:lang w:val="sl-SI"/>
              </w:rPr>
              <w:t> </w:t>
            </w:r>
          </w:p>
          <w:p w14:paraId="5D992DF7" w14:textId="0D2621D3" w:rsidR="006A7666" w:rsidRPr="006A7666" w:rsidRDefault="006A7666" w:rsidP="00797234">
            <w:pPr>
              <w:pStyle w:val="paragraph"/>
              <w:spacing w:before="0" w:beforeAutospacing="0" w:after="0" w:afterAutospacing="0"/>
              <w:textAlignment w:val="baseline"/>
              <w:rPr>
                <w:rStyle w:val="eop"/>
                <w:sz w:val="22"/>
                <w:szCs w:val="22"/>
              </w:rPr>
            </w:pPr>
            <w:r w:rsidRPr="006A7666">
              <w:rPr>
                <w:sz w:val="22"/>
                <w:vertAlign w:val="superscript"/>
              </w:rPr>
              <w:t>b</w:t>
            </w:r>
            <w:r w:rsidRPr="006A7666">
              <w:rPr>
                <w:rStyle w:val="normaltextrun"/>
                <w:sz w:val="22"/>
                <w:vertAlign w:val="superscript"/>
              </w:rPr>
              <w:t> </w:t>
            </w:r>
            <w:r>
              <w:rPr>
                <w:rStyle w:val="normaltextrun"/>
                <w:sz w:val="22"/>
              </w:rPr>
              <w:t>Adalimumaba</w:t>
            </w:r>
            <w:r w:rsidRPr="006A7666">
              <w:rPr>
                <w:rStyle w:val="normaltextrun"/>
                <w:sz w:val="22"/>
              </w:rPr>
              <w:t xml:space="preserve"> 2,4 mg/kg (največ 160 mg) v 0. tednu in 1. tednu in </w:t>
            </w:r>
            <w:r>
              <w:rPr>
                <w:rStyle w:val="normaltextrun"/>
                <w:sz w:val="22"/>
              </w:rPr>
              <w:t>adalimumaba</w:t>
            </w:r>
            <w:r w:rsidRPr="006A7666">
              <w:rPr>
                <w:rStyle w:val="normaltextrun"/>
                <w:sz w:val="22"/>
              </w:rPr>
              <w:t xml:space="preserve"> 1,2 mg/kg (največ 80 mg) v 2. tednu</w:t>
            </w:r>
            <w:r w:rsidRPr="006A7666">
              <w:rPr>
                <w:rStyle w:val="eop"/>
                <w:sz w:val="22"/>
              </w:rPr>
              <w:t> </w:t>
            </w:r>
          </w:p>
          <w:p w14:paraId="5885428F" w14:textId="760AAD95" w:rsidR="006A7666" w:rsidRPr="006A7666" w:rsidRDefault="006A7666" w:rsidP="00797234">
            <w:pPr>
              <w:pStyle w:val="paragraph"/>
              <w:spacing w:before="0" w:beforeAutospacing="0" w:after="0" w:afterAutospacing="0"/>
              <w:textAlignment w:val="baseline"/>
              <w:rPr>
                <w:rStyle w:val="normaltextrun"/>
                <w:sz w:val="22"/>
                <w:szCs w:val="22"/>
              </w:rPr>
            </w:pPr>
            <w:r w:rsidRPr="006A7666">
              <w:rPr>
                <w:rStyle w:val="normaltextrun"/>
                <w:sz w:val="22"/>
                <w:vertAlign w:val="superscript"/>
              </w:rPr>
              <w:t>c</w:t>
            </w:r>
            <w:r w:rsidRPr="006A7666">
              <w:rPr>
                <w:rStyle w:val="normaltextrun"/>
                <w:sz w:val="22"/>
              </w:rPr>
              <w:t xml:space="preserve"> Ni vključeno </w:t>
            </w:r>
            <w:r w:rsidR="00724B90" w:rsidRPr="00724B90">
              <w:rPr>
                <w:rStyle w:val="normaltextrun"/>
                <w:sz w:val="22"/>
              </w:rPr>
              <w:t>nezaslepljeno</w:t>
            </w:r>
            <w:r w:rsidRPr="006A7666">
              <w:rPr>
                <w:rStyle w:val="normaltextrun"/>
                <w:sz w:val="22"/>
              </w:rPr>
              <w:t xml:space="preserve"> zdravljenje z začetnim odmerkom zdravila </w:t>
            </w:r>
            <w:r>
              <w:rPr>
                <w:rStyle w:val="normaltextrun"/>
                <w:sz w:val="22"/>
              </w:rPr>
              <w:t>adalimumaba</w:t>
            </w:r>
            <w:r w:rsidRPr="006A7666">
              <w:rPr>
                <w:rStyle w:val="normaltextrun"/>
                <w:sz w:val="22"/>
              </w:rPr>
              <w:t xml:space="preserve"> 2,4 mg/kg (največ 160 mg) v 0. tednu in 1. tednu in 1,2 mg/kg (največ 80 mg) v 2. tednu</w:t>
            </w:r>
          </w:p>
          <w:p w14:paraId="0B573C06" w14:textId="101AD36E" w:rsidR="006A7666" w:rsidRPr="006A7666" w:rsidRDefault="006A7666" w:rsidP="00797234">
            <w:pPr>
              <w:pStyle w:val="paragraph"/>
              <w:spacing w:before="0" w:beforeAutospacing="0" w:after="0" w:afterAutospacing="0"/>
              <w:textAlignment w:val="baseline"/>
              <w:rPr>
                <w:sz w:val="22"/>
                <w:szCs w:val="22"/>
              </w:rPr>
            </w:pPr>
            <w:r w:rsidRPr="006A7666">
              <w:rPr>
                <w:rStyle w:val="normaltextrun"/>
                <w:sz w:val="22"/>
                <w:vertAlign w:val="superscript"/>
              </w:rPr>
              <w:t>d</w:t>
            </w:r>
            <w:r w:rsidRPr="006A7666">
              <w:rPr>
                <w:sz w:val="22"/>
              </w:rPr>
              <w:t xml:space="preserve"> </w:t>
            </w:r>
            <w:r w:rsidR="00472D63">
              <w:rPr>
                <w:sz w:val="22"/>
              </w:rPr>
              <w:t>A</w:t>
            </w:r>
            <w:r>
              <w:rPr>
                <w:sz w:val="22"/>
              </w:rPr>
              <w:t>dalimumaba</w:t>
            </w:r>
            <w:r w:rsidRPr="006A7666">
              <w:rPr>
                <w:sz w:val="22"/>
              </w:rPr>
              <w:t xml:space="preserve"> 0,6 mg/kg (največ 40 mg) vsak drugi teden</w:t>
            </w:r>
          </w:p>
          <w:p w14:paraId="2CA65E04" w14:textId="2A3D7037" w:rsidR="006A7666" w:rsidRPr="00797234" w:rsidRDefault="006A7666" w:rsidP="00797234">
            <w:pPr>
              <w:rPr>
                <w:rFonts w:ascii="Times New Roman" w:hAnsi="Times New Roman" w:cs="Times New Roman"/>
                <w:lang w:val="sl-SI"/>
              </w:rPr>
            </w:pPr>
            <w:r w:rsidRPr="00797234">
              <w:rPr>
                <w:rFonts w:ascii="Times New Roman" w:hAnsi="Times New Roman" w:cs="Times New Roman"/>
                <w:vertAlign w:val="superscript"/>
                <w:lang w:val="sl-SI"/>
              </w:rPr>
              <w:t>e</w:t>
            </w:r>
            <w:r w:rsidRPr="00797234">
              <w:rPr>
                <w:rFonts w:ascii="Times New Roman" w:hAnsi="Times New Roman" w:cs="Times New Roman"/>
                <w:lang w:val="sl-SI"/>
              </w:rPr>
              <w:t xml:space="preserve"> </w:t>
            </w:r>
            <w:r w:rsidR="00472D63">
              <w:rPr>
                <w:rFonts w:ascii="Times New Roman" w:hAnsi="Times New Roman" w:cs="Times New Roman"/>
                <w:lang w:val="sl-SI"/>
              </w:rPr>
              <w:t>A</w:t>
            </w:r>
            <w:r>
              <w:rPr>
                <w:rFonts w:ascii="Times New Roman" w:hAnsi="Times New Roman" w:cs="Times New Roman"/>
                <w:lang w:val="sl-SI"/>
              </w:rPr>
              <w:t>dalimumaba</w:t>
            </w:r>
            <w:r w:rsidRPr="00797234">
              <w:rPr>
                <w:rFonts w:ascii="Times New Roman" w:hAnsi="Times New Roman" w:cs="Times New Roman"/>
                <w:lang w:val="sl-SI"/>
              </w:rPr>
              <w:t xml:space="preserve"> 0,6 mg/kg (največ 40 mg) vsak teden</w:t>
            </w:r>
          </w:p>
          <w:p w14:paraId="05717CE6" w14:textId="77777777" w:rsidR="006A7666" w:rsidRPr="006A7666" w:rsidRDefault="006A7666" w:rsidP="00797234">
            <w:pPr>
              <w:pStyle w:val="paragraph"/>
              <w:spacing w:before="0" w:beforeAutospacing="0" w:after="0" w:afterAutospacing="0"/>
              <w:textAlignment w:val="baseline"/>
              <w:rPr>
                <w:sz w:val="22"/>
                <w:szCs w:val="22"/>
              </w:rPr>
            </w:pPr>
            <w:r w:rsidRPr="006A7666">
              <w:rPr>
                <w:rStyle w:val="normaltextrun"/>
                <w:sz w:val="22"/>
              </w:rPr>
              <w:t>Opomba 1: Obe indukcijski skupini sta prejeli odmerek 0,6 mg/kg (največ 40 mg) v 4. tednu in 6. tednu</w:t>
            </w:r>
            <w:r w:rsidRPr="006A7666">
              <w:rPr>
                <w:rStyle w:val="eop"/>
                <w:sz w:val="22"/>
              </w:rPr>
              <w:t> </w:t>
            </w:r>
          </w:p>
          <w:p w14:paraId="6DD134EE" w14:textId="77777777" w:rsidR="006A7666" w:rsidRPr="006A7666" w:rsidRDefault="006A7666" w:rsidP="00797234">
            <w:pPr>
              <w:pStyle w:val="paragraph"/>
              <w:spacing w:before="0" w:beforeAutospacing="0" w:after="0" w:afterAutospacing="0"/>
              <w:textAlignment w:val="baseline"/>
              <w:rPr>
                <w:rStyle w:val="eop"/>
                <w:sz w:val="22"/>
                <w:szCs w:val="22"/>
              </w:rPr>
            </w:pPr>
            <w:r w:rsidRPr="006A7666">
              <w:rPr>
                <w:rStyle w:val="normaltextrun"/>
                <w:sz w:val="22"/>
              </w:rPr>
              <w:t>Opomba 2: Bolnike z manjkajočimi vrednostmi v 8. tednu so obravnavali, kot da niso dosegli opazovanih izidov</w:t>
            </w:r>
            <w:r w:rsidRPr="006A7666">
              <w:rPr>
                <w:rStyle w:val="eop"/>
                <w:sz w:val="22"/>
              </w:rPr>
              <w:t> </w:t>
            </w:r>
          </w:p>
          <w:p w14:paraId="0DE88334" w14:textId="77777777" w:rsidR="006A7666" w:rsidRPr="0028193B" w:rsidRDefault="006A7666" w:rsidP="00797234">
            <w:pPr>
              <w:pStyle w:val="paragraph"/>
              <w:spacing w:before="0" w:beforeAutospacing="0" w:after="0" w:afterAutospacing="0"/>
              <w:textAlignment w:val="baseline"/>
              <w:rPr>
                <w:sz w:val="22"/>
                <w:szCs w:val="22"/>
              </w:rPr>
            </w:pPr>
            <w:r w:rsidRPr="006A7666">
              <w:rPr>
                <w:rStyle w:val="eop"/>
                <w:sz w:val="22"/>
              </w:rPr>
              <w:t xml:space="preserve">Opomba 3: </w:t>
            </w:r>
            <w:r w:rsidRPr="006A7666">
              <w:rPr>
                <w:sz w:val="22"/>
              </w:rPr>
              <w:t xml:space="preserve">Bolnike z manjkajočimi vrednostmi v 52. tednu ali tiste, ki so bili </w:t>
            </w:r>
            <w:r w:rsidRPr="0028193B">
              <w:rPr>
                <w:sz w:val="22"/>
              </w:rPr>
              <w:t>randomizirani za prejemanje ponovnega začetnega odmerka ali vzdrževalnega zdravljenja, so obravnavali kot neodzivne glede opazovanih izidov v 52. tednu</w:t>
            </w:r>
          </w:p>
        </w:tc>
      </w:tr>
      <w:bookmarkEnd w:id="8"/>
    </w:tbl>
    <w:p w14:paraId="4D8688D2" w14:textId="77777777" w:rsidR="006A7666" w:rsidRPr="00797234" w:rsidRDefault="006A7666" w:rsidP="006A7666">
      <w:pPr>
        <w:rPr>
          <w:rFonts w:ascii="Times New Roman" w:hAnsi="Times New Roman" w:cs="Times New Roman"/>
          <w:lang w:val="sl-SI"/>
        </w:rPr>
      </w:pPr>
    </w:p>
    <w:p w14:paraId="3D3BB9AE" w14:textId="2B037AAC" w:rsidR="006A7666" w:rsidRPr="00797234" w:rsidRDefault="006A7666" w:rsidP="006A7666">
      <w:pPr>
        <w:rPr>
          <w:rFonts w:ascii="Times New Roman" w:hAnsi="Times New Roman" w:cs="Times New Roman"/>
          <w:lang w:val="sl-SI"/>
        </w:rPr>
      </w:pPr>
      <w:r w:rsidRPr="00797234">
        <w:rPr>
          <w:rFonts w:ascii="Times New Roman" w:hAnsi="Times New Roman" w:cs="Times New Roman"/>
          <w:lang w:val="sl-SI"/>
        </w:rPr>
        <w:t xml:space="preserve">Od bolnikov, zdravljenih z zdravilom </w:t>
      </w:r>
      <w:r>
        <w:rPr>
          <w:rFonts w:ascii="Times New Roman" w:hAnsi="Times New Roman" w:cs="Times New Roman"/>
          <w:lang w:val="sl-SI"/>
        </w:rPr>
        <w:t>adalimumaba</w:t>
      </w:r>
      <w:r w:rsidRPr="00797234">
        <w:rPr>
          <w:rFonts w:ascii="Times New Roman" w:hAnsi="Times New Roman" w:cs="Times New Roman"/>
          <w:lang w:val="sl-SI"/>
        </w:rPr>
        <w:t>, ki so med vzdrževalnim obdobjem prejeli ponovno zdravljenje z začetnim odmerkom, sta 2/6 (33 %) dosegla klinični odziv po FMS v 52. tednu.</w:t>
      </w:r>
    </w:p>
    <w:p w14:paraId="374F1670" w14:textId="77777777" w:rsidR="006A7666" w:rsidRPr="00797234" w:rsidRDefault="006A7666" w:rsidP="006A7666">
      <w:pPr>
        <w:rPr>
          <w:rFonts w:ascii="Times New Roman" w:hAnsi="Times New Roman" w:cs="Times New Roman"/>
          <w:lang w:val="sl-SI"/>
        </w:rPr>
      </w:pPr>
    </w:p>
    <w:p w14:paraId="701C9270" w14:textId="77777777" w:rsidR="006A7666" w:rsidRPr="001452D7" w:rsidRDefault="006A7666" w:rsidP="006A7666">
      <w:pPr>
        <w:keepNext/>
        <w:rPr>
          <w:rFonts w:ascii="Times New Roman" w:hAnsi="Times New Roman" w:cs="Times New Roman"/>
          <w:bCs/>
          <w:i/>
          <w:u w:val="single"/>
          <w:lang w:val="sl-SI"/>
        </w:rPr>
      </w:pPr>
      <w:r w:rsidRPr="001452D7">
        <w:rPr>
          <w:rFonts w:ascii="Times New Roman" w:hAnsi="Times New Roman" w:cs="Times New Roman"/>
          <w:i/>
          <w:u w:val="single"/>
          <w:lang w:val="sl-SI"/>
        </w:rPr>
        <w:t>Kakovost življenja</w:t>
      </w:r>
    </w:p>
    <w:p w14:paraId="132AC508" w14:textId="77777777" w:rsidR="006A7666" w:rsidRPr="00797234" w:rsidRDefault="006A7666" w:rsidP="006A7666">
      <w:pPr>
        <w:keepNext/>
        <w:rPr>
          <w:rFonts w:ascii="Times New Roman" w:hAnsi="Times New Roman" w:cs="Times New Roman"/>
          <w:bCs/>
          <w:i/>
          <w:lang w:val="sl-SI"/>
        </w:rPr>
      </w:pPr>
    </w:p>
    <w:p w14:paraId="6AD57E93" w14:textId="112CA623" w:rsidR="006A7666" w:rsidRPr="00797234" w:rsidRDefault="006A7666" w:rsidP="006A7666">
      <w:pPr>
        <w:keepNext/>
        <w:rPr>
          <w:rFonts w:ascii="Times New Roman" w:hAnsi="Times New Roman" w:cs="Times New Roman"/>
          <w:lang w:val="sl-SI"/>
        </w:rPr>
      </w:pPr>
      <w:r w:rsidRPr="00797234">
        <w:rPr>
          <w:rFonts w:ascii="Times New Roman" w:hAnsi="Times New Roman" w:cs="Times New Roman"/>
          <w:lang w:val="sl-SI"/>
        </w:rPr>
        <w:t xml:space="preserve">V skupinah, zdravljenih z zdravilom </w:t>
      </w:r>
      <w:r>
        <w:rPr>
          <w:rFonts w:ascii="Times New Roman" w:hAnsi="Times New Roman" w:cs="Times New Roman"/>
          <w:lang w:val="sl-SI"/>
        </w:rPr>
        <w:t>adalimumaba</w:t>
      </w:r>
      <w:r w:rsidRPr="00797234">
        <w:rPr>
          <w:rFonts w:ascii="Times New Roman" w:hAnsi="Times New Roman" w:cs="Times New Roman"/>
          <w:lang w:val="sl-SI"/>
        </w:rPr>
        <w:t xml:space="preserve">, so klinično pomembna izboljšanja glede na izhodišče opažali z vprašalnikom IMPACT III in vprašalnikom za negovalce o zmanjšanju delovne storilnosti in dejavnosti (WPAI – Work Productivity and Activity Impairment). </w:t>
      </w:r>
    </w:p>
    <w:p w14:paraId="1B65AFDC" w14:textId="77777777" w:rsidR="006A7666" w:rsidRPr="00797234" w:rsidRDefault="006A7666" w:rsidP="006A7666">
      <w:pPr>
        <w:keepNext/>
        <w:rPr>
          <w:rFonts w:ascii="Times New Roman" w:hAnsi="Times New Roman" w:cs="Times New Roman"/>
          <w:lang w:val="sl-SI"/>
        </w:rPr>
      </w:pPr>
    </w:p>
    <w:p w14:paraId="27185879" w14:textId="77777777" w:rsidR="006A7666" w:rsidRPr="00797234" w:rsidRDefault="006A7666" w:rsidP="006A7666">
      <w:pPr>
        <w:rPr>
          <w:rFonts w:ascii="Times New Roman" w:hAnsi="Times New Roman" w:cs="Times New Roman"/>
          <w:lang w:val="sl-SI"/>
        </w:rPr>
      </w:pPr>
      <w:r w:rsidRPr="00797234">
        <w:rPr>
          <w:rFonts w:ascii="Times New Roman" w:hAnsi="Times New Roman" w:cs="Times New Roman"/>
          <w:lang w:val="sl-SI"/>
        </w:rPr>
        <w:t>Klinično pomembna povečanja (izboljšanje) hitrosti rasti glede na izhodišče so opažali pri skupinah, zdravljenih z adalimumabom, klinično pomembna povečanja (izboljšanje) indeksa telesne mase glede na izhodišče so opažali pri udeležencih, ki so prejemali visoki vzdrževalni odmerek naj</w:t>
      </w:r>
      <w:r w:rsidRPr="00797234">
        <w:rPr>
          <w:rStyle w:val="normaltextrun"/>
          <w:rFonts w:ascii="Times New Roman" w:hAnsi="Times New Roman" w:cs="Times New Roman"/>
          <w:lang w:val="sl-SI"/>
        </w:rPr>
        <w:t>več</w:t>
      </w:r>
      <w:r w:rsidRPr="00797234">
        <w:rPr>
          <w:rFonts w:ascii="Times New Roman" w:hAnsi="Times New Roman" w:cs="Times New Roman"/>
          <w:lang w:val="sl-SI"/>
        </w:rPr>
        <w:t xml:space="preserve"> 40 mg (0,6 mg/kg) vsak teden. </w:t>
      </w:r>
    </w:p>
    <w:p w14:paraId="360938E9" w14:textId="77777777" w:rsidR="006A7666" w:rsidRPr="001B1C67" w:rsidRDefault="006A7666">
      <w:pPr>
        <w:spacing w:before="16" w:line="240" w:lineRule="exact"/>
        <w:rPr>
          <w:sz w:val="24"/>
          <w:szCs w:val="24"/>
          <w:lang w:val="sl-SI"/>
        </w:rPr>
      </w:pPr>
    </w:p>
    <w:p w14:paraId="4EB171BA" w14:textId="77777777" w:rsidR="006A7666" w:rsidRDefault="006A7666" w:rsidP="006A7666">
      <w:pPr>
        <w:pStyle w:val="a3"/>
        <w:rPr>
          <w:rFonts w:eastAsia="Times New Roman"/>
          <w:lang w:val="sl-SI"/>
        </w:rPr>
      </w:pPr>
      <w:r>
        <w:rPr>
          <w:rFonts w:eastAsia="Times New Roman"/>
          <w:i/>
          <w:iCs/>
          <w:spacing w:val="-1"/>
          <w:lang w:val="sl-SI"/>
        </w:rPr>
        <w:lastRenderedPageBreak/>
        <w:t>Uveitis pri pediatričnih bolnikih</w:t>
      </w:r>
    </w:p>
    <w:p w14:paraId="0864C4D7" w14:textId="77777777" w:rsidR="006A7666" w:rsidRDefault="006A7666" w:rsidP="006A7666">
      <w:pPr>
        <w:pStyle w:val="a3"/>
        <w:rPr>
          <w:sz w:val="24"/>
          <w:szCs w:val="24"/>
          <w:lang w:val="sl-SI"/>
        </w:rPr>
      </w:pPr>
    </w:p>
    <w:p w14:paraId="1CE01E89" w14:textId="77777777" w:rsidR="006A7666" w:rsidRDefault="006A7666" w:rsidP="006A7666">
      <w:pPr>
        <w:pStyle w:val="a3"/>
        <w:rPr>
          <w:lang w:val="sl-SI"/>
        </w:rPr>
      </w:pPr>
      <w:r>
        <w:rPr>
          <w:rFonts w:eastAsia="Times New Roman"/>
          <w:lang w:val="sl-SI"/>
        </w:rPr>
        <w:t>Varnost in učinkovitost adalimumaba sta bili ocenjeni v randomizirani, dvojno slepi, kontrolirani študiji pri 90 pediatričnih bolnikih, starih od 2 do manj kot 18 let, z aktivnim neinfekcijskim anteriornim uveitisom, povezanim z juvenilnim idiopatskim artritisom, ki se niso odzvali na zdravljenje z metotreksatom, ki je trajalo vsaj 12 tednov. Bolniki so prejeli placebo ali 20 mg adalimumaba (če so tehtali manj kot 30 kg) ali 40 mg adalimumaba (če so tehtali 30 kg ali več) vsak drugi teden v kombinaciji z izhodiščnim odmerkom metotreksata.</w:t>
      </w:r>
    </w:p>
    <w:p w14:paraId="5D002A9C" w14:textId="77777777" w:rsidR="006A7666" w:rsidRDefault="006A7666" w:rsidP="006A7666">
      <w:pPr>
        <w:pStyle w:val="a3"/>
        <w:rPr>
          <w:lang w:val="sl-SI"/>
        </w:rPr>
      </w:pPr>
      <w:r>
        <w:rPr>
          <w:rFonts w:eastAsia="Times New Roman"/>
          <w:lang w:val="sl-SI"/>
        </w:rPr>
        <w:t>Primarni opazovani dogodek je bil “čas do neuspeha zdravljenja”. Merila, s katerimi so določali neuspeh zdravljenja so bila poslabšanje ali vztrajno ne-izboljšanje očesnega vnetja, delno izboljšanje z razvojem trajnih sočasnih očesnih bolezni ali poslabšanjem sočasnih očesnih bolezni, nedovoljena uporaba sočasnih zdravil ter prekinitev zdravljenja za daljše časovno obdobje.</w:t>
      </w:r>
    </w:p>
    <w:p w14:paraId="6A6F8F64" w14:textId="77777777" w:rsidR="006A7666" w:rsidRDefault="006A7666" w:rsidP="006A7666">
      <w:pPr>
        <w:pStyle w:val="a3"/>
        <w:rPr>
          <w:sz w:val="24"/>
          <w:szCs w:val="24"/>
          <w:lang w:val="sl-SI"/>
        </w:rPr>
      </w:pPr>
    </w:p>
    <w:p w14:paraId="54DCDEAC" w14:textId="77777777" w:rsidR="006A7666" w:rsidRDefault="006A7666" w:rsidP="006A7666">
      <w:pPr>
        <w:pStyle w:val="a3"/>
        <w:rPr>
          <w:rFonts w:eastAsia="Times New Roman"/>
          <w:lang w:val="sl-SI"/>
        </w:rPr>
      </w:pPr>
      <w:r>
        <w:rPr>
          <w:rFonts w:eastAsia="Times New Roman"/>
          <w:i/>
          <w:iCs/>
          <w:spacing w:val="-1"/>
          <w:u w:val="single" w:color="000000"/>
          <w:lang w:val="sl-SI"/>
        </w:rPr>
        <w:t>Klinični odziv</w:t>
      </w:r>
    </w:p>
    <w:p w14:paraId="3857432D" w14:textId="77777777" w:rsidR="006A7666" w:rsidRDefault="006A7666" w:rsidP="006A7666">
      <w:pPr>
        <w:pStyle w:val="a3"/>
        <w:rPr>
          <w:sz w:val="20"/>
          <w:szCs w:val="20"/>
          <w:lang w:val="sl-SI"/>
        </w:rPr>
      </w:pPr>
    </w:p>
    <w:p w14:paraId="06B8F542" w14:textId="77777777" w:rsidR="006A7666" w:rsidRDefault="006A7666" w:rsidP="006A7666">
      <w:pPr>
        <w:pStyle w:val="a3"/>
        <w:rPr>
          <w:lang w:val="sl-SI"/>
        </w:rPr>
      </w:pPr>
      <w:r>
        <w:rPr>
          <w:rFonts w:eastAsia="Times New Roman"/>
          <w:lang w:val="sl-SI"/>
        </w:rPr>
        <w:t>Adalimumab je značilno podaljšal čas do neuspeha zdravljenja v primerjavi s placebom (glejte sliko 3, p &lt; 0,0001 iz testa log-rank). Mediani čas do neuspeha zdravljenja je bil 24,1 tedna za bolnike, ki so se zdravili s placebom, medtem ko mediani čas do neuspeha zdravljenja pri bolnikih, ki so bili zdravljeni z adalimumabom, ni bilo mogoče oceniti, ker je bilo zdravljenje neuspešno pri manj kot polovici teh bolnikov. Adalimumab je značilno zmanjšal tveganje za neuspeh zdravljenja za 75 % glede na placebo, kot prikazuje razmerje ogroženosti (HR = 0,25 [95-% IZ: 0,12, 0,49]).</w:t>
      </w:r>
    </w:p>
    <w:p w14:paraId="00A5ABA3" w14:textId="77777777" w:rsidR="006A7666" w:rsidRDefault="006A7666" w:rsidP="006A7666">
      <w:pPr>
        <w:spacing w:line="200" w:lineRule="exact"/>
        <w:rPr>
          <w:sz w:val="20"/>
          <w:szCs w:val="20"/>
          <w:lang w:val="sl-SI"/>
        </w:rPr>
      </w:pPr>
    </w:p>
    <w:p w14:paraId="6EB64AB4" w14:textId="77777777" w:rsidR="006A7666" w:rsidRDefault="006A7666" w:rsidP="006A7666">
      <w:pPr>
        <w:rPr>
          <w:rFonts w:ascii="Times New Roman" w:eastAsia="Times New Roman" w:hAnsi="Times New Roman" w:cs="Times New Roman"/>
          <w:b/>
          <w:bCs/>
          <w:lang w:val="sl-SI"/>
        </w:rPr>
      </w:pPr>
    </w:p>
    <w:p w14:paraId="0EE6624F" w14:textId="77777777" w:rsidR="00721C46" w:rsidRDefault="00721C46" w:rsidP="006A7666">
      <w:pPr>
        <w:rPr>
          <w:rFonts w:ascii="Times New Roman" w:eastAsia="Times New Roman" w:hAnsi="Times New Roman" w:cs="Times New Roman"/>
          <w:b/>
          <w:bCs/>
          <w:lang w:val="sl-SI"/>
        </w:rPr>
      </w:pPr>
    </w:p>
    <w:p w14:paraId="521BA26E" w14:textId="77777777" w:rsidR="00721C46" w:rsidRDefault="00721C46" w:rsidP="006A7666">
      <w:pPr>
        <w:rPr>
          <w:rFonts w:ascii="Times New Roman" w:eastAsia="Times New Roman" w:hAnsi="Times New Roman" w:cs="Times New Roman"/>
          <w:b/>
          <w:bCs/>
          <w:lang w:val="sl-SI"/>
        </w:rPr>
      </w:pPr>
    </w:p>
    <w:p w14:paraId="49E5F4D6" w14:textId="77777777" w:rsidR="00721C46" w:rsidRDefault="00721C46" w:rsidP="006A7666">
      <w:pPr>
        <w:rPr>
          <w:rFonts w:ascii="Times New Roman" w:eastAsia="Times New Roman" w:hAnsi="Times New Roman" w:cs="Times New Roman"/>
          <w:b/>
          <w:bCs/>
          <w:lang w:val="sl-SI"/>
        </w:rPr>
      </w:pPr>
    </w:p>
    <w:p w14:paraId="58077770" w14:textId="77777777" w:rsidR="00721C46" w:rsidRDefault="00721C46" w:rsidP="006A7666">
      <w:pPr>
        <w:rPr>
          <w:rFonts w:ascii="Times New Roman" w:eastAsia="Times New Roman" w:hAnsi="Times New Roman" w:cs="Times New Roman"/>
          <w:b/>
          <w:bCs/>
          <w:lang w:val="sl-SI"/>
        </w:rPr>
      </w:pPr>
    </w:p>
    <w:p w14:paraId="6AA9F0E9" w14:textId="77777777" w:rsidR="00721C46" w:rsidRDefault="00721C46" w:rsidP="006A7666">
      <w:pPr>
        <w:rPr>
          <w:rFonts w:ascii="Times New Roman" w:eastAsia="Times New Roman" w:hAnsi="Times New Roman" w:cs="Times New Roman"/>
          <w:b/>
          <w:bCs/>
          <w:lang w:val="sl-SI"/>
        </w:rPr>
      </w:pPr>
    </w:p>
    <w:p w14:paraId="063C56FA" w14:textId="77777777" w:rsidR="00721C46" w:rsidRDefault="00721C46" w:rsidP="006A7666">
      <w:pPr>
        <w:rPr>
          <w:rFonts w:ascii="Times New Roman" w:eastAsia="Times New Roman" w:hAnsi="Times New Roman" w:cs="Times New Roman"/>
          <w:b/>
          <w:bCs/>
          <w:lang w:val="sl-SI"/>
        </w:rPr>
      </w:pPr>
    </w:p>
    <w:p w14:paraId="0FF60C07" w14:textId="77777777" w:rsidR="00721C46" w:rsidRDefault="00721C46" w:rsidP="006A7666">
      <w:pPr>
        <w:rPr>
          <w:rFonts w:ascii="Times New Roman" w:eastAsia="Times New Roman" w:hAnsi="Times New Roman" w:cs="Times New Roman"/>
          <w:b/>
          <w:bCs/>
          <w:lang w:val="sl-SI"/>
        </w:rPr>
      </w:pPr>
    </w:p>
    <w:p w14:paraId="40C7E71B" w14:textId="77777777" w:rsidR="00721C46" w:rsidRDefault="00721C46" w:rsidP="006A7666">
      <w:pPr>
        <w:rPr>
          <w:rFonts w:ascii="Times New Roman" w:eastAsia="Times New Roman" w:hAnsi="Times New Roman" w:cs="Times New Roman"/>
          <w:b/>
          <w:bCs/>
          <w:lang w:val="sl-SI"/>
        </w:rPr>
      </w:pPr>
    </w:p>
    <w:p w14:paraId="095482A5" w14:textId="77777777" w:rsidR="00721C46" w:rsidRDefault="00721C46" w:rsidP="006A7666">
      <w:pPr>
        <w:rPr>
          <w:rFonts w:ascii="Times New Roman" w:eastAsia="Times New Roman" w:hAnsi="Times New Roman" w:cs="Times New Roman"/>
          <w:b/>
          <w:bCs/>
          <w:lang w:val="sl-SI"/>
        </w:rPr>
      </w:pPr>
    </w:p>
    <w:p w14:paraId="480C73B9" w14:textId="77777777" w:rsidR="00721C46" w:rsidRDefault="00721C46" w:rsidP="006A7666">
      <w:pPr>
        <w:rPr>
          <w:rFonts w:ascii="Times New Roman" w:eastAsia="Times New Roman" w:hAnsi="Times New Roman" w:cs="Times New Roman"/>
          <w:b/>
          <w:bCs/>
          <w:lang w:val="sl-SI"/>
        </w:rPr>
      </w:pPr>
    </w:p>
    <w:p w14:paraId="625CC7F6" w14:textId="77777777" w:rsidR="006A7666" w:rsidRDefault="006A7666" w:rsidP="006A7666">
      <w:pPr>
        <w:pStyle w:val="a3"/>
        <w:jc w:val="center"/>
        <w:rPr>
          <w:b/>
          <w:lang w:val="sl-SI"/>
        </w:rPr>
      </w:pPr>
      <w:r>
        <w:rPr>
          <w:rFonts w:eastAsia="Times New Roman"/>
          <w:b/>
          <w:bCs/>
          <w:lang w:val="sl-SI"/>
        </w:rPr>
        <w:t>Slika 3: Kaplan-Meierjeve krivulje povzemajo čas do neuspeha zdravljenja v študiji uveitisa pri pediatričnih bolnikih</w:t>
      </w:r>
    </w:p>
    <w:p w14:paraId="1C701564" w14:textId="77777777" w:rsidR="006A7666" w:rsidRDefault="006A7666" w:rsidP="006A7666">
      <w:pPr>
        <w:spacing w:before="16" w:line="240" w:lineRule="exact"/>
        <w:rPr>
          <w:sz w:val="24"/>
          <w:szCs w:val="24"/>
          <w:lang w:val="sl-SI"/>
        </w:rPr>
      </w:pPr>
    </w:p>
    <w:p w14:paraId="12F15BD2" w14:textId="470E1C40" w:rsidR="006A7666" w:rsidRDefault="0016539A" w:rsidP="006A7666">
      <w:pPr>
        <w:ind w:left="687" w:right="10920"/>
        <w:rPr>
          <w:rFonts w:ascii="Times New Roman" w:eastAsia="Times New Roman" w:hAnsi="Times New Roman" w:cs="Times New Roman"/>
          <w:sz w:val="20"/>
          <w:szCs w:val="20"/>
          <w:lang w:val="sl-SI"/>
        </w:rPr>
      </w:pPr>
      <w:r w:rsidRPr="007F6B22">
        <w:rPr>
          <w:rFonts w:ascii="Times New Roman" w:eastAsia="Times New Roman" w:hAnsi="Times New Roman" w:cs="Times New Roman"/>
          <w:noProof/>
          <w:sz w:val="20"/>
          <w:szCs w:val="20"/>
          <w:lang w:eastAsia="ko-KR"/>
        </w:rPr>
        <w:lastRenderedPageBreak/>
        <mc:AlternateContent>
          <mc:Choice Requires="wps">
            <w:drawing>
              <wp:anchor distT="0" distB="0" distL="114300" distR="114300" simplePos="0" relativeHeight="251658288" behindDoc="0" locked="0" layoutInCell="1" allowOverlap="1" wp14:anchorId="4DF5D41F" wp14:editId="212160DD">
                <wp:simplePos x="0" y="0"/>
                <wp:positionH relativeFrom="column">
                  <wp:posOffset>526415</wp:posOffset>
                </wp:positionH>
                <wp:positionV relativeFrom="paragraph">
                  <wp:posOffset>3830955</wp:posOffset>
                </wp:positionV>
                <wp:extent cx="238125" cy="266700"/>
                <wp:effectExtent l="0" t="0" r="9525" b="0"/>
                <wp:wrapNone/>
                <wp:docPr id="2"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2667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FDADB41" w14:textId="77777777" w:rsidR="00474DFB" w:rsidRPr="00721C46" w:rsidRDefault="00474DFB" w:rsidP="006A7666">
                            <w:pPr>
                              <w:pStyle w:val="af1"/>
                              <w:kinsoku w:val="0"/>
                              <w:overflowPunct w:val="0"/>
                              <w:spacing w:before="0" w:beforeAutospacing="0" w:after="0" w:afterAutospacing="0"/>
                              <w:jc w:val="center"/>
                              <w:textAlignment w:val="baseline"/>
                              <w:rPr>
                                <w:rFonts w:ascii="Arial" w:hAnsi="Arial" w:cs="Arial"/>
                              </w:rPr>
                            </w:pPr>
                            <w:r w:rsidRPr="00721C46">
                              <w:rPr>
                                <w:rFonts w:ascii="Arial" w:eastAsiaTheme="minorEastAsia" w:hAnsi="Arial" w:cs="Arial"/>
                                <w:color w:val="000000" w:themeColor="text1"/>
                                <w:kern w:val="24"/>
                                <w:sz w:val="16"/>
                                <w:szCs w:val="16"/>
                              </w:rPr>
                              <w:t>A</w:t>
                            </w:r>
                          </w:p>
                          <w:p w14:paraId="5A19F91F" w14:textId="77777777" w:rsidR="00474DFB" w:rsidRPr="00721C46" w:rsidRDefault="00474DFB" w:rsidP="006A7666">
                            <w:pPr>
                              <w:pStyle w:val="af1"/>
                              <w:kinsoku w:val="0"/>
                              <w:overflowPunct w:val="0"/>
                              <w:spacing w:before="0" w:beforeAutospacing="0" w:after="0" w:afterAutospacing="0"/>
                              <w:jc w:val="center"/>
                              <w:textAlignment w:val="baseline"/>
                              <w:rPr>
                                <w:rFonts w:ascii="Arial" w:hAnsi="Arial" w:cs="Arial"/>
                              </w:rPr>
                            </w:pPr>
                            <w:r w:rsidRPr="00721C46">
                              <w:rPr>
                                <w:rFonts w:ascii="Arial" w:eastAsia="Times New Roman" w:hAnsi="Arial" w:cs="Arial"/>
                                <w:color w:val="000000" w:themeColor="text1"/>
                                <w:kern w:val="24"/>
                                <w:sz w:val="16"/>
                                <w:szCs w:val="16"/>
                                <w:lang w:val="bg-BG"/>
                              </w:rPr>
                              <w:t>Р</w:t>
                            </w:r>
                          </w:p>
                        </w:txbxContent>
                      </wps:txbx>
                      <wps:bodyPr vert="horz" wrap="square" lIns="0" tIns="0" rIns="0" bIns="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5D41F" id="Text Box 87" o:spid="_x0000_s1031" type="#_x0000_t202" style="position:absolute;left:0;text-align:left;margin-left:41.45pt;margin-top:301.65pt;width:18.75pt;height:21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" stroked="f" strokeweight=".5pt">
                <v:textbox inset="0,0,0,0">
                  <w:txbxContent>
                    <w:p w14:paraId="0FDADB41" w14:textId="77777777" w:rsidR="00474DFB" w:rsidRPr="00721C46" w:rsidRDefault="00474DFB" w:rsidP="006A7666">
                      <w:pPr>
                        <w:pStyle w:val="af1"/>
                        <w:kinsoku w:val="0"/>
                        <w:overflowPunct w:val="0"/>
                        <w:spacing w:before="0" w:beforeAutospacing="0" w:after="0" w:afterAutospacing="0"/>
                        <w:jc w:val="center"/>
                        <w:textAlignment w:val="baseline"/>
                        <w:rPr>
                          <w:rFonts w:ascii="Arial" w:hAnsi="Arial" w:cs="Arial"/>
                        </w:rPr>
                      </w:pPr>
                      <w:r w:rsidRPr="00721C46">
                        <w:rPr>
                          <w:rFonts w:ascii="Arial" w:eastAsiaTheme="minorEastAsia" w:hAnsi="Arial" w:cs="Arial"/>
                          <w:color w:val="000000" w:themeColor="text1"/>
                          <w:kern w:val="24"/>
                          <w:sz w:val="16"/>
                          <w:szCs w:val="16"/>
                        </w:rPr>
                        <w:t>A</w:t>
                      </w:r>
                    </w:p>
                    <w:p w14:paraId="5A19F91F" w14:textId="77777777" w:rsidR="00474DFB" w:rsidRPr="00721C46" w:rsidRDefault="00474DFB" w:rsidP="006A7666">
                      <w:pPr>
                        <w:pStyle w:val="af1"/>
                        <w:kinsoku w:val="0"/>
                        <w:overflowPunct w:val="0"/>
                        <w:spacing w:before="0" w:beforeAutospacing="0" w:after="0" w:afterAutospacing="0"/>
                        <w:jc w:val="center"/>
                        <w:textAlignment w:val="baseline"/>
                        <w:rPr>
                          <w:rFonts w:ascii="Arial" w:hAnsi="Arial" w:cs="Arial"/>
                        </w:rPr>
                      </w:pPr>
                      <w:r w:rsidRPr="00721C46">
                        <w:rPr>
                          <w:rFonts w:ascii="Arial" w:eastAsia="Times New Roman" w:hAnsi="Arial" w:cs="Arial"/>
                          <w:color w:val="000000" w:themeColor="text1"/>
                          <w:kern w:val="24"/>
                          <w:sz w:val="16"/>
                          <w:szCs w:val="16"/>
                          <w:lang w:val="bg-BG"/>
                        </w:rPr>
                        <w:t>Р</w:t>
                      </w:r>
                    </w:p>
                  </w:txbxContent>
                </v:textbox>
              </v:shape>
            </w:pict>
          </mc:Fallback>
        </mc:AlternateContent>
      </w:r>
      <w:r w:rsidR="007E758B">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87" behindDoc="0" locked="0" layoutInCell="1" allowOverlap="1" wp14:anchorId="6F69469B" wp14:editId="7C545235">
                <wp:simplePos x="0" y="0"/>
                <wp:positionH relativeFrom="column">
                  <wp:posOffset>399001</wp:posOffset>
                </wp:positionH>
                <wp:positionV relativeFrom="paragraph">
                  <wp:posOffset>18663</wp:posOffset>
                </wp:positionV>
                <wp:extent cx="224790" cy="3180522"/>
                <wp:effectExtent l="0" t="0" r="3810" b="1270"/>
                <wp:wrapNone/>
                <wp:docPr id="20" name="Text Box 20"/>
                <wp:cNvGraphicFramePr/>
                <a:graphic xmlns:a="http://schemas.openxmlformats.org/drawingml/2006/main">
                  <a:graphicData uri="http://schemas.microsoft.com/office/word/2010/wordprocessingShape">
                    <wps:wsp>
                      <wps:cNvSpPr txBox="1"/>
                      <wps:spPr>
                        <a:xfrm>
                          <a:off x="0" y="0"/>
                          <a:ext cx="224790" cy="318052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A5664" w14:textId="77777777" w:rsidR="00474DFB" w:rsidRDefault="00474DFB" w:rsidP="0030421B">
                            <w:pPr>
                              <w:jc w:val="right"/>
                              <w:rPr>
                                <w:rFonts w:asciiTheme="majorBidi" w:hAnsiTheme="majorBidi" w:cstheme="majorBidi"/>
                                <w:sz w:val="18"/>
                                <w:szCs w:val="18"/>
                              </w:rPr>
                            </w:pPr>
                            <w:r>
                              <w:rPr>
                                <w:rFonts w:ascii="Times New Roman" w:eastAsia="Times New Roman" w:hAnsi="Times New Roman" w:cs="Times New Roman"/>
                                <w:sz w:val="18"/>
                                <w:szCs w:val="18"/>
                                <w:lang w:val="sl-SI"/>
                              </w:rPr>
                              <w:t>1,0</w:t>
                            </w:r>
                          </w:p>
                          <w:p w14:paraId="438DB719" w14:textId="77777777" w:rsidR="00474DFB" w:rsidRDefault="00474DFB" w:rsidP="0030421B">
                            <w:pPr>
                              <w:jc w:val="right"/>
                              <w:rPr>
                                <w:rFonts w:ascii="Times New Roman" w:eastAsia="Times New Roman" w:hAnsi="Times New Roman" w:cs="Times New Roman"/>
                                <w:sz w:val="18"/>
                                <w:szCs w:val="18"/>
                                <w:lang w:val="sl-SI"/>
                              </w:rPr>
                            </w:pPr>
                          </w:p>
                          <w:p w14:paraId="65BE9BAA" w14:textId="77777777" w:rsidR="00474DFB" w:rsidRDefault="00474DFB" w:rsidP="0030421B">
                            <w:pPr>
                              <w:jc w:val="right"/>
                              <w:rPr>
                                <w:rFonts w:ascii="Times New Roman" w:eastAsia="Times New Roman" w:hAnsi="Times New Roman" w:cs="Times New Roman"/>
                                <w:sz w:val="18"/>
                                <w:szCs w:val="18"/>
                                <w:lang w:val="sl-SI"/>
                              </w:rPr>
                            </w:pPr>
                          </w:p>
                          <w:p w14:paraId="545665EB" w14:textId="77777777" w:rsidR="00474DFB" w:rsidRDefault="00474DFB" w:rsidP="0030421B">
                            <w:pPr>
                              <w:jc w:val="right"/>
                              <w:rPr>
                                <w:rFonts w:ascii="Times New Roman" w:eastAsia="Times New Roman" w:hAnsi="Times New Roman" w:cs="Times New Roman"/>
                                <w:sz w:val="18"/>
                                <w:szCs w:val="18"/>
                                <w:lang w:val="sl-SI"/>
                              </w:rPr>
                            </w:pPr>
                          </w:p>
                          <w:p w14:paraId="59E35575" w14:textId="77777777" w:rsidR="00474DFB" w:rsidRDefault="00474DFB" w:rsidP="0030421B">
                            <w:pPr>
                              <w:jc w:val="right"/>
                              <w:rPr>
                                <w:rFonts w:ascii="Times New Roman" w:eastAsia="Times New Roman" w:hAnsi="Times New Roman" w:cs="Times New Roman"/>
                                <w:sz w:val="18"/>
                                <w:szCs w:val="18"/>
                                <w:lang w:val="sl-SI"/>
                              </w:rPr>
                            </w:pPr>
                          </w:p>
                          <w:p w14:paraId="6E010973" w14:textId="7313CE6E" w:rsidR="00474DFB" w:rsidRDefault="00474DFB" w:rsidP="0030421B">
                            <w:pPr>
                              <w:jc w:val="right"/>
                              <w:rPr>
                                <w:rFonts w:asciiTheme="majorBidi" w:hAnsiTheme="majorBidi" w:cstheme="majorBidi"/>
                                <w:sz w:val="18"/>
                                <w:szCs w:val="18"/>
                              </w:rPr>
                            </w:pPr>
                            <w:r>
                              <w:rPr>
                                <w:rFonts w:ascii="Times New Roman" w:eastAsia="Times New Roman" w:hAnsi="Times New Roman" w:cs="Times New Roman"/>
                                <w:sz w:val="18"/>
                                <w:szCs w:val="18"/>
                                <w:lang w:val="sl-SI"/>
                              </w:rPr>
                              <w:t>0,8</w:t>
                            </w:r>
                          </w:p>
                          <w:p w14:paraId="55924960" w14:textId="77777777" w:rsidR="00474DFB" w:rsidRDefault="00474DFB" w:rsidP="0030421B">
                            <w:pPr>
                              <w:jc w:val="right"/>
                              <w:rPr>
                                <w:rFonts w:ascii="Times New Roman" w:eastAsia="Times New Roman" w:hAnsi="Times New Roman" w:cs="Times New Roman"/>
                                <w:sz w:val="18"/>
                                <w:szCs w:val="18"/>
                                <w:lang w:val="sl-SI"/>
                              </w:rPr>
                            </w:pPr>
                          </w:p>
                          <w:p w14:paraId="34F5AC33" w14:textId="77777777" w:rsidR="00474DFB" w:rsidRDefault="00474DFB" w:rsidP="0030421B">
                            <w:pPr>
                              <w:jc w:val="right"/>
                              <w:rPr>
                                <w:rFonts w:ascii="Times New Roman" w:eastAsia="Times New Roman" w:hAnsi="Times New Roman" w:cs="Times New Roman"/>
                                <w:sz w:val="18"/>
                                <w:szCs w:val="18"/>
                                <w:lang w:val="sl-SI"/>
                              </w:rPr>
                            </w:pPr>
                          </w:p>
                          <w:p w14:paraId="3F0AEA6B" w14:textId="77777777" w:rsidR="00474DFB" w:rsidRDefault="00474DFB" w:rsidP="0030421B">
                            <w:pPr>
                              <w:jc w:val="right"/>
                              <w:rPr>
                                <w:rFonts w:ascii="Times New Roman" w:eastAsia="Times New Roman" w:hAnsi="Times New Roman" w:cs="Times New Roman"/>
                                <w:sz w:val="18"/>
                                <w:szCs w:val="18"/>
                                <w:lang w:val="sl-SI"/>
                              </w:rPr>
                            </w:pPr>
                          </w:p>
                          <w:p w14:paraId="2145E330" w14:textId="77777777" w:rsidR="00474DFB" w:rsidRDefault="00474DFB" w:rsidP="0030421B">
                            <w:pPr>
                              <w:jc w:val="right"/>
                              <w:rPr>
                                <w:rFonts w:ascii="Times New Roman" w:eastAsia="Times New Roman" w:hAnsi="Times New Roman" w:cs="Times New Roman"/>
                                <w:sz w:val="18"/>
                                <w:szCs w:val="18"/>
                                <w:lang w:val="sl-SI"/>
                              </w:rPr>
                            </w:pPr>
                          </w:p>
                          <w:p w14:paraId="38D479CA" w14:textId="455321D6" w:rsidR="00474DFB" w:rsidRDefault="00474DFB" w:rsidP="0030421B">
                            <w:pPr>
                              <w:jc w:val="right"/>
                              <w:rPr>
                                <w:rFonts w:asciiTheme="majorBidi" w:hAnsiTheme="majorBidi" w:cstheme="majorBidi"/>
                                <w:sz w:val="18"/>
                                <w:szCs w:val="18"/>
                              </w:rPr>
                            </w:pPr>
                            <w:r>
                              <w:rPr>
                                <w:rFonts w:ascii="Times New Roman" w:eastAsia="Times New Roman" w:hAnsi="Times New Roman" w:cs="Times New Roman"/>
                                <w:sz w:val="18"/>
                                <w:szCs w:val="18"/>
                                <w:lang w:val="sl-SI"/>
                              </w:rPr>
                              <w:t>0,6</w:t>
                            </w:r>
                          </w:p>
                          <w:p w14:paraId="1DD71536" w14:textId="77777777" w:rsidR="00474DFB" w:rsidRDefault="00474DFB" w:rsidP="0030421B">
                            <w:pPr>
                              <w:jc w:val="right"/>
                              <w:rPr>
                                <w:rFonts w:ascii="Times New Roman" w:eastAsia="Times New Roman" w:hAnsi="Times New Roman" w:cs="Times New Roman"/>
                                <w:sz w:val="18"/>
                                <w:szCs w:val="18"/>
                                <w:lang w:val="sl-SI"/>
                              </w:rPr>
                            </w:pPr>
                          </w:p>
                          <w:p w14:paraId="4C4E04A7" w14:textId="77777777" w:rsidR="00474DFB" w:rsidRDefault="00474DFB" w:rsidP="0030421B">
                            <w:pPr>
                              <w:jc w:val="right"/>
                              <w:rPr>
                                <w:rFonts w:ascii="Times New Roman" w:eastAsia="Times New Roman" w:hAnsi="Times New Roman" w:cs="Times New Roman"/>
                                <w:sz w:val="18"/>
                                <w:szCs w:val="18"/>
                                <w:lang w:val="sl-SI"/>
                              </w:rPr>
                            </w:pPr>
                          </w:p>
                          <w:p w14:paraId="640D44F8" w14:textId="77777777" w:rsidR="00474DFB" w:rsidRDefault="00474DFB" w:rsidP="0030421B">
                            <w:pPr>
                              <w:jc w:val="right"/>
                              <w:rPr>
                                <w:rFonts w:ascii="Times New Roman" w:eastAsia="Times New Roman" w:hAnsi="Times New Roman" w:cs="Times New Roman"/>
                                <w:sz w:val="18"/>
                                <w:szCs w:val="18"/>
                                <w:lang w:val="sl-SI"/>
                              </w:rPr>
                            </w:pPr>
                          </w:p>
                          <w:p w14:paraId="4A50FB58" w14:textId="473C015E" w:rsidR="00474DFB" w:rsidRDefault="00474DFB" w:rsidP="0030421B">
                            <w:pPr>
                              <w:jc w:val="right"/>
                              <w:rPr>
                                <w:rFonts w:asciiTheme="majorBidi" w:hAnsiTheme="majorBidi" w:cstheme="majorBidi"/>
                                <w:sz w:val="18"/>
                                <w:szCs w:val="18"/>
                              </w:rPr>
                            </w:pPr>
                            <w:r>
                              <w:rPr>
                                <w:rFonts w:ascii="Times New Roman" w:eastAsia="Times New Roman" w:hAnsi="Times New Roman" w:cs="Times New Roman"/>
                                <w:sz w:val="18"/>
                                <w:szCs w:val="18"/>
                                <w:lang w:val="sl-SI"/>
                              </w:rPr>
                              <w:t>0,4</w:t>
                            </w:r>
                          </w:p>
                          <w:p w14:paraId="662332C3" w14:textId="77777777" w:rsidR="00474DFB" w:rsidRDefault="00474DFB" w:rsidP="0030421B">
                            <w:pPr>
                              <w:jc w:val="right"/>
                              <w:rPr>
                                <w:rFonts w:ascii="Times New Roman" w:eastAsia="Times New Roman" w:hAnsi="Times New Roman" w:cs="Times New Roman"/>
                                <w:sz w:val="18"/>
                                <w:szCs w:val="18"/>
                                <w:lang w:val="sl-SI"/>
                              </w:rPr>
                            </w:pPr>
                          </w:p>
                          <w:p w14:paraId="089E171C" w14:textId="77777777" w:rsidR="00474DFB" w:rsidRDefault="00474DFB" w:rsidP="0030421B">
                            <w:pPr>
                              <w:jc w:val="right"/>
                              <w:rPr>
                                <w:rFonts w:ascii="Times New Roman" w:eastAsia="Times New Roman" w:hAnsi="Times New Roman" w:cs="Times New Roman"/>
                                <w:sz w:val="18"/>
                                <w:szCs w:val="18"/>
                                <w:lang w:val="sl-SI"/>
                              </w:rPr>
                            </w:pPr>
                          </w:p>
                          <w:p w14:paraId="71CF26CA" w14:textId="77777777" w:rsidR="00474DFB" w:rsidRDefault="00474DFB" w:rsidP="0030421B">
                            <w:pPr>
                              <w:jc w:val="right"/>
                              <w:rPr>
                                <w:rFonts w:ascii="Times New Roman" w:eastAsia="Times New Roman" w:hAnsi="Times New Roman" w:cs="Times New Roman"/>
                                <w:sz w:val="18"/>
                                <w:szCs w:val="18"/>
                                <w:lang w:val="sl-SI"/>
                              </w:rPr>
                            </w:pPr>
                          </w:p>
                          <w:p w14:paraId="4A6D83F5" w14:textId="77777777" w:rsidR="00474DFB" w:rsidRDefault="00474DFB" w:rsidP="0030421B">
                            <w:pPr>
                              <w:jc w:val="right"/>
                              <w:rPr>
                                <w:rFonts w:ascii="Times New Roman" w:eastAsia="Times New Roman" w:hAnsi="Times New Roman" w:cs="Times New Roman"/>
                                <w:sz w:val="18"/>
                                <w:szCs w:val="18"/>
                                <w:lang w:val="sl-SI"/>
                              </w:rPr>
                            </w:pPr>
                          </w:p>
                          <w:p w14:paraId="1FC74B51" w14:textId="071BA3F4" w:rsidR="00474DFB" w:rsidRDefault="00474DFB" w:rsidP="0030421B">
                            <w:pPr>
                              <w:jc w:val="right"/>
                              <w:rPr>
                                <w:rFonts w:asciiTheme="majorBidi" w:hAnsiTheme="majorBidi" w:cstheme="majorBidi"/>
                                <w:sz w:val="18"/>
                                <w:szCs w:val="18"/>
                              </w:rPr>
                            </w:pPr>
                            <w:r>
                              <w:rPr>
                                <w:rFonts w:ascii="Times New Roman" w:eastAsia="Times New Roman" w:hAnsi="Times New Roman" w:cs="Times New Roman"/>
                                <w:sz w:val="18"/>
                                <w:szCs w:val="18"/>
                                <w:lang w:val="sl-SI"/>
                              </w:rPr>
                              <w:t>0.2</w:t>
                            </w:r>
                          </w:p>
                          <w:p w14:paraId="53545588" w14:textId="77777777" w:rsidR="00474DFB" w:rsidRDefault="00474DFB" w:rsidP="0030421B">
                            <w:pPr>
                              <w:jc w:val="right"/>
                              <w:rPr>
                                <w:rFonts w:ascii="Times New Roman" w:eastAsia="Times New Roman" w:hAnsi="Times New Roman" w:cs="Times New Roman"/>
                                <w:sz w:val="18"/>
                                <w:szCs w:val="18"/>
                                <w:lang w:val="sl-SI"/>
                              </w:rPr>
                            </w:pPr>
                          </w:p>
                          <w:p w14:paraId="0B18DA64" w14:textId="77777777" w:rsidR="00474DFB" w:rsidRDefault="00474DFB" w:rsidP="0030421B">
                            <w:pPr>
                              <w:jc w:val="right"/>
                              <w:rPr>
                                <w:rFonts w:ascii="Times New Roman" w:eastAsia="Times New Roman" w:hAnsi="Times New Roman" w:cs="Times New Roman"/>
                                <w:sz w:val="18"/>
                                <w:szCs w:val="18"/>
                                <w:lang w:val="sl-SI"/>
                              </w:rPr>
                            </w:pPr>
                          </w:p>
                          <w:p w14:paraId="21037188" w14:textId="77777777" w:rsidR="00474DFB" w:rsidRDefault="00474DFB" w:rsidP="0030421B">
                            <w:pPr>
                              <w:jc w:val="right"/>
                              <w:rPr>
                                <w:rFonts w:ascii="Times New Roman" w:eastAsia="Times New Roman" w:hAnsi="Times New Roman" w:cs="Times New Roman"/>
                                <w:sz w:val="18"/>
                                <w:szCs w:val="18"/>
                                <w:lang w:val="sl-SI"/>
                              </w:rPr>
                            </w:pPr>
                          </w:p>
                          <w:p w14:paraId="3BA12EEE" w14:textId="7A120980" w:rsidR="00474DFB" w:rsidRDefault="00474DFB" w:rsidP="0030421B">
                            <w:pPr>
                              <w:jc w:val="right"/>
                              <w:rPr>
                                <w:rFonts w:asciiTheme="majorBidi" w:hAnsiTheme="majorBidi" w:cstheme="majorBidi"/>
                                <w:sz w:val="18"/>
                                <w:szCs w:val="18"/>
                              </w:rPr>
                            </w:pPr>
                            <w:r>
                              <w:rPr>
                                <w:rFonts w:ascii="Times New Roman" w:eastAsia="Times New Roman" w:hAnsi="Times New Roman" w:cs="Times New Roman"/>
                                <w:sz w:val="18"/>
                                <w:szCs w:val="18"/>
                                <w:lang w:val="sl-SI"/>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9469B" id="Text Box 20" o:spid="_x0000_s1032" type="#_x0000_t202" style="position:absolute;left:0;text-align:left;margin-left:31.4pt;margin-top:1.45pt;width:17.7pt;height:250.45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" fillcolor="white [3212]" stroked="f" strokeweight=".5pt">
                <v:textbox inset="0,0,0,0">
                  <w:txbxContent>
                    <w:p w14:paraId="39EA5664" w14:textId="77777777" w:rsidR="00474DFB" w:rsidRDefault="00474DFB" w:rsidP="0030421B">
                      <w:pPr>
                        <w:jc w:val="right"/>
                        <w:rPr>
                          <w:rFonts w:asciiTheme="majorBidi" w:hAnsiTheme="majorBidi" w:cstheme="majorBidi"/>
                          <w:sz w:val="18"/>
                          <w:szCs w:val="18"/>
                        </w:rPr>
                      </w:pPr>
                      <w:r>
                        <w:rPr>
                          <w:rFonts w:ascii="Times New Roman" w:eastAsia="Times New Roman" w:hAnsi="Times New Roman" w:cs="Times New Roman"/>
                          <w:sz w:val="18"/>
                          <w:szCs w:val="18"/>
                          <w:lang w:val="sl-SI"/>
                        </w:rPr>
                        <w:t>1,0</w:t>
                      </w:r>
                    </w:p>
                    <w:p w14:paraId="438DB719" w14:textId="77777777" w:rsidR="00474DFB" w:rsidRDefault="00474DFB" w:rsidP="0030421B">
                      <w:pPr>
                        <w:jc w:val="right"/>
                        <w:rPr>
                          <w:rFonts w:ascii="Times New Roman" w:eastAsia="Times New Roman" w:hAnsi="Times New Roman" w:cs="Times New Roman"/>
                          <w:sz w:val="18"/>
                          <w:szCs w:val="18"/>
                          <w:lang w:val="sl-SI"/>
                        </w:rPr>
                      </w:pPr>
                    </w:p>
                    <w:p w14:paraId="65BE9BAA" w14:textId="77777777" w:rsidR="00474DFB" w:rsidRDefault="00474DFB" w:rsidP="0030421B">
                      <w:pPr>
                        <w:jc w:val="right"/>
                        <w:rPr>
                          <w:rFonts w:ascii="Times New Roman" w:eastAsia="Times New Roman" w:hAnsi="Times New Roman" w:cs="Times New Roman"/>
                          <w:sz w:val="18"/>
                          <w:szCs w:val="18"/>
                          <w:lang w:val="sl-SI"/>
                        </w:rPr>
                      </w:pPr>
                    </w:p>
                    <w:p w14:paraId="545665EB" w14:textId="77777777" w:rsidR="00474DFB" w:rsidRDefault="00474DFB" w:rsidP="0030421B">
                      <w:pPr>
                        <w:jc w:val="right"/>
                        <w:rPr>
                          <w:rFonts w:ascii="Times New Roman" w:eastAsia="Times New Roman" w:hAnsi="Times New Roman" w:cs="Times New Roman"/>
                          <w:sz w:val="18"/>
                          <w:szCs w:val="18"/>
                          <w:lang w:val="sl-SI"/>
                        </w:rPr>
                      </w:pPr>
                    </w:p>
                    <w:p w14:paraId="59E35575" w14:textId="77777777" w:rsidR="00474DFB" w:rsidRDefault="00474DFB" w:rsidP="0030421B">
                      <w:pPr>
                        <w:jc w:val="right"/>
                        <w:rPr>
                          <w:rFonts w:ascii="Times New Roman" w:eastAsia="Times New Roman" w:hAnsi="Times New Roman" w:cs="Times New Roman"/>
                          <w:sz w:val="18"/>
                          <w:szCs w:val="18"/>
                          <w:lang w:val="sl-SI"/>
                        </w:rPr>
                      </w:pPr>
                    </w:p>
                    <w:p w14:paraId="6E010973" w14:textId="7313CE6E" w:rsidR="00474DFB" w:rsidRDefault="00474DFB" w:rsidP="0030421B">
                      <w:pPr>
                        <w:jc w:val="right"/>
                        <w:rPr>
                          <w:rFonts w:asciiTheme="majorBidi" w:hAnsiTheme="majorBidi" w:cstheme="majorBidi"/>
                          <w:sz w:val="18"/>
                          <w:szCs w:val="18"/>
                        </w:rPr>
                      </w:pPr>
                      <w:r>
                        <w:rPr>
                          <w:rFonts w:ascii="Times New Roman" w:eastAsia="Times New Roman" w:hAnsi="Times New Roman" w:cs="Times New Roman"/>
                          <w:sz w:val="18"/>
                          <w:szCs w:val="18"/>
                          <w:lang w:val="sl-SI"/>
                        </w:rPr>
                        <w:t>0,8</w:t>
                      </w:r>
                    </w:p>
                    <w:p w14:paraId="55924960" w14:textId="77777777" w:rsidR="00474DFB" w:rsidRDefault="00474DFB" w:rsidP="0030421B">
                      <w:pPr>
                        <w:jc w:val="right"/>
                        <w:rPr>
                          <w:rFonts w:ascii="Times New Roman" w:eastAsia="Times New Roman" w:hAnsi="Times New Roman" w:cs="Times New Roman"/>
                          <w:sz w:val="18"/>
                          <w:szCs w:val="18"/>
                          <w:lang w:val="sl-SI"/>
                        </w:rPr>
                      </w:pPr>
                    </w:p>
                    <w:p w14:paraId="34F5AC33" w14:textId="77777777" w:rsidR="00474DFB" w:rsidRDefault="00474DFB" w:rsidP="0030421B">
                      <w:pPr>
                        <w:jc w:val="right"/>
                        <w:rPr>
                          <w:rFonts w:ascii="Times New Roman" w:eastAsia="Times New Roman" w:hAnsi="Times New Roman" w:cs="Times New Roman"/>
                          <w:sz w:val="18"/>
                          <w:szCs w:val="18"/>
                          <w:lang w:val="sl-SI"/>
                        </w:rPr>
                      </w:pPr>
                    </w:p>
                    <w:p w14:paraId="3F0AEA6B" w14:textId="77777777" w:rsidR="00474DFB" w:rsidRDefault="00474DFB" w:rsidP="0030421B">
                      <w:pPr>
                        <w:jc w:val="right"/>
                        <w:rPr>
                          <w:rFonts w:ascii="Times New Roman" w:eastAsia="Times New Roman" w:hAnsi="Times New Roman" w:cs="Times New Roman"/>
                          <w:sz w:val="18"/>
                          <w:szCs w:val="18"/>
                          <w:lang w:val="sl-SI"/>
                        </w:rPr>
                      </w:pPr>
                    </w:p>
                    <w:p w14:paraId="2145E330" w14:textId="77777777" w:rsidR="00474DFB" w:rsidRDefault="00474DFB" w:rsidP="0030421B">
                      <w:pPr>
                        <w:jc w:val="right"/>
                        <w:rPr>
                          <w:rFonts w:ascii="Times New Roman" w:eastAsia="Times New Roman" w:hAnsi="Times New Roman" w:cs="Times New Roman"/>
                          <w:sz w:val="18"/>
                          <w:szCs w:val="18"/>
                          <w:lang w:val="sl-SI"/>
                        </w:rPr>
                      </w:pPr>
                    </w:p>
                    <w:p w14:paraId="38D479CA" w14:textId="455321D6" w:rsidR="00474DFB" w:rsidRDefault="00474DFB" w:rsidP="0030421B">
                      <w:pPr>
                        <w:jc w:val="right"/>
                        <w:rPr>
                          <w:rFonts w:asciiTheme="majorBidi" w:hAnsiTheme="majorBidi" w:cstheme="majorBidi"/>
                          <w:sz w:val="18"/>
                          <w:szCs w:val="18"/>
                        </w:rPr>
                      </w:pPr>
                      <w:r>
                        <w:rPr>
                          <w:rFonts w:ascii="Times New Roman" w:eastAsia="Times New Roman" w:hAnsi="Times New Roman" w:cs="Times New Roman"/>
                          <w:sz w:val="18"/>
                          <w:szCs w:val="18"/>
                          <w:lang w:val="sl-SI"/>
                        </w:rPr>
                        <w:t>0,6</w:t>
                      </w:r>
                    </w:p>
                    <w:p w14:paraId="1DD71536" w14:textId="77777777" w:rsidR="00474DFB" w:rsidRDefault="00474DFB" w:rsidP="0030421B">
                      <w:pPr>
                        <w:jc w:val="right"/>
                        <w:rPr>
                          <w:rFonts w:ascii="Times New Roman" w:eastAsia="Times New Roman" w:hAnsi="Times New Roman" w:cs="Times New Roman"/>
                          <w:sz w:val="18"/>
                          <w:szCs w:val="18"/>
                          <w:lang w:val="sl-SI"/>
                        </w:rPr>
                      </w:pPr>
                    </w:p>
                    <w:p w14:paraId="4C4E04A7" w14:textId="77777777" w:rsidR="00474DFB" w:rsidRDefault="00474DFB" w:rsidP="0030421B">
                      <w:pPr>
                        <w:jc w:val="right"/>
                        <w:rPr>
                          <w:rFonts w:ascii="Times New Roman" w:eastAsia="Times New Roman" w:hAnsi="Times New Roman" w:cs="Times New Roman"/>
                          <w:sz w:val="18"/>
                          <w:szCs w:val="18"/>
                          <w:lang w:val="sl-SI"/>
                        </w:rPr>
                      </w:pPr>
                    </w:p>
                    <w:p w14:paraId="640D44F8" w14:textId="77777777" w:rsidR="00474DFB" w:rsidRDefault="00474DFB" w:rsidP="0030421B">
                      <w:pPr>
                        <w:jc w:val="right"/>
                        <w:rPr>
                          <w:rFonts w:ascii="Times New Roman" w:eastAsia="Times New Roman" w:hAnsi="Times New Roman" w:cs="Times New Roman"/>
                          <w:sz w:val="18"/>
                          <w:szCs w:val="18"/>
                          <w:lang w:val="sl-SI"/>
                        </w:rPr>
                      </w:pPr>
                    </w:p>
                    <w:p w14:paraId="4A50FB58" w14:textId="473C015E" w:rsidR="00474DFB" w:rsidRDefault="00474DFB" w:rsidP="0030421B">
                      <w:pPr>
                        <w:jc w:val="right"/>
                        <w:rPr>
                          <w:rFonts w:asciiTheme="majorBidi" w:hAnsiTheme="majorBidi" w:cstheme="majorBidi"/>
                          <w:sz w:val="18"/>
                          <w:szCs w:val="18"/>
                        </w:rPr>
                      </w:pPr>
                      <w:r>
                        <w:rPr>
                          <w:rFonts w:ascii="Times New Roman" w:eastAsia="Times New Roman" w:hAnsi="Times New Roman" w:cs="Times New Roman"/>
                          <w:sz w:val="18"/>
                          <w:szCs w:val="18"/>
                          <w:lang w:val="sl-SI"/>
                        </w:rPr>
                        <w:t>0,4</w:t>
                      </w:r>
                    </w:p>
                    <w:p w14:paraId="662332C3" w14:textId="77777777" w:rsidR="00474DFB" w:rsidRDefault="00474DFB" w:rsidP="0030421B">
                      <w:pPr>
                        <w:jc w:val="right"/>
                        <w:rPr>
                          <w:rFonts w:ascii="Times New Roman" w:eastAsia="Times New Roman" w:hAnsi="Times New Roman" w:cs="Times New Roman"/>
                          <w:sz w:val="18"/>
                          <w:szCs w:val="18"/>
                          <w:lang w:val="sl-SI"/>
                        </w:rPr>
                      </w:pPr>
                    </w:p>
                    <w:p w14:paraId="089E171C" w14:textId="77777777" w:rsidR="00474DFB" w:rsidRDefault="00474DFB" w:rsidP="0030421B">
                      <w:pPr>
                        <w:jc w:val="right"/>
                        <w:rPr>
                          <w:rFonts w:ascii="Times New Roman" w:eastAsia="Times New Roman" w:hAnsi="Times New Roman" w:cs="Times New Roman"/>
                          <w:sz w:val="18"/>
                          <w:szCs w:val="18"/>
                          <w:lang w:val="sl-SI"/>
                        </w:rPr>
                      </w:pPr>
                    </w:p>
                    <w:p w14:paraId="71CF26CA" w14:textId="77777777" w:rsidR="00474DFB" w:rsidRDefault="00474DFB" w:rsidP="0030421B">
                      <w:pPr>
                        <w:jc w:val="right"/>
                        <w:rPr>
                          <w:rFonts w:ascii="Times New Roman" w:eastAsia="Times New Roman" w:hAnsi="Times New Roman" w:cs="Times New Roman"/>
                          <w:sz w:val="18"/>
                          <w:szCs w:val="18"/>
                          <w:lang w:val="sl-SI"/>
                        </w:rPr>
                      </w:pPr>
                    </w:p>
                    <w:p w14:paraId="4A6D83F5" w14:textId="77777777" w:rsidR="00474DFB" w:rsidRDefault="00474DFB" w:rsidP="0030421B">
                      <w:pPr>
                        <w:jc w:val="right"/>
                        <w:rPr>
                          <w:rFonts w:ascii="Times New Roman" w:eastAsia="Times New Roman" w:hAnsi="Times New Roman" w:cs="Times New Roman"/>
                          <w:sz w:val="18"/>
                          <w:szCs w:val="18"/>
                          <w:lang w:val="sl-SI"/>
                        </w:rPr>
                      </w:pPr>
                    </w:p>
                    <w:p w14:paraId="1FC74B51" w14:textId="071BA3F4" w:rsidR="00474DFB" w:rsidRDefault="00474DFB" w:rsidP="0030421B">
                      <w:pPr>
                        <w:jc w:val="right"/>
                        <w:rPr>
                          <w:rFonts w:asciiTheme="majorBidi" w:hAnsiTheme="majorBidi" w:cstheme="majorBidi"/>
                          <w:sz w:val="18"/>
                          <w:szCs w:val="18"/>
                        </w:rPr>
                      </w:pPr>
                      <w:r>
                        <w:rPr>
                          <w:rFonts w:ascii="Times New Roman" w:eastAsia="Times New Roman" w:hAnsi="Times New Roman" w:cs="Times New Roman"/>
                          <w:sz w:val="18"/>
                          <w:szCs w:val="18"/>
                          <w:lang w:val="sl-SI"/>
                        </w:rPr>
                        <w:t>0.2</w:t>
                      </w:r>
                    </w:p>
                    <w:p w14:paraId="53545588" w14:textId="77777777" w:rsidR="00474DFB" w:rsidRDefault="00474DFB" w:rsidP="0030421B">
                      <w:pPr>
                        <w:jc w:val="right"/>
                        <w:rPr>
                          <w:rFonts w:ascii="Times New Roman" w:eastAsia="Times New Roman" w:hAnsi="Times New Roman" w:cs="Times New Roman"/>
                          <w:sz w:val="18"/>
                          <w:szCs w:val="18"/>
                          <w:lang w:val="sl-SI"/>
                        </w:rPr>
                      </w:pPr>
                    </w:p>
                    <w:p w14:paraId="0B18DA64" w14:textId="77777777" w:rsidR="00474DFB" w:rsidRDefault="00474DFB" w:rsidP="0030421B">
                      <w:pPr>
                        <w:jc w:val="right"/>
                        <w:rPr>
                          <w:rFonts w:ascii="Times New Roman" w:eastAsia="Times New Roman" w:hAnsi="Times New Roman" w:cs="Times New Roman"/>
                          <w:sz w:val="18"/>
                          <w:szCs w:val="18"/>
                          <w:lang w:val="sl-SI"/>
                        </w:rPr>
                      </w:pPr>
                    </w:p>
                    <w:p w14:paraId="21037188" w14:textId="77777777" w:rsidR="00474DFB" w:rsidRDefault="00474DFB" w:rsidP="0030421B">
                      <w:pPr>
                        <w:jc w:val="right"/>
                        <w:rPr>
                          <w:rFonts w:ascii="Times New Roman" w:eastAsia="Times New Roman" w:hAnsi="Times New Roman" w:cs="Times New Roman"/>
                          <w:sz w:val="18"/>
                          <w:szCs w:val="18"/>
                          <w:lang w:val="sl-SI"/>
                        </w:rPr>
                      </w:pPr>
                    </w:p>
                    <w:p w14:paraId="3BA12EEE" w14:textId="7A120980" w:rsidR="00474DFB" w:rsidRDefault="00474DFB" w:rsidP="0030421B">
                      <w:pPr>
                        <w:jc w:val="right"/>
                        <w:rPr>
                          <w:rFonts w:asciiTheme="majorBidi" w:hAnsiTheme="majorBidi" w:cstheme="majorBidi"/>
                          <w:sz w:val="18"/>
                          <w:szCs w:val="18"/>
                        </w:rPr>
                      </w:pPr>
                      <w:r>
                        <w:rPr>
                          <w:rFonts w:ascii="Times New Roman" w:eastAsia="Times New Roman" w:hAnsi="Times New Roman" w:cs="Times New Roman"/>
                          <w:sz w:val="18"/>
                          <w:szCs w:val="18"/>
                          <w:lang w:val="sl-SI"/>
                        </w:rPr>
                        <w:t>0,0</w:t>
                      </w:r>
                    </w:p>
                  </w:txbxContent>
                </v:textbox>
              </v:shape>
            </w:pict>
          </mc:Fallback>
        </mc:AlternateContent>
      </w:r>
      <w:r w:rsidR="006A7666">
        <w:rPr>
          <w:rFonts w:eastAsiaTheme="minorHAnsi"/>
          <w:noProof/>
          <w:lang w:eastAsia="ko-KR"/>
        </w:rPr>
        <mc:AlternateContent>
          <mc:Choice Requires="wps">
            <w:drawing>
              <wp:anchor distT="0" distB="0" distL="114300" distR="114300" simplePos="0" relativeHeight="251658286" behindDoc="1" locked="0" layoutInCell="1" allowOverlap="1" wp14:anchorId="53391EE7" wp14:editId="0825E15A">
                <wp:simplePos x="0" y="0"/>
                <wp:positionH relativeFrom="page">
                  <wp:posOffset>805218</wp:posOffset>
                </wp:positionH>
                <wp:positionV relativeFrom="paragraph">
                  <wp:posOffset>473938</wp:posOffset>
                </wp:positionV>
                <wp:extent cx="329508" cy="3203594"/>
                <wp:effectExtent l="0" t="0" r="13970" b="15875"/>
                <wp:wrapNone/>
                <wp:docPr id="11" name="Text Box 3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08" cy="3203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FA9FFF" w14:textId="77777777" w:rsidR="00474DFB" w:rsidRDefault="00474DFB" w:rsidP="006A7666">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sl-SI"/>
                              </w:rPr>
                              <w:t>VERJETNOST NEUSPEHA ZDRAVLJENJA</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391EE7" id="Text Box 3876" o:spid="_x0000_s1033" type="#_x0000_t202" style="position:absolute;left:0;text-align:left;margin-left:63.4pt;margin-top:37.3pt;width:25.95pt;height:252.25pt;z-index:-25165819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" filled="f" stroked="f">
                <v:textbox style="layout-flow:vertical;mso-layout-flow-alt:bottom-to-top" inset="0,0,0,0">
                  <w:txbxContent>
                    <w:p w14:paraId="78FA9FFF" w14:textId="77777777" w:rsidR="00474DFB" w:rsidRDefault="00474DFB" w:rsidP="006A7666">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sl-SI"/>
                        </w:rPr>
                        <w:t>VERJETNOST NEUSPEHA ZDRAVLJENJA</w:t>
                      </w:r>
                    </w:p>
                  </w:txbxContent>
                </v:textbox>
                <w10:wrap anchorx="page"/>
              </v:shape>
            </w:pict>
          </mc:Fallback>
        </mc:AlternateContent>
      </w:r>
      <w:r w:rsidR="006A7666">
        <w:rPr>
          <w:noProof/>
          <w:lang w:eastAsia="ko-KR"/>
        </w:rPr>
        <w:drawing>
          <wp:inline distT="0" distB="0" distL="0" distR="0" wp14:anchorId="4418FCE3" wp14:editId="738315D8">
            <wp:extent cx="5461000" cy="4094922"/>
            <wp:effectExtent l="0" t="0" r="6350" b="1270"/>
            <wp:docPr id="21"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0891" name="Picture 29"/>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468968" cy="4100897"/>
                    </a:xfrm>
                    <a:prstGeom prst="rect">
                      <a:avLst/>
                    </a:prstGeom>
                    <a:noFill/>
                    <a:ln>
                      <a:noFill/>
                    </a:ln>
                  </pic:spPr>
                </pic:pic>
              </a:graphicData>
            </a:graphic>
          </wp:inline>
        </w:drawing>
      </w:r>
      <w:r w:rsidR="006A7666" w:rsidRPr="009D4E53">
        <w:rPr>
          <w:noProof/>
          <w:lang w:val="sl-SI" w:eastAsia="ko-KR"/>
        </w:rPr>
        <w:t xml:space="preserve"> </w:t>
      </w:r>
    </w:p>
    <w:p w14:paraId="505C4D7F" w14:textId="506CAB22" w:rsidR="006A7666" w:rsidRDefault="006A7666" w:rsidP="006A7666">
      <w:pPr>
        <w:spacing w:before="36"/>
        <w:ind w:left="479"/>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ČAS (TEDNI)</w:t>
      </w:r>
    </w:p>
    <w:p w14:paraId="0015E28C" w14:textId="74F7CD79" w:rsidR="006A7666" w:rsidRDefault="006A7666" w:rsidP="006A7666">
      <w:pPr>
        <w:pStyle w:val="a3"/>
        <w:rPr>
          <w:lang w:val="sl-SI"/>
        </w:rPr>
      </w:pPr>
      <w:r>
        <w:rPr>
          <w:noProof/>
          <w:lang w:eastAsia="ko-KR"/>
        </w:rPr>
        <w:drawing>
          <wp:anchor distT="0" distB="0" distL="114300" distR="114300" simplePos="0" relativeHeight="251658285" behindDoc="1" locked="0" layoutInCell="1" allowOverlap="1" wp14:anchorId="6060859D" wp14:editId="71F2CE6B">
            <wp:simplePos x="0" y="0"/>
            <wp:positionH relativeFrom="page">
              <wp:posOffset>5091430</wp:posOffset>
            </wp:positionH>
            <wp:positionV relativeFrom="paragraph">
              <wp:posOffset>67310</wp:posOffset>
            </wp:positionV>
            <wp:extent cx="452755" cy="86995"/>
            <wp:effectExtent l="0" t="0" r="0" b="0"/>
            <wp:wrapNone/>
            <wp:docPr id="29"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83341" name="Picture 3874"/>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52755" cy="8699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lang w:val="sl-SI"/>
        </w:rPr>
        <w:t>Zdravljenje</w:t>
      </w:r>
      <w:r>
        <w:rPr>
          <w:rFonts w:eastAsia="Times New Roman"/>
          <w:lang w:val="sl-SI"/>
        </w:rPr>
        <w:tab/>
      </w:r>
      <w:r>
        <w:rPr>
          <w:rFonts w:eastAsia="Times New Roman"/>
          <w:lang w:val="sl-SI"/>
        </w:rPr>
        <w:tab/>
      </w:r>
      <w:r>
        <w:rPr>
          <w:rFonts w:eastAsia="Times New Roman"/>
          <w:lang w:val="sl-SI"/>
        </w:rPr>
        <w:tab/>
      </w:r>
      <w:r>
        <w:rPr>
          <w:rFonts w:eastAsia="Times New Roman"/>
          <w:lang w:val="sl-SI"/>
        </w:rPr>
        <w:tab/>
      </w:r>
      <w:r>
        <w:rPr>
          <w:rFonts w:eastAsia="Times New Roman"/>
          <w:lang w:val="sl-SI"/>
        </w:rPr>
        <w:tab/>
      </w:r>
      <w:r>
        <w:rPr>
          <w:noProof/>
          <w:lang w:eastAsia="ko-KR"/>
        </w:rPr>
        <w:drawing>
          <wp:inline distT="0" distB="0" distL="0" distR="0" wp14:anchorId="0AE5DEC7" wp14:editId="2FA02E2B">
            <wp:extent cx="457200" cy="127000"/>
            <wp:effectExtent l="0" t="0" r="0" b="0"/>
            <wp:docPr id="31"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63580" name="Picture 30"/>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 cy="127000"/>
                    </a:xfrm>
                    <a:prstGeom prst="rect">
                      <a:avLst/>
                    </a:prstGeom>
                    <a:noFill/>
                    <a:ln>
                      <a:noFill/>
                    </a:ln>
                  </pic:spPr>
                </pic:pic>
              </a:graphicData>
            </a:graphic>
          </wp:inline>
        </w:drawing>
      </w:r>
      <w:r>
        <w:rPr>
          <w:rFonts w:eastAsia="Times New Roman"/>
          <w:lang w:val="sl-SI"/>
        </w:rPr>
        <w:t xml:space="preserve"> Placebo</w:t>
      </w:r>
      <w:r>
        <w:rPr>
          <w:rFonts w:eastAsia="Times New Roman"/>
          <w:lang w:val="sl-SI"/>
        </w:rPr>
        <w:tab/>
      </w:r>
      <w:r>
        <w:rPr>
          <w:rFonts w:eastAsia="Times New Roman"/>
          <w:lang w:val="sl-SI"/>
        </w:rPr>
        <w:tab/>
        <w:t xml:space="preserve">     Adalimumab</w:t>
      </w:r>
    </w:p>
    <w:p w14:paraId="62A0CD6E" w14:textId="77777777" w:rsidR="006A7666" w:rsidRDefault="006A7666" w:rsidP="006A7666">
      <w:pPr>
        <w:pStyle w:val="a3"/>
        <w:rPr>
          <w:lang w:val="sl-SI"/>
        </w:rPr>
      </w:pPr>
      <w:r>
        <w:rPr>
          <w:rFonts w:eastAsia="Times New Roman"/>
          <w:lang w:val="sl-SI"/>
        </w:rPr>
        <w:t>Opomba: P = placebo (število rizičnih preiskovancev); A = adalimumab (število rizičnih preiskovancev).</w:t>
      </w:r>
    </w:p>
    <w:p w14:paraId="3847FF18" w14:textId="77777777" w:rsidR="00982DE1" w:rsidRPr="00982DE1" w:rsidRDefault="00982DE1">
      <w:pPr>
        <w:spacing w:before="16" w:line="240" w:lineRule="exact"/>
        <w:rPr>
          <w:sz w:val="24"/>
          <w:szCs w:val="24"/>
          <w:lang w:val="sl-SI"/>
        </w:rPr>
      </w:pPr>
    </w:p>
    <w:p w14:paraId="64A05700" w14:textId="77777777" w:rsidR="00E04C8A" w:rsidRDefault="008E1817">
      <w:pPr>
        <w:widowControl/>
        <w:numPr>
          <w:ilvl w:val="1"/>
          <w:numId w:val="30"/>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Farmakokinetične lastnosti</w:t>
      </w:r>
    </w:p>
    <w:p w14:paraId="76367762" w14:textId="77777777" w:rsidR="00E04C8A" w:rsidRDefault="00E04C8A">
      <w:pPr>
        <w:spacing w:before="9" w:line="240" w:lineRule="exact"/>
        <w:rPr>
          <w:sz w:val="24"/>
          <w:szCs w:val="24"/>
          <w:lang w:val="sl-SI"/>
        </w:rPr>
      </w:pPr>
    </w:p>
    <w:p w14:paraId="228EE962" w14:textId="77777777" w:rsidR="00E04C8A" w:rsidRDefault="008E1817">
      <w:pPr>
        <w:pStyle w:val="a3"/>
        <w:rPr>
          <w:u w:val="single"/>
          <w:lang w:val="sl-SI"/>
        </w:rPr>
      </w:pPr>
      <w:r>
        <w:rPr>
          <w:rFonts w:eastAsia="Times New Roman"/>
          <w:u w:val="single" w:color="000000"/>
          <w:lang w:val="sl-SI"/>
        </w:rPr>
        <w:t>Absorpcija in porazdelitev</w:t>
      </w:r>
    </w:p>
    <w:p w14:paraId="5F9C14F7" w14:textId="77777777" w:rsidR="00E04C8A" w:rsidRDefault="00E04C8A">
      <w:pPr>
        <w:spacing w:before="1" w:line="180" w:lineRule="exact"/>
        <w:rPr>
          <w:sz w:val="18"/>
          <w:szCs w:val="18"/>
          <w:lang w:val="sl-SI"/>
        </w:rPr>
      </w:pPr>
    </w:p>
    <w:p w14:paraId="01DD22B3" w14:textId="77777777" w:rsidR="00E04C8A" w:rsidRDefault="008E1817">
      <w:pPr>
        <w:pStyle w:val="a3"/>
        <w:rPr>
          <w:lang w:val="sl-SI"/>
        </w:rPr>
      </w:pPr>
      <w:r>
        <w:rPr>
          <w:rFonts w:eastAsia="Times New Roman"/>
          <w:lang w:val="sl-SI"/>
        </w:rPr>
        <w:t>Po subkutani uporabi enega samega 40 mg odmerka sta bili absorpcija in distribucija adalimumaba počasni in največja koncentracija v serumu je bila dosežena približno 5 dni po uporabi. Povprečna absolutna biološka uporabnost adalimumaba, ocenjena iz treh študij po enem 40 mg odmerku subkutano, je 64 %. Po enem samem intravenskem odmerku od 0,25 do 10 mg/kg so bile koncentracije sorazmerne odmerku. Po odmerkih 0,5 mg/kg (~40 mg) je bil očistek od 11 do 15 ml/uro, volumen distribucije (V</w:t>
      </w:r>
      <w:r>
        <w:rPr>
          <w:rFonts w:eastAsia="Times New Roman"/>
          <w:sz w:val="14"/>
          <w:szCs w:val="14"/>
          <w:lang w:val="sl-SI"/>
        </w:rPr>
        <w:t>ss</w:t>
      </w:r>
      <w:r>
        <w:rPr>
          <w:rFonts w:eastAsia="Times New Roman"/>
          <w:lang w:val="sl-SI"/>
        </w:rPr>
        <w:t>) od 5 do 6 litrov in povprečni razpolovni čas terminalne faze približno dva tedna. Koncentracije adalimumaba v sinovijski tekočini več bolnikov z revmatoidnim artritisom so bile od 31 do 96 % tistih v serumu.</w:t>
      </w:r>
    </w:p>
    <w:p w14:paraId="1B88CDC6" w14:textId="77777777" w:rsidR="00E04C8A" w:rsidRDefault="00E04C8A">
      <w:pPr>
        <w:spacing w:before="14" w:line="240" w:lineRule="exact"/>
        <w:rPr>
          <w:sz w:val="24"/>
          <w:szCs w:val="24"/>
          <w:lang w:val="sl-SI"/>
        </w:rPr>
      </w:pPr>
    </w:p>
    <w:p w14:paraId="6A4AE6DE" w14:textId="77777777" w:rsidR="00E04C8A" w:rsidRDefault="008E1817">
      <w:pPr>
        <w:pStyle w:val="a3"/>
        <w:rPr>
          <w:lang w:val="sl-SI"/>
        </w:rPr>
      </w:pPr>
      <w:r>
        <w:rPr>
          <w:rFonts w:eastAsia="Times New Roman"/>
          <w:lang w:val="sl-SI"/>
        </w:rPr>
        <w:t>Po subkutani uporabi 40 mg adalimumaba vsak drugi teden pri odraslih bolnikih z revmatoidnim artritisom (RA) so bile povprečne najmanjše koncentracije v stanju dinamičnega ravnovesja približno 5 </w:t>
      </w:r>
      <w:r>
        <w:rPr>
          <w:rFonts w:ascii="Symbol" w:eastAsia="Symbol" w:hAnsi="Symbol" w:cs="Symbol"/>
          <w:lang w:val="sl-SI"/>
        </w:rPr>
        <w:sym w:font="Symbol" w:char="F06D"/>
      </w:r>
      <w:r>
        <w:rPr>
          <w:rFonts w:eastAsia="Times New Roman"/>
          <w:lang w:val="sl-SI"/>
        </w:rPr>
        <w:t>g/ml (brez sočasne uporabe metotreksata) in od 8 do 9 </w:t>
      </w:r>
      <w:r>
        <w:rPr>
          <w:rFonts w:ascii="Symbol" w:eastAsia="Symbol" w:hAnsi="Symbol" w:cs="Symbol"/>
          <w:lang w:val="sl-SI"/>
        </w:rPr>
        <w:sym w:font="Symbol" w:char="F06D"/>
      </w:r>
      <w:r>
        <w:rPr>
          <w:rFonts w:eastAsia="Times New Roman"/>
          <w:lang w:val="sl-SI"/>
        </w:rPr>
        <w:t>g/ml (s sočasno uporabo metotreksata). Najmanjše koncentracije adalimumaba v serumu v stanju dinamičnega ravnovesja so naraščale približno sorazmerno odmerku po 20, 40 in 80 mg subkutano vsak drugi teden in vsak teden.</w:t>
      </w:r>
    </w:p>
    <w:p w14:paraId="5687BD7F" w14:textId="77777777" w:rsidR="00E04C8A" w:rsidRDefault="00E04C8A">
      <w:pPr>
        <w:spacing w:before="8" w:line="240" w:lineRule="exact"/>
        <w:rPr>
          <w:sz w:val="24"/>
          <w:szCs w:val="24"/>
          <w:lang w:val="sl-SI"/>
        </w:rPr>
      </w:pPr>
    </w:p>
    <w:p w14:paraId="307D8BBA" w14:textId="18FD1E5F" w:rsidR="00E04C8A" w:rsidRDefault="008E1817">
      <w:pPr>
        <w:pStyle w:val="a3"/>
        <w:rPr>
          <w:lang w:val="sl-SI"/>
        </w:rPr>
      </w:pPr>
      <w:r>
        <w:rPr>
          <w:rFonts w:eastAsia="Times New Roman"/>
          <w:lang w:val="sl-SI"/>
        </w:rPr>
        <w:t>Po uporabi 24 mg/m</w:t>
      </w:r>
      <w:r>
        <w:rPr>
          <w:rFonts w:eastAsia="Times New Roman"/>
          <w:sz w:val="14"/>
          <w:szCs w:val="14"/>
          <w:lang w:val="sl-SI"/>
        </w:rPr>
        <w:t>2</w:t>
      </w:r>
      <w:r>
        <w:rPr>
          <w:rFonts w:eastAsia="Times New Roman"/>
          <w:lang w:val="sl-SI"/>
        </w:rPr>
        <w:t xml:space="preserve"> (največ 40 mg) subkutano vsak drugi teden pri bolnikih s poliartikularnim juvenilnim idiopatskim artritisom, starih od 4 do 17 let, je bila povprečna najmanjša koncentracija adalimumaba v serumu v stanju dinamičnega ravnovesja (vrednosti merjene od 20. do 48. tedna) med uporabo adalimumaba brez metotreksata 5,6 ± 5,6 µg/ml (koeficient variacije 102 %) in med uporabo z metotreksatom 10,9 ± 5,2 µg/ml (koeficient variacije 47,7 %).</w:t>
      </w:r>
    </w:p>
    <w:p w14:paraId="5B662933" w14:textId="77777777" w:rsidR="00E04C8A" w:rsidRDefault="00E04C8A">
      <w:pPr>
        <w:spacing w:before="13" w:line="240" w:lineRule="exact"/>
        <w:rPr>
          <w:sz w:val="24"/>
          <w:szCs w:val="24"/>
          <w:lang w:val="sl-SI"/>
        </w:rPr>
      </w:pPr>
    </w:p>
    <w:p w14:paraId="79476011" w14:textId="77777777" w:rsidR="00E04C8A" w:rsidRDefault="008E1817">
      <w:pPr>
        <w:pStyle w:val="a3"/>
        <w:rPr>
          <w:lang w:val="sl-SI"/>
        </w:rPr>
      </w:pPr>
      <w:r>
        <w:rPr>
          <w:rFonts w:eastAsia="Times New Roman"/>
          <w:lang w:val="sl-SI"/>
        </w:rPr>
        <w:t xml:space="preserve">Pri bolnikih s poliartikularnim JIA, starih od 2 do &lt; 4 leta ali starih 4 leta ali več in s telesno maso &lt; 15 kg, </w:t>
      </w:r>
      <w:r>
        <w:rPr>
          <w:rFonts w:eastAsia="Times New Roman"/>
          <w:lang w:val="sl-SI"/>
        </w:rPr>
        <w:lastRenderedPageBreak/>
        <w:t>ki so prejemali adalimumab v odmerku 24 mg/m</w:t>
      </w:r>
      <w:r>
        <w:rPr>
          <w:rFonts w:eastAsia="Times New Roman"/>
          <w:sz w:val="14"/>
          <w:szCs w:val="14"/>
          <w:lang w:val="sl-SI"/>
        </w:rPr>
        <w:t>2</w:t>
      </w:r>
      <w:r>
        <w:rPr>
          <w:rFonts w:eastAsia="Times New Roman"/>
          <w:lang w:val="sl-SI"/>
        </w:rPr>
        <w:t>, je bila povprečna najmanjša koncentracija adalimumaba v serumu v stanju dinamičnega ravnovesja 6,0 ± 6,1 µg/ml (KV 101 %) med uporabo adalimumaba brez metotreksata in 7,9 ± 5,6 µg/ml (KV 71,2 %) med sočasno uporabo metotreksata.</w:t>
      </w:r>
    </w:p>
    <w:p w14:paraId="423D6483" w14:textId="77777777" w:rsidR="00E04C8A" w:rsidRDefault="00E04C8A">
      <w:pPr>
        <w:spacing w:before="6" w:line="240" w:lineRule="exact"/>
        <w:rPr>
          <w:sz w:val="24"/>
          <w:szCs w:val="24"/>
          <w:lang w:val="sl-SI"/>
        </w:rPr>
      </w:pPr>
    </w:p>
    <w:p w14:paraId="4845C4A4" w14:textId="4182E7D2" w:rsidR="00E04C8A" w:rsidRDefault="008E1817">
      <w:pPr>
        <w:pStyle w:val="a3"/>
        <w:rPr>
          <w:lang w:val="sl-SI"/>
        </w:rPr>
      </w:pPr>
      <w:r>
        <w:rPr>
          <w:rFonts w:eastAsia="Times New Roman"/>
          <w:lang w:val="sl-SI"/>
        </w:rPr>
        <w:t>Po dajanju 24 mg/m</w:t>
      </w:r>
      <w:r>
        <w:rPr>
          <w:rFonts w:eastAsia="Times New Roman"/>
          <w:sz w:val="14"/>
          <w:szCs w:val="14"/>
          <w:lang w:val="sl-SI"/>
        </w:rPr>
        <w:t>2</w:t>
      </w:r>
      <w:r>
        <w:rPr>
          <w:rFonts w:eastAsia="Times New Roman"/>
          <w:lang w:val="sl-SI"/>
        </w:rPr>
        <w:t xml:space="preserve"> (največ 40 mg) subkutano vsak drugi teden bolnikom z artritisom, povezanim z entezitisom, ki so bili stari od 6 do 17 let, je bila povprečna najmanjša koncentracija adalimumaba v serumu v stanju dinamičnega ravnovesja (vrednost merjena v 24. tednu) 8,8 ± 6,6 μg/ml med uporabo adalimumaba brez metotreksata in 11,8 ± 4,3 μg/ml med sočasno uporabo metotreksata.</w:t>
      </w:r>
    </w:p>
    <w:p w14:paraId="37959342" w14:textId="77777777" w:rsidR="00E04C8A" w:rsidRDefault="00E04C8A">
      <w:pPr>
        <w:pStyle w:val="a3"/>
        <w:rPr>
          <w:sz w:val="24"/>
          <w:szCs w:val="24"/>
          <w:lang w:val="sl-SI"/>
        </w:rPr>
      </w:pPr>
    </w:p>
    <w:p w14:paraId="003F0FFD" w14:textId="77777777" w:rsidR="00E04C8A" w:rsidRDefault="008E1817">
      <w:pPr>
        <w:pStyle w:val="a3"/>
        <w:rPr>
          <w:lang w:val="sl-SI"/>
        </w:rPr>
      </w:pPr>
      <w:r>
        <w:rPr>
          <w:rFonts w:eastAsia="Times New Roman"/>
          <w:lang w:val="sl-SI"/>
        </w:rPr>
        <w:t>Po subkutanem dajanju 40 mg adalimumaba vsak drugi teden odraslim bolnikom z ne-radiografskim aksialnim spondiloartritisom je bila povprečna (± SD) najmanjša koncentracija v stanju dinamičnega ravnovesja (merjena v 68. tednu) 8,0 ± 4,6 </w:t>
      </w:r>
      <w:r>
        <w:rPr>
          <w:rFonts w:ascii="Symbol" w:eastAsia="Symbol" w:hAnsi="Symbol" w:cs="Symbol"/>
          <w:lang w:val="sl-SI"/>
        </w:rPr>
        <w:sym w:font="Symbol" w:char="F06D"/>
      </w:r>
      <w:r>
        <w:rPr>
          <w:rFonts w:eastAsia="Times New Roman"/>
          <w:lang w:val="sl-SI"/>
        </w:rPr>
        <w:t>g/ml.</w:t>
      </w:r>
    </w:p>
    <w:p w14:paraId="0E551B8E" w14:textId="77777777" w:rsidR="00E04C8A" w:rsidRDefault="00E04C8A">
      <w:pPr>
        <w:pStyle w:val="a3"/>
        <w:rPr>
          <w:lang w:val="sl-SI"/>
        </w:rPr>
      </w:pPr>
    </w:p>
    <w:p w14:paraId="720EC45E" w14:textId="77777777" w:rsidR="00E04C8A" w:rsidRDefault="008E1817">
      <w:pPr>
        <w:pStyle w:val="a3"/>
        <w:rPr>
          <w:lang w:val="sl-SI"/>
        </w:rPr>
      </w:pPr>
      <w:r>
        <w:rPr>
          <w:rFonts w:eastAsia="Times New Roman"/>
          <w:lang w:val="sl-SI"/>
        </w:rPr>
        <w:t>Pri odraslih bolnikih s psoriazo je bila povprečna najmanjša koncentracija v stanju dinamičnega ravnovesja 5 </w:t>
      </w:r>
      <w:r>
        <w:rPr>
          <w:rFonts w:ascii="Symbol" w:eastAsia="Symbol" w:hAnsi="Symbol" w:cs="Symbol"/>
          <w:lang w:val="sl-SI"/>
        </w:rPr>
        <w:sym w:font="Symbol" w:char="F06D"/>
      </w:r>
      <w:r>
        <w:rPr>
          <w:rFonts w:eastAsia="Times New Roman"/>
          <w:lang w:val="sl-SI"/>
        </w:rPr>
        <w:t>g/ml med monoterapijo z adalimumabom 40 mg vsak drugi teden.</w:t>
      </w:r>
    </w:p>
    <w:p w14:paraId="3B9031AE" w14:textId="77777777" w:rsidR="00E04C8A" w:rsidRDefault="00E04C8A">
      <w:pPr>
        <w:spacing w:before="11" w:line="240" w:lineRule="exact"/>
        <w:rPr>
          <w:sz w:val="24"/>
          <w:szCs w:val="24"/>
          <w:lang w:val="sl-SI"/>
        </w:rPr>
      </w:pPr>
    </w:p>
    <w:p w14:paraId="25CEC30B" w14:textId="56043DCD" w:rsidR="00E04C8A" w:rsidRDefault="008E1817">
      <w:pPr>
        <w:pStyle w:val="a3"/>
        <w:rPr>
          <w:lang w:val="sl-SI"/>
        </w:rPr>
      </w:pPr>
      <w:r>
        <w:rPr>
          <w:rFonts w:eastAsia="Times New Roman"/>
          <w:lang w:val="sl-SI"/>
        </w:rPr>
        <w:t>Po dajanju adalimumaba 0,8 mg/kg (največ 40 mg) subkutano vsak drugi teden pediatričnim bolnikom s kronično psoriazo v plakih, je bila povprečna (± SD) najmanjša koncentracija adalimumaba v stanju dinamičnega ravnovesja približno 7,4 ± 5,8 µg/ml (79 % KV).</w:t>
      </w:r>
    </w:p>
    <w:p w14:paraId="081D46E1" w14:textId="77777777" w:rsidR="00E04C8A" w:rsidRDefault="00E04C8A">
      <w:pPr>
        <w:spacing w:before="13" w:line="240" w:lineRule="exact"/>
        <w:rPr>
          <w:sz w:val="24"/>
          <w:szCs w:val="24"/>
          <w:lang w:val="sl-SI"/>
        </w:rPr>
      </w:pPr>
    </w:p>
    <w:p w14:paraId="6634DCF5" w14:textId="16AFCFB4" w:rsidR="00E04C8A" w:rsidRDefault="008E1817">
      <w:pPr>
        <w:pStyle w:val="a3"/>
        <w:rPr>
          <w:lang w:val="sl-SI"/>
        </w:rPr>
      </w:pPr>
      <w:r>
        <w:rPr>
          <w:rFonts w:eastAsia="Times New Roman"/>
          <w:lang w:val="sl-SI"/>
        </w:rPr>
        <w:t xml:space="preserve">Pri odraslih bolnikih s hidradenitis suppurativa doseže odmerek 160 mg adalimumaba na 0. teden, ki mu sledi 80 mg adalimumaba 2. teden, </w:t>
      </w:r>
      <w:r w:rsidR="00F95D6D">
        <w:rPr>
          <w:lang w:val="sl-SI"/>
        </w:rPr>
        <w:t>najmanjšo</w:t>
      </w:r>
      <w:r w:rsidR="00F95D6D" w:rsidRPr="0046564D">
        <w:rPr>
          <w:lang w:val="sl-SI"/>
        </w:rPr>
        <w:t xml:space="preserve"> </w:t>
      </w:r>
      <w:r>
        <w:rPr>
          <w:rFonts w:eastAsia="Times New Roman"/>
          <w:lang w:val="sl-SI"/>
        </w:rPr>
        <w:t xml:space="preserve">koncentracijo adalimumaba v serumu približno 7 do 8 μg/ml v 2. tednu in v 4. tednu. </w:t>
      </w:r>
      <w:r w:rsidR="00F95D6D">
        <w:rPr>
          <w:lang w:val="sl-SI"/>
        </w:rPr>
        <w:t>Najmanjša</w:t>
      </w:r>
      <w:r w:rsidR="00F95D6D" w:rsidRPr="0046564D">
        <w:rPr>
          <w:lang w:val="sl-SI"/>
        </w:rPr>
        <w:t xml:space="preserve"> </w:t>
      </w:r>
      <w:r>
        <w:rPr>
          <w:rFonts w:eastAsia="Times New Roman"/>
          <w:lang w:val="sl-SI"/>
        </w:rPr>
        <w:t>koncentracija v stanju dinamičnega ravnovesja je bila približno 8 do 10 μg/ml med 12. tednom in 36. tednom pri zdravljenju z odmerkom 40 mg adalimumaba vsak teden.</w:t>
      </w:r>
    </w:p>
    <w:p w14:paraId="150D9E30" w14:textId="77777777" w:rsidR="00E04C8A" w:rsidRDefault="00E04C8A">
      <w:pPr>
        <w:spacing w:before="13" w:line="240" w:lineRule="exact"/>
        <w:rPr>
          <w:sz w:val="24"/>
          <w:szCs w:val="24"/>
          <w:lang w:val="sl-SI"/>
        </w:rPr>
      </w:pPr>
    </w:p>
    <w:p w14:paraId="467A6297" w14:textId="77777777" w:rsidR="00E04C8A" w:rsidRDefault="008E1817">
      <w:pPr>
        <w:pStyle w:val="a3"/>
        <w:rPr>
          <w:lang w:val="sl-SI"/>
        </w:rPr>
      </w:pPr>
      <w:r>
        <w:rPr>
          <w:rFonts w:eastAsia="Times New Roman"/>
          <w:lang w:val="sl-SI"/>
        </w:rPr>
        <w:t>Izpostavljenost adalimumabu pri mladostnikih s HS je bila napovedana z uporabo populacijskega farmakokinetičnega modeliranja in simulacije, ki temelji na farmakokinetiki indikacij pri drugih pediatričnih bolnikih (psoriaza pri pediatričnih bolnikih, juvenilni idiopatski artritis, Crohnova bolezen pri pediatričnih bolnikih in artritis, povezan z entezitisom). Priporočena shema odmerjanja pri mladostnikih s HS je 40 mg vsak drugi teden. Ker lahko velikost telesa vpliva na izpostavljenost adalimumabu, lahko mladostnikom z večjo telesno maso in nezadostnim odzivom na zdravljenje koristi jemanje priporočenega odmerka za odrasle, 40 mg vsak teden.</w:t>
      </w:r>
    </w:p>
    <w:p w14:paraId="60251BD0" w14:textId="77777777" w:rsidR="00E04C8A" w:rsidRDefault="00E04C8A">
      <w:pPr>
        <w:spacing w:before="13" w:line="240" w:lineRule="exact"/>
        <w:rPr>
          <w:sz w:val="24"/>
          <w:szCs w:val="24"/>
          <w:lang w:val="sl-SI"/>
        </w:rPr>
      </w:pPr>
    </w:p>
    <w:p w14:paraId="0AA8D60E" w14:textId="6C603243" w:rsidR="00E04C8A" w:rsidRDefault="008E1817">
      <w:pPr>
        <w:pStyle w:val="a3"/>
        <w:rPr>
          <w:lang w:val="sl-SI"/>
        </w:rPr>
      </w:pPr>
      <w:r>
        <w:rPr>
          <w:rFonts w:eastAsia="Times New Roman"/>
          <w:lang w:val="sl-SI"/>
        </w:rPr>
        <w:t>Pri bolnikih s Crohnovo boleznijo doseže polnilni odmerek 80 mg adalimumaba na 0. teden, ki mu sledi 40 mg adalimumaba 2. teden, med obdobjem indukcije najmanjšo koncentracijo v serumu približno 5,5 </w:t>
      </w:r>
      <w:r>
        <w:rPr>
          <w:rFonts w:ascii="Symbol" w:eastAsia="Symbol" w:hAnsi="Symbol" w:cs="Symbol"/>
          <w:lang w:val="sl-SI"/>
        </w:rPr>
        <w:sym w:font="Symbol" w:char="F06D"/>
      </w:r>
      <w:r>
        <w:rPr>
          <w:rFonts w:eastAsia="Times New Roman"/>
          <w:lang w:val="sl-SI"/>
        </w:rPr>
        <w:t>g/ml. Polnilni odmerek 160 mg adalimumaba na 0. teden, ki mu sledi 80 mg adalimumaba 2. teden, doseže med obdobjem indukcije najmanjšo koncentracijo v serumu približno 12 </w:t>
      </w:r>
      <w:r>
        <w:rPr>
          <w:rFonts w:ascii="Symbol" w:eastAsia="Symbol" w:hAnsi="Symbol" w:cs="Symbol"/>
          <w:lang w:val="sl-SI"/>
        </w:rPr>
        <w:sym w:font="Symbol" w:char="F06D"/>
      </w:r>
      <w:r>
        <w:rPr>
          <w:rFonts w:eastAsia="Times New Roman"/>
          <w:lang w:val="sl-SI"/>
        </w:rPr>
        <w:t xml:space="preserve">g/ml. Pri bolnikih s Crohnovo boleznijo, ki so dobivali vzdrževalni odmerek 40 mg adalimumaba vsak drugi teden, so ugotovili </w:t>
      </w:r>
      <w:r w:rsidR="00F95D6D">
        <w:rPr>
          <w:lang w:val="sl-SI"/>
        </w:rPr>
        <w:t>najmanjšo</w:t>
      </w:r>
      <w:r w:rsidR="00F95D6D" w:rsidRPr="0046564D">
        <w:rPr>
          <w:lang w:val="sl-SI"/>
        </w:rPr>
        <w:t xml:space="preserve"> </w:t>
      </w:r>
      <w:r>
        <w:rPr>
          <w:rFonts w:eastAsia="Times New Roman"/>
          <w:lang w:val="sl-SI"/>
        </w:rPr>
        <w:t>koncentracijo v stanju dinamičnega ravnovesja približno 7 </w:t>
      </w:r>
      <w:r>
        <w:rPr>
          <w:rFonts w:ascii="Symbol" w:eastAsia="Symbol" w:hAnsi="Symbol" w:cs="Symbol"/>
          <w:lang w:val="sl-SI"/>
        </w:rPr>
        <w:sym w:font="Symbol" w:char="F06D"/>
      </w:r>
      <w:r>
        <w:rPr>
          <w:rFonts w:eastAsia="Times New Roman"/>
          <w:lang w:val="sl-SI"/>
        </w:rPr>
        <w:t>g/ml.</w:t>
      </w:r>
    </w:p>
    <w:p w14:paraId="0A288240" w14:textId="77777777" w:rsidR="00E04C8A" w:rsidRDefault="00E04C8A">
      <w:pPr>
        <w:spacing w:before="11" w:line="240" w:lineRule="exact"/>
        <w:rPr>
          <w:sz w:val="24"/>
          <w:szCs w:val="24"/>
          <w:lang w:val="sl-SI"/>
        </w:rPr>
      </w:pPr>
    </w:p>
    <w:p w14:paraId="4F197657" w14:textId="77777777" w:rsidR="00E04C8A" w:rsidRDefault="008E1817">
      <w:pPr>
        <w:pStyle w:val="a3"/>
        <w:rPr>
          <w:lang w:val="sl-SI"/>
        </w:rPr>
      </w:pPr>
      <w:r>
        <w:rPr>
          <w:rFonts w:eastAsia="Times New Roman"/>
          <w:lang w:val="sl-SI"/>
        </w:rPr>
        <w:t>Pediatrični bolniki z zmerno do hudo Crohnovo boleznijo so odvisno od njihove telesne mase (več ali manj od 40 kg) dobivali odprt začetni odmerek adalimumaba 160/80 mg v 0. tednu in 80/40 mg v 2. tednu. V 4. tednu so bili bolniki randomizirani 1 : 1 bodisi v skupino s standardnim vzdrževalnim odmerkom (40/20 mg vsak drugi teden) ali v skupino z majhnim vzdrževalnim odmerkom (20/10 mg vsak drugi teden), odvisno od njihove telesne mase. Povprečne (± SD) serumske koncentracije adalimumaba, dosežene v 4. tednu, so bile 15,7 ± 6,6 </w:t>
      </w:r>
      <w:r>
        <w:rPr>
          <w:rFonts w:ascii="Symbol" w:eastAsia="Symbol" w:hAnsi="Symbol" w:cs="Symbol"/>
          <w:lang w:val="sl-SI"/>
        </w:rPr>
        <w:sym w:font="Symbol" w:char="F06D"/>
      </w:r>
      <w:r>
        <w:rPr>
          <w:rFonts w:eastAsia="Times New Roman"/>
          <w:lang w:val="sl-SI"/>
        </w:rPr>
        <w:t>g/ml pri bolnikih ≥ 40 kg (160/80 mg) in 10,6 ± 6,1 </w:t>
      </w:r>
      <w:r>
        <w:rPr>
          <w:rFonts w:ascii="Symbol" w:eastAsia="Symbol" w:hAnsi="Symbol" w:cs="Symbol"/>
          <w:lang w:val="sl-SI"/>
        </w:rPr>
        <w:sym w:font="Symbol" w:char="F06D"/>
      </w:r>
      <w:r>
        <w:rPr>
          <w:rFonts w:eastAsia="Times New Roman"/>
          <w:lang w:val="sl-SI"/>
        </w:rPr>
        <w:t>g/ml pri bolnikih &lt; 40 kg (80/40 mg).</w:t>
      </w:r>
    </w:p>
    <w:p w14:paraId="1EDDBE13" w14:textId="77777777" w:rsidR="00E04C8A" w:rsidRDefault="00E04C8A">
      <w:pPr>
        <w:spacing w:before="7" w:line="240" w:lineRule="exact"/>
        <w:rPr>
          <w:sz w:val="24"/>
          <w:szCs w:val="24"/>
          <w:lang w:val="sl-SI"/>
        </w:rPr>
      </w:pPr>
    </w:p>
    <w:p w14:paraId="3BD1A9E8" w14:textId="77777777" w:rsidR="00E04C8A" w:rsidRDefault="008E1817">
      <w:pPr>
        <w:pStyle w:val="a3"/>
        <w:rPr>
          <w:lang w:val="sl-SI"/>
        </w:rPr>
      </w:pPr>
      <w:r>
        <w:rPr>
          <w:rFonts w:eastAsia="Times New Roman"/>
          <w:lang w:val="sl-SI"/>
        </w:rPr>
        <w:t>Pri bolnikih, ki so ostali na svoji randomizirani terapiji, so bile povprečne najmanjše koncentracije adalimumaba v 52. tednu 9,5 ± 5,6 </w:t>
      </w:r>
      <w:r>
        <w:rPr>
          <w:rFonts w:ascii="Symbol" w:eastAsia="Symbol" w:hAnsi="Symbol" w:cs="Symbol"/>
          <w:lang w:val="sl-SI"/>
        </w:rPr>
        <w:sym w:font="Symbol" w:char="F06D"/>
      </w:r>
      <w:r>
        <w:rPr>
          <w:rFonts w:eastAsia="Times New Roman"/>
          <w:lang w:val="sl-SI"/>
        </w:rPr>
        <w:t>g/ml v skupini s standardnim odmerkom in 3,5 ± 2,2 </w:t>
      </w:r>
      <w:r>
        <w:rPr>
          <w:rFonts w:ascii="Symbol" w:eastAsia="Symbol" w:hAnsi="Symbol" w:cs="Symbol"/>
          <w:lang w:val="sl-SI"/>
        </w:rPr>
        <w:sym w:font="Symbol" w:char="F06D"/>
      </w:r>
      <w:r>
        <w:rPr>
          <w:rFonts w:eastAsia="Times New Roman"/>
          <w:lang w:val="sl-SI"/>
        </w:rPr>
        <w:t>g/ml v skupini z majhnim odmerkom. Povprečne najmanjše koncentracije so se pri bolnikih, ki so 52 tednov še naprej prejemali zdravljenje z adalimumabom vsak drugi teden, ohranile. Pri bolnikih, ki so prešli iz režima vsak drugi teden na režim vsak teden, so bile povprečne (± SD) serumske koncentracije adalimumaba v 52. tednu 15,3 ± 11,4 μg/ml (40/20 mg, tedensko) in 6,7 ± 3,5 μg/ml (20/10 mg, tedensko).</w:t>
      </w:r>
    </w:p>
    <w:p w14:paraId="756FFC4D" w14:textId="77777777" w:rsidR="00E04C8A" w:rsidRDefault="00E04C8A">
      <w:pPr>
        <w:spacing w:before="11" w:line="240" w:lineRule="exact"/>
        <w:rPr>
          <w:sz w:val="24"/>
          <w:szCs w:val="24"/>
          <w:lang w:val="sl-SI"/>
        </w:rPr>
      </w:pPr>
    </w:p>
    <w:p w14:paraId="642EF9B3" w14:textId="78A61945" w:rsidR="00E04C8A" w:rsidRDefault="008E1817">
      <w:pPr>
        <w:pStyle w:val="a3"/>
        <w:rPr>
          <w:rFonts w:eastAsia="Times New Roman"/>
          <w:lang w:val="sl-SI"/>
        </w:rPr>
      </w:pPr>
      <w:r>
        <w:rPr>
          <w:rFonts w:eastAsia="Times New Roman"/>
          <w:lang w:val="sl-SI"/>
        </w:rPr>
        <w:t>Pri bolnikih z ulceroznim kolitisom doseže polnilni odmerek 160 mg adalimumaba v 0. tednu, ki mu sledi 80 mg adalimumaba 2. teden, med obdobjem indukcije najmanjšo koncentracijo v serumu približno 12 </w:t>
      </w:r>
      <w:r>
        <w:rPr>
          <w:rFonts w:ascii="Symbol" w:eastAsia="Symbol" w:hAnsi="Symbol" w:cs="Symbol"/>
          <w:lang w:val="sl-SI"/>
        </w:rPr>
        <w:sym w:font="Symbol" w:char="F06D"/>
      </w:r>
      <w:r>
        <w:rPr>
          <w:rFonts w:eastAsia="Times New Roman"/>
          <w:lang w:val="sl-SI"/>
        </w:rPr>
        <w:t>g/ml. Pri bolnikih z ulceroznim kolitisom, ki so dobivali vzdrževalni odmerek 40 mg adalimumaba vsak drugi teden, so ugotovili povprečno najmanjšo koncentracijo v stanju dinamičnega ravnovesja približno 8 </w:t>
      </w:r>
      <w:r>
        <w:rPr>
          <w:rFonts w:ascii="Symbol" w:eastAsia="Symbol" w:hAnsi="Symbol" w:cs="Symbol"/>
          <w:lang w:val="sl-SI"/>
        </w:rPr>
        <w:sym w:font="Symbol" w:char="F06D"/>
      </w:r>
      <w:r>
        <w:rPr>
          <w:rFonts w:eastAsia="Times New Roman"/>
          <w:lang w:val="sl-SI"/>
        </w:rPr>
        <w:t>g/ml.</w:t>
      </w:r>
    </w:p>
    <w:p w14:paraId="17245378" w14:textId="77777777" w:rsidR="00F95D6D" w:rsidRDefault="00F95D6D">
      <w:pPr>
        <w:pStyle w:val="a3"/>
        <w:rPr>
          <w:lang w:val="sl-SI"/>
        </w:rPr>
      </w:pPr>
    </w:p>
    <w:p w14:paraId="5938CBE9" w14:textId="77777777" w:rsidR="00F95D6D" w:rsidRPr="00797234" w:rsidRDefault="00F95D6D" w:rsidP="00F95D6D">
      <w:pPr>
        <w:rPr>
          <w:rFonts w:ascii="Times New Roman" w:hAnsi="Times New Roman" w:cs="Times New Roman"/>
          <w:lang w:val="sl-SI"/>
        </w:rPr>
      </w:pPr>
      <w:r w:rsidRPr="00797234">
        <w:rPr>
          <w:rFonts w:ascii="Times New Roman" w:hAnsi="Times New Roman" w:cs="Times New Roman"/>
          <w:lang w:val="sl-SI"/>
        </w:rPr>
        <w:t>Potem ko so pediatričnim bolnikom z ulceroznim kolitisom subkutano aplicirali odmerek na osnovi telesne mase, in sicer 0,6 mg/kg (največ 40 mg) vsak drugi teden, je bila povprečna najmanjša koncentracija adalimumaba v serumu v stanju dinamičnega ravnovesja v 52. tednu 5,01 ± 3,28 µg/ml. Pri bolnikih, ki so prejemali 0,6 mg/kg (največ 40 mg) vsak teden, je bila povprečna (±SD) najmanjša koncentracija adalimumaba v serumu v stanju dinamičnega ravnovesja v 52. tednu 15,7 ± 5,60 μg/ml.</w:t>
      </w:r>
    </w:p>
    <w:p w14:paraId="792E3F3C" w14:textId="77777777" w:rsidR="00E04C8A" w:rsidRPr="00F95D6D" w:rsidRDefault="00E04C8A">
      <w:pPr>
        <w:spacing w:before="14" w:line="240" w:lineRule="exact"/>
        <w:rPr>
          <w:sz w:val="24"/>
          <w:szCs w:val="24"/>
          <w:lang w:val="sl-SI"/>
        </w:rPr>
      </w:pPr>
    </w:p>
    <w:p w14:paraId="7E3CE09F" w14:textId="77777777" w:rsidR="00E04C8A" w:rsidRDefault="008E1817">
      <w:pPr>
        <w:pStyle w:val="a3"/>
        <w:rPr>
          <w:lang w:val="sl-SI"/>
        </w:rPr>
      </w:pPr>
      <w:r>
        <w:rPr>
          <w:rFonts w:eastAsia="Times New Roman"/>
          <w:spacing w:val="-2"/>
          <w:lang w:val="sl-SI"/>
        </w:rPr>
        <w:t>Pri odraslih bolnikih z uveitisom je polnilni odmerek 80 mg adalimumaba v 0. tednu, ki mu je sledil odmerek 40 mg adalimumaba vsak drugi teden z začetkom v 1. tednu, povzročil povprečno koncentracijo v stanju dinamičnega ravnovesja približno 8 do 10 </w:t>
      </w:r>
      <w:r>
        <w:rPr>
          <w:rFonts w:ascii="Symbol" w:eastAsia="Symbol" w:hAnsi="Symbol" w:cs="Symbol"/>
          <w:spacing w:val="-2"/>
          <w:lang w:val="sl-SI"/>
        </w:rPr>
        <w:sym w:font="Symbol" w:char="F06D"/>
      </w:r>
      <w:r>
        <w:rPr>
          <w:rFonts w:eastAsia="Times New Roman"/>
          <w:spacing w:val="-2"/>
          <w:lang w:val="sl-SI"/>
        </w:rPr>
        <w:t>g/ml.</w:t>
      </w:r>
    </w:p>
    <w:p w14:paraId="00822F79" w14:textId="77777777" w:rsidR="00E04C8A" w:rsidRDefault="00E04C8A">
      <w:pPr>
        <w:spacing w:before="13" w:line="240" w:lineRule="exact"/>
        <w:rPr>
          <w:sz w:val="24"/>
          <w:szCs w:val="24"/>
          <w:lang w:val="sl-SI"/>
        </w:rPr>
      </w:pPr>
    </w:p>
    <w:p w14:paraId="1D63E43D" w14:textId="77777777" w:rsidR="00E04C8A" w:rsidRDefault="008E1817">
      <w:pPr>
        <w:pStyle w:val="a3"/>
        <w:rPr>
          <w:lang w:val="sl-SI"/>
        </w:rPr>
      </w:pPr>
      <w:r>
        <w:rPr>
          <w:rFonts w:eastAsia="Times New Roman"/>
          <w:lang w:val="sl-SI"/>
        </w:rPr>
        <w:t>Izpostavljenost adalimumabu pri pediatričnih bolnikih z uveitisom je bila napovedana z uporabo populacijskega farmakokinetičnega modeliranja in simulacije, ki temelji na farmakokinetiki indikacij pri drugih pediatričnih bolnikih (psoriaza pri pediatričnih bolnikih, juvenilni idiopatski artritis, Crohnova bolezen pri pediatričnih bolnikih in artritis, povezan z entezitisom). Klinični podatki o izpostavljenosti pri uporabi polnilnega odmerka pri otrocih, mlajših od 6 let, niso na voljo. Napovedane izpostavljenosti nakazujejo, da lahko polnilni odmerek v odsotnosti metotreksata povzroči začetno povečanje sistemske izpostavljenosti.</w:t>
      </w:r>
    </w:p>
    <w:p w14:paraId="1C37C33E" w14:textId="77777777" w:rsidR="00E04C8A" w:rsidRDefault="00E04C8A">
      <w:pPr>
        <w:spacing w:before="13" w:line="240" w:lineRule="exact"/>
        <w:rPr>
          <w:sz w:val="24"/>
          <w:szCs w:val="24"/>
          <w:lang w:val="sl-SI"/>
        </w:rPr>
      </w:pPr>
    </w:p>
    <w:p w14:paraId="2249E0A7" w14:textId="568E0E32" w:rsidR="00E04C8A" w:rsidRDefault="008E1817">
      <w:pPr>
        <w:pStyle w:val="a3"/>
        <w:rPr>
          <w:lang w:val="sl-SI"/>
        </w:rPr>
      </w:pPr>
      <w:r>
        <w:rPr>
          <w:rFonts w:eastAsia="Times New Roman"/>
          <w:lang w:val="sl-SI"/>
        </w:rPr>
        <w:t>Populacijsko farmakokinetično in farmakokinetično/farmakodinamično modeliranje in simulacija so za adalimumab napovedali primerljivo izpostavljenost in učinkovitost pri bolnikih, zdravljenih z 80 mg vsak drugi teden v primerjavi s 40 mg vsak teden (vključno z odraslimi bolniki z RA, HS, UC, CD ali Ps, mladostniki s HS in pediatričnimi bolniki ≥ 40 kg s CD</w:t>
      </w:r>
      <w:r w:rsidR="00F95D6D">
        <w:rPr>
          <w:lang w:val="sl-SI"/>
        </w:rPr>
        <w:t xml:space="preserve"> in UC</w:t>
      </w:r>
      <w:r>
        <w:rPr>
          <w:rFonts w:eastAsia="Times New Roman"/>
          <w:lang w:val="sl-SI"/>
        </w:rPr>
        <w:t>).</w:t>
      </w:r>
    </w:p>
    <w:p w14:paraId="073C2E91" w14:textId="77777777" w:rsidR="00E04C8A" w:rsidRDefault="00E04C8A">
      <w:pPr>
        <w:spacing w:before="13" w:line="240" w:lineRule="exact"/>
        <w:rPr>
          <w:sz w:val="24"/>
          <w:szCs w:val="24"/>
          <w:lang w:val="sl-SI"/>
        </w:rPr>
      </w:pPr>
    </w:p>
    <w:p w14:paraId="2AD31BE0" w14:textId="77777777" w:rsidR="00E04C8A" w:rsidRDefault="008E1817">
      <w:pPr>
        <w:pStyle w:val="a3"/>
        <w:rPr>
          <w:u w:val="single"/>
          <w:lang w:val="sl-SI"/>
        </w:rPr>
      </w:pPr>
      <w:r>
        <w:rPr>
          <w:rFonts w:eastAsia="Times New Roman"/>
          <w:u w:val="single" w:color="000000"/>
          <w:lang w:val="sl-SI"/>
        </w:rPr>
        <w:t>Razmerje med izpostavljenostjo in odzivom pri pediatrični populaciji</w:t>
      </w:r>
    </w:p>
    <w:p w14:paraId="7FE11C20" w14:textId="77777777" w:rsidR="00E04C8A" w:rsidRDefault="00E04C8A">
      <w:pPr>
        <w:pStyle w:val="a3"/>
        <w:rPr>
          <w:lang w:val="sl-SI"/>
        </w:rPr>
      </w:pPr>
    </w:p>
    <w:p w14:paraId="7A010593" w14:textId="77777777" w:rsidR="00E04C8A" w:rsidRDefault="008E1817">
      <w:pPr>
        <w:pStyle w:val="a3"/>
        <w:rPr>
          <w:lang w:val="sl-SI"/>
        </w:rPr>
      </w:pPr>
      <w:r>
        <w:rPr>
          <w:rFonts w:eastAsia="Times New Roman"/>
          <w:lang w:val="sl-SI"/>
        </w:rPr>
        <w:t>Na podlagi podatkov iz kliničnih preskušanj pri bolnikih z juvenilnim idiopatskim artritisom (JIA) (poliartikularnim idiopatskim artritisom (pJIA) in z artritisom, povezanim z entezitisom (ERA)) je bilo dokazano razmerje med izpostavljenostjo in odzivom med plazemskimi koncentracijami in PedACR (PedACR - American College of Rheumatology pediatric) odzivom. Navidezna koncentracija adalimumaba v plazmi, ki doseže polovico največje verjetnosti Ped ACR 50 odziva (EC50) je bila 3 μg/ml (95-% IZ: 1–6 μg/ml).</w:t>
      </w:r>
    </w:p>
    <w:p w14:paraId="143FCA12" w14:textId="77777777" w:rsidR="00E04C8A" w:rsidRDefault="00E04C8A">
      <w:pPr>
        <w:spacing w:before="13" w:line="240" w:lineRule="exact"/>
        <w:rPr>
          <w:sz w:val="24"/>
          <w:szCs w:val="24"/>
          <w:lang w:val="sl-SI"/>
        </w:rPr>
      </w:pPr>
    </w:p>
    <w:p w14:paraId="6E37DD24" w14:textId="77777777" w:rsidR="00E04C8A" w:rsidRDefault="008E1817">
      <w:pPr>
        <w:pStyle w:val="a3"/>
        <w:rPr>
          <w:lang w:val="sl-SI"/>
        </w:rPr>
      </w:pPr>
      <w:r>
        <w:rPr>
          <w:rFonts w:eastAsia="Times New Roman"/>
          <w:lang w:val="sl-SI"/>
        </w:rPr>
        <w:t>Razmerji med izpostavljenostjo in odzivom med koncentracijo adalimumaba in učinkovitostjo pri pediatričnih bolnikih s hudo kronično psoriazo v plakih sta bili za PASI 75 (PASI – Psoriasis Area and Severity Index) in za PGA (PGA – Physician's Global Assessment) čisto ali minimalno. PASI 75 in PGA čisto ali minimalno, sta se povečevali z zvečanjem koncentracije adalimumaba, obe s podobno navidezno EC50, za približno 4,5 μg/ml (95-% IZ 0,4–47,6 in 1,9–10,5).</w:t>
      </w:r>
    </w:p>
    <w:p w14:paraId="702BAEA7" w14:textId="77777777" w:rsidR="00E04C8A" w:rsidRDefault="00E04C8A">
      <w:pPr>
        <w:spacing w:before="13" w:line="240" w:lineRule="exact"/>
        <w:rPr>
          <w:sz w:val="24"/>
          <w:szCs w:val="24"/>
          <w:lang w:val="sl-SI"/>
        </w:rPr>
      </w:pPr>
    </w:p>
    <w:p w14:paraId="56D8312E" w14:textId="77777777" w:rsidR="00E04C8A" w:rsidRDefault="008E1817">
      <w:pPr>
        <w:pStyle w:val="a3"/>
        <w:rPr>
          <w:u w:val="single"/>
          <w:lang w:val="sl-SI"/>
        </w:rPr>
      </w:pPr>
      <w:r>
        <w:rPr>
          <w:rFonts w:eastAsia="Times New Roman"/>
          <w:u w:val="single" w:color="000000"/>
          <w:lang w:val="sl-SI"/>
        </w:rPr>
        <w:t>Izločanje</w:t>
      </w:r>
    </w:p>
    <w:p w14:paraId="3EE39CEF" w14:textId="77777777" w:rsidR="00E04C8A" w:rsidRDefault="00E04C8A">
      <w:pPr>
        <w:spacing w:before="1" w:line="180" w:lineRule="exact"/>
        <w:rPr>
          <w:sz w:val="18"/>
          <w:szCs w:val="18"/>
          <w:lang w:val="sl-SI"/>
        </w:rPr>
      </w:pPr>
    </w:p>
    <w:p w14:paraId="3D0853E4" w14:textId="41752329" w:rsidR="00E04C8A" w:rsidRDefault="008E1817">
      <w:pPr>
        <w:pStyle w:val="a3"/>
        <w:rPr>
          <w:lang w:val="sl-SI"/>
        </w:rPr>
      </w:pPr>
      <w:r>
        <w:rPr>
          <w:rFonts w:eastAsia="Times New Roman"/>
          <w:lang w:val="sl-SI"/>
        </w:rPr>
        <w:t>Analize populacijske farmakokinetike s podatki za več kot 1300 bolnikov z revmatoidnim artritisom so pokazale trend k večjemu navideznemu očistku adalimumaba z večanjem telesne mase. Po korekciji za razlike v teži se je izkazalo, da spol in starost po vsem sodeč minimalno vplivata na očistek adalimumaba. Ugotovljeno je bilo, da so koncentracije prostega adalimumaba (tistega, ki ni vezan na protitelesa proti adalimumabu) v serumu manjše pri bolnikih, ki imajo merljivo raven protiteles proti adalimumabu.</w:t>
      </w:r>
    </w:p>
    <w:p w14:paraId="03872E38" w14:textId="77777777" w:rsidR="00E04C8A" w:rsidRDefault="00E04C8A">
      <w:pPr>
        <w:spacing w:before="13" w:line="240" w:lineRule="exact"/>
        <w:rPr>
          <w:sz w:val="24"/>
          <w:szCs w:val="24"/>
          <w:lang w:val="sl-SI"/>
        </w:rPr>
      </w:pPr>
    </w:p>
    <w:p w14:paraId="7404CC65" w14:textId="77777777" w:rsidR="00E04C8A" w:rsidRDefault="008E1817">
      <w:pPr>
        <w:pStyle w:val="a3"/>
        <w:rPr>
          <w:u w:val="single"/>
          <w:lang w:val="sl-SI"/>
        </w:rPr>
      </w:pPr>
      <w:r>
        <w:rPr>
          <w:rFonts w:eastAsia="Times New Roman"/>
          <w:u w:val="single" w:color="000000"/>
          <w:lang w:val="sl-SI"/>
        </w:rPr>
        <w:t>Okvara jeter ali ledvic</w:t>
      </w:r>
    </w:p>
    <w:p w14:paraId="7722256A" w14:textId="77777777" w:rsidR="00E04C8A" w:rsidRDefault="00E04C8A">
      <w:pPr>
        <w:spacing w:before="1" w:line="180" w:lineRule="exact"/>
        <w:rPr>
          <w:sz w:val="18"/>
          <w:szCs w:val="18"/>
          <w:lang w:val="sl-SI"/>
        </w:rPr>
      </w:pPr>
    </w:p>
    <w:p w14:paraId="740254E8" w14:textId="77777777" w:rsidR="00E04C8A" w:rsidRDefault="008E1817">
      <w:pPr>
        <w:pStyle w:val="a3"/>
        <w:rPr>
          <w:lang w:val="sl-SI"/>
        </w:rPr>
      </w:pPr>
      <w:r>
        <w:rPr>
          <w:rFonts w:eastAsia="Times New Roman"/>
          <w:lang w:val="sl-SI"/>
        </w:rPr>
        <w:lastRenderedPageBreak/>
        <w:t>Adalimumaba niso proučili pri bolnikih z okvaro jeter ali ledvic.</w:t>
      </w:r>
    </w:p>
    <w:p w14:paraId="18803CCC" w14:textId="77777777" w:rsidR="00E04C8A" w:rsidRDefault="00E04C8A">
      <w:pPr>
        <w:spacing w:before="18" w:line="240" w:lineRule="exact"/>
        <w:rPr>
          <w:sz w:val="24"/>
          <w:szCs w:val="24"/>
          <w:lang w:val="sl-SI"/>
        </w:rPr>
      </w:pPr>
    </w:p>
    <w:p w14:paraId="0AA922F9" w14:textId="77777777" w:rsidR="00E04C8A" w:rsidRDefault="008E1817">
      <w:pPr>
        <w:widowControl/>
        <w:numPr>
          <w:ilvl w:val="1"/>
          <w:numId w:val="30"/>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Predklinični podatki o varnosti</w:t>
      </w:r>
    </w:p>
    <w:p w14:paraId="15AF5B2A" w14:textId="77777777" w:rsidR="00E04C8A" w:rsidRDefault="00E04C8A">
      <w:pPr>
        <w:spacing w:before="6" w:line="240" w:lineRule="exact"/>
        <w:rPr>
          <w:sz w:val="24"/>
          <w:szCs w:val="24"/>
          <w:lang w:val="sl-SI"/>
        </w:rPr>
      </w:pPr>
    </w:p>
    <w:p w14:paraId="03491049" w14:textId="77777777" w:rsidR="00E04C8A" w:rsidRDefault="008E1817">
      <w:pPr>
        <w:pStyle w:val="a3"/>
        <w:rPr>
          <w:lang w:val="sl-SI"/>
        </w:rPr>
      </w:pPr>
      <w:r>
        <w:rPr>
          <w:rFonts w:eastAsia="Times New Roman"/>
          <w:lang w:val="sl-SI"/>
        </w:rPr>
        <w:t>Predklinični podatki na osnovi študij toksičnosti posameznih odmerkov, toksičnosti pri ponavljajočih se odmerkih in genotoksičnosti ne kažejo posebnega tveganja za človeka.</w:t>
      </w:r>
    </w:p>
    <w:p w14:paraId="25027293" w14:textId="77777777" w:rsidR="00E04C8A" w:rsidRDefault="00E04C8A">
      <w:pPr>
        <w:spacing w:before="12" w:line="240" w:lineRule="exact"/>
        <w:rPr>
          <w:sz w:val="24"/>
          <w:szCs w:val="24"/>
          <w:lang w:val="sl-SI"/>
        </w:rPr>
      </w:pPr>
    </w:p>
    <w:p w14:paraId="69F231C4" w14:textId="3D8D563F" w:rsidR="00E04C8A" w:rsidRDefault="008E1817">
      <w:pPr>
        <w:pStyle w:val="a3"/>
        <w:rPr>
          <w:lang w:val="sl-SI"/>
        </w:rPr>
      </w:pPr>
      <w:r>
        <w:rPr>
          <w:rFonts w:eastAsia="Times New Roman"/>
          <w:lang w:val="sl-SI"/>
        </w:rPr>
        <w:t>Raziskava embrio-fetalne razvojne toksičnosti/perinatalnega razvoja je bila narejena pri opicah Cynomolgus z odmerki 0, 30 in 100 mg/kg (od 9 do 17 opic na skupino) in ni pokazala znakov okvare plodov zaradi adalimumaba. Z adalimumabom niso bile narejene niti raziskave kancerogenosti, niti standardne ocene plodnosti ter poporodne toksičnosti, in sicer zato, ker ni ustreznih modelov za protitelo z omejeno navzkrižno reaktivnostjo z glodalskim TNF, in zaradi nastanka nevtralizirajočih protiteles pri glodalcih.</w:t>
      </w:r>
    </w:p>
    <w:p w14:paraId="0B6C1E2C" w14:textId="77777777" w:rsidR="00E04C8A" w:rsidRDefault="00E04C8A">
      <w:pPr>
        <w:rPr>
          <w:rFonts w:ascii="Times New Roman" w:eastAsia="Times New Roman" w:hAnsi="Times New Roman"/>
          <w:lang w:val="sl-SI"/>
        </w:rPr>
      </w:pPr>
    </w:p>
    <w:p w14:paraId="4DCE3C06" w14:textId="77777777" w:rsidR="00E04C8A" w:rsidRDefault="00E04C8A">
      <w:pPr>
        <w:rPr>
          <w:rFonts w:ascii="Times New Roman" w:eastAsia="Times New Roman" w:hAnsi="Times New Roman"/>
          <w:lang w:val="sl-SI"/>
        </w:rPr>
      </w:pPr>
    </w:p>
    <w:p w14:paraId="7BE19B4D" w14:textId="77777777" w:rsidR="00E04C8A" w:rsidRDefault="008E1817">
      <w:pPr>
        <w:widowControl/>
        <w:numPr>
          <w:ilvl w:val="0"/>
          <w:numId w:val="26"/>
        </w:numPr>
        <w:tabs>
          <w:tab w:val="left" w:pos="567"/>
        </w:tabs>
        <w:spacing w:line="260" w:lineRule="exact"/>
        <w:ind w:left="0"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FARMACEVTSKI PODATKI</w:t>
      </w:r>
    </w:p>
    <w:p w14:paraId="190FD31C" w14:textId="77777777" w:rsidR="00E04C8A" w:rsidRDefault="00E04C8A">
      <w:pPr>
        <w:spacing w:before="13" w:line="240" w:lineRule="exact"/>
        <w:rPr>
          <w:sz w:val="24"/>
          <w:szCs w:val="24"/>
          <w:lang w:val="sl-SI"/>
        </w:rPr>
      </w:pPr>
    </w:p>
    <w:p w14:paraId="0F228FA6" w14:textId="77777777" w:rsidR="00E04C8A" w:rsidRDefault="008E1817">
      <w:pPr>
        <w:widowControl/>
        <w:numPr>
          <w:ilvl w:val="1"/>
          <w:numId w:val="31"/>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Seznam pomožnih snovi</w:t>
      </w:r>
    </w:p>
    <w:p w14:paraId="3BED88CE" w14:textId="77777777" w:rsidR="00E04C8A" w:rsidRDefault="00E04C8A">
      <w:pPr>
        <w:spacing w:line="240" w:lineRule="exact"/>
        <w:rPr>
          <w:sz w:val="24"/>
          <w:szCs w:val="24"/>
          <w:lang w:val="sl-SI"/>
        </w:rPr>
      </w:pPr>
    </w:p>
    <w:p w14:paraId="22A614D7" w14:textId="77777777" w:rsidR="00E04C8A" w:rsidRDefault="008E1817">
      <w:pPr>
        <w:pStyle w:val="a3"/>
        <w:rPr>
          <w:lang w:val="sl-SI"/>
        </w:rPr>
      </w:pPr>
      <w:r>
        <w:rPr>
          <w:rFonts w:eastAsia="Times New Roman"/>
          <w:lang w:val="sl-SI"/>
        </w:rPr>
        <w:t>ocetna kislina</w:t>
      </w:r>
    </w:p>
    <w:p w14:paraId="587A32F4" w14:textId="77777777" w:rsidR="00E04C8A" w:rsidRDefault="008E1817">
      <w:pPr>
        <w:pStyle w:val="a3"/>
        <w:rPr>
          <w:lang w:val="sl-SI"/>
        </w:rPr>
      </w:pPr>
      <w:r>
        <w:rPr>
          <w:rFonts w:eastAsia="Times New Roman"/>
          <w:lang w:val="sl-SI"/>
        </w:rPr>
        <w:t>natrijev acetat trihidrat</w:t>
      </w:r>
    </w:p>
    <w:p w14:paraId="630192FB" w14:textId="77777777" w:rsidR="00E04C8A" w:rsidRDefault="008E1817">
      <w:pPr>
        <w:pStyle w:val="a3"/>
        <w:rPr>
          <w:lang w:val="sl-SI"/>
        </w:rPr>
      </w:pPr>
      <w:r>
        <w:rPr>
          <w:rFonts w:eastAsia="Times New Roman"/>
          <w:lang w:val="sl-SI"/>
        </w:rPr>
        <w:t>glicin</w:t>
      </w:r>
    </w:p>
    <w:p w14:paraId="4E7086F1" w14:textId="77777777" w:rsidR="00E04C8A" w:rsidRDefault="008E1817">
      <w:pPr>
        <w:pStyle w:val="a3"/>
        <w:rPr>
          <w:lang w:val="sl-SI"/>
        </w:rPr>
      </w:pPr>
      <w:r>
        <w:rPr>
          <w:rFonts w:eastAsia="Times New Roman"/>
          <w:lang w:val="sl-SI"/>
        </w:rPr>
        <w:t>polisorbat 80</w:t>
      </w:r>
    </w:p>
    <w:p w14:paraId="4DF5AAA2" w14:textId="77777777" w:rsidR="00E04C8A" w:rsidRDefault="008E1817">
      <w:pPr>
        <w:pStyle w:val="a3"/>
        <w:rPr>
          <w:lang w:val="sl-SI"/>
        </w:rPr>
      </w:pPr>
      <w:r>
        <w:rPr>
          <w:rFonts w:eastAsia="Times New Roman"/>
          <w:lang w:val="sl-SI"/>
        </w:rPr>
        <w:t>voda za injekcije</w:t>
      </w:r>
    </w:p>
    <w:p w14:paraId="649FF5F2" w14:textId="77777777" w:rsidR="00E04C8A" w:rsidRDefault="00E04C8A">
      <w:pPr>
        <w:spacing w:line="240" w:lineRule="exact"/>
        <w:rPr>
          <w:sz w:val="24"/>
          <w:szCs w:val="24"/>
          <w:lang w:val="sl-SI"/>
        </w:rPr>
      </w:pPr>
    </w:p>
    <w:p w14:paraId="67AB30BC" w14:textId="77777777" w:rsidR="00E04C8A" w:rsidRDefault="008E1817">
      <w:pPr>
        <w:widowControl/>
        <w:numPr>
          <w:ilvl w:val="1"/>
          <w:numId w:val="31"/>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Inkompatibilnosti</w:t>
      </w:r>
    </w:p>
    <w:p w14:paraId="2D7984C0" w14:textId="77777777" w:rsidR="00E04C8A" w:rsidRDefault="00E04C8A">
      <w:pPr>
        <w:spacing w:line="240" w:lineRule="exact"/>
        <w:rPr>
          <w:sz w:val="24"/>
          <w:szCs w:val="24"/>
          <w:lang w:val="sl-SI"/>
        </w:rPr>
      </w:pPr>
    </w:p>
    <w:p w14:paraId="29E6752B" w14:textId="77777777" w:rsidR="00E04C8A" w:rsidRDefault="008E1817">
      <w:pPr>
        <w:pStyle w:val="a3"/>
        <w:rPr>
          <w:lang w:val="sl-SI"/>
        </w:rPr>
      </w:pPr>
      <w:r>
        <w:rPr>
          <w:rFonts w:eastAsia="Times New Roman"/>
          <w:lang w:val="sl-SI"/>
        </w:rPr>
        <w:t>V primeru pomanjkanja študij kompatibilnosti zdravila ne smemo mešati z drugimi zdravili.</w:t>
      </w:r>
    </w:p>
    <w:p w14:paraId="0929CE0A" w14:textId="77777777" w:rsidR="00E04C8A" w:rsidRDefault="00E04C8A">
      <w:pPr>
        <w:spacing w:line="240" w:lineRule="exact"/>
        <w:rPr>
          <w:sz w:val="24"/>
          <w:szCs w:val="24"/>
          <w:lang w:val="sl-SI"/>
        </w:rPr>
      </w:pPr>
    </w:p>
    <w:p w14:paraId="23D1F9D3" w14:textId="77777777" w:rsidR="00E04C8A" w:rsidRDefault="008E1817">
      <w:pPr>
        <w:widowControl/>
        <w:numPr>
          <w:ilvl w:val="1"/>
          <w:numId w:val="31"/>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Rok uporabnosti</w:t>
      </w:r>
    </w:p>
    <w:p w14:paraId="4969E33A" w14:textId="77777777" w:rsidR="00E04C8A" w:rsidRDefault="00E04C8A">
      <w:pPr>
        <w:spacing w:line="240" w:lineRule="exact"/>
        <w:rPr>
          <w:sz w:val="24"/>
          <w:szCs w:val="24"/>
          <w:lang w:val="sl-SI"/>
        </w:rPr>
      </w:pPr>
    </w:p>
    <w:p w14:paraId="7E3EFE29" w14:textId="5C8F79D3" w:rsidR="00E04C8A" w:rsidRDefault="0030421B">
      <w:pPr>
        <w:pStyle w:val="a3"/>
        <w:rPr>
          <w:lang w:val="sl-SI"/>
        </w:rPr>
      </w:pPr>
      <w:r>
        <w:rPr>
          <w:rFonts w:eastAsia="Times New Roman"/>
          <w:lang w:val="sl-SI"/>
        </w:rPr>
        <w:t>3</w:t>
      </w:r>
      <w:r w:rsidR="008E1817">
        <w:rPr>
          <w:rFonts w:eastAsia="Times New Roman"/>
          <w:lang w:val="sl-SI"/>
        </w:rPr>
        <w:t> leti</w:t>
      </w:r>
    </w:p>
    <w:p w14:paraId="51A95FC8" w14:textId="77777777" w:rsidR="00E04C8A" w:rsidRDefault="00E04C8A">
      <w:pPr>
        <w:spacing w:line="240" w:lineRule="exact"/>
        <w:rPr>
          <w:sz w:val="24"/>
          <w:szCs w:val="24"/>
          <w:lang w:val="sl-SI"/>
        </w:rPr>
      </w:pPr>
    </w:p>
    <w:p w14:paraId="69CC6348" w14:textId="77777777" w:rsidR="00E04C8A" w:rsidRDefault="008E1817">
      <w:pPr>
        <w:widowControl/>
        <w:numPr>
          <w:ilvl w:val="1"/>
          <w:numId w:val="31"/>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Posebna navodila za shranjevanje</w:t>
      </w:r>
    </w:p>
    <w:p w14:paraId="6109A303" w14:textId="77777777" w:rsidR="00E04C8A" w:rsidRDefault="00E04C8A">
      <w:pPr>
        <w:spacing w:line="260" w:lineRule="exact"/>
        <w:rPr>
          <w:sz w:val="26"/>
          <w:szCs w:val="26"/>
          <w:lang w:val="sl-SI"/>
        </w:rPr>
      </w:pPr>
    </w:p>
    <w:p w14:paraId="49BF8C78" w14:textId="77777777" w:rsidR="00E04C8A" w:rsidRDefault="008E1817">
      <w:pPr>
        <w:pStyle w:val="a3"/>
        <w:rPr>
          <w:lang w:val="sl-SI"/>
        </w:rPr>
      </w:pPr>
      <w:r>
        <w:rPr>
          <w:rFonts w:eastAsia="Times New Roman"/>
          <w:lang w:val="sl-SI"/>
        </w:rPr>
        <w:t>Shranjujte v hladilniku (2 </w:t>
      </w:r>
      <w:r>
        <w:rPr>
          <w:rFonts w:ascii="Symbol" w:eastAsia="Symbol" w:hAnsi="Symbol" w:cs="Symbol"/>
          <w:lang w:val="sl-SI"/>
        </w:rPr>
        <w:sym w:font="Symbol" w:char="F0B0"/>
      </w:r>
      <w:r>
        <w:rPr>
          <w:rFonts w:eastAsia="Times New Roman"/>
          <w:lang w:val="sl-SI"/>
        </w:rPr>
        <w:t>C do 8 </w:t>
      </w:r>
      <w:r>
        <w:rPr>
          <w:rFonts w:ascii="Symbol" w:eastAsia="Symbol" w:hAnsi="Symbol" w:cs="Symbol"/>
          <w:lang w:val="sl-SI"/>
        </w:rPr>
        <w:sym w:font="Symbol" w:char="F0B0"/>
      </w:r>
      <w:r>
        <w:rPr>
          <w:rFonts w:eastAsia="Times New Roman"/>
          <w:lang w:val="sl-SI"/>
        </w:rPr>
        <w:t xml:space="preserve">C). Ne zamrzujte. </w:t>
      </w:r>
    </w:p>
    <w:p w14:paraId="547CC464" w14:textId="77777777" w:rsidR="00E04C8A" w:rsidRDefault="008E1817">
      <w:pPr>
        <w:pStyle w:val="a3"/>
        <w:rPr>
          <w:lang w:val="sl-SI"/>
        </w:rPr>
      </w:pPr>
      <w:r>
        <w:rPr>
          <w:rFonts w:eastAsia="Times New Roman"/>
          <w:lang w:val="sl-SI"/>
        </w:rPr>
        <w:t>Napolnjeno injekcijsko brizgo ali napolnjen injekcijski peresnik shranjujte v zunanji ovojnini za zagotovitev zaščite pred svetlobo.</w:t>
      </w:r>
    </w:p>
    <w:p w14:paraId="51870047" w14:textId="77777777" w:rsidR="00E04C8A" w:rsidRDefault="00E04C8A">
      <w:pPr>
        <w:spacing w:line="240" w:lineRule="exact"/>
        <w:rPr>
          <w:sz w:val="24"/>
          <w:szCs w:val="24"/>
          <w:lang w:val="sl-SI"/>
        </w:rPr>
      </w:pPr>
    </w:p>
    <w:p w14:paraId="4322765D" w14:textId="67E2AF3E" w:rsidR="00E04C8A" w:rsidRDefault="008E1817">
      <w:pPr>
        <w:pStyle w:val="a3"/>
        <w:rPr>
          <w:lang w:val="sl-SI"/>
        </w:rPr>
      </w:pPr>
      <w:r>
        <w:rPr>
          <w:rFonts w:eastAsia="Times New Roman"/>
          <w:lang w:val="sl-SI"/>
        </w:rPr>
        <w:t xml:space="preserve">Posamezno napolnjena injekcijska brizga ali napolnjen injekcijski peresnik zdravila Yuflyma se lahko shranjuje pri temperaturi največ do 25 °C za obdobje do </w:t>
      </w:r>
      <w:r w:rsidR="005D729C">
        <w:rPr>
          <w:rFonts w:eastAsia="Times New Roman"/>
          <w:lang w:val="sl-SI"/>
        </w:rPr>
        <w:t>31 </w:t>
      </w:r>
      <w:r>
        <w:rPr>
          <w:rFonts w:eastAsia="Times New Roman"/>
          <w:lang w:val="sl-SI"/>
        </w:rPr>
        <w:t xml:space="preserve">dni. Napolnjena injekcijska brizga ali napolnjen injekcijski peresnik morata biti zaščitena pred svetlobo. Če se ne uporabita v </w:t>
      </w:r>
      <w:r w:rsidR="005D729C">
        <w:rPr>
          <w:rFonts w:eastAsia="Times New Roman"/>
          <w:lang w:val="sl-SI"/>
        </w:rPr>
        <w:t>31 </w:t>
      </w:r>
      <w:r>
        <w:rPr>
          <w:rFonts w:eastAsia="Times New Roman"/>
          <w:lang w:val="sl-SI"/>
        </w:rPr>
        <w:t>dneh, ju je treba zavreči.</w:t>
      </w:r>
    </w:p>
    <w:p w14:paraId="1C23AE12" w14:textId="77777777" w:rsidR="00E04C8A" w:rsidRDefault="00E04C8A">
      <w:pPr>
        <w:spacing w:line="240" w:lineRule="exact"/>
        <w:rPr>
          <w:sz w:val="24"/>
          <w:szCs w:val="24"/>
          <w:lang w:val="sl-SI"/>
        </w:rPr>
      </w:pPr>
    </w:p>
    <w:p w14:paraId="1FD9ABAD" w14:textId="77777777" w:rsidR="00E04C8A" w:rsidRDefault="008E1817">
      <w:pPr>
        <w:widowControl/>
        <w:numPr>
          <w:ilvl w:val="1"/>
          <w:numId w:val="31"/>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Vrsta ovojnine in vsebina</w:t>
      </w:r>
    </w:p>
    <w:p w14:paraId="7C9BDC18" w14:textId="77777777" w:rsidR="00E04C8A" w:rsidRDefault="00E04C8A">
      <w:pPr>
        <w:pStyle w:val="a4"/>
        <w:spacing w:line="240" w:lineRule="exact"/>
        <w:rPr>
          <w:sz w:val="24"/>
          <w:szCs w:val="24"/>
          <w:lang w:val="sl-SI"/>
        </w:rPr>
      </w:pPr>
    </w:p>
    <w:p w14:paraId="0257732B" w14:textId="77777777" w:rsidR="00E04C8A" w:rsidRDefault="008E1817">
      <w:pPr>
        <w:pStyle w:val="a3"/>
        <w:rPr>
          <w:u w:val="single"/>
          <w:lang w:val="sl-SI"/>
        </w:rPr>
      </w:pPr>
      <w:r>
        <w:rPr>
          <w:rFonts w:eastAsia="Times New Roman"/>
          <w:u w:val="single"/>
          <w:lang w:val="sl-SI"/>
        </w:rPr>
        <w:t>Zdravilo Yuflyma 40 mg raztopina za injiciranje v napolnjeni injekcijski brizgi</w:t>
      </w:r>
    </w:p>
    <w:p w14:paraId="6FE9E234" w14:textId="77777777" w:rsidR="00E04C8A" w:rsidRDefault="00E04C8A">
      <w:pPr>
        <w:pStyle w:val="a3"/>
        <w:rPr>
          <w:u w:val="single"/>
          <w:lang w:val="sl-SI"/>
        </w:rPr>
      </w:pPr>
    </w:p>
    <w:p w14:paraId="7A97DDD3" w14:textId="69A6468F" w:rsidR="00E04C8A" w:rsidRDefault="008E1817">
      <w:pPr>
        <w:pStyle w:val="a3"/>
        <w:rPr>
          <w:lang w:val="sl-SI"/>
        </w:rPr>
      </w:pPr>
      <w:r>
        <w:rPr>
          <w:rFonts w:eastAsia="Times New Roman"/>
          <w:lang w:val="sl-SI"/>
        </w:rPr>
        <w:t xml:space="preserve">Raztopina za injiciranje v napolnjeni injekcijski brizgi (steklo tipa I) z batnim zamaškom (bromobutilna guma) in iglo </w:t>
      </w:r>
      <w:r w:rsidR="00E07158">
        <w:rPr>
          <w:rFonts w:eastAsia="Times New Roman"/>
          <w:lang w:val="sl-SI"/>
        </w:rPr>
        <w:t>s ščitnikom za iglo</w:t>
      </w:r>
      <w:r>
        <w:rPr>
          <w:rFonts w:eastAsia="Times New Roman"/>
          <w:lang w:val="sl-SI"/>
        </w:rPr>
        <w:t xml:space="preserve"> (termoplastični elastomer).</w:t>
      </w:r>
    </w:p>
    <w:p w14:paraId="2F25DF04" w14:textId="77777777" w:rsidR="00E04C8A" w:rsidRDefault="00E04C8A">
      <w:pPr>
        <w:spacing w:line="240" w:lineRule="exact"/>
        <w:rPr>
          <w:sz w:val="24"/>
          <w:szCs w:val="24"/>
          <w:lang w:val="sl-SI"/>
        </w:rPr>
      </w:pPr>
    </w:p>
    <w:p w14:paraId="5AE95D91" w14:textId="77777777" w:rsidR="00E04C8A" w:rsidRDefault="008E1817">
      <w:pPr>
        <w:pStyle w:val="a3"/>
        <w:rPr>
          <w:lang w:val="sl-SI"/>
        </w:rPr>
      </w:pPr>
      <w:r>
        <w:rPr>
          <w:rFonts w:eastAsia="Times New Roman"/>
          <w:lang w:val="sl-SI"/>
        </w:rPr>
        <w:t>Pakiranja:</w:t>
      </w:r>
    </w:p>
    <w:p w14:paraId="45B75798" w14:textId="4A1BD0CD" w:rsidR="00E04C8A" w:rsidRPr="00337BB0" w:rsidRDefault="008E1817">
      <w:pPr>
        <w:pStyle w:val="a3"/>
        <w:numPr>
          <w:ilvl w:val="0"/>
          <w:numId w:val="16"/>
        </w:numPr>
        <w:ind w:left="660" w:hanging="660"/>
        <w:rPr>
          <w:lang w:val="sl-SI"/>
        </w:rPr>
      </w:pPr>
      <w:r>
        <w:rPr>
          <w:rFonts w:eastAsia="Times New Roman"/>
          <w:lang w:val="sl-SI"/>
        </w:rPr>
        <w:t xml:space="preserve">1 napolnjena injekcijska brizga (0,4 ml sterilne raztopine) </w:t>
      </w:r>
      <w:r w:rsidRPr="00337BB0">
        <w:rPr>
          <w:rFonts w:eastAsia="Times New Roman"/>
          <w:lang w:val="sl-SI"/>
        </w:rPr>
        <w:t xml:space="preserve">z 2 </w:t>
      </w:r>
      <w:r w:rsidR="00E07158" w:rsidRPr="00337BB0">
        <w:rPr>
          <w:rFonts w:eastAsia="Times New Roman"/>
          <w:lang w:val="sl-SI"/>
        </w:rPr>
        <w:t>alkoh</w:t>
      </w:r>
      <w:r w:rsidR="006D20D1" w:rsidRPr="00337BB0">
        <w:rPr>
          <w:rFonts w:eastAsia="Times New Roman"/>
          <w:lang w:val="sl-SI"/>
        </w:rPr>
        <w:t>nim</w:t>
      </w:r>
      <w:r w:rsidR="00E07158" w:rsidRPr="00337BB0">
        <w:rPr>
          <w:rFonts w:eastAsia="Times New Roman"/>
          <w:lang w:val="sl-SI"/>
        </w:rPr>
        <w:t>a zloženc</w:t>
      </w:r>
      <w:r w:rsidR="006D20D1" w:rsidRPr="00337BB0">
        <w:rPr>
          <w:rFonts w:eastAsia="Times New Roman"/>
          <w:lang w:val="sl-SI"/>
        </w:rPr>
        <w:t>em</w:t>
      </w:r>
      <w:r w:rsidR="00E07158" w:rsidRPr="00337BB0">
        <w:rPr>
          <w:rFonts w:eastAsia="Times New Roman"/>
          <w:lang w:val="sl-SI"/>
        </w:rPr>
        <w:t>a</w:t>
      </w:r>
      <w:r w:rsidRPr="00337BB0">
        <w:rPr>
          <w:rFonts w:eastAsia="Times New Roman"/>
          <w:lang w:val="sl-SI"/>
        </w:rPr>
        <w:t>.</w:t>
      </w:r>
    </w:p>
    <w:p w14:paraId="25A84CD8" w14:textId="28261713" w:rsidR="00E04C8A" w:rsidRPr="00337BB0" w:rsidRDefault="008E1817">
      <w:pPr>
        <w:pStyle w:val="a3"/>
        <w:numPr>
          <w:ilvl w:val="0"/>
          <w:numId w:val="16"/>
        </w:numPr>
        <w:ind w:left="660" w:hanging="660"/>
        <w:rPr>
          <w:lang w:val="sl-SI"/>
        </w:rPr>
      </w:pPr>
      <w:r w:rsidRPr="00337BB0">
        <w:rPr>
          <w:rFonts w:eastAsia="Times New Roman"/>
          <w:lang w:val="sl-SI"/>
        </w:rPr>
        <w:t xml:space="preserve">2 napolnjeni injekcijski brizgi (0,4 ml sterilne raztopine), vsaka z 1 </w:t>
      </w:r>
      <w:r w:rsidR="00E07158" w:rsidRPr="00337BB0">
        <w:rPr>
          <w:rFonts w:eastAsia="Times New Roman"/>
          <w:lang w:val="sl-SI"/>
        </w:rPr>
        <w:t>alkoholn</w:t>
      </w:r>
      <w:r w:rsidR="006D20D1" w:rsidRPr="00337BB0">
        <w:rPr>
          <w:rFonts w:eastAsia="Times New Roman"/>
          <w:lang w:val="sl-SI"/>
        </w:rPr>
        <w:t>im</w:t>
      </w:r>
      <w:r w:rsidR="00E07158" w:rsidRPr="00337BB0">
        <w:rPr>
          <w:rFonts w:eastAsia="Times New Roman"/>
          <w:lang w:val="sl-SI"/>
        </w:rPr>
        <w:t xml:space="preserve"> zloženc</w:t>
      </w:r>
      <w:r w:rsidR="006D20D1" w:rsidRPr="00337BB0">
        <w:rPr>
          <w:rFonts w:eastAsia="Times New Roman"/>
          <w:lang w:val="sl-SI"/>
        </w:rPr>
        <w:t>em</w:t>
      </w:r>
      <w:r w:rsidRPr="00337BB0">
        <w:rPr>
          <w:rFonts w:eastAsia="Times New Roman"/>
          <w:lang w:val="sl-SI"/>
        </w:rPr>
        <w:t>.</w:t>
      </w:r>
    </w:p>
    <w:p w14:paraId="4498C027" w14:textId="0F888217" w:rsidR="00E04C8A" w:rsidRPr="00337BB0" w:rsidRDefault="008E1817">
      <w:pPr>
        <w:pStyle w:val="a3"/>
        <w:numPr>
          <w:ilvl w:val="0"/>
          <w:numId w:val="16"/>
        </w:numPr>
        <w:ind w:left="660" w:hanging="660"/>
        <w:rPr>
          <w:lang w:val="sl-SI"/>
        </w:rPr>
      </w:pPr>
      <w:r w:rsidRPr="00337BB0">
        <w:rPr>
          <w:rFonts w:eastAsia="Times New Roman"/>
          <w:lang w:val="sl-SI"/>
        </w:rPr>
        <w:t xml:space="preserve">4 napolnjene injekcijske brizge (0,4 ml sterilne raztopine), vsaka z 1 </w:t>
      </w:r>
      <w:r w:rsidR="00E07158" w:rsidRPr="00337BB0">
        <w:rPr>
          <w:rFonts w:eastAsia="Times New Roman"/>
          <w:lang w:val="sl-SI"/>
        </w:rPr>
        <w:t>alkoholn</w:t>
      </w:r>
      <w:r w:rsidR="006D20D1" w:rsidRPr="00337BB0">
        <w:rPr>
          <w:rFonts w:eastAsia="Times New Roman"/>
          <w:lang w:val="sl-SI"/>
        </w:rPr>
        <w:t>im</w:t>
      </w:r>
      <w:r w:rsidR="00E07158" w:rsidRPr="00337BB0">
        <w:rPr>
          <w:rFonts w:eastAsia="Times New Roman"/>
          <w:lang w:val="sl-SI"/>
        </w:rPr>
        <w:t xml:space="preserve"> zloženc</w:t>
      </w:r>
      <w:r w:rsidR="006D20D1" w:rsidRPr="00337BB0">
        <w:rPr>
          <w:rFonts w:eastAsia="Times New Roman"/>
          <w:lang w:val="sl-SI"/>
        </w:rPr>
        <w:t>em</w:t>
      </w:r>
      <w:r w:rsidRPr="00337BB0">
        <w:rPr>
          <w:rFonts w:eastAsia="Times New Roman"/>
          <w:lang w:val="sl-SI"/>
        </w:rPr>
        <w:t>.</w:t>
      </w:r>
    </w:p>
    <w:p w14:paraId="33106F29" w14:textId="4F0650A9" w:rsidR="00E04C8A" w:rsidRPr="00337BB0" w:rsidRDefault="008E1817">
      <w:pPr>
        <w:pStyle w:val="a3"/>
        <w:numPr>
          <w:ilvl w:val="0"/>
          <w:numId w:val="16"/>
        </w:numPr>
        <w:ind w:left="660" w:hanging="660"/>
        <w:rPr>
          <w:lang w:val="sl-SI"/>
        </w:rPr>
      </w:pPr>
      <w:r w:rsidRPr="00337BB0">
        <w:rPr>
          <w:rFonts w:eastAsia="Times New Roman"/>
          <w:lang w:val="sl-SI"/>
        </w:rPr>
        <w:t xml:space="preserve">6 napolnjenih injekcijskih brizg (0,4 ml sterilne raztopine), vsaka z 1 </w:t>
      </w:r>
      <w:r w:rsidR="00E07158" w:rsidRPr="00337BB0">
        <w:rPr>
          <w:rFonts w:eastAsia="Times New Roman"/>
          <w:lang w:val="sl-SI"/>
        </w:rPr>
        <w:t>alkoholn</w:t>
      </w:r>
      <w:r w:rsidR="006D20D1" w:rsidRPr="00337BB0">
        <w:rPr>
          <w:rFonts w:eastAsia="Times New Roman"/>
          <w:lang w:val="sl-SI"/>
        </w:rPr>
        <w:t>im</w:t>
      </w:r>
      <w:r w:rsidR="00E07158" w:rsidRPr="00337BB0">
        <w:rPr>
          <w:rFonts w:eastAsia="Times New Roman"/>
          <w:lang w:val="sl-SI"/>
        </w:rPr>
        <w:t xml:space="preserve"> zloženc</w:t>
      </w:r>
      <w:r w:rsidR="006D20D1" w:rsidRPr="00337BB0">
        <w:rPr>
          <w:rFonts w:eastAsia="Times New Roman"/>
          <w:lang w:val="sl-SI"/>
        </w:rPr>
        <w:t>em</w:t>
      </w:r>
      <w:r w:rsidRPr="00337BB0">
        <w:rPr>
          <w:rFonts w:eastAsia="Times New Roman"/>
          <w:lang w:val="sl-SI"/>
        </w:rPr>
        <w:t>.</w:t>
      </w:r>
    </w:p>
    <w:p w14:paraId="18854D51" w14:textId="77777777" w:rsidR="00E04C8A" w:rsidRDefault="00E04C8A">
      <w:pPr>
        <w:spacing w:before="13" w:line="240" w:lineRule="exact"/>
        <w:rPr>
          <w:sz w:val="24"/>
          <w:szCs w:val="24"/>
          <w:lang w:val="sl-SI"/>
        </w:rPr>
      </w:pPr>
    </w:p>
    <w:p w14:paraId="4CF3D299" w14:textId="3945AEA3" w:rsidR="00E04C8A" w:rsidRPr="00337BB0" w:rsidRDefault="008E1817">
      <w:pPr>
        <w:pStyle w:val="a3"/>
        <w:rPr>
          <w:u w:val="single"/>
          <w:lang w:val="sl-SI"/>
        </w:rPr>
      </w:pPr>
      <w:r>
        <w:rPr>
          <w:rFonts w:eastAsia="Times New Roman"/>
          <w:u w:val="single"/>
          <w:lang w:val="sl-SI"/>
        </w:rPr>
        <w:t xml:space="preserve">Zdravilo Yuflyma 40 mg raztopina za </w:t>
      </w:r>
      <w:r w:rsidRPr="00337BB0">
        <w:rPr>
          <w:rFonts w:eastAsia="Times New Roman"/>
          <w:u w:val="single"/>
          <w:lang w:val="sl-SI"/>
        </w:rPr>
        <w:t xml:space="preserve">injiciranje v napolnjeni injekcijski brizgi </w:t>
      </w:r>
      <w:r w:rsidR="006D20D1" w:rsidRPr="00337BB0">
        <w:rPr>
          <w:rFonts w:eastAsia="Times New Roman"/>
          <w:u w:val="single"/>
          <w:lang w:val="sl-SI"/>
        </w:rPr>
        <w:t>s</w:t>
      </w:r>
      <w:r w:rsidR="00E07158" w:rsidRPr="00337BB0">
        <w:rPr>
          <w:rFonts w:eastAsia="Times New Roman"/>
          <w:u w:val="single"/>
          <w:lang w:val="sl-SI"/>
        </w:rPr>
        <w:t xml:space="preserve"> ščitnikom za iglo</w:t>
      </w:r>
    </w:p>
    <w:p w14:paraId="40E31DEF" w14:textId="77777777" w:rsidR="00E04C8A" w:rsidRPr="00337BB0" w:rsidRDefault="00E04C8A">
      <w:pPr>
        <w:pStyle w:val="a3"/>
        <w:rPr>
          <w:u w:val="single"/>
          <w:lang w:val="sl-SI"/>
        </w:rPr>
      </w:pPr>
    </w:p>
    <w:p w14:paraId="6400384F" w14:textId="6EC7D615" w:rsidR="00E04C8A" w:rsidRPr="00337BB0" w:rsidRDefault="008E1817">
      <w:pPr>
        <w:pStyle w:val="a3"/>
        <w:rPr>
          <w:lang w:val="sl-SI"/>
        </w:rPr>
      </w:pPr>
      <w:r w:rsidRPr="00337BB0">
        <w:rPr>
          <w:rFonts w:eastAsia="Times New Roman"/>
          <w:lang w:val="sl-SI"/>
        </w:rPr>
        <w:t xml:space="preserve">Brizga je izdelana iz stekla tipa I z batnim zamaškom (brombutilna guma) in igle </w:t>
      </w:r>
      <w:r w:rsidR="006D20D1" w:rsidRPr="00337BB0">
        <w:rPr>
          <w:rFonts w:eastAsia="Times New Roman"/>
          <w:lang w:val="sl-SI"/>
        </w:rPr>
        <w:t>s</w:t>
      </w:r>
      <w:r w:rsidR="00E07158" w:rsidRPr="00337BB0">
        <w:rPr>
          <w:rFonts w:eastAsia="Times New Roman"/>
          <w:lang w:val="sl-SI"/>
        </w:rPr>
        <w:t xml:space="preserve"> ščitnikom za iglo</w:t>
      </w:r>
      <w:r w:rsidRPr="00337BB0">
        <w:rPr>
          <w:rFonts w:eastAsia="Times New Roman"/>
          <w:lang w:val="sl-SI"/>
        </w:rPr>
        <w:t xml:space="preserve"> (termoplastični elastomer).</w:t>
      </w:r>
    </w:p>
    <w:p w14:paraId="777D0A69" w14:textId="77777777" w:rsidR="00E04C8A" w:rsidRPr="00337BB0" w:rsidRDefault="00E04C8A">
      <w:pPr>
        <w:spacing w:line="240" w:lineRule="exact"/>
        <w:rPr>
          <w:sz w:val="24"/>
          <w:szCs w:val="24"/>
          <w:lang w:val="sl-SI"/>
        </w:rPr>
      </w:pPr>
    </w:p>
    <w:p w14:paraId="13054493" w14:textId="77777777" w:rsidR="00E04C8A" w:rsidRPr="00337BB0" w:rsidRDefault="008E1817">
      <w:pPr>
        <w:pStyle w:val="a3"/>
        <w:rPr>
          <w:lang w:val="sl-SI"/>
        </w:rPr>
      </w:pPr>
      <w:r w:rsidRPr="00337BB0">
        <w:rPr>
          <w:rFonts w:eastAsia="Times New Roman"/>
          <w:lang w:val="sl-SI"/>
        </w:rPr>
        <w:t>Pakiranja:</w:t>
      </w:r>
    </w:p>
    <w:p w14:paraId="4C247A91" w14:textId="11256D16" w:rsidR="00E04C8A" w:rsidRPr="00337BB0" w:rsidRDefault="008E1817">
      <w:pPr>
        <w:pStyle w:val="a3"/>
        <w:numPr>
          <w:ilvl w:val="0"/>
          <w:numId w:val="16"/>
        </w:numPr>
        <w:ind w:left="660" w:hanging="660"/>
        <w:rPr>
          <w:lang w:val="sl-SI"/>
        </w:rPr>
      </w:pPr>
      <w:r w:rsidRPr="00337BB0">
        <w:rPr>
          <w:rFonts w:eastAsia="Times New Roman"/>
          <w:lang w:val="sl-SI"/>
        </w:rPr>
        <w:t xml:space="preserve">1 napolnjena injekcijska brizga </w:t>
      </w:r>
      <w:r w:rsidR="00E07158" w:rsidRPr="00337BB0">
        <w:rPr>
          <w:rFonts w:eastAsia="Times New Roman"/>
          <w:lang w:val="sl-SI"/>
        </w:rPr>
        <w:t>s ščitnikom za iglo</w:t>
      </w:r>
      <w:r w:rsidRPr="00337BB0">
        <w:rPr>
          <w:rFonts w:eastAsia="Times New Roman"/>
          <w:lang w:val="sl-SI"/>
        </w:rPr>
        <w:t xml:space="preserve"> (0,4 ml sterilne raztopine) z 2 </w:t>
      </w:r>
      <w:r w:rsidR="00E07158" w:rsidRPr="00337BB0">
        <w:rPr>
          <w:rFonts w:eastAsia="Times New Roman"/>
          <w:lang w:val="sl-SI"/>
        </w:rPr>
        <w:t>alkoholn</w:t>
      </w:r>
      <w:r w:rsidR="006D20D1" w:rsidRPr="00337BB0">
        <w:rPr>
          <w:rFonts w:eastAsia="Times New Roman"/>
          <w:lang w:val="sl-SI"/>
        </w:rPr>
        <w:t>im</w:t>
      </w:r>
      <w:r w:rsidR="00E07158" w:rsidRPr="00337BB0">
        <w:rPr>
          <w:rFonts w:eastAsia="Times New Roman"/>
          <w:lang w:val="sl-SI"/>
        </w:rPr>
        <w:t>a zloženc</w:t>
      </w:r>
      <w:r w:rsidR="006D20D1" w:rsidRPr="00337BB0">
        <w:rPr>
          <w:rFonts w:eastAsia="Times New Roman"/>
          <w:lang w:val="sl-SI"/>
        </w:rPr>
        <w:t>em</w:t>
      </w:r>
      <w:r w:rsidR="00E07158" w:rsidRPr="00337BB0">
        <w:rPr>
          <w:rFonts w:eastAsia="Times New Roman"/>
          <w:lang w:val="sl-SI"/>
        </w:rPr>
        <w:t>a</w:t>
      </w:r>
      <w:r w:rsidRPr="00337BB0">
        <w:rPr>
          <w:rFonts w:eastAsia="Times New Roman"/>
          <w:lang w:val="sl-SI"/>
        </w:rPr>
        <w:t>.</w:t>
      </w:r>
    </w:p>
    <w:p w14:paraId="2E7EEB3D" w14:textId="3E167D90" w:rsidR="00E04C8A" w:rsidRPr="00337BB0" w:rsidRDefault="008E1817">
      <w:pPr>
        <w:pStyle w:val="a3"/>
        <w:numPr>
          <w:ilvl w:val="0"/>
          <w:numId w:val="16"/>
        </w:numPr>
        <w:ind w:left="660" w:hanging="660"/>
        <w:rPr>
          <w:lang w:val="sl-SI"/>
        </w:rPr>
      </w:pPr>
      <w:r w:rsidRPr="00337BB0">
        <w:rPr>
          <w:rFonts w:eastAsia="Times New Roman"/>
          <w:lang w:val="sl-SI"/>
        </w:rPr>
        <w:t xml:space="preserve">2 napolnjeni injekcijski brizgi </w:t>
      </w:r>
      <w:r w:rsidR="00E07158" w:rsidRPr="00337BB0">
        <w:rPr>
          <w:rFonts w:eastAsia="Times New Roman"/>
          <w:lang w:val="sl-SI"/>
        </w:rPr>
        <w:t>s ščitnikom za iglo</w:t>
      </w:r>
      <w:r w:rsidRPr="00337BB0">
        <w:rPr>
          <w:rFonts w:eastAsia="Times New Roman"/>
          <w:lang w:val="sl-SI"/>
        </w:rPr>
        <w:t xml:space="preserve"> (0,4 ml sterilne raztopine), vsaka z 1 </w:t>
      </w:r>
      <w:r w:rsidR="00E07158" w:rsidRPr="00337BB0">
        <w:rPr>
          <w:rFonts w:eastAsia="Times New Roman"/>
          <w:lang w:val="sl-SI"/>
        </w:rPr>
        <w:t>alkoholn</w:t>
      </w:r>
      <w:r w:rsidR="006D20D1" w:rsidRPr="00337BB0">
        <w:rPr>
          <w:rFonts w:eastAsia="Times New Roman"/>
          <w:lang w:val="sl-SI"/>
        </w:rPr>
        <w:t>im</w:t>
      </w:r>
      <w:r w:rsidR="00E07158" w:rsidRPr="00337BB0">
        <w:rPr>
          <w:rFonts w:eastAsia="Times New Roman"/>
          <w:lang w:val="sl-SI"/>
        </w:rPr>
        <w:t xml:space="preserve"> zloženc</w:t>
      </w:r>
      <w:r w:rsidR="006D20D1" w:rsidRPr="00337BB0">
        <w:rPr>
          <w:rFonts w:eastAsia="Times New Roman"/>
          <w:lang w:val="sl-SI"/>
        </w:rPr>
        <w:t>em</w:t>
      </w:r>
      <w:r w:rsidRPr="00337BB0">
        <w:rPr>
          <w:rFonts w:eastAsia="Times New Roman"/>
          <w:lang w:val="sl-SI"/>
        </w:rPr>
        <w:t>.</w:t>
      </w:r>
    </w:p>
    <w:p w14:paraId="56133F7A" w14:textId="2FE82432" w:rsidR="00E04C8A" w:rsidRPr="00337BB0" w:rsidRDefault="008E1817">
      <w:pPr>
        <w:pStyle w:val="a3"/>
        <w:numPr>
          <w:ilvl w:val="0"/>
          <w:numId w:val="16"/>
        </w:numPr>
        <w:ind w:left="660" w:hanging="660"/>
        <w:rPr>
          <w:lang w:val="sl-SI"/>
        </w:rPr>
      </w:pPr>
      <w:r w:rsidRPr="00337BB0">
        <w:rPr>
          <w:rFonts w:eastAsia="Times New Roman"/>
          <w:lang w:val="sl-SI"/>
        </w:rPr>
        <w:t xml:space="preserve">4 napolnjene injekcijske brizge </w:t>
      </w:r>
      <w:r w:rsidR="00E07158" w:rsidRPr="00337BB0">
        <w:rPr>
          <w:rFonts w:eastAsia="Times New Roman"/>
          <w:lang w:val="sl-SI"/>
        </w:rPr>
        <w:t>s ščitnikom za iglo</w:t>
      </w:r>
      <w:r w:rsidRPr="00337BB0">
        <w:rPr>
          <w:rFonts w:eastAsia="Times New Roman"/>
          <w:lang w:val="sl-SI"/>
        </w:rPr>
        <w:t xml:space="preserve"> (0,4 ml sterilne raztopine), vsaka z 1 </w:t>
      </w:r>
      <w:r w:rsidR="00E07158" w:rsidRPr="00337BB0">
        <w:rPr>
          <w:rFonts w:eastAsia="Times New Roman"/>
          <w:lang w:val="sl-SI"/>
        </w:rPr>
        <w:t>alkoholn</w:t>
      </w:r>
      <w:r w:rsidR="006D20D1" w:rsidRPr="00337BB0">
        <w:rPr>
          <w:rFonts w:eastAsia="Times New Roman"/>
          <w:lang w:val="sl-SI"/>
        </w:rPr>
        <w:t>im</w:t>
      </w:r>
      <w:r w:rsidR="00E07158" w:rsidRPr="00337BB0">
        <w:rPr>
          <w:rFonts w:eastAsia="Times New Roman"/>
          <w:lang w:val="sl-SI"/>
        </w:rPr>
        <w:t xml:space="preserve"> zloženc</w:t>
      </w:r>
      <w:r w:rsidR="006D20D1" w:rsidRPr="00337BB0">
        <w:rPr>
          <w:rFonts w:eastAsia="Times New Roman"/>
          <w:lang w:val="sl-SI"/>
        </w:rPr>
        <w:t>em</w:t>
      </w:r>
      <w:r w:rsidRPr="00337BB0">
        <w:rPr>
          <w:rFonts w:eastAsia="Times New Roman"/>
          <w:lang w:val="sl-SI"/>
        </w:rPr>
        <w:t>.</w:t>
      </w:r>
    </w:p>
    <w:p w14:paraId="3B770DA0" w14:textId="0C3123DD" w:rsidR="00E04C8A" w:rsidRPr="00FA6851" w:rsidRDefault="008E1817">
      <w:pPr>
        <w:pStyle w:val="a3"/>
        <w:numPr>
          <w:ilvl w:val="0"/>
          <w:numId w:val="16"/>
        </w:numPr>
        <w:ind w:left="660" w:hanging="660"/>
        <w:rPr>
          <w:lang w:val="sl-SI"/>
        </w:rPr>
      </w:pPr>
      <w:r w:rsidRPr="00337BB0">
        <w:rPr>
          <w:rFonts w:eastAsia="Times New Roman"/>
          <w:lang w:val="sl-SI"/>
        </w:rPr>
        <w:t xml:space="preserve">6 napolnjenih injekcijskih brizg </w:t>
      </w:r>
      <w:r w:rsidR="00E07158" w:rsidRPr="00337BB0">
        <w:rPr>
          <w:rFonts w:eastAsia="Times New Roman"/>
          <w:lang w:val="sl-SI"/>
        </w:rPr>
        <w:t>s ščitnikom za iglo</w:t>
      </w:r>
      <w:r w:rsidRPr="00337BB0">
        <w:rPr>
          <w:rFonts w:eastAsia="Times New Roman"/>
          <w:lang w:val="sl-SI"/>
        </w:rPr>
        <w:t xml:space="preserve"> (0,4 ml sterilne raztopine), vsaka z 1 </w:t>
      </w:r>
      <w:r w:rsidR="00E07158" w:rsidRPr="00337BB0">
        <w:rPr>
          <w:rFonts w:eastAsia="Times New Roman"/>
          <w:lang w:val="sl-SI"/>
        </w:rPr>
        <w:t>alkoholn</w:t>
      </w:r>
      <w:r w:rsidR="006D20D1" w:rsidRPr="00337BB0">
        <w:rPr>
          <w:rFonts w:eastAsia="Times New Roman"/>
          <w:lang w:val="sl-SI"/>
        </w:rPr>
        <w:t>im</w:t>
      </w:r>
      <w:r w:rsidR="00E07158" w:rsidRPr="00337BB0">
        <w:rPr>
          <w:rFonts w:eastAsia="Times New Roman"/>
          <w:lang w:val="sl-SI"/>
        </w:rPr>
        <w:t xml:space="preserve"> zloženc</w:t>
      </w:r>
      <w:r w:rsidR="006D20D1" w:rsidRPr="00337BB0">
        <w:rPr>
          <w:rFonts w:eastAsia="Times New Roman"/>
          <w:lang w:val="sl-SI"/>
        </w:rPr>
        <w:t>em</w:t>
      </w:r>
      <w:r w:rsidRPr="00337BB0">
        <w:rPr>
          <w:rFonts w:eastAsia="Times New Roman"/>
          <w:lang w:val="sl-SI"/>
        </w:rPr>
        <w:t>.</w:t>
      </w:r>
    </w:p>
    <w:p w14:paraId="54399A38" w14:textId="77777777" w:rsidR="001452D7" w:rsidRPr="00337BB0" w:rsidRDefault="001452D7" w:rsidP="00FA6851">
      <w:pPr>
        <w:pStyle w:val="a3"/>
        <w:numPr>
          <w:ilvl w:val="0"/>
          <w:numId w:val="0"/>
        </w:numPr>
        <w:rPr>
          <w:lang w:val="sl-SI"/>
        </w:rPr>
      </w:pPr>
    </w:p>
    <w:p w14:paraId="38C29CB6" w14:textId="77777777" w:rsidR="00E04C8A" w:rsidRDefault="008E1817">
      <w:pPr>
        <w:pStyle w:val="a3"/>
        <w:rPr>
          <w:u w:val="single"/>
          <w:lang w:val="sl-SI"/>
        </w:rPr>
      </w:pPr>
      <w:r>
        <w:rPr>
          <w:rFonts w:eastAsia="Times New Roman"/>
          <w:u w:val="single"/>
          <w:lang w:val="sl-SI"/>
        </w:rPr>
        <w:t>Zdravilo Yuflyma 40 mg raztopina za injiciranje v napolnjenem injekcijskem peresniku</w:t>
      </w:r>
    </w:p>
    <w:p w14:paraId="1D02C451" w14:textId="77777777" w:rsidR="00E04C8A" w:rsidRDefault="00E04C8A">
      <w:pPr>
        <w:pStyle w:val="a3"/>
        <w:rPr>
          <w:u w:val="single"/>
          <w:lang w:val="sl-SI"/>
        </w:rPr>
      </w:pPr>
    </w:p>
    <w:p w14:paraId="0E3214DF" w14:textId="31C4B152" w:rsidR="00E04C8A" w:rsidRDefault="008E1817">
      <w:pPr>
        <w:pStyle w:val="a3"/>
        <w:rPr>
          <w:lang w:val="sl-SI"/>
        </w:rPr>
      </w:pPr>
      <w:r>
        <w:rPr>
          <w:rFonts w:eastAsia="Times New Roman"/>
          <w:lang w:val="sl-SI"/>
        </w:rPr>
        <w:t xml:space="preserve">Raztopina za injiciranje v napolnjenem injekcijskem peresniku za uporabo pri bolniku, ki vsebuje napolnjeno injekcijsko brizgo. Brizga v peresniku je izdelana iz stekla tipa I z batnim zamaškom (iz brombutilne gume) in igle </w:t>
      </w:r>
      <w:r w:rsidR="00E07158">
        <w:rPr>
          <w:rFonts w:eastAsia="Times New Roman"/>
          <w:lang w:val="sl-SI"/>
        </w:rPr>
        <w:t>s ščitnikom za iglo</w:t>
      </w:r>
      <w:r>
        <w:rPr>
          <w:rFonts w:eastAsia="Times New Roman"/>
          <w:lang w:val="sl-SI"/>
        </w:rPr>
        <w:t xml:space="preserve"> (termoplastični elastomer).</w:t>
      </w:r>
    </w:p>
    <w:p w14:paraId="32576064" w14:textId="77777777" w:rsidR="00E04C8A" w:rsidRDefault="00E04C8A">
      <w:pPr>
        <w:spacing w:line="240" w:lineRule="exact"/>
        <w:rPr>
          <w:sz w:val="24"/>
          <w:szCs w:val="24"/>
          <w:lang w:val="sl-SI"/>
        </w:rPr>
      </w:pPr>
    </w:p>
    <w:p w14:paraId="5D19AAB4" w14:textId="77777777" w:rsidR="00E04C8A" w:rsidRDefault="008E1817">
      <w:pPr>
        <w:pStyle w:val="a3"/>
        <w:rPr>
          <w:lang w:val="sl-SI"/>
        </w:rPr>
      </w:pPr>
      <w:r>
        <w:rPr>
          <w:rFonts w:eastAsia="Times New Roman"/>
          <w:lang w:val="sl-SI"/>
        </w:rPr>
        <w:t>Pakiranja:</w:t>
      </w:r>
    </w:p>
    <w:p w14:paraId="3CB69515" w14:textId="61D367B6" w:rsidR="00E04C8A" w:rsidRPr="00D14272" w:rsidRDefault="008E1817">
      <w:pPr>
        <w:pStyle w:val="a3"/>
        <w:numPr>
          <w:ilvl w:val="1"/>
          <w:numId w:val="16"/>
        </w:numPr>
        <w:ind w:left="660" w:hanging="660"/>
        <w:rPr>
          <w:lang w:val="sl-SI"/>
        </w:rPr>
      </w:pPr>
      <w:r>
        <w:rPr>
          <w:rFonts w:eastAsia="Times New Roman"/>
          <w:lang w:val="sl-SI"/>
        </w:rPr>
        <w:t xml:space="preserve">1 napolnjen injekcijski peresnik (0,4 ml sterilne raztopine) z </w:t>
      </w:r>
      <w:r w:rsidRPr="00D14272">
        <w:rPr>
          <w:rFonts w:eastAsia="Times New Roman"/>
          <w:lang w:val="sl-SI"/>
        </w:rPr>
        <w:t xml:space="preserve">2 </w:t>
      </w:r>
      <w:r w:rsidR="00E07158" w:rsidRPr="00D14272">
        <w:rPr>
          <w:rFonts w:eastAsia="Times New Roman"/>
          <w:lang w:val="sl-SI"/>
        </w:rPr>
        <w:t>alkoholn</w:t>
      </w:r>
      <w:r w:rsidR="00AB4608" w:rsidRPr="00D14272">
        <w:rPr>
          <w:rFonts w:eastAsia="Times New Roman"/>
          <w:lang w:val="sl-SI"/>
        </w:rPr>
        <w:t>im</w:t>
      </w:r>
      <w:r w:rsidR="00E07158" w:rsidRPr="00D14272">
        <w:rPr>
          <w:rFonts w:eastAsia="Times New Roman"/>
          <w:lang w:val="sl-SI"/>
        </w:rPr>
        <w:t>a zloženc</w:t>
      </w:r>
      <w:r w:rsidR="00AB4608" w:rsidRPr="00D14272">
        <w:rPr>
          <w:rFonts w:eastAsia="Times New Roman"/>
          <w:lang w:val="sl-SI"/>
        </w:rPr>
        <w:t>em</w:t>
      </w:r>
      <w:r w:rsidR="00E07158" w:rsidRPr="00D14272">
        <w:rPr>
          <w:rFonts w:eastAsia="Times New Roman"/>
          <w:lang w:val="sl-SI"/>
        </w:rPr>
        <w:t>a</w:t>
      </w:r>
      <w:r w:rsidRPr="00D14272">
        <w:rPr>
          <w:rFonts w:eastAsia="Times New Roman"/>
          <w:lang w:val="sl-SI"/>
        </w:rPr>
        <w:t>.</w:t>
      </w:r>
    </w:p>
    <w:p w14:paraId="43820A5D" w14:textId="063E918E" w:rsidR="00E04C8A" w:rsidRPr="00D14272" w:rsidRDefault="008E1817">
      <w:pPr>
        <w:pStyle w:val="a3"/>
        <w:numPr>
          <w:ilvl w:val="1"/>
          <w:numId w:val="16"/>
        </w:numPr>
        <w:ind w:left="660" w:hanging="660"/>
        <w:rPr>
          <w:lang w:val="sl-SI"/>
        </w:rPr>
      </w:pPr>
      <w:r w:rsidRPr="00D14272">
        <w:rPr>
          <w:rFonts w:eastAsia="Times New Roman"/>
          <w:lang w:val="sl-SI"/>
        </w:rPr>
        <w:t xml:space="preserve">2 napolnjena injekcijska peresnika (0,4 ml sterilne raztopine), vsak z 1 </w:t>
      </w:r>
      <w:r w:rsidR="00E07158" w:rsidRPr="00D14272">
        <w:rPr>
          <w:rFonts w:eastAsia="Times New Roman"/>
          <w:lang w:val="sl-SI"/>
        </w:rPr>
        <w:t>alkoholn</w:t>
      </w:r>
      <w:r w:rsidR="00AB4608" w:rsidRPr="00D14272">
        <w:rPr>
          <w:rFonts w:eastAsia="Times New Roman"/>
          <w:lang w:val="sl-SI"/>
        </w:rPr>
        <w:t>im</w:t>
      </w:r>
      <w:r w:rsidR="00E07158" w:rsidRPr="00D14272">
        <w:rPr>
          <w:rFonts w:eastAsia="Times New Roman"/>
          <w:lang w:val="sl-SI"/>
        </w:rPr>
        <w:t xml:space="preserve"> zloženc</w:t>
      </w:r>
      <w:r w:rsidR="00AB4608" w:rsidRPr="00D14272">
        <w:rPr>
          <w:rFonts w:eastAsia="Times New Roman"/>
          <w:lang w:val="sl-SI"/>
        </w:rPr>
        <w:t>em</w:t>
      </w:r>
      <w:r w:rsidRPr="00D14272">
        <w:rPr>
          <w:rFonts w:eastAsia="Times New Roman"/>
          <w:lang w:val="sl-SI"/>
        </w:rPr>
        <w:t>.</w:t>
      </w:r>
    </w:p>
    <w:p w14:paraId="6ED4736A" w14:textId="29629F4C" w:rsidR="00E04C8A" w:rsidRPr="00D14272" w:rsidRDefault="008E1817">
      <w:pPr>
        <w:pStyle w:val="a3"/>
        <w:numPr>
          <w:ilvl w:val="1"/>
          <w:numId w:val="16"/>
        </w:numPr>
        <w:ind w:left="660" w:hanging="660"/>
        <w:rPr>
          <w:lang w:val="sl-SI"/>
        </w:rPr>
      </w:pPr>
      <w:r w:rsidRPr="00D14272">
        <w:rPr>
          <w:rFonts w:eastAsia="Times New Roman"/>
          <w:lang w:val="sl-SI"/>
        </w:rPr>
        <w:t xml:space="preserve">4 napolnjeni injekcijski peresniki (0,4 ml sterilne raztopine), vsak z 1 </w:t>
      </w:r>
      <w:r w:rsidR="00E07158" w:rsidRPr="00D14272">
        <w:rPr>
          <w:rFonts w:eastAsia="Times New Roman"/>
          <w:lang w:val="sl-SI"/>
        </w:rPr>
        <w:t>alkoholn</w:t>
      </w:r>
      <w:r w:rsidR="00AB4608" w:rsidRPr="00D14272">
        <w:rPr>
          <w:rFonts w:eastAsia="Times New Roman"/>
          <w:lang w:val="sl-SI"/>
        </w:rPr>
        <w:t>im</w:t>
      </w:r>
      <w:r w:rsidR="00E07158" w:rsidRPr="00D14272">
        <w:rPr>
          <w:rFonts w:eastAsia="Times New Roman"/>
          <w:lang w:val="sl-SI"/>
        </w:rPr>
        <w:t xml:space="preserve"> zloženc</w:t>
      </w:r>
      <w:r w:rsidR="00AB4608" w:rsidRPr="00D14272">
        <w:rPr>
          <w:rFonts w:eastAsia="Times New Roman"/>
          <w:lang w:val="sl-SI"/>
        </w:rPr>
        <w:t>em</w:t>
      </w:r>
      <w:r w:rsidRPr="00D14272">
        <w:rPr>
          <w:rFonts w:eastAsia="Times New Roman"/>
          <w:lang w:val="sl-SI"/>
        </w:rPr>
        <w:t>.</w:t>
      </w:r>
    </w:p>
    <w:p w14:paraId="675C9D58" w14:textId="4785EE9E" w:rsidR="00E04C8A" w:rsidRPr="00D14272" w:rsidRDefault="008E1817">
      <w:pPr>
        <w:pStyle w:val="a3"/>
        <w:numPr>
          <w:ilvl w:val="1"/>
          <w:numId w:val="16"/>
        </w:numPr>
        <w:ind w:left="660" w:hanging="660"/>
        <w:rPr>
          <w:lang w:val="sl-SI"/>
        </w:rPr>
      </w:pPr>
      <w:r w:rsidRPr="00D14272">
        <w:rPr>
          <w:rFonts w:eastAsia="Times New Roman"/>
          <w:lang w:val="sl-SI"/>
        </w:rPr>
        <w:t xml:space="preserve">6 napolnjenih injekcijskih peresnikov (0,4 ml sterilne raztopine), vsak z 1 </w:t>
      </w:r>
      <w:r w:rsidR="00E07158" w:rsidRPr="00D14272">
        <w:rPr>
          <w:rFonts w:eastAsia="Times New Roman"/>
          <w:lang w:val="sl-SI"/>
        </w:rPr>
        <w:t>alkoholn</w:t>
      </w:r>
      <w:r w:rsidR="00AB4608" w:rsidRPr="00D14272">
        <w:rPr>
          <w:rFonts w:eastAsia="Times New Roman"/>
          <w:lang w:val="sl-SI"/>
        </w:rPr>
        <w:t>im</w:t>
      </w:r>
      <w:r w:rsidR="00E07158" w:rsidRPr="00D14272">
        <w:rPr>
          <w:rFonts w:eastAsia="Times New Roman"/>
          <w:lang w:val="sl-SI"/>
        </w:rPr>
        <w:t xml:space="preserve"> zloženc</w:t>
      </w:r>
      <w:r w:rsidR="00AB4608" w:rsidRPr="00D14272">
        <w:rPr>
          <w:rFonts w:eastAsia="Times New Roman"/>
          <w:lang w:val="sl-SI"/>
        </w:rPr>
        <w:t>em</w:t>
      </w:r>
      <w:r w:rsidRPr="00D14272">
        <w:rPr>
          <w:rFonts w:eastAsia="Times New Roman"/>
          <w:lang w:val="sl-SI"/>
        </w:rPr>
        <w:t>.</w:t>
      </w:r>
    </w:p>
    <w:p w14:paraId="670D3247" w14:textId="77777777" w:rsidR="00E04C8A" w:rsidRPr="00D14272" w:rsidRDefault="00E04C8A">
      <w:pPr>
        <w:spacing w:before="10" w:line="240" w:lineRule="exact"/>
        <w:rPr>
          <w:sz w:val="24"/>
          <w:szCs w:val="24"/>
          <w:lang w:val="sl-SI"/>
        </w:rPr>
      </w:pPr>
    </w:p>
    <w:p w14:paraId="004EAA8F" w14:textId="77777777" w:rsidR="00E04C8A" w:rsidRDefault="008E1817">
      <w:pPr>
        <w:pStyle w:val="a3"/>
        <w:rPr>
          <w:lang w:val="sl-SI"/>
        </w:rPr>
      </w:pPr>
      <w:r w:rsidRPr="00D14272">
        <w:rPr>
          <w:rFonts w:eastAsia="Times New Roman"/>
          <w:lang w:val="sl-SI"/>
        </w:rPr>
        <w:t>Na trgu morda ni vseh navedenih pakiranj.</w:t>
      </w:r>
    </w:p>
    <w:p w14:paraId="64F1DE7A" w14:textId="77777777" w:rsidR="00E04C8A" w:rsidRDefault="00E04C8A">
      <w:pPr>
        <w:widowControl/>
        <w:tabs>
          <w:tab w:val="left" w:pos="567"/>
        </w:tabs>
        <w:spacing w:line="260" w:lineRule="exact"/>
        <w:rPr>
          <w:rFonts w:ascii="Times New Roman" w:eastAsia="Times New Roman" w:hAnsi="Times New Roman" w:cs="Times New Roman"/>
          <w:b/>
          <w:noProof/>
          <w:lang w:val="sl-SI"/>
        </w:rPr>
      </w:pPr>
    </w:p>
    <w:p w14:paraId="2DF0E6CF" w14:textId="77777777" w:rsidR="00E04C8A" w:rsidRDefault="008E1817">
      <w:pPr>
        <w:widowControl/>
        <w:numPr>
          <w:ilvl w:val="1"/>
          <w:numId w:val="31"/>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Posebni varnostni ukrepi za odstranjevanje</w:t>
      </w:r>
    </w:p>
    <w:p w14:paraId="0DD35810" w14:textId="77777777" w:rsidR="00E04C8A" w:rsidRDefault="008E1817">
      <w:pPr>
        <w:tabs>
          <w:tab w:val="left" w:pos="2267"/>
        </w:tabs>
        <w:spacing w:before="12" w:line="240" w:lineRule="exact"/>
        <w:rPr>
          <w:sz w:val="24"/>
          <w:szCs w:val="24"/>
          <w:lang w:val="sl-SI"/>
        </w:rPr>
      </w:pPr>
      <w:r>
        <w:rPr>
          <w:sz w:val="24"/>
          <w:szCs w:val="24"/>
          <w:lang w:val="sl-SI"/>
        </w:rPr>
        <w:tab/>
      </w:r>
    </w:p>
    <w:p w14:paraId="7FE60E83" w14:textId="77777777" w:rsidR="00E04C8A" w:rsidRDefault="008E1817">
      <w:pPr>
        <w:pStyle w:val="a3"/>
        <w:rPr>
          <w:lang w:val="sl-SI"/>
        </w:rPr>
      </w:pPr>
      <w:r>
        <w:rPr>
          <w:rFonts w:eastAsia="Times New Roman"/>
          <w:lang w:val="sl-SI"/>
        </w:rPr>
        <w:t xml:space="preserve">Neuporabljeno zdravilo ali odpadni material zavrzite v skladu z lokalnimi predpisi. </w:t>
      </w:r>
    </w:p>
    <w:p w14:paraId="37C7BA57" w14:textId="77777777" w:rsidR="00E04C8A" w:rsidRDefault="00E04C8A">
      <w:pPr>
        <w:spacing w:line="200" w:lineRule="exact"/>
        <w:rPr>
          <w:sz w:val="20"/>
          <w:szCs w:val="20"/>
          <w:lang w:val="sl-SI"/>
        </w:rPr>
      </w:pPr>
    </w:p>
    <w:p w14:paraId="0444741A" w14:textId="77777777" w:rsidR="00E04C8A" w:rsidRDefault="00E04C8A">
      <w:pPr>
        <w:widowControl/>
        <w:tabs>
          <w:tab w:val="left" w:pos="567"/>
        </w:tabs>
        <w:spacing w:line="260" w:lineRule="exact"/>
        <w:rPr>
          <w:rFonts w:ascii="Times New Roman" w:eastAsia="Times New Roman" w:hAnsi="Times New Roman" w:cs="Times New Roman"/>
          <w:b/>
          <w:noProof/>
          <w:lang w:val="sl-SI"/>
        </w:rPr>
      </w:pPr>
    </w:p>
    <w:p w14:paraId="5126AA6A" w14:textId="77777777" w:rsidR="00E04C8A" w:rsidRDefault="008E1817">
      <w:pPr>
        <w:widowControl/>
        <w:numPr>
          <w:ilvl w:val="0"/>
          <w:numId w:val="26"/>
        </w:numPr>
        <w:tabs>
          <w:tab w:val="left" w:pos="567"/>
        </w:tabs>
        <w:spacing w:line="260" w:lineRule="exact"/>
        <w:ind w:left="0"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IMETNIK DOVOLJENJA ZA PROMET Z ZDRAVILOM</w:t>
      </w:r>
    </w:p>
    <w:p w14:paraId="53647B59" w14:textId="77777777" w:rsidR="00E04C8A" w:rsidRDefault="00E04C8A">
      <w:pPr>
        <w:spacing w:before="12" w:line="240" w:lineRule="exact"/>
        <w:rPr>
          <w:sz w:val="24"/>
          <w:szCs w:val="24"/>
          <w:lang w:val="sl-SI"/>
        </w:rPr>
      </w:pPr>
    </w:p>
    <w:p w14:paraId="50DCF32D" w14:textId="77777777" w:rsidR="00E04C8A" w:rsidRDefault="008E1817">
      <w:pPr>
        <w:pStyle w:val="a3"/>
        <w:rPr>
          <w:lang w:val="sl-SI"/>
        </w:rPr>
      </w:pPr>
      <w:r>
        <w:rPr>
          <w:lang w:val="sl-SI"/>
        </w:rPr>
        <w:t xml:space="preserve">Celltrion Healthcare Hungary Kft. </w:t>
      </w:r>
    </w:p>
    <w:p w14:paraId="4769EA20" w14:textId="77777777" w:rsidR="00E04C8A" w:rsidRDefault="008E1817">
      <w:pPr>
        <w:pStyle w:val="a3"/>
        <w:rPr>
          <w:lang w:val="sl-SI"/>
        </w:rPr>
      </w:pPr>
      <w:r>
        <w:rPr>
          <w:lang w:val="sl-SI"/>
        </w:rPr>
        <w:t>1062 Budapest</w:t>
      </w:r>
    </w:p>
    <w:p w14:paraId="4547B33A" w14:textId="77777777" w:rsidR="00E04C8A" w:rsidRDefault="008E1817">
      <w:pPr>
        <w:pStyle w:val="a3"/>
        <w:rPr>
          <w:lang w:val="sl-SI"/>
        </w:rPr>
      </w:pPr>
      <w:r>
        <w:rPr>
          <w:lang w:val="sl-SI"/>
        </w:rPr>
        <w:t>Váci út 1-3. WestEnd Office Building B torony</w:t>
      </w:r>
    </w:p>
    <w:p w14:paraId="6AB39D99" w14:textId="77777777" w:rsidR="00E04C8A" w:rsidRDefault="008E1817">
      <w:pPr>
        <w:pStyle w:val="a3"/>
        <w:rPr>
          <w:lang w:val="sl-SI"/>
        </w:rPr>
      </w:pPr>
      <w:r>
        <w:rPr>
          <w:rFonts w:eastAsia="Times New Roman"/>
          <w:lang w:val="sl-SI"/>
        </w:rPr>
        <w:t>Madžarska</w:t>
      </w:r>
    </w:p>
    <w:p w14:paraId="07B1D525" w14:textId="77777777" w:rsidR="00E04C8A" w:rsidRDefault="00E04C8A">
      <w:pPr>
        <w:spacing w:line="200" w:lineRule="exact"/>
        <w:rPr>
          <w:sz w:val="20"/>
          <w:szCs w:val="20"/>
          <w:lang w:val="sl-SI"/>
        </w:rPr>
      </w:pPr>
    </w:p>
    <w:p w14:paraId="4C4AA8C2" w14:textId="77777777" w:rsidR="00E04C8A" w:rsidRDefault="00E04C8A">
      <w:pPr>
        <w:spacing w:line="200" w:lineRule="exact"/>
        <w:rPr>
          <w:sz w:val="20"/>
          <w:szCs w:val="20"/>
          <w:lang w:val="sl-SI"/>
        </w:rPr>
      </w:pPr>
    </w:p>
    <w:p w14:paraId="6738FCC8" w14:textId="77777777" w:rsidR="00E04C8A" w:rsidRDefault="008E1817">
      <w:pPr>
        <w:widowControl/>
        <w:numPr>
          <w:ilvl w:val="0"/>
          <w:numId w:val="26"/>
        </w:numPr>
        <w:tabs>
          <w:tab w:val="left" w:pos="567"/>
        </w:tabs>
        <w:spacing w:line="260" w:lineRule="exact"/>
        <w:ind w:left="0"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ŠTEVILKA (ŠTEVILKE) DOVOLJENJA (DOVOLJENJ) ZA PROMET Z ZDRAVILOM</w:t>
      </w:r>
    </w:p>
    <w:p w14:paraId="10466A7D" w14:textId="77777777" w:rsidR="00E04C8A" w:rsidRDefault="00E04C8A">
      <w:pPr>
        <w:spacing w:before="9" w:line="240" w:lineRule="exact"/>
        <w:rPr>
          <w:sz w:val="24"/>
          <w:szCs w:val="24"/>
          <w:lang w:val="sl-SI"/>
        </w:rPr>
      </w:pPr>
    </w:p>
    <w:p w14:paraId="786FEB1D" w14:textId="77777777" w:rsidR="00E04C8A" w:rsidRDefault="008E1817">
      <w:pPr>
        <w:pStyle w:val="a3"/>
        <w:rPr>
          <w:u w:val="single"/>
          <w:lang w:val="sl-SI"/>
        </w:rPr>
      </w:pPr>
      <w:r>
        <w:rPr>
          <w:rFonts w:eastAsia="Times New Roman"/>
          <w:u w:val="single" w:color="000000"/>
          <w:lang w:val="sl-SI"/>
        </w:rPr>
        <w:t>Yuflyma 40 mg raztopina za injiciranje v napolnjeni injekcijski brizgi</w:t>
      </w:r>
    </w:p>
    <w:p w14:paraId="789BB017" w14:textId="77777777" w:rsidR="00E04C8A" w:rsidRDefault="00E04C8A">
      <w:pPr>
        <w:pStyle w:val="a3"/>
        <w:rPr>
          <w:lang w:val="sl-SI"/>
        </w:rPr>
      </w:pPr>
    </w:p>
    <w:p w14:paraId="07BF6C9A" w14:textId="77777777" w:rsidR="00E04C8A" w:rsidRDefault="008E1817">
      <w:pPr>
        <w:pStyle w:val="a3"/>
        <w:rPr>
          <w:lang w:val="sl-SI"/>
        </w:rPr>
      </w:pPr>
      <w:r>
        <w:rPr>
          <w:rFonts w:eastAsia="Times New Roman"/>
          <w:lang w:val="sl-SI"/>
        </w:rPr>
        <w:t>EU/</w:t>
      </w:r>
      <w:r>
        <w:rPr>
          <w:rFonts w:eastAsia="Times New Roman" w:cs="Verdana"/>
          <w:color w:val="000000"/>
          <w:lang w:val="sl-SI"/>
        </w:rPr>
        <w:t>1/20/1513/001</w:t>
      </w:r>
    </w:p>
    <w:p w14:paraId="55B6085E" w14:textId="77777777" w:rsidR="00E04C8A" w:rsidRDefault="008E1817">
      <w:pPr>
        <w:pStyle w:val="a3"/>
        <w:rPr>
          <w:rFonts w:cs="Verdana"/>
          <w:color w:val="000000"/>
          <w:lang w:val="sl-SI"/>
        </w:rPr>
      </w:pPr>
      <w:r>
        <w:rPr>
          <w:rFonts w:eastAsia="Times New Roman" w:cs="Verdana"/>
          <w:color w:val="000000"/>
          <w:lang w:val="sl-SI"/>
        </w:rPr>
        <w:t>EU/1/20/1513/002</w:t>
      </w:r>
    </w:p>
    <w:p w14:paraId="436BCF5F" w14:textId="77777777" w:rsidR="00E04C8A" w:rsidRDefault="008E1817">
      <w:pPr>
        <w:pStyle w:val="a3"/>
        <w:rPr>
          <w:lang w:val="sl-SI"/>
        </w:rPr>
      </w:pPr>
      <w:r>
        <w:rPr>
          <w:rFonts w:eastAsia="Times New Roman" w:cs="Verdana"/>
          <w:color w:val="000000"/>
          <w:lang w:val="sl-SI"/>
        </w:rPr>
        <w:t>EU/1/20/1513/</w:t>
      </w:r>
      <w:r>
        <w:rPr>
          <w:rFonts w:eastAsia="Times New Roman"/>
          <w:lang w:val="sl-SI"/>
        </w:rPr>
        <w:t>003</w:t>
      </w:r>
    </w:p>
    <w:p w14:paraId="19FF4575" w14:textId="77777777" w:rsidR="00E04C8A" w:rsidRDefault="008E1817">
      <w:pPr>
        <w:pStyle w:val="a3"/>
        <w:rPr>
          <w:lang w:val="sl-SI"/>
        </w:rPr>
      </w:pPr>
      <w:r>
        <w:rPr>
          <w:rFonts w:eastAsia="Times New Roman" w:cs="Verdana"/>
          <w:color w:val="000000"/>
          <w:lang w:val="sl-SI"/>
        </w:rPr>
        <w:t>EU/1/20/1513/</w:t>
      </w:r>
      <w:r>
        <w:rPr>
          <w:rFonts w:eastAsia="Times New Roman"/>
          <w:lang w:val="sl-SI"/>
        </w:rPr>
        <w:t>004</w:t>
      </w:r>
    </w:p>
    <w:p w14:paraId="71185A17" w14:textId="77777777" w:rsidR="00E04C8A" w:rsidRDefault="00E04C8A">
      <w:pPr>
        <w:spacing w:before="14" w:line="240" w:lineRule="exact"/>
        <w:rPr>
          <w:sz w:val="24"/>
          <w:szCs w:val="24"/>
          <w:lang w:val="sl-SI"/>
        </w:rPr>
      </w:pPr>
    </w:p>
    <w:p w14:paraId="4E451439" w14:textId="781FEC3A" w:rsidR="00E04C8A" w:rsidRDefault="008E1817">
      <w:pPr>
        <w:pStyle w:val="a3"/>
        <w:rPr>
          <w:u w:val="single" w:color="000000"/>
          <w:lang w:val="sl-SI"/>
        </w:rPr>
      </w:pPr>
      <w:r>
        <w:rPr>
          <w:rFonts w:eastAsia="Times New Roman"/>
          <w:u w:val="single" w:color="000000"/>
          <w:lang w:val="sl-SI"/>
        </w:rPr>
        <w:t xml:space="preserve">Yuflyma 40 mg raztopina za injiciranje v napolnjeni injekcijski brizgi </w:t>
      </w:r>
      <w:r w:rsidR="00E07158">
        <w:rPr>
          <w:rFonts w:eastAsia="Times New Roman"/>
          <w:u w:val="single" w:color="000000"/>
          <w:lang w:val="sl-SI"/>
        </w:rPr>
        <w:t>s ščitnikom za iglo</w:t>
      </w:r>
    </w:p>
    <w:p w14:paraId="4B25AFE3" w14:textId="77777777" w:rsidR="00E04C8A" w:rsidRDefault="00E04C8A">
      <w:pPr>
        <w:pStyle w:val="a3"/>
        <w:rPr>
          <w:lang w:val="sl-SI"/>
        </w:rPr>
      </w:pPr>
    </w:p>
    <w:p w14:paraId="7FD987DB" w14:textId="77777777" w:rsidR="00E04C8A" w:rsidRDefault="008E1817">
      <w:pPr>
        <w:pStyle w:val="a3"/>
        <w:rPr>
          <w:lang w:val="sl-SI"/>
        </w:rPr>
      </w:pPr>
      <w:r>
        <w:rPr>
          <w:rFonts w:eastAsia="Times New Roman" w:cs="Verdana"/>
          <w:color w:val="000000"/>
          <w:lang w:val="sl-SI"/>
        </w:rPr>
        <w:lastRenderedPageBreak/>
        <w:t>EU/1/20/1513</w:t>
      </w:r>
      <w:r>
        <w:rPr>
          <w:rFonts w:eastAsia="Times New Roman"/>
          <w:lang w:val="sl-SI"/>
        </w:rPr>
        <w:t>/005</w:t>
      </w:r>
    </w:p>
    <w:p w14:paraId="573DC814" w14:textId="77777777" w:rsidR="00E04C8A" w:rsidRDefault="008E1817">
      <w:pPr>
        <w:pStyle w:val="a3"/>
        <w:rPr>
          <w:lang w:val="sl-SI"/>
        </w:rPr>
      </w:pPr>
      <w:r>
        <w:rPr>
          <w:rFonts w:eastAsia="Times New Roman" w:cs="Verdana"/>
          <w:color w:val="000000"/>
          <w:lang w:val="sl-SI"/>
        </w:rPr>
        <w:t>EU/1/20/1513/</w:t>
      </w:r>
      <w:r>
        <w:rPr>
          <w:rFonts w:eastAsia="Times New Roman"/>
          <w:lang w:val="sl-SI"/>
        </w:rPr>
        <w:t>006</w:t>
      </w:r>
    </w:p>
    <w:p w14:paraId="78319A47" w14:textId="77777777" w:rsidR="00E04C8A" w:rsidRDefault="008E1817">
      <w:pPr>
        <w:pStyle w:val="a3"/>
        <w:rPr>
          <w:lang w:val="sl-SI"/>
        </w:rPr>
      </w:pPr>
      <w:r>
        <w:rPr>
          <w:rFonts w:eastAsia="Times New Roman" w:cs="Verdana"/>
          <w:color w:val="000000"/>
          <w:lang w:val="sl-SI"/>
        </w:rPr>
        <w:t>EU/1/20/1513/</w:t>
      </w:r>
      <w:r>
        <w:rPr>
          <w:rFonts w:eastAsia="Times New Roman"/>
          <w:lang w:val="sl-SI"/>
        </w:rPr>
        <w:t>007</w:t>
      </w:r>
    </w:p>
    <w:p w14:paraId="21F88F07" w14:textId="77777777" w:rsidR="00E04C8A" w:rsidRDefault="008E1817">
      <w:pPr>
        <w:pStyle w:val="a3"/>
        <w:rPr>
          <w:lang w:val="sl-SI"/>
        </w:rPr>
      </w:pPr>
      <w:r>
        <w:rPr>
          <w:rFonts w:eastAsia="Times New Roman" w:cs="Verdana"/>
          <w:color w:val="000000"/>
          <w:lang w:val="sl-SI"/>
        </w:rPr>
        <w:t>EU/1/20/1513/</w:t>
      </w:r>
      <w:r>
        <w:rPr>
          <w:rFonts w:eastAsia="Times New Roman"/>
          <w:lang w:val="sl-SI"/>
        </w:rPr>
        <w:t>008</w:t>
      </w:r>
    </w:p>
    <w:p w14:paraId="5793D57C" w14:textId="77777777" w:rsidR="00E04C8A" w:rsidRDefault="00E04C8A">
      <w:pPr>
        <w:spacing w:before="14" w:line="240" w:lineRule="exact"/>
        <w:rPr>
          <w:sz w:val="24"/>
          <w:szCs w:val="24"/>
          <w:lang w:val="sl-SI"/>
        </w:rPr>
      </w:pPr>
    </w:p>
    <w:p w14:paraId="5D71DCFF" w14:textId="77777777" w:rsidR="00E04C8A" w:rsidRDefault="008E1817">
      <w:pPr>
        <w:pStyle w:val="a3"/>
        <w:rPr>
          <w:u w:val="single"/>
          <w:lang w:val="sl-SI"/>
        </w:rPr>
      </w:pPr>
      <w:r>
        <w:rPr>
          <w:rFonts w:eastAsia="Times New Roman"/>
          <w:u w:val="single" w:color="000000"/>
          <w:lang w:val="sl-SI"/>
        </w:rPr>
        <w:t>Yuflyma 40 mg raztopina za injiciranje v napolnjenem injekcijskem peresniku</w:t>
      </w:r>
    </w:p>
    <w:p w14:paraId="74381280" w14:textId="77777777" w:rsidR="00E04C8A" w:rsidRDefault="00E04C8A">
      <w:pPr>
        <w:pStyle w:val="a3"/>
        <w:rPr>
          <w:lang w:val="sl-SI"/>
        </w:rPr>
      </w:pPr>
    </w:p>
    <w:p w14:paraId="262ABFF9" w14:textId="77777777" w:rsidR="00E04C8A" w:rsidRDefault="008E1817">
      <w:pPr>
        <w:pStyle w:val="a3"/>
        <w:rPr>
          <w:lang w:val="sl-SI"/>
        </w:rPr>
      </w:pPr>
      <w:r>
        <w:rPr>
          <w:rFonts w:eastAsia="Times New Roman" w:cs="Verdana"/>
          <w:color w:val="000000"/>
          <w:lang w:val="sl-SI"/>
        </w:rPr>
        <w:t>EU/1/20/1513</w:t>
      </w:r>
      <w:r>
        <w:rPr>
          <w:rFonts w:eastAsia="Times New Roman"/>
          <w:lang w:val="sl-SI"/>
        </w:rPr>
        <w:t>/009</w:t>
      </w:r>
    </w:p>
    <w:p w14:paraId="51137684" w14:textId="77777777" w:rsidR="00E04C8A" w:rsidRDefault="008E1817">
      <w:pPr>
        <w:pStyle w:val="a3"/>
        <w:rPr>
          <w:lang w:val="sl-SI"/>
        </w:rPr>
      </w:pPr>
      <w:r>
        <w:rPr>
          <w:rFonts w:eastAsia="Times New Roman" w:cs="Verdana"/>
          <w:color w:val="000000"/>
          <w:lang w:val="sl-SI"/>
        </w:rPr>
        <w:t>EU/1/20/1513/</w:t>
      </w:r>
      <w:r>
        <w:rPr>
          <w:rFonts w:eastAsia="Times New Roman"/>
          <w:lang w:val="sl-SI"/>
        </w:rPr>
        <w:t>010</w:t>
      </w:r>
    </w:p>
    <w:p w14:paraId="72B69598" w14:textId="77777777" w:rsidR="00E04C8A" w:rsidRDefault="008E1817">
      <w:pPr>
        <w:pStyle w:val="a3"/>
        <w:rPr>
          <w:lang w:val="sl-SI"/>
        </w:rPr>
      </w:pPr>
      <w:r>
        <w:rPr>
          <w:rFonts w:eastAsia="Times New Roman" w:cs="Verdana"/>
          <w:color w:val="000000"/>
          <w:lang w:val="sl-SI"/>
        </w:rPr>
        <w:t>EU/1/20/1513/</w:t>
      </w:r>
      <w:r>
        <w:rPr>
          <w:rFonts w:eastAsia="Times New Roman"/>
          <w:lang w:val="sl-SI"/>
        </w:rPr>
        <w:t>011</w:t>
      </w:r>
    </w:p>
    <w:p w14:paraId="6195DAC8" w14:textId="77777777" w:rsidR="00E04C8A" w:rsidRDefault="008E1817">
      <w:pPr>
        <w:pStyle w:val="a3"/>
        <w:rPr>
          <w:lang w:val="sl-SI"/>
        </w:rPr>
      </w:pPr>
      <w:r>
        <w:rPr>
          <w:rFonts w:eastAsia="Times New Roman" w:cs="Verdana"/>
          <w:color w:val="000000"/>
          <w:lang w:val="sl-SI"/>
        </w:rPr>
        <w:t>EU/1/20/1513/</w:t>
      </w:r>
      <w:r>
        <w:rPr>
          <w:rFonts w:eastAsia="Times New Roman"/>
          <w:lang w:val="sl-SI"/>
        </w:rPr>
        <w:t>012</w:t>
      </w:r>
    </w:p>
    <w:p w14:paraId="4CF72085" w14:textId="77777777" w:rsidR="00E04C8A" w:rsidRDefault="00E04C8A">
      <w:pPr>
        <w:pStyle w:val="a3"/>
        <w:rPr>
          <w:lang w:val="sl-SI"/>
        </w:rPr>
      </w:pPr>
    </w:p>
    <w:p w14:paraId="3FA75D71" w14:textId="77777777" w:rsidR="00E04C8A" w:rsidRDefault="00E04C8A">
      <w:pPr>
        <w:spacing w:line="200" w:lineRule="exact"/>
        <w:rPr>
          <w:sz w:val="20"/>
          <w:szCs w:val="20"/>
          <w:lang w:val="sl-SI"/>
        </w:rPr>
      </w:pPr>
    </w:p>
    <w:p w14:paraId="12B88AB3" w14:textId="77777777" w:rsidR="00E04C8A" w:rsidRDefault="008E1817">
      <w:pPr>
        <w:widowControl/>
        <w:numPr>
          <w:ilvl w:val="0"/>
          <w:numId w:val="26"/>
        </w:numPr>
        <w:tabs>
          <w:tab w:val="left" w:pos="567"/>
        </w:tabs>
        <w:spacing w:line="260" w:lineRule="exact"/>
        <w:ind w:left="0"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DATUM PRIDOBITVE/PODALJŠANJA DOVOLJENJA ZA PROMET Z ZDRAVILOM</w:t>
      </w:r>
    </w:p>
    <w:p w14:paraId="4CADB5EA" w14:textId="77777777" w:rsidR="00E04C8A" w:rsidRDefault="00E04C8A">
      <w:pPr>
        <w:widowControl/>
        <w:tabs>
          <w:tab w:val="left" w:pos="567"/>
        </w:tabs>
        <w:spacing w:line="260" w:lineRule="exact"/>
        <w:rPr>
          <w:rFonts w:ascii="Times New Roman" w:eastAsia="Times New Roman" w:hAnsi="Times New Roman" w:cs="Times New Roman"/>
          <w:b/>
          <w:noProof/>
          <w:lang w:val="sl-SI"/>
        </w:rPr>
      </w:pPr>
    </w:p>
    <w:p w14:paraId="3F28B763" w14:textId="03356FDE" w:rsidR="00E04C8A" w:rsidRDefault="008E1817">
      <w:pPr>
        <w:widowControl/>
        <w:tabs>
          <w:tab w:val="left" w:pos="567"/>
        </w:tabs>
        <w:spacing w:line="260" w:lineRule="exact"/>
        <w:rPr>
          <w:rFonts w:ascii="Times New Roman" w:eastAsia="Times New Roman" w:hAnsi="Times New Roman" w:cs="Times New Roman"/>
          <w:bCs/>
          <w:noProof/>
          <w:lang w:val="sl-SI"/>
        </w:rPr>
      </w:pPr>
      <w:r>
        <w:rPr>
          <w:rFonts w:ascii="Times New Roman" w:eastAsia="Times New Roman" w:hAnsi="Times New Roman" w:cs="Times New Roman"/>
          <w:bCs/>
          <w:noProof/>
          <w:lang w:val="sl-SI"/>
        </w:rPr>
        <w:t>Datum prve odobritve:</w:t>
      </w:r>
      <w:r w:rsidR="00907360">
        <w:rPr>
          <w:rFonts w:ascii="Times New Roman" w:eastAsia="Times New Roman" w:hAnsi="Times New Roman" w:cs="Times New Roman"/>
          <w:bCs/>
          <w:noProof/>
          <w:lang w:val="sl-SI"/>
        </w:rPr>
        <w:t xml:space="preserve"> </w:t>
      </w:r>
      <w:r w:rsidR="00907360" w:rsidRPr="00907360">
        <w:rPr>
          <w:rFonts w:ascii="Times New Roman" w:eastAsia="Times New Roman" w:hAnsi="Times New Roman" w:cs="Times New Roman"/>
          <w:bCs/>
          <w:noProof/>
          <w:lang w:val="sl-SI"/>
        </w:rPr>
        <w:t>11. februarja 2021</w:t>
      </w:r>
    </w:p>
    <w:p w14:paraId="18102197" w14:textId="77777777" w:rsidR="00E04C8A" w:rsidRDefault="00E04C8A">
      <w:pPr>
        <w:widowControl/>
        <w:tabs>
          <w:tab w:val="left" w:pos="567"/>
        </w:tabs>
        <w:spacing w:line="260" w:lineRule="exact"/>
        <w:rPr>
          <w:rFonts w:ascii="Times New Roman" w:eastAsia="Times New Roman" w:hAnsi="Times New Roman" w:cs="Times New Roman"/>
          <w:b/>
          <w:noProof/>
          <w:lang w:val="sl-SI"/>
        </w:rPr>
      </w:pPr>
    </w:p>
    <w:p w14:paraId="3DE5626A" w14:textId="77777777" w:rsidR="00E04C8A" w:rsidRDefault="00E04C8A">
      <w:pPr>
        <w:widowControl/>
        <w:tabs>
          <w:tab w:val="left" w:pos="567"/>
        </w:tabs>
        <w:spacing w:line="260" w:lineRule="exact"/>
        <w:rPr>
          <w:rFonts w:ascii="Times New Roman" w:eastAsia="Times New Roman" w:hAnsi="Times New Roman" w:cs="Times New Roman"/>
          <w:b/>
          <w:noProof/>
          <w:lang w:val="sl-SI"/>
        </w:rPr>
      </w:pPr>
    </w:p>
    <w:p w14:paraId="23FD5E11" w14:textId="77777777" w:rsidR="00E04C8A" w:rsidRDefault="008E1817">
      <w:pPr>
        <w:widowControl/>
        <w:numPr>
          <w:ilvl w:val="0"/>
          <w:numId w:val="26"/>
        </w:numPr>
        <w:tabs>
          <w:tab w:val="left" w:pos="567"/>
        </w:tabs>
        <w:spacing w:line="260" w:lineRule="exact"/>
        <w:ind w:left="0"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DATUM ZADNJE REVIZIJE BESEDILA</w:t>
      </w:r>
    </w:p>
    <w:p w14:paraId="4A0E78AF" w14:textId="77777777" w:rsidR="00E04C8A" w:rsidRDefault="00E04C8A">
      <w:pPr>
        <w:spacing w:before="12" w:line="240" w:lineRule="exact"/>
        <w:rPr>
          <w:sz w:val="24"/>
          <w:szCs w:val="24"/>
          <w:lang w:val="sl-SI"/>
        </w:rPr>
      </w:pPr>
    </w:p>
    <w:p w14:paraId="2838A87E" w14:textId="77777777" w:rsidR="00E04C8A" w:rsidRDefault="008E1817">
      <w:pPr>
        <w:pStyle w:val="a3"/>
        <w:rPr>
          <w:lang w:val="sl-SI"/>
        </w:rPr>
      </w:pPr>
      <w:r>
        <w:rPr>
          <w:rFonts w:eastAsia="Times New Roman"/>
          <w:lang w:val="sl-SI"/>
        </w:rPr>
        <w:t xml:space="preserve">Podrobne informacije o zdravilu so objavljene na spletni strani Evropske agencije za zdravila </w:t>
      </w:r>
      <w:hyperlink r:id="rId22" w:history="1">
        <w:r>
          <w:rPr>
            <w:rFonts w:eastAsia="Times New Roman"/>
            <w:color w:val="0000FF"/>
            <w:u w:val="single"/>
            <w:lang w:val="sl-SI"/>
          </w:rPr>
          <w:t>http://www.ema.europa.eu</w:t>
        </w:r>
      </w:hyperlink>
    </w:p>
    <w:p w14:paraId="20A4B83A" w14:textId="2BDAE419" w:rsidR="00616315" w:rsidRDefault="008E1817">
      <w:pPr>
        <w:rPr>
          <w:lang w:val="sl-SI"/>
        </w:rPr>
      </w:pPr>
      <w:r>
        <w:rPr>
          <w:lang w:val="sl-SI"/>
        </w:rPr>
        <w:br w:type="page"/>
      </w:r>
    </w:p>
    <w:p w14:paraId="1AF93B4C" w14:textId="77777777" w:rsidR="00616315" w:rsidRDefault="00616315" w:rsidP="00616315">
      <w:pPr>
        <w:rPr>
          <w:rFonts w:ascii="Times New Roman" w:eastAsia="맑은 고딕" w:hAnsi="Times New Roman" w:cs="Times New Roman"/>
          <w:lang w:val="sl-SI" w:eastAsia="ko-KR"/>
        </w:rPr>
      </w:pPr>
      <w:r>
        <w:rPr>
          <w:rFonts w:ascii="Times New Roman" w:hAnsi="Times New Roman" w:cs="Times New Roman"/>
          <w:noProof/>
          <w:lang w:eastAsia="ko-KR"/>
        </w:rPr>
        <w:lastRenderedPageBreak/>
        <w:drawing>
          <wp:inline distT="0" distB="0" distL="0" distR="0" wp14:anchorId="0684C23F" wp14:editId="2E1CAD0D">
            <wp:extent cx="203200" cy="169545"/>
            <wp:effectExtent l="0" t="0" r="6350" b="1905"/>
            <wp:docPr id="98" name="그림 98"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41359"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sl-SI"/>
        </w:rPr>
        <w:t>Za to zdravilo se izvaja dodatno spremljanje varnosti. Tako bodo hitreje na voljo nove informacije o njegovi varnosti. Zdravstvene delavce naprošamo, da poročajo o katerem koli domnevnem neželenem učinku zdravila. Glejte poglavje 4.8, kako poročati o neželenih učinkih.</w:t>
      </w:r>
    </w:p>
    <w:p w14:paraId="66648256" w14:textId="77777777" w:rsidR="00616315" w:rsidRDefault="00616315" w:rsidP="00616315">
      <w:pPr>
        <w:widowControl/>
        <w:tabs>
          <w:tab w:val="left" w:pos="567"/>
        </w:tabs>
        <w:rPr>
          <w:rFonts w:ascii="Times New Roman" w:eastAsia="Times New Roman" w:hAnsi="Times New Roman" w:cs="Times New Roman"/>
          <w:lang w:val="sl-SI"/>
        </w:rPr>
      </w:pPr>
    </w:p>
    <w:p w14:paraId="38E91222" w14:textId="77777777" w:rsidR="00616315" w:rsidRDefault="00616315" w:rsidP="00616315">
      <w:pPr>
        <w:widowControl/>
        <w:tabs>
          <w:tab w:val="left" w:pos="567"/>
        </w:tabs>
        <w:rPr>
          <w:rFonts w:ascii="Times New Roman" w:eastAsia="Times New Roman" w:hAnsi="Times New Roman" w:cs="Times New Roman"/>
          <w:lang w:val="sl-SI"/>
        </w:rPr>
      </w:pPr>
    </w:p>
    <w:p w14:paraId="6069639D" w14:textId="77777777" w:rsidR="00616315" w:rsidRDefault="00616315" w:rsidP="0030421B">
      <w:pPr>
        <w:widowControl/>
        <w:numPr>
          <w:ilvl w:val="0"/>
          <w:numId w:val="117"/>
        </w:numPr>
        <w:tabs>
          <w:tab w:val="left" w:pos="567"/>
        </w:tabs>
        <w:spacing w:line="260" w:lineRule="exact"/>
        <w:ind w:left="0" w:firstLine="0"/>
        <w:rPr>
          <w:rFonts w:ascii="Times New Roman" w:hAnsi="Times New Roman" w:cs="Times New Roman"/>
          <w:noProof/>
          <w:lang w:val="sl-SI"/>
        </w:rPr>
      </w:pPr>
      <w:r>
        <w:rPr>
          <w:rFonts w:ascii="Times New Roman" w:eastAsia="Times New Roman" w:hAnsi="Times New Roman" w:cs="Times New Roman"/>
          <w:b/>
          <w:bCs/>
          <w:noProof/>
          <w:lang w:val="sl-SI"/>
        </w:rPr>
        <w:t>IME ZDRAVILA</w:t>
      </w:r>
    </w:p>
    <w:p w14:paraId="461F5FE4" w14:textId="77777777" w:rsidR="00616315" w:rsidRDefault="00616315" w:rsidP="00616315">
      <w:pPr>
        <w:spacing w:line="240" w:lineRule="exact"/>
        <w:rPr>
          <w:rFonts w:ascii="Times New Roman" w:hAnsi="Times New Roman" w:cs="Times New Roman"/>
          <w:lang w:val="sl-SI"/>
        </w:rPr>
      </w:pPr>
    </w:p>
    <w:p w14:paraId="3CAE9036" w14:textId="401BC4E8" w:rsidR="00616315" w:rsidRDefault="00616315" w:rsidP="00616315">
      <w:pPr>
        <w:widowControl/>
        <w:tabs>
          <w:tab w:val="left" w:pos="567"/>
        </w:tabs>
        <w:rPr>
          <w:rFonts w:ascii="Times New Roman" w:eastAsia="Times New Roman" w:hAnsi="Times New Roman" w:cs="Times New Roman"/>
          <w:lang w:val="sl-SI"/>
        </w:rPr>
      </w:pPr>
      <w:r>
        <w:rPr>
          <w:rFonts w:ascii="Times New Roman" w:eastAsia="Times New Roman" w:hAnsi="Times New Roman" w:cs="Times New Roman"/>
          <w:lang w:val="sl-SI"/>
        </w:rPr>
        <w:t xml:space="preserve">Yuflyma </w:t>
      </w:r>
      <w:r w:rsidR="006354DB">
        <w:rPr>
          <w:rFonts w:ascii="Times New Roman" w:eastAsia="Times New Roman" w:hAnsi="Times New Roman" w:cs="Times New Roman"/>
          <w:lang w:val="sl-SI"/>
        </w:rPr>
        <w:t>8</w:t>
      </w:r>
      <w:r>
        <w:rPr>
          <w:rFonts w:ascii="Times New Roman" w:eastAsia="Times New Roman" w:hAnsi="Times New Roman" w:cs="Times New Roman"/>
          <w:lang w:val="sl-SI"/>
        </w:rPr>
        <w:t>0 mg raztopina za injiciranje v napolnjeni injekcijski brizgi</w:t>
      </w:r>
    </w:p>
    <w:p w14:paraId="0FDF2E0E" w14:textId="77777777" w:rsidR="00616315" w:rsidRDefault="00616315" w:rsidP="00616315">
      <w:pPr>
        <w:widowControl/>
        <w:tabs>
          <w:tab w:val="left" w:pos="567"/>
        </w:tabs>
        <w:rPr>
          <w:rFonts w:ascii="Times New Roman" w:eastAsia="Times New Roman" w:hAnsi="Times New Roman" w:cs="Times New Roman"/>
          <w:lang w:val="sl-SI"/>
        </w:rPr>
      </w:pPr>
    </w:p>
    <w:p w14:paraId="7FF678AB" w14:textId="0F82ABC9" w:rsidR="00616315" w:rsidRDefault="00616315" w:rsidP="00616315">
      <w:pPr>
        <w:widowControl/>
        <w:tabs>
          <w:tab w:val="left" w:pos="567"/>
        </w:tabs>
        <w:rPr>
          <w:rFonts w:ascii="Times New Roman" w:eastAsia="Times New Roman" w:hAnsi="Times New Roman" w:cs="Times New Roman"/>
          <w:lang w:val="sl-SI"/>
        </w:rPr>
      </w:pPr>
      <w:r>
        <w:rPr>
          <w:rFonts w:ascii="Times New Roman" w:eastAsia="Times New Roman" w:hAnsi="Times New Roman" w:cs="Times New Roman"/>
          <w:lang w:val="sl-SI"/>
        </w:rPr>
        <w:t xml:space="preserve">Yuflyma </w:t>
      </w:r>
      <w:r w:rsidR="006354DB">
        <w:rPr>
          <w:rFonts w:ascii="Times New Roman" w:eastAsia="Times New Roman" w:hAnsi="Times New Roman" w:cs="Times New Roman"/>
          <w:lang w:val="sl-SI"/>
        </w:rPr>
        <w:t>8</w:t>
      </w:r>
      <w:r>
        <w:rPr>
          <w:rFonts w:ascii="Times New Roman" w:eastAsia="Times New Roman" w:hAnsi="Times New Roman" w:cs="Times New Roman"/>
          <w:lang w:val="sl-SI"/>
        </w:rPr>
        <w:t>0 mg raztopina za injiciranje v napolnjenem injekcijskem peresniku</w:t>
      </w:r>
    </w:p>
    <w:p w14:paraId="2D80310F" w14:textId="77777777" w:rsidR="00616315" w:rsidRDefault="00616315" w:rsidP="00616315">
      <w:pPr>
        <w:spacing w:line="200" w:lineRule="exact"/>
        <w:rPr>
          <w:rFonts w:ascii="Times New Roman" w:hAnsi="Times New Roman" w:cs="Times New Roman"/>
          <w:lang w:val="sl-SI"/>
        </w:rPr>
      </w:pPr>
    </w:p>
    <w:p w14:paraId="29E6C685" w14:textId="77777777" w:rsidR="00616315" w:rsidRDefault="00616315" w:rsidP="00616315">
      <w:pPr>
        <w:widowControl/>
        <w:tabs>
          <w:tab w:val="left" w:pos="567"/>
        </w:tabs>
        <w:spacing w:line="260" w:lineRule="exact"/>
        <w:rPr>
          <w:rFonts w:ascii="Times New Roman" w:eastAsia="Times New Roman" w:hAnsi="Times New Roman" w:cs="Times New Roman"/>
          <w:b/>
          <w:noProof/>
          <w:lang w:val="sl-SI"/>
        </w:rPr>
      </w:pPr>
    </w:p>
    <w:p w14:paraId="155AAD64" w14:textId="77777777" w:rsidR="00616315" w:rsidRDefault="00616315" w:rsidP="0030421B">
      <w:pPr>
        <w:widowControl/>
        <w:numPr>
          <w:ilvl w:val="0"/>
          <w:numId w:val="117"/>
        </w:numPr>
        <w:tabs>
          <w:tab w:val="left" w:pos="567"/>
        </w:tabs>
        <w:spacing w:line="260" w:lineRule="exact"/>
        <w:ind w:left="0" w:firstLine="0"/>
        <w:rPr>
          <w:rFonts w:ascii="Times New Roman" w:hAnsi="Times New Roman" w:cs="Times New Roman"/>
          <w:b/>
          <w:bCs/>
          <w:spacing w:val="-1"/>
          <w:lang w:val="sl-SI"/>
        </w:rPr>
      </w:pPr>
      <w:r>
        <w:rPr>
          <w:rFonts w:ascii="Times New Roman" w:eastAsia="Times New Roman" w:hAnsi="Times New Roman" w:cs="Times New Roman"/>
          <w:b/>
          <w:bCs/>
          <w:noProof/>
          <w:lang w:val="sl-SI"/>
        </w:rPr>
        <w:t>KAKOVOSTNA IN KOLIČINSKA SESTAVA</w:t>
      </w:r>
    </w:p>
    <w:p w14:paraId="52BA9D55" w14:textId="77777777" w:rsidR="00616315" w:rsidRDefault="00616315" w:rsidP="00616315">
      <w:pPr>
        <w:widowControl/>
        <w:tabs>
          <w:tab w:val="left" w:pos="567"/>
        </w:tabs>
        <w:rPr>
          <w:rFonts w:ascii="Times New Roman" w:eastAsia="Times New Roman" w:hAnsi="Times New Roman" w:cs="Times New Roman"/>
          <w:u w:val="single"/>
          <w:lang w:val="sl-SI"/>
        </w:rPr>
      </w:pPr>
    </w:p>
    <w:p w14:paraId="5C32B512" w14:textId="10805D80" w:rsidR="00616315" w:rsidRDefault="00616315" w:rsidP="00616315">
      <w:pPr>
        <w:widowControl/>
        <w:tabs>
          <w:tab w:val="left" w:pos="567"/>
        </w:tabs>
        <w:rPr>
          <w:rFonts w:ascii="Times New Roman" w:eastAsia="Times New Roman" w:hAnsi="Times New Roman" w:cs="Times New Roman"/>
          <w:u w:val="single"/>
          <w:lang w:val="sl-SI"/>
        </w:rPr>
      </w:pPr>
      <w:r>
        <w:rPr>
          <w:rFonts w:ascii="Times New Roman" w:eastAsia="Times New Roman" w:hAnsi="Times New Roman" w:cs="Times New Roman"/>
          <w:u w:val="single"/>
          <w:lang w:val="sl-SI"/>
        </w:rPr>
        <w:t xml:space="preserve">Yuflyma </w:t>
      </w:r>
      <w:r w:rsidR="006354DB">
        <w:rPr>
          <w:rFonts w:ascii="Times New Roman" w:eastAsia="Times New Roman" w:hAnsi="Times New Roman" w:cs="Times New Roman"/>
          <w:u w:val="single"/>
          <w:lang w:val="sl-SI"/>
        </w:rPr>
        <w:t>8</w:t>
      </w:r>
      <w:r>
        <w:rPr>
          <w:rFonts w:ascii="Times New Roman" w:eastAsia="Times New Roman" w:hAnsi="Times New Roman" w:cs="Times New Roman"/>
          <w:u w:val="single"/>
          <w:lang w:val="sl-SI"/>
        </w:rPr>
        <w:t>0 mg raztopina za injiciranje v napolnjeni injekcijski brizgi</w:t>
      </w:r>
    </w:p>
    <w:p w14:paraId="205962A9" w14:textId="77777777" w:rsidR="00616315" w:rsidRDefault="00616315" w:rsidP="00616315">
      <w:pPr>
        <w:widowControl/>
        <w:tabs>
          <w:tab w:val="left" w:pos="567"/>
        </w:tabs>
        <w:adjustRightInd w:val="0"/>
        <w:rPr>
          <w:rFonts w:ascii="Times New Roman" w:eastAsia="Times New Roman" w:hAnsi="Times New Roman" w:cs="Times New Roman"/>
          <w:lang w:val="sl-SI"/>
        </w:rPr>
      </w:pPr>
    </w:p>
    <w:p w14:paraId="202AAF2F" w14:textId="137229FF" w:rsidR="00616315" w:rsidRDefault="00616315" w:rsidP="00616315">
      <w:pPr>
        <w:widowControl/>
        <w:tabs>
          <w:tab w:val="left" w:pos="567"/>
        </w:tabs>
        <w:adjustRightInd w:val="0"/>
        <w:rPr>
          <w:rFonts w:ascii="Times New Roman" w:hAnsi="Times New Roman" w:cs="Times New Roman"/>
          <w:lang w:val="sl-SI"/>
        </w:rPr>
      </w:pPr>
      <w:r>
        <w:rPr>
          <w:rFonts w:ascii="Times New Roman" w:eastAsia="Times New Roman" w:hAnsi="Times New Roman" w:cs="Times New Roman"/>
          <w:lang w:val="sl-SI"/>
        </w:rPr>
        <w:t>Ena 0,</w:t>
      </w:r>
      <w:r w:rsidR="006354DB">
        <w:rPr>
          <w:rFonts w:ascii="Times New Roman" w:eastAsia="Times New Roman" w:hAnsi="Times New Roman" w:cs="Times New Roman"/>
          <w:lang w:val="sl-SI"/>
        </w:rPr>
        <w:t>8</w:t>
      </w:r>
      <w:r>
        <w:rPr>
          <w:rFonts w:ascii="Times New Roman" w:eastAsia="Times New Roman" w:hAnsi="Times New Roman" w:cs="Times New Roman"/>
          <w:lang w:val="sl-SI"/>
        </w:rPr>
        <w:t xml:space="preserve">-mililitrska napolnjena injekcijska brizga z enkratnim odmerkom vsebuje </w:t>
      </w:r>
      <w:r w:rsidR="006354DB">
        <w:rPr>
          <w:rFonts w:ascii="Times New Roman" w:eastAsia="Times New Roman" w:hAnsi="Times New Roman" w:cs="Times New Roman"/>
          <w:lang w:val="sl-SI"/>
        </w:rPr>
        <w:t>8</w:t>
      </w:r>
      <w:r>
        <w:rPr>
          <w:rFonts w:ascii="Times New Roman" w:eastAsia="Times New Roman" w:hAnsi="Times New Roman" w:cs="Times New Roman"/>
          <w:lang w:val="sl-SI"/>
        </w:rPr>
        <w:t>0 mg adalimumaba.</w:t>
      </w:r>
    </w:p>
    <w:p w14:paraId="208F63FC" w14:textId="77777777" w:rsidR="00616315" w:rsidRDefault="00616315" w:rsidP="00616315">
      <w:pPr>
        <w:spacing w:line="240" w:lineRule="exact"/>
        <w:rPr>
          <w:rFonts w:ascii="Times New Roman" w:hAnsi="Times New Roman" w:cs="Times New Roman"/>
          <w:lang w:val="sl-SI"/>
        </w:rPr>
      </w:pPr>
    </w:p>
    <w:p w14:paraId="37FB8015" w14:textId="2A5D9CD8" w:rsidR="00616315" w:rsidRDefault="00616315" w:rsidP="00616315">
      <w:pPr>
        <w:widowControl/>
        <w:tabs>
          <w:tab w:val="left" w:pos="567"/>
        </w:tabs>
        <w:rPr>
          <w:rFonts w:ascii="Times New Roman" w:eastAsia="Times New Roman" w:hAnsi="Times New Roman" w:cs="Times New Roman"/>
          <w:u w:val="single"/>
          <w:lang w:val="sl-SI"/>
        </w:rPr>
      </w:pPr>
      <w:r>
        <w:rPr>
          <w:rFonts w:ascii="Times New Roman" w:eastAsia="Times New Roman" w:hAnsi="Times New Roman" w:cs="Times New Roman"/>
          <w:u w:val="single"/>
          <w:lang w:val="sl-SI"/>
        </w:rPr>
        <w:t xml:space="preserve">Yuflyma </w:t>
      </w:r>
      <w:r w:rsidR="006354DB">
        <w:rPr>
          <w:rFonts w:ascii="Times New Roman" w:eastAsia="Times New Roman" w:hAnsi="Times New Roman" w:cs="Times New Roman"/>
          <w:u w:val="single"/>
          <w:lang w:val="sl-SI"/>
        </w:rPr>
        <w:t>8</w:t>
      </w:r>
      <w:r>
        <w:rPr>
          <w:rFonts w:ascii="Times New Roman" w:eastAsia="Times New Roman" w:hAnsi="Times New Roman" w:cs="Times New Roman"/>
          <w:u w:val="single"/>
          <w:lang w:val="sl-SI"/>
        </w:rPr>
        <w:t>0 mg raztopina za injiciranje v napolnjenem injekcijskem peresniku</w:t>
      </w:r>
    </w:p>
    <w:p w14:paraId="466D6EAF" w14:textId="77777777" w:rsidR="00616315" w:rsidRDefault="00616315" w:rsidP="00616315">
      <w:pPr>
        <w:widowControl/>
        <w:tabs>
          <w:tab w:val="left" w:pos="567"/>
        </w:tabs>
        <w:rPr>
          <w:rFonts w:ascii="Times New Roman" w:hAnsi="Times New Roman" w:cs="Times New Roman"/>
          <w:lang w:val="sl-SI"/>
        </w:rPr>
      </w:pPr>
    </w:p>
    <w:p w14:paraId="6F3C0D3B" w14:textId="2EEB8071" w:rsidR="00616315" w:rsidRDefault="00616315" w:rsidP="00616315">
      <w:pPr>
        <w:widowControl/>
        <w:tabs>
          <w:tab w:val="left" w:pos="567"/>
        </w:tabs>
        <w:adjustRightInd w:val="0"/>
        <w:rPr>
          <w:rFonts w:ascii="Times New Roman" w:eastAsia="Times New Roman" w:hAnsi="Times New Roman" w:cs="Times New Roman"/>
          <w:lang w:val="sl-SI"/>
        </w:rPr>
      </w:pPr>
      <w:r>
        <w:rPr>
          <w:rFonts w:ascii="Times New Roman" w:eastAsia="Times New Roman" w:hAnsi="Times New Roman" w:cs="Times New Roman"/>
          <w:lang w:val="sl-SI"/>
        </w:rPr>
        <w:t>En 0,</w:t>
      </w:r>
      <w:r w:rsidR="006354DB">
        <w:rPr>
          <w:rFonts w:ascii="Times New Roman" w:eastAsia="Times New Roman" w:hAnsi="Times New Roman" w:cs="Times New Roman"/>
          <w:lang w:val="sl-SI"/>
        </w:rPr>
        <w:t>8</w:t>
      </w:r>
      <w:r>
        <w:rPr>
          <w:rFonts w:ascii="Times New Roman" w:eastAsia="Times New Roman" w:hAnsi="Times New Roman" w:cs="Times New Roman"/>
          <w:lang w:val="sl-SI"/>
        </w:rPr>
        <w:t xml:space="preserve">-ml napolnjen injekcijski peresnik z enkratnim odmerkom vsebuje </w:t>
      </w:r>
      <w:r w:rsidR="006354DB">
        <w:rPr>
          <w:rFonts w:ascii="Times New Roman" w:eastAsia="Times New Roman" w:hAnsi="Times New Roman" w:cs="Times New Roman"/>
          <w:lang w:val="sl-SI"/>
        </w:rPr>
        <w:t>8</w:t>
      </w:r>
      <w:r>
        <w:rPr>
          <w:rFonts w:ascii="Times New Roman" w:eastAsia="Times New Roman" w:hAnsi="Times New Roman" w:cs="Times New Roman"/>
          <w:lang w:val="sl-SI"/>
        </w:rPr>
        <w:t>0 mg adalimumaba.</w:t>
      </w:r>
    </w:p>
    <w:p w14:paraId="6DD49295" w14:textId="77777777" w:rsidR="00616315" w:rsidRDefault="00616315" w:rsidP="00616315">
      <w:pPr>
        <w:spacing w:line="240" w:lineRule="exact"/>
        <w:rPr>
          <w:rFonts w:ascii="Times New Roman" w:hAnsi="Times New Roman" w:cs="Times New Roman"/>
          <w:lang w:val="sl-SI"/>
        </w:rPr>
      </w:pPr>
    </w:p>
    <w:p w14:paraId="0F084B9A" w14:textId="3E5D5154" w:rsidR="00616315" w:rsidRDefault="00616315" w:rsidP="00616315">
      <w:pPr>
        <w:widowControl/>
        <w:tabs>
          <w:tab w:val="left" w:pos="567"/>
        </w:tabs>
        <w:adjustRightInd w:val="0"/>
        <w:rPr>
          <w:rFonts w:ascii="Times New Roman" w:eastAsia="Times New Roman" w:hAnsi="Times New Roman" w:cs="Times New Roman"/>
          <w:lang w:val="sl-SI"/>
        </w:rPr>
      </w:pPr>
      <w:r>
        <w:rPr>
          <w:rFonts w:ascii="Times New Roman" w:eastAsia="Times New Roman" w:hAnsi="Times New Roman" w:cs="Times New Roman"/>
          <w:lang w:val="sl-SI"/>
        </w:rPr>
        <w:t>Adalimumab je rekombinantno humano monoklonsko protitelo, pridobljeno v celicah jajčnika kitajskega hrčka.</w:t>
      </w:r>
    </w:p>
    <w:p w14:paraId="4C4914F5" w14:textId="77777777" w:rsidR="00616315" w:rsidRDefault="00616315" w:rsidP="00616315">
      <w:pPr>
        <w:widowControl/>
        <w:tabs>
          <w:tab w:val="left" w:pos="567"/>
        </w:tabs>
        <w:adjustRightInd w:val="0"/>
        <w:rPr>
          <w:rFonts w:ascii="Times New Roman" w:eastAsia="Times New Roman" w:hAnsi="Times New Roman" w:cs="Times New Roman"/>
          <w:lang w:val="sl-SI"/>
        </w:rPr>
      </w:pPr>
    </w:p>
    <w:p w14:paraId="2AB5D5D2" w14:textId="77777777" w:rsidR="00616315" w:rsidRDefault="00616315" w:rsidP="00616315">
      <w:pPr>
        <w:widowControl/>
        <w:tabs>
          <w:tab w:val="left" w:pos="567"/>
        </w:tabs>
        <w:adjustRightInd w:val="0"/>
        <w:rPr>
          <w:rFonts w:ascii="Times New Roman" w:eastAsia="Times New Roman" w:hAnsi="Times New Roman" w:cs="Times New Roman"/>
          <w:lang w:val="sl-SI"/>
        </w:rPr>
      </w:pPr>
      <w:r>
        <w:rPr>
          <w:rFonts w:ascii="Times New Roman" w:eastAsia="Times New Roman" w:hAnsi="Times New Roman" w:cs="Times New Roman"/>
          <w:lang w:val="sl-SI"/>
        </w:rPr>
        <w:t>Za celoten seznam pomožnih snovi glejte poglavje 6.1.</w:t>
      </w:r>
    </w:p>
    <w:p w14:paraId="1CD89276" w14:textId="77777777" w:rsidR="00616315" w:rsidRDefault="00616315" w:rsidP="00616315">
      <w:pPr>
        <w:spacing w:line="260" w:lineRule="exact"/>
        <w:rPr>
          <w:rFonts w:ascii="Times New Roman" w:hAnsi="Times New Roman" w:cs="Times New Roman"/>
          <w:lang w:val="sl-SI"/>
        </w:rPr>
      </w:pPr>
    </w:p>
    <w:p w14:paraId="3B77830C" w14:textId="77777777" w:rsidR="00616315" w:rsidRDefault="00616315" w:rsidP="00616315">
      <w:pPr>
        <w:spacing w:line="260" w:lineRule="exact"/>
        <w:rPr>
          <w:rFonts w:ascii="Times New Roman" w:hAnsi="Times New Roman" w:cs="Times New Roman"/>
          <w:lang w:val="sl-SI"/>
        </w:rPr>
      </w:pPr>
    </w:p>
    <w:p w14:paraId="72EB3674" w14:textId="77777777" w:rsidR="00616315" w:rsidRDefault="00616315" w:rsidP="0030421B">
      <w:pPr>
        <w:widowControl/>
        <w:numPr>
          <w:ilvl w:val="0"/>
          <w:numId w:val="117"/>
        </w:numPr>
        <w:tabs>
          <w:tab w:val="left" w:pos="567"/>
        </w:tabs>
        <w:spacing w:line="260" w:lineRule="exact"/>
        <w:ind w:left="0" w:firstLine="0"/>
        <w:rPr>
          <w:rFonts w:ascii="Times New Roman" w:hAnsi="Times New Roman" w:cs="Times New Roman"/>
          <w:b/>
          <w:spacing w:val="-1"/>
          <w:lang w:val="sl-SI"/>
        </w:rPr>
      </w:pPr>
      <w:r>
        <w:rPr>
          <w:rFonts w:ascii="Times New Roman" w:eastAsia="Times New Roman" w:hAnsi="Times New Roman" w:cs="Times New Roman"/>
          <w:b/>
          <w:bCs/>
          <w:noProof/>
          <w:lang w:val="sl-SI"/>
        </w:rPr>
        <w:t>FARMACEVTSKA OBLIKA</w:t>
      </w:r>
    </w:p>
    <w:p w14:paraId="4494EAD7" w14:textId="77777777" w:rsidR="00616315" w:rsidRDefault="00616315" w:rsidP="00616315">
      <w:pPr>
        <w:spacing w:line="240" w:lineRule="exact"/>
        <w:rPr>
          <w:rFonts w:ascii="Times New Roman" w:hAnsi="Times New Roman" w:cs="Times New Roman"/>
          <w:lang w:val="sl-SI"/>
        </w:rPr>
      </w:pPr>
    </w:p>
    <w:p w14:paraId="200206C2" w14:textId="77777777" w:rsidR="00616315" w:rsidRDefault="00616315" w:rsidP="00616315">
      <w:pPr>
        <w:widowControl/>
        <w:tabs>
          <w:tab w:val="left" w:pos="567"/>
        </w:tabs>
        <w:adjustRightInd w:val="0"/>
        <w:rPr>
          <w:rFonts w:ascii="Times New Roman" w:eastAsia="Times New Roman" w:hAnsi="Times New Roman" w:cs="Times New Roman"/>
          <w:lang w:val="sl-SI"/>
        </w:rPr>
      </w:pPr>
      <w:r>
        <w:rPr>
          <w:rFonts w:ascii="Times New Roman" w:eastAsia="Times New Roman" w:hAnsi="Times New Roman" w:cs="Times New Roman"/>
          <w:lang w:val="sl-SI"/>
        </w:rPr>
        <w:t xml:space="preserve">raztopina za injiciranje (injekcija) </w:t>
      </w:r>
    </w:p>
    <w:p w14:paraId="08CA135A" w14:textId="77777777" w:rsidR="00616315" w:rsidRDefault="00616315" w:rsidP="00616315">
      <w:pPr>
        <w:widowControl/>
        <w:tabs>
          <w:tab w:val="left" w:pos="567"/>
        </w:tabs>
        <w:adjustRightInd w:val="0"/>
        <w:rPr>
          <w:rFonts w:ascii="Times New Roman" w:eastAsia="Times New Roman" w:hAnsi="Times New Roman" w:cs="Times New Roman"/>
          <w:lang w:val="sl-SI"/>
        </w:rPr>
      </w:pPr>
    </w:p>
    <w:p w14:paraId="4B551320" w14:textId="77777777" w:rsidR="00616315" w:rsidRDefault="00616315" w:rsidP="00616315">
      <w:pPr>
        <w:widowControl/>
        <w:tabs>
          <w:tab w:val="left" w:pos="567"/>
        </w:tabs>
        <w:adjustRightInd w:val="0"/>
        <w:rPr>
          <w:rFonts w:ascii="Times New Roman" w:eastAsia="Times New Roman" w:hAnsi="Times New Roman" w:cs="Times New Roman"/>
          <w:lang w:val="sl-SI"/>
        </w:rPr>
      </w:pPr>
      <w:r>
        <w:rPr>
          <w:rFonts w:ascii="Times New Roman" w:eastAsia="Times New Roman" w:hAnsi="Times New Roman" w:cs="Times New Roman"/>
          <w:lang w:val="sl-SI"/>
        </w:rPr>
        <w:t>Bistra do rahlo motna, brezbarvna do bledo rjavkasta raztopina.</w:t>
      </w:r>
    </w:p>
    <w:p w14:paraId="19CB8BA4" w14:textId="77777777" w:rsidR="00616315" w:rsidRDefault="00616315" w:rsidP="00616315">
      <w:pPr>
        <w:spacing w:line="260" w:lineRule="exact"/>
        <w:rPr>
          <w:rFonts w:ascii="Times New Roman" w:hAnsi="Times New Roman" w:cs="Times New Roman"/>
          <w:lang w:val="sl-SI"/>
        </w:rPr>
      </w:pPr>
    </w:p>
    <w:p w14:paraId="30B8E453" w14:textId="77777777" w:rsidR="00616315" w:rsidRDefault="00616315" w:rsidP="00616315">
      <w:pPr>
        <w:spacing w:line="260" w:lineRule="exact"/>
        <w:rPr>
          <w:rFonts w:ascii="Times New Roman" w:hAnsi="Times New Roman" w:cs="Times New Roman"/>
          <w:lang w:val="sl-SI"/>
        </w:rPr>
      </w:pPr>
    </w:p>
    <w:p w14:paraId="401C2483" w14:textId="77777777" w:rsidR="00616315" w:rsidRDefault="00616315" w:rsidP="0030421B">
      <w:pPr>
        <w:widowControl/>
        <w:numPr>
          <w:ilvl w:val="0"/>
          <w:numId w:val="117"/>
        </w:numPr>
        <w:tabs>
          <w:tab w:val="left" w:pos="567"/>
        </w:tabs>
        <w:spacing w:line="260" w:lineRule="exact"/>
        <w:ind w:left="0" w:firstLine="0"/>
        <w:rPr>
          <w:rFonts w:ascii="Times New Roman" w:hAnsi="Times New Roman" w:cs="Times New Roman"/>
          <w:b/>
          <w:spacing w:val="-1"/>
          <w:lang w:val="sl-SI"/>
        </w:rPr>
      </w:pPr>
      <w:r>
        <w:rPr>
          <w:rFonts w:ascii="Times New Roman" w:eastAsia="Times New Roman" w:hAnsi="Times New Roman" w:cs="Times New Roman"/>
          <w:b/>
          <w:bCs/>
          <w:noProof/>
          <w:lang w:val="sl-SI"/>
        </w:rPr>
        <w:t>KLINIČNI PODATKI</w:t>
      </w:r>
    </w:p>
    <w:p w14:paraId="12B17FB2" w14:textId="77777777" w:rsidR="00616315" w:rsidRDefault="00616315" w:rsidP="00616315">
      <w:pPr>
        <w:pStyle w:val="a4"/>
        <w:tabs>
          <w:tab w:val="left" w:pos="672"/>
        </w:tabs>
        <w:rPr>
          <w:rFonts w:ascii="Times New Roman" w:eastAsia="Times New Roman" w:hAnsi="Times New Roman" w:cs="Times New Roman"/>
          <w:b/>
          <w:noProof/>
          <w:lang w:val="sl-SI"/>
        </w:rPr>
      </w:pPr>
    </w:p>
    <w:p w14:paraId="3E7C9BCB" w14:textId="77777777" w:rsidR="00616315" w:rsidRDefault="00616315" w:rsidP="0030421B">
      <w:pPr>
        <w:widowControl/>
        <w:numPr>
          <w:ilvl w:val="1"/>
          <w:numId w:val="118"/>
        </w:numPr>
        <w:tabs>
          <w:tab w:val="left" w:pos="567"/>
        </w:tabs>
        <w:spacing w:line="260" w:lineRule="exact"/>
        <w:ind w:firstLine="0"/>
        <w:rPr>
          <w:rFonts w:ascii="Times New Roman" w:eastAsia="Times New Roman" w:hAnsi="Times New Roman" w:cs="Times New Roman"/>
          <w:lang w:val="sl-SI"/>
        </w:rPr>
      </w:pPr>
      <w:r>
        <w:rPr>
          <w:rFonts w:ascii="Times New Roman" w:eastAsia="Times New Roman" w:hAnsi="Times New Roman" w:cs="Times New Roman"/>
          <w:b/>
          <w:bCs/>
          <w:noProof/>
          <w:lang w:val="sl-SI"/>
        </w:rPr>
        <w:t>Terapevtske indikacije</w:t>
      </w:r>
    </w:p>
    <w:p w14:paraId="4D718334" w14:textId="77777777" w:rsidR="00616315" w:rsidRDefault="00616315" w:rsidP="00616315">
      <w:pPr>
        <w:spacing w:line="240" w:lineRule="exact"/>
        <w:rPr>
          <w:rFonts w:ascii="Times New Roman" w:hAnsi="Times New Roman" w:cs="Times New Roman"/>
          <w:lang w:val="sl-SI"/>
        </w:rPr>
      </w:pPr>
    </w:p>
    <w:p w14:paraId="16C32E2C" w14:textId="77777777" w:rsidR="00616315" w:rsidRDefault="00616315" w:rsidP="00616315">
      <w:pPr>
        <w:pStyle w:val="a3"/>
        <w:rPr>
          <w:u w:val="single"/>
          <w:lang w:val="sl-SI"/>
        </w:rPr>
      </w:pPr>
      <w:r>
        <w:rPr>
          <w:rFonts w:eastAsia="Times New Roman"/>
          <w:u w:val="single" w:color="000000"/>
          <w:lang w:val="sl-SI"/>
        </w:rPr>
        <w:t>Revmatoidni artritis</w:t>
      </w:r>
    </w:p>
    <w:p w14:paraId="58CEFE03" w14:textId="77777777" w:rsidR="00616315" w:rsidRDefault="00616315" w:rsidP="00616315">
      <w:pPr>
        <w:spacing w:line="170" w:lineRule="exact"/>
        <w:rPr>
          <w:rFonts w:ascii="Times New Roman" w:hAnsi="Times New Roman" w:cs="Times New Roman"/>
          <w:lang w:val="sl-SI"/>
        </w:rPr>
      </w:pPr>
    </w:p>
    <w:p w14:paraId="17F3A37E" w14:textId="77777777" w:rsidR="00616315" w:rsidRDefault="00616315" w:rsidP="00616315">
      <w:pPr>
        <w:pStyle w:val="a3"/>
        <w:rPr>
          <w:lang w:val="sl-SI"/>
        </w:rPr>
      </w:pPr>
      <w:r>
        <w:rPr>
          <w:rFonts w:eastAsia="Times New Roman"/>
          <w:lang w:val="sl-SI"/>
        </w:rPr>
        <w:t>Zdravilo Yuflyma v kombinaciji z metotreksatom je indicirano za:</w:t>
      </w:r>
    </w:p>
    <w:p w14:paraId="78D3C98C" w14:textId="77777777" w:rsidR="00616315" w:rsidRDefault="00616315" w:rsidP="00616315">
      <w:pPr>
        <w:spacing w:line="240" w:lineRule="exact"/>
        <w:rPr>
          <w:rFonts w:ascii="Times New Roman" w:hAnsi="Times New Roman" w:cs="Times New Roman"/>
          <w:lang w:val="sl-SI"/>
        </w:rPr>
      </w:pPr>
    </w:p>
    <w:p w14:paraId="6FE80993" w14:textId="77777777" w:rsidR="00616315" w:rsidRDefault="00616315" w:rsidP="00616315">
      <w:pPr>
        <w:pStyle w:val="a3"/>
        <w:numPr>
          <w:ilvl w:val="0"/>
          <w:numId w:val="15"/>
        </w:numPr>
        <w:ind w:left="660" w:hanging="660"/>
        <w:rPr>
          <w:lang w:val="sl-SI"/>
        </w:rPr>
      </w:pPr>
      <w:r>
        <w:rPr>
          <w:rFonts w:eastAsia="Times New Roman"/>
          <w:lang w:val="sl-SI"/>
        </w:rPr>
        <w:t>zdravljenje zmernega do hudega, aktivnega revmatoidnega artritisa pri odraslih bolnikih, če je bil odziv na imunomodulirajoča protirevmatična zdravila, vključno z metotreksatom, neustrezen.</w:t>
      </w:r>
    </w:p>
    <w:p w14:paraId="33C44736" w14:textId="77777777" w:rsidR="00616315" w:rsidRDefault="00616315" w:rsidP="00616315">
      <w:pPr>
        <w:pStyle w:val="a3"/>
        <w:numPr>
          <w:ilvl w:val="0"/>
          <w:numId w:val="15"/>
        </w:numPr>
        <w:ind w:left="660" w:hanging="660"/>
        <w:rPr>
          <w:lang w:val="sl-SI"/>
        </w:rPr>
      </w:pPr>
      <w:r>
        <w:rPr>
          <w:rFonts w:eastAsia="Times New Roman"/>
          <w:lang w:val="sl-SI"/>
        </w:rPr>
        <w:t>zdravljenje hudega, aktivnega in progresivnega revmatoidnega artritisa pri odraslih, ki predhodno niso bili zdravljeni z metotreksatom.</w:t>
      </w:r>
    </w:p>
    <w:p w14:paraId="0BECB15F" w14:textId="77777777" w:rsidR="00616315" w:rsidRDefault="00616315" w:rsidP="00616315">
      <w:pPr>
        <w:spacing w:line="240" w:lineRule="exact"/>
        <w:rPr>
          <w:rFonts w:ascii="Times New Roman" w:hAnsi="Times New Roman" w:cs="Times New Roman"/>
          <w:lang w:val="sl-SI"/>
        </w:rPr>
      </w:pPr>
    </w:p>
    <w:p w14:paraId="125D3952" w14:textId="77777777" w:rsidR="00616315" w:rsidRDefault="00616315" w:rsidP="00616315">
      <w:pPr>
        <w:pStyle w:val="a3"/>
        <w:rPr>
          <w:lang w:val="sl-SI"/>
        </w:rPr>
      </w:pPr>
      <w:r>
        <w:rPr>
          <w:rFonts w:eastAsia="Times New Roman"/>
          <w:lang w:val="sl-SI"/>
        </w:rPr>
        <w:t>Zdravilo Yuflyma se lahko daje kot monoterapija v primeru intolerance za metotreksat ali kadar je nadaljnje zdravljenje z metotreksatom neprimerno.</w:t>
      </w:r>
    </w:p>
    <w:p w14:paraId="1D6CADEC" w14:textId="77777777" w:rsidR="00616315" w:rsidRDefault="00616315" w:rsidP="00616315">
      <w:pPr>
        <w:spacing w:line="240" w:lineRule="exact"/>
        <w:rPr>
          <w:rFonts w:ascii="Times New Roman" w:hAnsi="Times New Roman" w:cs="Times New Roman"/>
          <w:lang w:val="sl-SI"/>
        </w:rPr>
      </w:pPr>
    </w:p>
    <w:p w14:paraId="6D58F3E0" w14:textId="77777777" w:rsidR="00616315" w:rsidRDefault="00616315" w:rsidP="00616315">
      <w:pPr>
        <w:pStyle w:val="a3"/>
        <w:rPr>
          <w:lang w:val="sl-SI"/>
        </w:rPr>
      </w:pPr>
      <w:r>
        <w:rPr>
          <w:rFonts w:eastAsia="Times New Roman"/>
          <w:lang w:val="sl-SI" w:eastAsia="ko-KR"/>
        </w:rPr>
        <w:t>Dokazano je bilo, da adalimumab upočasni hitrost napredovanja prizadetosti sklepov, kot je bilo izmerjeno z rentgenskim posnetkom, in izboljša telesno funkcijo, kadar se daje v kombinaciji z metotreksatom.</w:t>
      </w:r>
    </w:p>
    <w:p w14:paraId="30E6A303" w14:textId="77777777" w:rsidR="00B123FF" w:rsidRDefault="00B123FF" w:rsidP="00616315">
      <w:pPr>
        <w:pStyle w:val="a3"/>
        <w:rPr>
          <w:u w:color="000000"/>
          <w:lang w:val="sl-SI"/>
        </w:rPr>
      </w:pPr>
    </w:p>
    <w:p w14:paraId="2A6A9A75" w14:textId="77777777" w:rsidR="00616315" w:rsidRDefault="00616315" w:rsidP="00616315">
      <w:pPr>
        <w:pStyle w:val="a3"/>
        <w:rPr>
          <w:u w:val="single"/>
          <w:lang w:val="sl-SI"/>
        </w:rPr>
      </w:pPr>
      <w:r>
        <w:rPr>
          <w:rFonts w:eastAsia="Times New Roman"/>
          <w:u w:val="single" w:color="000000"/>
          <w:lang w:val="sl-SI"/>
        </w:rPr>
        <w:t>Psoriaza</w:t>
      </w:r>
    </w:p>
    <w:p w14:paraId="56B44116" w14:textId="77777777" w:rsidR="00616315" w:rsidRDefault="00616315" w:rsidP="00616315">
      <w:pPr>
        <w:spacing w:line="180" w:lineRule="exact"/>
        <w:rPr>
          <w:rFonts w:ascii="Times New Roman" w:hAnsi="Times New Roman" w:cs="Times New Roman"/>
          <w:lang w:val="sl-SI"/>
        </w:rPr>
      </w:pPr>
    </w:p>
    <w:p w14:paraId="0D685F64" w14:textId="669965E1" w:rsidR="00616315" w:rsidRDefault="00616315" w:rsidP="00616315">
      <w:pPr>
        <w:pStyle w:val="a3"/>
        <w:rPr>
          <w:lang w:val="sl-SI"/>
        </w:rPr>
      </w:pPr>
      <w:r>
        <w:rPr>
          <w:rFonts w:eastAsia="Times New Roman"/>
          <w:lang w:val="sl-SI"/>
        </w:rPr>
        <w:t>Zdravilo Yuflyma je indicirano za zdravljenje zmerne do hude kronične psoriaze v plakih pri odraslih bolnikih, ki so kandidati za sistemsko zdravljenje.</w:t>
      </w:r>
    </w:p>
    <w:p w14:paraId="78204708" w14:textId="77777777" w:rsidR="00616315" w:rsidRDefault="00616315" w:rsidP="00616315">
      <w:pPr>
        <w:spacing w:line="240" w:lineRule="exact"/>
        <w:rPr>
          <w:rFonts w:ascii="Times New Roman" w:hAnsi="Times New Roman" w:cs="Times New Roman"/>
          <w:lang w:val="sl-SI"/>
        </w:rPr>
      </w:pPr>
    </w:p>
    <w:p w14:paraId="0951F798" w14:textId="77777777" w:rsidR="00616315" w:rsidRDefault="00616315" w:rsidP="00616315">
      <w:pPr>
        <w:pStyle w:val="a3"/>
        <w:rPr>
          <w:u w:val="single"/>
          <w:lang w:val="sl-SI"/>
        </w:rPr>
      </w:pPr>
      <w:r>
        <w:rPr>
          <w:rFonts w:eastAsia="Times New Roman"/>
          <w:u w:val="single" w:color="000000"/>
          <w:lang w:val="sl-SI"/>
        </w:rPr>
        <w:t>Hidradenitis suppurativa (HS)</w:t>
      </w:r>
    </w:p>
    <w:p w14:paraId="28943519" w14:textId="77777777" w:rsidR="00616315" w:rsidRDefault="00616315" w:rsidP="00616315">
      <w:pPr>
        <w:spacing w:line="180" w:lineRule="exact"/>
        <w:rPr>
          <w:rFonts w:ascii="Times New Roman" w:hAnsi="Times New Roman" w:cs="Times New Roman"/>
          <w:lang w:val="sl-SI"/>
        </w:rPr>
      </w:pPr>
    </w:p>
    <w:p w14:paraId="58C5C05F" w14:textId="77777777" w:rsidR="00616315" w:rsidRDefault="00616315" w:rsidP="00616315">
      <w:pPr>
        <w:pStyle w:val="a3"/>
        <w:rPr>
          <w:lang w:val="sl-SI"/>
        </w:rPr>
      </w:pPr>
      <w:r>
        <w:rPr>
          <w:rFonts w:eastAsia="Times New Roman"/>
          <w:lang w:val="sl-SI"/>
        </w:rPr>
        <w:t>Zdravilo Yuflyma je indicirano za zdravljenje aktivne, zmerne do hude oblike hidradenitis suppurativa (acne inversa) pri odraslih in mladostnikih, starejših od 12 let, ki se ne odzovejo zadovoljivo na konvencionalno sistemsko zdravljenje HS (glejte poglavji 5.1 in 5.2).</w:t>
      </w:r>
    </w:p>
    <w:p w14:paraId="3571D082" w14:textId="77777777" w:rsidR="00616315" w:rsidRDefault="00616315" w:rsidP="00616315">
      <w:pPr>
        <w:pStyle w:val="a3"/>
        <w:rPr>
          <w:u w:color="000000"/>
          <w:lang w:val="sl-SI"/>
        </w:rPr>
      </w:pPr>
    </w:p>
    <w:p w14:paraId="6A58D674" w14:textId="77777777" w:rsidR="00616315" w:rsidRDefault="00616315" w:rsidP="00616315">
      <w:pPr>
        <w:pStyle w:val="a3"/>
        <w:rPr>
          <w:u w:val="single"/>
          <w:lang w:val="sl-SI"/>
        </w:rPr>
      </w:pPr>
      <w:r>
        <w:rPr>
          <w:rFonts w:eastAsia="Times New Roman"/>
          <w:u w:val="single" w:color="000000"/>
          <w:lang w:val="sl-SI"/>
        </w:rPr>
        <w:t>Crohnova bolezen</w:t>
      </w:r>
    </w:p>
    <w:p w14:paraId="6D280810" w14:textId="77777777" w:rsidR="00616315" w:rsidRDefault="00616315" w:rsidP="00616315">
      <w:pPr>
        <w:spacing w:line="180" w:lineRule="exact"/>
        <w:rPr>
          <w:rFonts w:ascii="Times New Roman" w:hAnsi="Times New Roman" w:cs="Times New Roman"/>
          <w:lang w:val="sl-SI"/>
        </w:rPr>
      </w:pPr>
    </w:p>
    <w:p w14:paraId="33CA4B8B" w14:textId="77777777" w:rsidR="00616315" w:rsidRDefault="00616315" w:rsidP="00616315">
      <w:pPr>
        <w:pStyle w:val="a3"/>
        <w:rPr>
          <w:lang w:val="sl-SI"/>
        </w:rPr>
      </w:pPr>
      <w:r>
        <w:rPr>
          <w:rFonts w:eastAsia="Times New Roman"/>
          <w:lang w:val="sl-SI"/>
        </w:rPr>
        <w:t xml:space="preserve">Zdravilo Yuflyma je indicirano za zdravljenje zmerno do hudo aktivne Crohnove bolezni pri odraslih bolnikih, </w:t>
      </w:r>
      <w:r w:rsidRPr="0047220F">
        <w:rPr>
          <w:rFonts w:eastAsia="Times New Roman"/>
          <w:lang w:val="sl-SI"/>
        </w:rPr>
        <w:t>ki se niso odzvali na popolnemu in ustrezen cikel zdravljenja s kortikosteroidi in/ali imunosupresivom, ali pa ne prenašajo ali imajo medicinske kontraindikacije za takšna zdravljenja.</w:t>
      </w:r>
    </w:p>
    <w:p w14:paraId="72C0E58A" w14:textId="77777777" w:rsidR="00616315" w:rsidRDefault="00616315" w:rsidP="00616315">
      <w:pPr>
        <w:spacing w:line="240" w:lineRule="exact"/>
        <w:rPr>
          <w:rFonts w:ascii="Times New Roman" w:hAnsi="Times New Roman" w:cs="Times New Roman"/>
          <w:lang w:val="sl-SI"/>
        </w:rPr>
      </w:pPr>
    </w:p>
    <w:p w14:paraId="6D32DB5D" w14:textId="77777777" w:rsidR="00616315" w:rsidRDefault="00616315" w:rsidP="00616315">
      <w:pPr>
        <w:pStyle w:val="a3"/>
        <w:rPr>
          <w:u w:val="single"/>
          <w:lang w:val="sl-SI"/>
        </w:rPr>
      </w:pPr>
      <w:r>
        <w:rPr>
          <w:rFonts w:eastAsia="Times New Roman"/>
          <w:u w:val="single" w:color="000000"/>
          <w:lang w:val="sl-SI"/>
        </w:rPr>
        <w:t>Crohnova bolezen pri pediatričnih bolnikih</w:t>
      </w:r>
    </w:p>
    <w:p w14:paraId="53165EEB" w14:textId="77777777" w:rsidR="00616315" w:rsidRDefault="00616315" w:rsidP="00616315">
      <w:pPr>
        <w:spacing w:line="170" w:lineRule="exact"/>
        <w:rPr>
          <w:rFonts w:ascii="Times New Roman" w:hAnsi="Times New Roman" w:cs="Times New Roman"/>
          <w:lang w:val="sl-SI"/>
        </w:rPr>
      </w:pPr>
    </w:p>
    <w:p w14:paraId="1C443903" w14:textId="77777777" w:rsidR="00616315" w:rsidRDefault="00616315" w:rsidP="00616315">
      <w:pPr>
        <w:pStyle w:val="a3"/>
        <w:rPr>
          <w:lang w:val="sl-SI"/>
        </w:rPr>
      </w:pPr>
      <w:r>
        <w:rPr>
          <w:rFonts w:eastAsia="Times New Roman"/>
          <w:lang w:val="sl-SI"/>
        </w:rPr>
        <w:t>Zdravilo Yuflyma je indicirano za zdravljenje zmerno do hudo aktivne Crohnove bolezni pri pediatričnih bolnikih (od 6. leta naprej), ki so se na običajno zdravljenje odzvali nezadostno, vključno s primarnim prehranskim zdravljenjem, kortikosteroidi in/ali imunomodulatorjem, ali ki takšnih zdravljenj ne prenašajo ali imajo kontraindikacije zanj.</w:t>
      </w:r>
    </w:p>
    <w:p w14:paraId="004BE130" w14:textId="77777777" w:rsidR="00616315" w:rsidRDefault="00616315" w:rsidP="00616315">
      <w:pPr>
        <w:spacing w:line="240" w:lineRule="exact"/>
        <w:rPr>
          <w:rFonts w:ascii="Times New Roman" w:hAnsi="Times New Roman" w:cs="Times New Roman"/>
          <w:lang w:val="sl-SI"/>
        </w:rPr>
      </w:pPr>
    </w:p>
    <w:p w14:paraId="7A0AB1A5" w14:textId="77777777" w:rsidR="00616315" w:rsidRDefault="00616315" w:rsidP="00616315">
      <w:pPr>
        <w:pStyle w:val="a3"/>
        <w:rPr>
          <w:u w:val="single"/>
          <w:lang w:val="sl-SI"/>
        </w:rPr>
      </w:pPr>
      <w:r>
        <w:rPr>
          <w:rFonts w:eastAsia="Times New Roman"/>
          <w:u w:val="single" w:color="000000"/>
          <w:lang w:val="sl-SI"/>
        </w:rPr>
        <w:t>Ulcerozni kolitis</w:t>
      </w:r>
    </w:p>
    <w:p w14:paraId="074E0487" w14:textId="77777777" w:rsidR="00616315" w:rsidRDefault="00616315" w:rsidP="00616315">
      <w:pPr>
        <w:spacing w:line="180" w:lineRule="exact"/>
        <w:rPr>
          <w:rFonts w:ascii="Times New Roman" w:hAnsi="Times New Roman" w:cs="Times New Roman"/>
          <w:lang w:val="sl-SI"/>
        </w:rPr>
      </w:pPr>
    </w:p>
    <w:p w14:paraId="57105B06" w14:textId="77777777" w:rsidR="00616315" w:rsidRPr="00CF282E" w:rsidRDefault="00616315" w:rsidP="00616315">
      <w:pPr>
        <w:pStyle w:val="a3"/>
        <w:rPr>
          <w:rFonts w:eastAsia="Times New Roman"/>
          <w:lang w:val="sl-SI"/>
        </w:rPr>
      </w:pPr>
      <w:r>
        <w:rPr>
          <w:rFonts w:eastAsia="Times New Roman"/>
          <w:lang w:val="sl-SI"/>
        </w:rPr>
        <w:t>Zdravilo Yuflym</w:t>
      </w:r>
      <w:r w:rsidRPr="00C55486">
        <w:rPr>
          <w:rFonts w:eastAsia="Times New Roman"/>
          <w:lang w:val="sl-SI"/>
        </w:rPr>
        <w:t>a je indicirano za zdravljenje zmerno do hudo aktivnega ulceroznega kolitisa pri odraslih bolnikih, ki se na običajno zdravljenje ne odzivajo ustrezno, vključno s kortikosteroidi in 6-merkaptopurinom (6 MP) ali azatioprinom (AZA), ali ki takšnih zdravljenj ne prenašajo ali imajo medicinske kontraindikacije zanj.</w:t>
      </w:r>
    </w:p>
    <w:p w14:paraId="2980E6EC" w14:textId="77777777" w:rsidR="00616315" w:rsidRPr="00CF282E" w:rsidRDefault="00616315" w:rsidP="00616315">
      <w:pPr>
        <w:pStyle w:val="a3"/>
        <w:rPr>
          <w:lang w:val="sl-SI"/>
        </w:rPr>
      </w:pPr>
    </w:p>
    <w:p w14:paraId="5127BB3C" w14:textId="77777777" w:rsidR="00616315" w:rsidRPr="00797234" w:rsidRDefault="00616315" w:rsidP="00616315">
      <w:pPr>
        <w:rPr>
          <w:rFonts w:ascii="Times New Roman" w:hAnsi="Times New Roman" w:cs="Times New Roman"/>
          <w:u w:val="single"/>
          <w:lang w:val="sl-SI"/>
        </w:rPr>
      </w:pPr>
      <w:r w:rsidRPr="00797234">
        <w:rPr>
          <w:rFonts w:ascii="Times New Roman" w:hAnsi="Times New Roman" w:cs="Times New Roman"/>
          <w:u w:val="single"/>
          <w:lang w:val="sl-SI"/>
        </w:rPr>
        <w:t>Ulcerozni kolitis pri pediatričnih bolnikih</w:t>
      </w:r>
    </w:p>
    <w:p w14:paraId="7C46BBEB" w14:textId="77777777" w:rsidR="00616315" w:rsidRPr="00797234" w:rsidRDefault="00616315" w:rsidP="00616315">
      <w:pPr>
        <w:rPr>
          <w:rFonts w:ascii="Times New Roman" w:hAnsi="Times New Roman" w:cs="Times New Roman"/>
          <w:lang w:val="sl-SI"/>
        </w:rPr>
      </w:pPr>
    </w:p>
    <w:p w14:paraId="40A41F61" w14:textId="1D05DD35" w:rsidR="00616315" w:rsidRPr="00797234" w:rsidRDefault="00616315" w:rsidP="00616315">
      <w:pPr>
        <w:rPr>
          <w:rFonts w:ascii="Times New Roman" w:hAnsi="Times New Roman" w:cs="Times New Roman"/>
          <w:lang w:val="sl-SI"/>
        </w:rPr>
      </w:pPr>
      <w:r w:rsidRPr="00797234">
        <w:rPr>
          <w:rFonts w:ascii="Times New Roman" w:hAnsi="Times New Roman" w:cs="Times New Roman"/>
          <w:lang w:val="sl-SI"/>
        </w:rPr>
        <w:t xml:space="preserve">Zdravilo </w:t>
      </w:r>
      <w:r>
        <w:rPr>
          <w:rFonts w:ascii="Times New Roman" w:hAnsi="Times New Roman" w:cs="Times New Roman"/>
          <w:lang w:val="sl-SI"/>
        </w:rPr>
        <w:t>Yuflyma</w:t>
      </w:r>
      <w:r w:rsidRPr="00797234">
        <w:rPr>
          <w:rFonts w:ascii="Times New Roman" w:hAnsi="Times New Roman" w:cs="Times New Roman"/>
          <w:lang w:val="sl-SI"/>
        </w:rPr>
        <w:t xml:space="preserve"> je indicirano za zdravljenje zmerno do hudo aktivnega ulceroznega kolitisa pri pediatričnih bolnikih (od 6. leta starosti), ki se ne odzovejo zadovoljivo na konvencionalno zdravljenje, vključno s kortikosteroidi in/ali 6</w:t>
      </w:r>
      <w:r w:rsidRPr="00797234">
        <w:rPr>
          <w:rFonts w:ascii="Times New Roman" w:hAnsi="Times New Roman" w:cs="Times New Roman"/>
          <w:lang w:val="sl-SI"/>
        </w:rPr>
        <w:noBreakHyphen/>
        <w:t>merkaptopurinom (6</w:t>
      </w:r>
      <w:r w:rsidRPr="00797234">
        <w:rPr>
          <w:rFonts w:ascii="Times New Roman" w:hAnsi="Times New Roman" w:cs="Times New Roman"/>
          <w:lang w:val="sl-SI"/>
        </w:rPr>
        <w:noBreakHyphen/>
        <w:t>MP) ali azatioprinom (AZA), ali pri tistih, ki imajo intoleranco ali medicinske kontraindikacije za tako zdravljenje.</w:t>
      </w:r>
    </w:p>
    <w:p w14:paraId="7354B390" w14:textId="77777777" w:rsidR="00616315" w:rsidRPr="00C55486" w:rsidRDefault="00616315" w:rsidP="00616315">
      <w:pPr>
        <w:spacing w:line="240" w:lineRule="exact"/>
        <w:rPr>
          <w:rFonts w:ascii="Times New Roman" w:hAnsi="Times New Roman" w:cs="Times New Roman"/>
          <w:lang w:val="sl-SI"/>
        </w:rPr>
      </w:pPr>
    </w:p>
    <w:p w14:paraId="137987A9" w14:textId="77777777" w:rsidR="00616315" w:rsidRDefault="00616315" w:rsidP="00616315">
      <w:pPr>
        <w:pStyle w:val="a3"/>
        <w:rPr>
          <w:u w:val="single"/>
          <w:lang w:val="sl-SI"/>
        </w:rPr>
      </w:pPr>
      <w:r>
        <w:rPr>
          <w:rFonts w:eastAsia="Times New Roman"/>
          <w:u w:val="single" w:color="000000"/>
          <w:lang w:val="sl-SI"/>
        </w:rPr>
        <w:t>Uveitis</w:t>
      </w:r>
    </w:p>
    <w:p w14:paraId="38562B0C" w14:textId="77777777" w:rsidR="00616315" w:rsidRDefault="00616315" w:rsidP="00616315">
      <w:pPr>
        <w:spacing w:line="180" w:lineRule="exact"/>
        <w:rPr>
          <w:rFonts w:ascii="Times New Roman" w:hAnsi="Times New Roman" w:cs="Times New Roman"/>
          <w:lang w:val="sl-SI"/>
        </w:rPr>
      </w:pPr>
    </w:p>
    <w:p w14:paraId="5CBE3E3B" w14:textId="77777777" w:rsidR="00616315" w:rsidRDefault="00616315" w:rsidP="00616315">
      <w:pPr>
        <w:pStyle w:val="a3"/>
        <w:rPr>
          <w:lang w:val="sl-SI"/>
        </w:rPr>
      </w:pPr>
      <w:r>
        <w:rPr>
          <w:rFonts w:eastAsia="Times New Roman"/>
          <w:lang w:val="sl-SI"/>
        </w:rPr>
        <w:t>Zdravilo Yuflyma je indicirano za zdravljenje neinfekcijskega intermediarnega, posteriornega uveitisa in panuveitisa pri odraslih bolnikih, ki se niso ustrezno odzivali na zdravljenje s kortikosteroidi, pri bolnikih, pri katerih je treba uporabo kortikosteroidov zmanjšati, ali pri bolnikih, pri katerih zdravljenje s kortikosteroidi ni primerno.</w:t>
      </w:r>
    </w:p>
    <w:p w14:paraId="0966333B" w14:textId="77777777" w:rsidR="00616315" w:rsidRDefault="00616315" w:rsidP="00616315">
      <w:pPr>
        <w:spacing w:line="240" w:lineRule="exact"/>
        <w:rPr>
          <w:rFonts w:ascii="Times New Roman" w:hAnsi="Times New Roman" w:cs="Times New Roman"/>
          <w:lang w:val="sl-SI"/>
        </w:rPr>
      </w:pPr>
    </w:p>
    <w:p w14:paraId="30C81116" w14:textId="77777777" w:rsidR="00616315" w:rsidRDefault="00616315" w:rsidP="00616315">
      <w:pPr>
        <w:pStyle w:val="a3"/>
        <w:rPr>
          <w:u w:val="single"/>
          <w:lang w:val="sl-SI"/>
        </w:rPr>
      </w:pPr>
      <w:r>
        <w:rPr>
          <w:rFonts w:eastAsia="Times New Roman"/>
          <w:u w:val="single" w:color="000000"/>
          <w:lang w:val="sl-SI"/>
        </w:rPr>
        <w:t>Uveitis pri pediatričnih bolnikih</w:t>
      </w:r>
    </w:p>
    <w:p w14:paraId="06444ABE" w14:textId="77777777" w:rsidR="00616315" w:rsidRDefault="00616315" w:rsidP="00616315">
      <w:pPr>
        <w:spacing w:line="180" w:lineRule="exact"/>
        <w:rPr>
          <w:rFonts w:ascii="Times New Roman" w:hAnsi="Times New Roman" w:cs="Times New Roman"/>
          <w:lang w:val="sl-SI"/>
        </w:rPr>
      </w:pPr>
    </w:p>
    <w:p w14:paraId="04F41506" w14:textId="77777777" w:rsidR="00616315" w:rsidRDefault="00616315" w:rsidP="00616315">
      <w:pPr>
        <w:pStyle w:val="a3"/>
        <w:rPr>
          <w:lang w:val="sl-SI"/>
        </w:rPr>
      </w:pPr>
      <w:r>
        <w:rPr>
          <w:rFonts w:eastAsia="Times New Roman"/>
          <w:lang w:val="sl-SI"/>
        </w:rPr>
        <w:t>Zdravilo Yuflyma je indicirano za zdravljenje pediatričnega kroničnega neinfekcijskega anteriornega uveitisa pri bolnikih, starih 2 leti ali več, ki se na običajno zdravljenje ne odzivajo ustrezno ali ga ne prenašajo ali pri katerih običajno zdravljenje ni primerno.</w:t>
      </w:r>
    </w:p>
    <w:p w14:paraId="22D72AEC" w14:textId="77777777" w:rsidR="00616315" w:rsidRDefault="00616315" w:rsidP="00616315">
      <w:pPr>
        <w:spacing w:before="15" w:line="240" w:lineRule="exact"/>
        <w:rPr>
          <w:rFonts w:ascii="Times New Roman" w:hAnsi="Times New Roman" w:cs="Times New Roman"/>
          <w:lang w:val="sl-SI"/>
        </w:rPr>
      </w:pPr>
    </w:p>
    <w:p w14:paraId="33966BDD" w14:textId="77777777" w:rsidR="00616315" w:rsidRDefault="00616315" w:rsidP="0030421B">
      <w:pPr>
        <w:widowControl/>
        <w:numPr>
          <w:ilvl w:val="1"/>
          <w:numId w:val="118"/>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Odmerjanje in način uporabe</w:t>
      </w:r>
    </w:p>
    <w:p w14:paraId="2CB4C5BE" w14:textId="77777777" w:rsidR="00616315" w:rsidRDefault="00616315" w:rsidP="00616315">
      <w:pPr>
        <w:spacing w:before="9" w:line="240" w:lineRule="exact"/>
        <w:rPr>
          <w:rFonts w:ascii="Times New Roman" w:hAnsi="Times New Roman" w:cs="Times New Roman"/>
          <w:lang w:val="sl-SI"/>
        </w:rPr>
      </w:pPr>
    </w:p>
    <w:p w14:paraId="2E12D64D" w14:textId="77777777" w:rsidR="00616315" w:rsidRDefault="00616315" w:rsidP="00616315">
      <w:pPr>
        <w:pStyle w:val="a3"/>
        <w:rPr>
          <w:lang w:val="sl-SI"/>
        </w:rPr>
      </w:pPr>
      <w:r>
        <w:rPr>
          <w:rFonts w:eastAsia="Times New Roman"/>
          <w:lang w:val="sl-SI"/>
        </w:rPr>
        <w:t>Zdravljenje z zdravilom Yuflyma mora uvesti in nadzorovati zdravnik specialist, ki ima izkušnje z diagnosticiranjem in zdravljenjem bolezni, za katere je zdravilo Yuflyma indicirano. Oftalmologom svetujemo, da se pred začetkom zdravljenja z zdravilom Yuflyma posvetujejo z ustreznim specialistom (glejte poglavje 4.4). Bolnikom, ki se zdravijo z zdravilom Yuflyma, morajo dobiti opozorilno kartico za bolnika.</w:t>
      </w:r>
    </w:p>
    <w:p w14:paraId="23B41E5E" w14:textId="77777777" w:rsidR="00616315" w:rsidRDefault="00616315" w:rsidP="00616315">
      <w:pPr>
        <w:spacing w:line="240" w:lineRule="exact"/>
        <w:rPr>
          <w:rFonts w:ascii="Times New Roman" w:hAnsi="Times New Roman" w:cs="Times New Roman"/>
          <w:lang w:val="sl-SI"/>
        </w:rPr>
      </w:pPr>
    </w:p>
    <w:p w14:paraId="4FFDC02F" w14:textId="77777777" w:rsidR="00616315" w:rsidRDefault="00616315" w:rsidP="00616315">
      <w:pPr>
        <w:pStyle w:val="a3"/>
        <w:rPr>
          <w:lang w:val="sl-SI"/>
        </w:rPr>
      </w:pPr>
      <w:r>
        <w:rPr>
          <w:rFonts w:eastAsia="Times New Roman"/>
          <w:lang w:val="sl-SI"/>
        </w:rPr>
        <w:t>Po ustreznem usposabljanju v tehniki injiciranja si lahko bolniki zdravilo Yuflyma injicirajo sami, če njihov zdravnik presodi, da je to primerno, in je zagotovljeno ustrezno zdravstveno spremljanje, če je potrebno.</w:t>
      </w:r>
    </w:p>
    <w:p w14:paraId="54C2A237" w14:textId="77777777" w:rsidR="00616315" w:rsidRDefault="00616315" w:rsidP="00616315">
      <w:pPr>
        <w:spacing w:line="240" w:lineRule="exact"/>
        <w:rPr>
          <w:rFonts w:ascii="Times New Roman" w:hAnsi="Times New Roman" w:cs="Times New Roman"/>
          <w:lang w:val="sl-SI"/>
        </w:rPr>
      </w:pPr>
    </w:p>
    <w:p w14:paraId="49D5FB56" w14:textId="77777777" w:rsidR="00616315" w:rsidRDefault="00616315" w:rsidP="00616315">
      <w:pPr>
        <w:pStyle w:val="a3"/>
        <w:rPr>
          <w:lang w:val="sl-SI"/>
        </w:rPr>
      </w:pPr>
      <w:r>
        <w:rPr>
          <w:rFonts w:eastAsia="Times New Roman"/>
          <w:lang w:val="sl-SI"/>
        </w:rPr>
        <w:t>Med zdravljenjem z zdravilom Yuflyma je treba optimizirati druga sočasna zdravljenja (npr. kortikosteroide in/ali imunomodulacijske učinkovine).</w:t>
      </w:r>
    </w:p>
    <w:p w14:paraId="3117E68A" w14:textId="77777777" w:rsidR="00616315" w:rsidRDefault="00616315" w:rsidP="00616315">
      <w:pPr>
        <w:pStyle w:val="a3"/>
        <w:rPr>
          <w:lang w:val="sl-SI"/>
        </w:rPr>
      </w:pPr>
    </w:p>
    <w:p w14:paraId="6F7D1D68" w14:textId="77777777" w:rsidR="00616315" w:rsidRDefault="00616315" w:rsidP="00616315">
      <w:pPr>
        <w:pStyle w:val="a3"/>
        <w:rPr>
          <w:u w:val="single"/>
          <w:lang w:val="sl-SI"/>
        </w:rPr>
      </w:pPr>
      <w:r>
        <w:rPr>
          <w:rFonts w:eastAsia="Times New Roman"/>
          <w:u w:val="single" w:color="000000"/>
          <w:lang w:val="sl-SI"/>
        </w:rPr>
        <w:t>Odmerjanje</w:t>
      </w:r>
    </w:p>
    <w:p w14:paraId="2DDE0343" w14:textId="77777777" w:rsidR="00616315" w:rsidRDefault="00616315" w:rsidP="00616315">
      <w:pPr>
        <w:spacing w:line="170" w:lineRule="exact"/>
        <w:rPr>
          <w:rFonts w:ascii="Times New Roman" w:hAnsi="Times New Roman" w:cs="Times New Roman"/>
          <w:lang w:val="sl-SI"/>
        </w:rPr>
      </w:pPr>
    </w:p>
    <w:p w14:paraId="392FEB25" w14:textId="77777777" w:rsidR="00616315" w:rsidRDefault="00616315" w:rsidP="00616315">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Revmatoidni artritis</w:t>
      </w:r>
    </w:p>
    <w:p w14:paraId="7E5CC10E" w14:textId="77777777" w:rsidR="00616315" w:rsidRDefault="00616315" w:rsidP="00616315">
      <w:pPr>
        <w:spacing w:line="240" w:lineRule="exact"/>
        <w:rPr>
          <w:rFonts w:ascii="Times New Roman" w:hAnsi="Times New Roman" w:cs="Times New Roman"/>
          <w:lang w:val="sl-SI"/>
        </w:rPr>
      </w:pPr>
    </w:p>
    <w:p w14:paraId="47673564" w14:textId="77777777" w:rsidR="00616315" w:rsidRDefault="00616315" w:rsidP="00616315">
      <w:pPr>
        <w:pStyle w:val="a3"/>
        <w:rPr>
          <w:lang w:val="sl-SI"/>
        </w:rPr>
      </w:pPr>
      <w:r>
        <w:rPr>
          <w:rFonts w:eastAsia="Times New Roman"/>
          <w:lang w:val="sl-SI"/>
        </w:rPr>
        <w:t>Priporočeni odmerek zdravila Yuflyma za odrasle bolnike z revmatoidnim artritisom je 40 mg adalimumaba, apliciranega vsak drugi teden v obliki enkratnega odmerka s subkutano injekcijo. Med zdravljenjem z zdravilom Yuflyma je treba zdravljenje z metotreksatom nadaljevati.</w:t>
      </w:r>
    </w:p>
    <w:p w14:paraId="5D78082E" w14:textId="77777777" w:rsidR="00616315" w:rsidRDefault="00616315" w:rsidP="00616315">
      <w:pPr>
        <w:pStyle w:val="a3"/>
        <w:rPr>
          <w:lang w:val="sl-SI"/>
        </w:rPr>
      </w:pPr>
    </w:p>
    <w:p w14:paraId="60DEB828" w14:textId="77777777" w:rsidR="00616315" w:rsidRDefault="00616315" w:rsidP="00616315">
      <w:pPr>
        <w:pStyle w:val="a3"/>
        <w:rPr>
          <w:lang w:val="sl-SI"/>
        </w:rPr>
      </w:pPr>
      <w:r>
        <w:rPr>
          <w:rFonts w:eastAsia="Times New Roman"/>
          <w:lang w:val="sl-SI"/>
        </w:rPr>
        <w:t>Med zdravljenjem z zdravilom Yuflyma se lahko nadaljuje uporaba glukokortikoidov, salicilatov, nesteroidnih protivnetnih zdravil ali analgetikov. Za kombinirano uporabo z drugimi imunomodulirajočimi antirevmatičnimi zdravili razen metotreksata glejte poglavji 4.4 in 5.1.</w:t>
      </w:r>
    </w:p>
    <w:p w14:paraId="5B4BC280" w14:textId="77777777" w:rsidR="00616315" w:rsidRDefault="00616315" w:rsidP="00616315">
      <w:pPr>
        <w:spacing w:line="240" w:lineRule="exact"/>
        <w:rPr>
          <w:rFonts w:ascii="Times New Roman" w:hAnsi="Times New Roman" w:cs="Times New Roman"/>
          <w:lang w:val="sl-SI"/>
        </w:rPr>
      </w:pPr>
    </w:p>
    <w:p w14:paraId="04719EE4" w14:textId="6AA9DA2B" w:rsidR="00616315" w:rsidRDefault="00616315" w:rsidP="00616315">
      <w:pPr>
        <w:pStyle w:val="a3"/>
        <w:rPr>
          <w:lang w:val="sl-SI"/>
        </w:rPr>
      </w:pPr>
      <w:r>
        <w:rPr>
          <w:rFonts w:eastAsia="Times New Roman"/>
          <w:lang w:val="sl-SI"/>
        </w:rPr>
        <w:t>Pri monoterapiji imajo lahko nekateri bolniki, pri katerih se njihov odziv na odmere</w:t>
      </w:r>
      <w:r w:rsidR="00FC2FB8">
        <w:rPr>
          <w:rFonts w:eastAsia="Times New Roman"/>
          <w:lang w:val="sl-SI"/>
        </w:rPr>
        <w:t>h</w:t>
      </w:r>
      <w:r>
        <w:rPr>
          <w:rFonts w:eastAsia="Times New Roman"/>
          <w:lang w:val="sl-SI"/>
        </w:rPr>
        <w:t>k zdravila Yuflyma 40 mg vsak drugi teden zmanjša, korist od povečanja odmerka na 40 mg adalimumaba enkrat na teden ali 80 mg vsak drugi teden.</w:t>
      </w:r>
    </w:p>
    <w:p w14:paraId="15E94402" w14:textId="77777777" w:rsidR="00616315" w:rsidRDefault="00616315" w:rsidP="00616315">
      <w:pPr>
        <w:spacing w:line="240" w:lineRule="exact"/>
        <w:rPr>
          <w:rFonts w:ascii="Times New Roman" w:hAnsi="Times New Roman" w:cs="Times New Roman"/>
          <w:lang w:val="sl-SI"/>
        </w:rPr>
      </w:pPr>
    </w:p>
    <w:p w14:paraId="30E2B687" w14:textId="77777777" w:rsidR="00616315" w:rsidRDefault="00616315" w:rsidP="00616315">
      <w:pPr>
        <w:pStyle w:val="a3"/>
        <w:rPr>
          <w:lang w:val="sl-SI"/>
        </w:rPr>
      </w:pPr>
      <w:r>
        <w:rPr>
          <w:rFonts w:eastAsia="Times New Roman"/>
          <w:lang w:val="sl-SI"/>
        </w:rPr>
        <w:t>Razpoložljivi podatki kažejo, da je klinični odziv običajno dosežen v 12 tednih zdravljenja. Pri bolniku, ki se v tem časovnem obdobju ne odzive, je treba ponovno razmisliti o nadaljnjem zdravljenju.</w:t>
      </w:r>
    </w:p>
    <w:p w14:paraId="04811C8F" w14:textId="77777777" w:rsidR="00616315" w:rsidRDefault="00616315" w:rsidP="00616315">
      <w:pPr>
        <w:pStyle w:val="a3"/>
        <w:rPr>
          <w:lang w:val="sl-SI"/>
        </w:rPr>
      </w:pPr>
    </w:p>
    <w:p w14:paraId="5377978E" w14:textId="77777777" w:rsidR="00616315" w:rsidRDefault="00616315" w:rsidP="00616315">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Psoriaza</w:t>
      </w:r>
    </w:p>
    <w:p w14:paraId="2DFDF289" w14:textId="77777777" w:rsidR="00616315" w:rsidRDefault="00616315" w:rsidP="00616315">
      <w:pPr>
        <w:spacing w:line="240" w:lineRule="exact"/>
        <w:rPr>
          <w:rFonts w:ascii="Times New Roman" w:hAnsi="Times New Roman" w:cs="Times New Roman"/>
          <w:lang w:val="sl-SI"/>
        </w:rPr>
      </w:pPr>
    </w:p>
    <w:p w14:paraId="024E4458" w14:textId="21A0D94A" w:rsidR="00616315" w:rsidRDefault="00616315" w:rsidP="00616315">
      <w:pPr>
        <w:pStyle w:val="a3"/>
        <w:rPr>
          <w:lang w:val="sl-SI"/>
        </w:rPr>
      </w:pPr>
      <w:r>
        <w:rPr>
          <w:rFonts w:eastAsia="Times New Roman"/>
          <w:lang w:val="sl-SI"/>
        </w:rPr>
        <w:t>Priporočeni odmerek zdravila Yuflyma za odrasle bolnike je začetni odmerek 80 mg, ki ga je treba aplicirati subkutano, čemur sledi odmerek 40 mg subkutano, vsak drugi teden, z začetkom enega tedna po začetnem odmerku.</w:t>
      </w:r>
      <w:r w:rsidR="00433A4B">
        <w:rPr>
          <w:rFonts w:eastAsia="Times New Roman"/>
          <w:lang w:val="sl-SI"/>
        </w:rPr>
        <w:t xml:space="preserve"> </w:t>
      </w:r>
      <w:r w:rsidR="00433A4B" w:rsidRPr="00433A4B">
        <w:rPr>
          <w:rFonts w:eastAsia="Times New Roman"/>
          <w:lang w:val="sl-SI"/>
        </w:rPr>
        <w:t>Yuflyma 40 mg raztopina za injiciranje v napolnjeni injekcijski brizgi in/ali napolnjenem injekcijskem peresniku je na voljo za vzdrževalni odmerek.</w:t>
      </w:r>
    </w:p>
    <w:p w14:paraId="0FA09DE4" w14:textId="77777777" w:rsidR="00616315" w:rsidRDefault="00616315" w:rsidP="00616315">
      <w:pPr>
        <w:spacing w:line="240" w:lineRule="exact"/>
        <w:rPr>
          <w:rFonts w:ascii="Times New Roman" w:hAnsi="Times New Roman" w:cs="Times New Roman"/>
          <w:lang w:val="sl-SI"/>
        </w:rPr>
      </w:pPr>
    </w:p>
    <w:p w14:paraId="1FD5F6F8" w14:textId="77777777" w:rsidR="00616315" w:rsidRDefault="00616315" w:rsidP="00616315">
      <w:pPr>
        <w:pStyle w:val="a3"/>
        <w:rPr>
          <w:lang w:val="sl-SI"/>
        </w:rPr>
      </w:pPr>
      <w:r>
        <w:rPr>
          <w:rFonts w:eastAsia="Times New Roman"/>
          <w:lang w:val="sl-SI"/>
        </w:rPr>
        <w:t>Pri bolniku, ki se v tem časovnem obdobju ne odziva, je treba ponovno razmisliti o zdravljenju, ki traja več kot 16 tednov.</w:t>
      </w:r>
    </w:p>
    <w:p w14:paraId="6E7048FB" w14:textId="77777777" w:rsidR="00616315" w:rsidRDefault="00616315" w:rsidP="00616315">
      <w:pPr>
        <w:spacing w:line="240" w:lineRule="exact"/>
        <w:rPr>
          <w:rFonts w:ascii="Times New Roman" w:hAnsi="Times New Roman" w:cs="Times New Roman"/>
          <w:lang w:val="sl-SI"/>
        </w:rPr>
      </w:pPr>
    </w:p>
    <w:p w14:paraId="64ACAA8F" w14:textId="77777777" w:rsidR="00616315" w:rsidRDefault="00616315" w:rsidP="00616315">
      <w:pPr>
        <w:pStyle w:val="a3"/>
        <w:rPr>
          <w:lang w:val="sl-SI"/>
        </w:rPr>
      </w:pPr>
      <w:r>
        <w:rPr>
          <w:rFonts w:eastAsia="Times New Roman"/>
          <w:lang w:val="sl-SI"/>
        </w:rPr>
        <w:t>Od 16. tedna dalje lahko bolnikom z nezadostnim odzivom na zdravilo Yuflyma 40 mg vsak drugi teden koristi povečanje odmerka na 40 mg vsak teden ali na 80 mg vsak drugi teden. Koristi in tveganja nadaljevanja zdravljenja s 40 mg enkrat na teden ali 80 mg vsak drugi teden je treba skrbno pretehtati pri bolniku z neustreznim odzivom po povečanju odmerka (glejte poglavje 5.1). Če se s 40 mg vsak teden ali 80 mg vsak drugi teden doseže ustrezen odziv, se odmerek lahko nato zmanjša na 40 mg vsak drugi teden.</w:t>
      </w:r>
    </w:p>
    <w:p w14:paraId="4F182702" w14:textId="77777777" w:rsidR="00616315" w:rsidRDefault="00616315" w:rsidP="00616315">
      <w:pPr>
        <w:pStyle w:val="a3"/>
        <w:rPr>
          <w:lang w:val="sl-SI"/>
        </w:rPr>
      </w:pPr>
    </w:p>
    <w:p w14:paraId="6C9D699D" w14:textId="77777777" w:rsidR="00616315" w:rsidRDefault="00616315" w:rsidP="00616315">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Hidradenitis suppurativa</w:t>
      </w:r>
    </w:p>
    <w:p w14:paraId="6DE9AFD5" w14:textId="77777777" w:rsidR="00616315" w:rsidRDefault="00616315" w:rsidP="00616315">
      <w:pPr>
        <w:spacing w:line="240" w:lineRule="exact"/>
        <w:rPr>
          <w:rFonts w:ascii="Times New Roman" w:hAnsi="Times New Roman" w:cs="Times New Roman"/>
          <w:lang w:val="sl-SI"/>
        </w:rPr>
      </w:pPr>
    </w:p>
    <w:p w14:paraId="390B6BB3" w14:textId="16E81D11" w:rsidR="00616315" w:rsidRDefault="00616315" w:rsidP="00616315">
      <w:pPr>
        <w:pStyle w:val="a3"/>
        <w:rPr>
          <w:lang w:val="sl-SI"/>
        </w:rPr>
      </w:pPr>
      <w:r>
        <w:rPr>
          <w:rFonts w:eastAsia="Times New Roman"/>
          <w:lang w:val="sl-SI"/>
        </w:rPr>
        <w:t xml:space="preserve">Priporočena shema odmerjanja zdravila Yuflyma pri odraslih bolnikih s hidradenitis suppurativa (HS) je 160 mg na 1. dan (apliciran v obliki </w:t>
      </w:r>
      <w:r w:rsidR="00433A4B" w:rsidRPr="00433A4B">
        <w:rPr>
          <w:rFonts w:eastAsia="Times New Roman"/>
          <w:lang w:val="sl-SI"/>
        </w:rPr>
        <w:t>dveh 80</w:t>
      </w:r>
      <w:r w:rsidR="00433A4B">
        <w:rPr>
          <w:rFonts w:eastAsia="Times New Roman"/>
          <w:lang w:val="sl-SI"/>
        </w:rPr>
        <w:t xml:space="preserve"> </w:t>
      </w:r>
      <w:r w:rsidR="00433A4B" w:rsidRPr="00433A4B">
        <w:rPr>
          <w:rFonts w:eastAsia="Times New Roman"/>
          <w:lang w:val="sl-SI"/>
        </w:rPr>
        <w:t>mg injekcij</w:t>
      </w:r>
      <w:r>
        <w:rPr>
          <w:rFonts w:eastAsia="Times New Roman"/>
          <w:lang w:val="sl-SI"/>
        </w:rPr>
        <w:t xml:space="preserve"> v enem dnevu ali </w:t>
      </w:r>
      <w:r w:rsidR="00433A4B" w:rsidRPr="00433A4B">
        <w:rPr>
          <w:rFonts w:eastAsia="Times New Roman"/>
          <w:lang w:val="sl-SI"/>
        </w:rPr>
        <w:t>ene 80 mg injekcije</w:t>
      </w:r>
      <w:r w:rsidR="00433A4B">
        <w:rPr>
          <w:rFonts w:eastAsia="Times New Roman"/>
          <w:lang w:val="sl-SI"/>
        </w:rPr>
        <w:t xml:space="preserve"> </w:t>
      </w:r>
      <w:r>
        <w:rPr>
          <w:rFonts w:eastAsia="Times New Roman"/>
          <w:lang w:val="sl-SI"/>
        </w:rPr>
        <w:t>na dan dva zaporedna dneva), nato pa 80 mg dva tedna kasneje na 15. dan. Dva tedna kasneje (29. dan) nadaljujte z odmerkom 40 mg vsak teden ali 80 mg vsak drugi teden. Med zdravljenjem z zdravilom Yuflyma se zdravljenje z antibiotiki lahko nadaljuje, če je potrebno. Priporočljivo je, da med zdravljenjem z zdravilom Yuflyma bolnik vsak dan uporablja topikalni antiseptik za izpiranje lezij HS.</w:t>
      </w:r>
    </w:p>
    <w:p w14:paraId="062F8C78" w14:textId="77777777" w:rsidR="00616315" w:rsidRDefault="00616315" w:rsidP="00616315">
      <w:pPr>
        <w:spacing w:line="240" w:lineRule="exact"/>
        <w:rPr>
          <w:rFonts w:ascii="Times New Roman" w:hAnsi="Times New Roman" w:cs="Times New Roman"/>
          <w:lang w:val="sl-SI"/>
        </w:rPr>
      </w:pPr>
    </w:p>
    <w:p w14:paraId="692C9449" w14:textId="77777777" w:rsidR="00616315" w:rsidRDefault="00616315" w:rsidP="00616315">
      <w:pPr>
        <w:pStyle w:val="a3"/>
        <w:rPr>
          <w:lang w:val="sl-SI"/>
        </w:rPr>
      </w:pPr>
      <w:r>
        <w:rPr>
          <w:rFonts w:eastAsia="Times New Roman"/>
          <w:lang w:val="sl-SI"/>
        </w:rPr>
        <w:t>Pri bolniku, pri katerem se v tem časovnem obdobju ne pokaže izboljšanje, je treba ponovno razmisliti o zdravljenju, ki traja več kot 12 tednov.</w:t>
      </w:r>
    </w:p>
    <w:p w14:paraId="6E41934D" w14:textId="77777777" w:rsidR="00616315" w:rsidRDefault="00616315" w:rsidP="00616315">
      <w:pPr>
        <w:spacing w:line="240" w:lineRule="exact"/>
        <w:rPr>
          <w:rFonts w:ascii="Times New Roman" w:hAnsi="Times New Roman" w:cs="Times New Roman"/>
          <w:lang w:val="sl-SI"/>
        </w:rPr>
      </w:pPr>
    </w:p>
    <w:p w14:paraId="64BCE88E" w14:textId="77777777" w:rsidR="00616315" w:rsidRDefault="00616315" w:rsidP="00616315">
      <w:pPr>
        <w:pStyle w:val="a3"/>
        <w:rPr>
          <w:lang w:val="sl-SI"/>
        </w:rPr>
      </w:pPr>
      <w:r>
        <w:rPr>
          <w:rFonts w:eastAsia="Times New Roman"/>
          <w:lang w:val="sl-SI"/>
        </w:rPr>
        <w:t xml:space="preserve">Če je treba zdravljenje prekiniti, lahko ponovno uvedemo odmerek 40 mg zdravila Yuflyma enkrat na teden </w:t>
      </w:r>
      <w:r>
        <w:rPr>
          <w:rFonts w:eastAsia="Times New Roman"/>
          <w:lang w:val="sl-SI"/>
        </w:rPr>
        <w:lastRenderedPageBreak/>
        <w:t>ali 80 mg vsak drugi teden (glejte poglavje 5.1).</w:t>
      </w:r>
    </w:p>
    <w:p w14:paraId="3E328BE4" w14:textId="77777777" w:rsidR="00616315" w:rsidRDefault="00616315" w:rsidP="00616315">
      <w:pPr>
        <w:pStyle w:val="a3"/>
        <w:rPr>
          <w:lang w:val="sl-SI"/>
        </w:rPr>
      </w:pPr>
    </w:p>
    <w:p w14:paraId="342D90C8" w14:textId="77777777" w:rsidR="00616315" w:rsidRDefault="00616315" w:rsidP="00616315">
      <w:pPr>
        <w:pStyle w:val="a3"/>
        <w:rPr>
          <w:lang w:val="sl-SI"/>
        </w:rPr>
      </w:pPr>
      <w:r w:rsidRPr="00337BB0">
        <w:rPr>
          <w:lang w:val="sl-SI"/>
        </w:rPr>
        <w:t xml:space="preserve">Tveganja in koristi neprekinjenega dolgotrajnega zdravljenja je treba periodično pretehtati </w:t>
      </w:r>
      <w:r>
        <w:rPr>
          <w:rFonts w:eastAsia="Times New Roman"/>
          <w:lang w:val="sl-SI"/>
        </w:rPr>
        <w:t xml:space="preserve">(glejte poglavje 5.1). </w:t>
      </w:r>
    </w:p>
    <w:p w14:paraId="53181229" w14:textId="77777777" w:rsidR="00616315" w:rsidRDefault="00616315" w:rsidP="00616315">
      <w:pPr>
        <w:rPr>
          <w:rFonts w:ascii="Times New Roman" w:eastAsia="Times New Roman" w:hAnsi="Times New Roman" w:cs="Times New Roman"/>
          <w:i/>
          <w:spacing w:val="-1"/>
          <w:lang w:val="sl-SI"/>
        </w:rPr>
      </w:pPr>
    </w:p>
    <w:p w14:paraId="5D7D9000" w14:textId="77777777" w:rsidR="00616315" w:rsidRDefault="00616315" w:rsidP="00616315">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Crohnova bolezen</w:t>
      </w:r>
    </w:p>
    <w:p w14:paraId="350A396D" w14:textId="77777777" w:rsidR="00616315" w:rsidRDefault="00616315" w:rsidP="00616315">
      <w:pPr>
        <w:spacing w:line="240" w:lineRule="exact"/>
        <w:rPr>
          <w:rFonts w:ascii="Times New Roman" w:hAnsi="Times New Roman" w:cs="Times New Roman"/>
          <w:lang w:val="sl-SI"/>
        </w:rPr>
      </w:pPr>
    </w:p>
    <w:p w14:paraId="6449D3E0" w14:textId="7CF6A7AE" w:rsidR="00616315" w:rsidRDefault="00616315" w:rsidP="00616315">
      <w:pPr>
        <w:pStyle w:val="a3"/>
        <w:rPr>
          <w:lang w:val="sl-SI"/>
        </w:rPr>
      </w:pPr>
      <w:r>
        <w:rPr>
          <w:rFonts w:eastAsia="Times New Roman"/>
          <w:lang w:val="sl-SI"/>
        </w:rPr>
        <w:t xml:space="preserve">Priporočena shema odmerjanja zdravila Yuflyma med indukcijo je pri odraslih bolnikih z zmerno do hudo, aktivno Crohnovo boleznijo 80 mg v 0. tednu, čemur sledi 40 mg v 2. tednu. Če je potreben hitrejši odziv na zdravljenje, se lahko uporabi shema 160 mg v 0. tednu (v obliki </w:t>
      </w:r>
      <w:r w:rsidR="00433A4B" w:rsidRPr="00433A4B">
        <w:rPr>
          <w:rFonts w:eastAsia="Times New Roman"/>
          <w:lang w:val="sl-SI"/>
        </w:rPr>
        <w:t>dveh 80 mg injekcij</w:t>
      </w:r>
      <w:r>
        <w:rPr>
          <w:rFonts w:eastAsia="Times New Roman"/>
          <w:lang w:val="sl-SI"/>
        </w:rPr>
        <w:t xml:space="preserve"> na en dan ali kot </w:t>
      </w:r>
      <w:r w:rsidR="00433A4B" w:rsidRPr="00433A4B">
        <w:rPr>
          <w:rFonts w:eastAsia="Times New Roman"/>
          <w:lang w:val="sl-SI"/>
        </w:rPr>
        <w:t>ene 80 mg injekcije</w:t>
      </w:r>
      <w:r>
        <w:rPr>
          <w:rFonts w:eastAsia="Times New Roman"/>
          <w:lang w:val="sl-SI"/>
        </w:rPr>
        <w:t xml:space="preserve"> na dan v dveh zaporednih dneh), 80 mg v 2. tednu. Ob tem se je treba zavedati, da je tveganje za neželene učinke med indukcijo večje.</w:t>
      </w:r>
    </w:p>
    <w:p w14:paraId="7F522AF0" w14:textId="77777777" w:rsidR="00616315" w:rsidRDefault="00616315" w:rsidP="00616315">
      <w:pPr>
        <w:spacing w:line="240" w:lineRule="exact"/>
        <w:rPr>
          <w:rFonts w:ascii="Times New Roman" w:hAnsi="Times New Roman" w:cs="Times New Roman"/>
          <w:lang w:val="sl-SI"/>
        </w:rPr>
      </w:pPr>
    </w:p>
    <w:p w14:paraId="0E462EFA" w14:textId="77777777" w:rsidR="00616315" w:rsidRDefault="00616315" w:rsidP="00616315">
      <w:pPr>
        <w:pStyle w:val="a3"/>
        <w:rPr>
          <w:lang w:val="sl-SI"/>
        </w:rPr>
      </w:pPr>
      <w:r>
        <w:rPr>
          <w:rFonts w:eastAsia="Times New Roman"/>
          <w:lang w:val="sl-SI"/>
        </w:rPr>
        <w:t>Po indukcijskem zdravljenju je priporočen odmerek 40 mg vsak drugi teden s subkutanim injiciranjem. Če bolnik neha jemati zdravilo Yuflyma, znaki in simptomi bolezni pa se ponovijo, se lahko zdravilo Yuflyma znova uvede. Izkušenj s ponovno uporabo po več kot 8 tednih od prejšnjega odmerka je malo.</w:t>
      </w:r>
    </w:p>
    <w:p w14:paraId="3584F4FA" w14:textId="77777777" w:rsidR="00616315" w:rsidRDefault="00616315" w:rsidP="00616315">
      <w:pPr>
        <w:spacing w:line="240" w:lineRule="exact"/>
        <w:rPr>
          <w:rFonts w:ascii="Times New Roman" w:hAnsi="Times New Roman" w:cs="Times New Roman"/>
          <w:lang w:val="sl-SI"/>
        </w:rPr>
      </w:pPr>
    </w:p>
    <w:p w14:paraId="48B6F196" w14:textId="77777777" w:rsidR="00616315" w:rsidRDefault="00616315" w:rsidP="00616315">
      <w:pPr>
        <w:pStyle w:val="a3"/>
        <w:rPr>
          <w:lang w:val="sl-SI"/>
        </w:rPr>
      </w:pPr>
      <w:r>
        <w:rPr>
          <w:rFonts w:eastAsia="Times New Roman"/>
          <w:lang w:val="sl-SI"/>
        </w:rPr>
        <w:t>Med vzdrževalnim zdravljenjem je mogoče odmerek kortikosteroida zmanjšati v skladu s smernicami za klinično prakso.</w:t>
      </w:r>
    </w:p>
    <w:p w14:paraId="2D5EEE5F" w14:textId="77777777" w:rsidR="00616315" w:rsidRDefault="00616315" w:rsidP="00616315">
      <w:pPr>
        <w:spacing w:line="240" w:lineRule="exact"/>
        <w:rPr>
          <w:rFonts w:ascii="Times New Roman" w:hAnsi="Times New Roman" w:cs="Times New Roman"/>
          <w:lang w:val="sl-SI"/>
        </w:rPr>
      </w:pPr>
    </w:p>
    <w:p w14:paraId="2DEB750D" w14:textId="77777777" w:rsidR="00616315" w:rsidRDefault="00616315" w:rsidP="00616315">
      <w:pPr>
        <w:pStyle w:val="a3"/>
        <w:rPr>
          <w:lang w:val="sl-SI"/>
        </w:rPr>
      </w:pPr>
      <w:r>
        <w:rPr>
          <w:rFonts w:eastAsia="Times New Roman"/>
          <w:lang w:val="sl-SI"/>
        </w:rPr>
        <w:t>Nekaterim bolnikom, pri katerih se odziv na odmerek zdravila Yuflyma 40 mg vsak drugi teden zmanjša, lahko koristi povečanje odmerka zdravila Yuflyma na 40 mg enkrat na teden ali 80 mg vsak drugi teden.</w:t>
      </w:r>
    </w:p>
    <w:p w14:paraId="3CF63297" w14:textId="77777777" w:rsidR="00616315" w:rsidRDefault="00616315" w:rsidP="00616315">
      <w:pPr>
        <w:spacing w:line="240" w:lineRule="exact"/>
        <w:rPr>
          <w:rFonts w:ascii="Times New Roman" w:hAnsi="Times New Roman" w:cs="Times New Roman"/>
          <w:lang w:val="sl-SI"/>
        </w:rPr>
      </w:pPr>
    </w:p>
    <w:p w14:paraId="4BFF8D8B" w14:textId="06EB80C2" w:rsidR="00616315" w:rsidRDefault="00616315" w:rsidP="00616315">
      <w:pPr>
        <w:pStyle w:val="a3"/>
        <w:rPr>
          <w:lang w:val="sl-SI"/>
        </w:rPr>
      </w:pPr>
      <w:r>
        <w:rPr>
          <w:rFonts w:eastAsia="Times New Roman"/>
          <w:lang w:val="sl-SI"/>
        </w:rPr>
        <w:t>Nekaterim bolnikom, ki se niso odzvali do 4. tedna, lahko koristi nadaljnje vzdrževalno zdravljenje do 12. tedna. Pri bolnikih, ki se v tem časovnem obdobju ne odzovejo, je treba znova razmisliti o nadaljevanju zdravljenja.</w:t>
      </w:r>
    </w:p>
    <w:p w14:paraId="25E5DA4D" w14:textId="77777777" w:rsidR="00616315" w:rsidRDefault="00616315" w:rsidP="00616315">
      <w:pPr>
        <w:spacing w:line="240" w:lineRule="exact"/>
        <w:rPr>
          <w:rFonts w:ascii="Times New Roman" w:hAnsi="Times New Roman" w:cs="Times New Roman"/>
          <w:lang w:val="sl-SI"/>
        </w:rPr>
      </w:pPr>
    </w:p>
    <w:p w14:paraId="7DF4766A" w14:textId="77777777" w:rsidR="00616315" w:rsidRDefault="00616315" w:rsidP="00616315">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Ulcerozni kolitis</w:t>
      </w:r>
    </w:p>
    <w:p w14:paraId="266FB46C" w14:textId="77777777" w:rsidR="00616315" w:rsidRDefault="00616315" w:rsidP="00616315">
      <w:pPr>
        <w:spacing w:line="240" w:lineRule="exact"/>
        <w:rPr>
          <w:rFonts w:ascii="Times New Roman" w:hAnsi="Times New Roman" w:cs="Times New Roman"/>
          <w:lang w:val="sl-SI"/>
        </w:rPr>
      </w:pPr>
    </w:p>
    <w:p w14:paraId="26696D13" w14:textId="1857FD40" w:rsidR="00616315" w:rsidRDefault="00616315" w:rsidP="00616315">
      <w:pPr>
        <w:pStyle w:val="a3"/>
        <w:rPr>
          <w:lang w:val="sl-SI"/>
        </w:rPr>
      </w:pPr>
      <w:r>
        <w:rPr>
          <w:rFonts w:eastAsia="Times New Roman"/>
          <w:lang w:val="sl-SI"/>
        </w:rPr>
        <w:t xml:space="preserve">Priporočena shema odmerjanja zdravila Yuflyma med indukcijo je pri odraslih bolnikih z zmernim do hudim ulceroznim kolitisom 160 mg v 0. tednu (v obliki </w:t>
      </w:r>
      <w:r w:rsidR="00433A4B" w:rsidRPr="00433A4B">
        <w:rPr>
          <w:rFonts w:eastAsia="Times New Roman"/>
          <w:lang w:val="sl-SI"/>
        </w:rPr>
        <w:t xml:space="preserve">dveh 80 mg injekcij </w:t>
      </w:r>
      <w:r>
        <w:rPr>
          <w:rFonts w:eastAsia="Times New Roman"/>
          <w:lang w:val="sl-SI"/>
        </w:rPr>
        <w:t xml:space="preserve">v enem dnevu ali kot </w:t>
      </w:r>
      <w:r w:rsidR="00433A4B" w:rsidRPr="00433A4B">
        <w:rPr>
          <w:rFonts w:eastAsia="Times New Roman"/>
          <w:lang w:val="sl-SI"/>
        </w:rPr>
        <w:t xml:space="preserve">ene 80 mg injekcije </w:t>
      </w:r>
      <w:r>
        <w:rPr>
          <w:rFonts w:eastAsia="Times New Roman"/>
          <w:lang w:val="sl-SI"/>
        </w:rPr>
        <w:t>na dan v dveh zaporednih dneh) in 80 mg v 2. tednu. Po indukcijskem zdravljenju je priporočen odmerek 40 mg vsak drugi teden s subkutanim injiciranjem.</w:t>
      </w:r>
    </w:p>
    <w:p w14:paraId="358A4393" w14:textId="77777777" w:rsidR="00616315" w:rsidRDefault="00616315" w:rsidP="00616315">
      <w:pPr>
        <w:spacing w:line="240" w:lineRule="exact"/>
        <w:rPr>
          <w:rFonts w:ascii="Times New Roman" w:hAnsi="Times New Roman" w:cs="Times New Roman"/>
          <w:lang w:val="sl-SI"/>
        </w:rPr>
      </w:pPr>
    </w:p>
    <w:p w14:paraId="144F37CB" w14:textId="77777777" w:rsidR="00616315" w:rsidRDefault="00616315" w:rsidP="00616315">
      <w:pPr>
        <w:pStyle w:val="a3"/>
        <w:rPr>
          <w:lang w:val="sl-SI"/>
        </w:rPr>
      </w:pPr>
      <w:r>
        <w:rPr>
          <w:rFonts w:eastAsia="Times New Roman"/>
          <w:lang w:val="sl-SI"/>
        </w:rPr>
        <w:t>Med vzdrževalnim zdravljenjem je mogoče odmerek kortikosteroida postopno zmanjšati v skladu s smernicami za klinično prakso.</w:t>
      </w:r>
    </w:p>
    <w:p w14:paraId="3E1C34F9" w14:textId="77777777" w:rsidR="00616315" w:rsidRDefault="00616315" w:rsidP="00616315">
      <w:pPr>
        <w:pStyle w:val="a3"/>
        <w:rPr>
          <w:lang w:val="sl-SI"/>
        </w:rPr>
      </w:pPr>
    </w:p>
    <w:p w14:paraId="5B290035" w14:textId="77777777" w:rsidR="00616315" w:rsidRDefault="00616315" w:rsidP="00616315">
      <w:pPr>
        <w:pStyle w:val="a3"/>
        <w:rPr>
          <w:lang w:val="sl-SI"/>
        </w:rPr>
      </w:pPr>
      <w:r>
        <w:rPr>
          <w:rFonts w:eastAsia="Times New Roman"/>
          <w:spacing w:val="-2"/>
          <w:lang w:val="sl-SI"/>
        </w:rPr>
        <w:t>Nekaterim bolnikom, pri katerih se odziv na odmerek zdravila Yuflyma 40 mg vsak drugi teden zmanjša, lahko koristi povečanje odmerka zdravila Yuflyma na 40 mg enkrat na teden ali 80 mg vsak drugi teden.</w:t>
      </w:r>
    </w:p>
    <w:p w14:paraId="4EF9E398" w14:textId="77777777" w:rsidR="00616315" w:rsidRDefault="00616315" w:rsidP="00616315">
      <w:pPr>
        <w:spacing w:line="240" w:lineRule="exact"/>
        <w:rPr>
          <w:rFonts w:ascii="Times New Roman" w:hAnsi="Times New Roman" w:cs="Times New Roman"/>
          <w:lang w:val="sl-SI"/>
        </w:rPr>
      </w:pPr>
    </w:p>
    <w:p w14:paraId="639D1F19" w14:textId="77777777" w:rsidR="00616315" w:rsidRDefault="00616315" w:rsidP="00616315">
      <w:pPr>
        <w:pStyle w:val="a3"/>
        <w:rPr>
          <w:lang w:val="sl-SI"/>
        </w:rPr>
      </w:pPr>
      <w:r>
        <w:rPr>
          <w:rFonts w:eastAsia="Times New Roman"/>
          <w:lang w:val="sl-SI"/>
        </w:rPr>
        <w:t>Razpoložljivi podatki kažejo, da je klinični odziv po navadi dosežen v 2–8 tednih zdravljenja. Pri bolnikih, ki se v tem časovnem obdobju ne odzovejo, se zdravljenje z zdravilom Yuflyma ne sme nadaljevati.</w:t>
      </w:r>
    </w:p>
    <w:p w14:paraId="1DBEFCF8" w14:textId="77777777" w:rsidR="00616315" w:rsidRDefault="00616315" w:rsidP="00616315">
      <w:pPr>
        <w:rPr>
          <w:rFonts w:ascii="Times New Roman" w:eastAsia="Times New Roman" w:hAnsi="Times New Roman" w:cs="Times New Roman"/>
          <w:i/>
          <w:lang w:val="sl-SI"/>
        </w:rPr>
      </w:pPr>
    </w:p>
    <w:p w14:paraId="42FB6560" w14:textId="77777777" w:rsidR="00616315" w:rsidRDefault="00616315" w:rsidP="00616315">
      <w:pPr>
        <w:rPr>
          <w:rFonts w:ascii="Times New Roman" w:eastAsia="Times New Roman" w:hAnsi="Times New Roman" w:cs="Times New Roman"/>
          <w:lang w:val="sl-SI"/>
        </w:rPr>
      </w:pPr>
      <w:r>
        <w:rPr>
          <w:rFonts w:ascii="Times New Roman" w:eastAsia="Times New Roman" w:hAnsi="Times New Roman" w:cs="Times New Roman"/>
          <w:i/>
          <w:iCs/>
          <w:lang w:val="sl-SI"/>
        </w:rPr>
        <w:t>Uveitis</w:t>
      </w:r>
    </w:p>
    <w:p w14:paraId="416CDEF4" w14:textId="77777777" w:rsidR="00616315" w:rsidRDefault="00616315" w:rsidP="00616315">
      <w:pPr>
        <w:spacing w:line="240" w:lineRule="exact"/>
        <w:rPr>
          <w:rFonts w:ascii="Times New Roman" w:hAnsi="Times New Roman" w:cs="Times New Roman"/>
          <w:lang w:val="sl-SI"/>
        </w:rPr>
      </w:pPr>
    </w:p>
    <w:p w14:paraId="08B210A2" w14:textId="77777777" w:rsidR="00616315" w:rsidRDefault="00616315" w:rsidP="00616315">
      <w:pPr>
        <w:pStyle w:val="a3"/>
        <w:rPr>
          <w:lang w:val="sl-SI"/>
        </w:rPr>
      </w:pPr>
      <w:r>
        <w:rPr>
          <w:rFonts w:eastAsia="Times New Roman"/>
          <w:lang w:val="sl-SI"/>
        </w:rPr>
        <w:t>Priporočeni odmerek zdravila Yuflyma za odrasle bolnike z uveitisom je začetni odmerek 80 mg, čemur sledi odmerek 40 mg vsak drugi teden, ki se ga začne dajati en teden po začetnem odmerku. Izkušnje z uvedbo zdravljenja s samim adalimumabom so omejene. Zdravljenje z zdravilom Yuflyma je mogoče uvesti v kombinaciji s kortikosteroidi in/ali drugimi nebiološkimi imunomodulatorji. Sočasni kortikosteroidi se lahko v skladu s klinično prakso postopno zmanjšujejo, z začetkom dva tedna po začetku zdravljenja z zdravilom Yuflyma.</w:t>
      </w:r>
    </w:p>
    <w:p w14:paraId="3234D019" w14:textId="77777777" w:rsidR="00616315" w:rsidRDefault="00616315" w:rsidP="00616315">
      <w:pPr>
        <w:spacing w:line="240" w:lineRule="exact"/>
        <w:rPr>
          <w:rFonts w:ascii="Times New Roman" w:hAnsi="Times New Roman" w:cs="Times New Roman"/>
          <w:lang w:val="sl-SI"/>
        </w:rPr>
      </w:pPr>
    </w:p>
    <w:p w14:paraId="2F20203B" w14:textId="77777777" w:rsidR="00616315" w:rsidRDefault="00616315" w:rsidP="00616315">
      <w:pPr>
        <w:pStyle w:val="a3"/>
        <w:rPr>
          <w:lang w:val="sl-SI"/>
        </w:rPr>
      </w:pPr>
      <w:r>
        <w:rPr>
          <w:rFonts w:eastAsia="Times New Roman"/>
          <w:spacing w:val="-4"/>
          <w:lang w:val="sl-SI"/>
        </w:rPr>
        <w:t>Priporočljivo je, da se vsako leto ocenijo koristi in tveganja nadaljnjega dolgotrajnega zdravljenja (glejte poglavje 5.1).</w:t>
      </w:r>
    </w:p>
    <w:p w14:paraId="7E814668" w14:textId="77777777" w:rsidR="00616315" w:rsidRDefault="00616315" w:rsidP="00616315">
      <w:pPr>
        <w:pStyle w:val="a3"/>
        <w:rPr>
          <w:lang w:val="sl-SI"/>
        </w:rPr>
      </w:pPr>
    </w:p>
    <w:p w14:paraId="4076EEDB" w14:textId="77777777" w:rsidR="00616315" w:rsidRDefault="00616315" w:rsidP="00616315">
      <w:pPr>
        <w:pStyle w:val="a3"/>
        <w:rPr>
          <w:u w:val="single"/>
          <w:lang w:val="sl-SI"/>
        </w:rPr>
      </w:pPr>
      <w:r>
        <w:rPr>
          <w:rFonts w:eastAsia="Times New Roman"/>
          <w:u w:val="single" w:color="000000"/>
          <w:lang w:val="sl-SI"/>
        </w:rPr>
        <w:lastRenderedPageBreak/>
        <w:t>Posebne populacije</w:t>
      </w:r>
    </w:p>
    <w:p w14:paraId="2DB610C4" w14:textId="77777777" w:rsidR="00616315" w:rsidRDefault="00616315" w:rsidP="00616315">
      <w:pPr>
        <w:spacing w:line="180" w:lineRule="exact"/>
        <w:rPr>
          <w:rFonts w:ascii="Times New Roman" w:hAnsi="Times New Roman" w:cs="Times New Roman"/>
          <w:lang w:val="sl-SI"/>
        </w:rPr>
      </w:pPr>
    </w:p>
    <w:p w14:paraId="3CADF470" w14:textId="77777777" w:rsidR="00616315" w:rsidRDefault="00616315" w:rsidP="00616315">
      <w:pPr>
        <w:pStyle w:val="a3"/>
        <w:rPr>
          <w:i/>
          <w:lang w:val="sl-SI"/>
        </w:rPr>
      </w:pPr>
      <w:r>
        <w:rPr>
          <w:rFonts w:eastAsia="Times New Roman"/>
          <w:i/>
          <w:iCs/>
          <w:lang w:val="sl-SI"/>
        </w:rPr>
        <w:t>Starejši bolniki</w:t>
      </w:r>
    </w:p>
    <w:p w14:paraId="7887403B" w14:textId="77777777" w:rsidR="00616315" w:rsidRDefault="00616315" w:rsidP="00616315">
      <w:pPr>
        <w:spacing w:line="240" w:lineRule="exact"/>
        <w:rPr>
          <w:rFonts w:ascii="Times New Roman" w:hAnsi="Times New Roman" w:cs="Times New Roman"/>
          <w:lang w:val="sl-SI"/>
        </w:rPr>
      </w:pPr>
    </w:p>
    <w:p w14:paraId="77B80593" w14:textId="77777777" w:rsidR="00616315" w:rsidRDefault="00616315" w:rsidP="00616315">
      <w:pPr>
        <w:pStyle w:val="a3"/>
        <w:rPr>
          <w:lang w:val="sl-SI"/>
        </w:rPr>
      </w:pPr>
      <w:r>
        <w:rPr>
          <w:rFonts w:eastAsia="Times New Roman"/>
          <w:lang w:val="sl-SI"/>
        </w:rPr>
        <w:t xml:space="preserve">Prilagoditev odmerka ni potrebna. </w:t>
      </w:r>
    </w:p>
    <w:p w14:paraId="69BAD934" w14:textId="77777777" w:rsidR="00616315" w:rsidRDefault="00616315" w:rsidP="00616315">
      <w:pPr>
        <w:pStyle w:val="a3"/>
        <w:rPr>
          <w:lang w:val="sl-SI"/>
        </w:rPr>
      </w:pPr>
    </w:p>
    <w:p w14:paraId="402B8305" w14:textId="77777777" w:rsidR="00616315" w:rsidRDefault="00616315" w:rsidP="00616315">
      <w:pPr>
        <w:pStyle w:val="a3"/>
        <w:rPr>
          <w:i/>
          <w:lang w:val="sl-SI"/>
        </w:rPr>
      </w:pPr>
      <w:r>
        <w:rPr>
          <w:rFonts w:eastAsia="Times New Roman"/>
          <w:i/>
          <w:iCs/>
          <w:lang w:val="sl-SI"/>
        </w:rPr>
        <w:t>Okvara ledvic in/ali jeter</w:t>
      </w:r>
    </w:p>
    <w:p w14:paraId="604E3C91" w14:textId="77777777" w:rsidR="00616315" w:rsidRDefault="00616315" w:rsidP="00616315">
      <w:pPr>
        <w:pStyle w:val="a3"/>
        <w:rPr>
          <w:lang w:val="sl-SI"/>
        </w:rPr>
      </w:pPr>
    </w:p>
    <w:p w14:paraId="34767A24" w14:textId="77777777" w:rsidR="00616315" w:rsidRDefault="00616315" w:rsidP="00616315">
      <w:pPr>
        <w:pStyle w:val="a3"/>
        <w:rPr>
          <w:lang w:val="sl-SI"/>
        </w:rPr>
      </w:pPr>
      <w:r>
        <w:rPr>
          <w:rFonts w:eastAsia="Times New Roman"/>
          <w:lang w:val="sl-SI"/>
        </w:rPr>
        <w:t xml:space="preserve">Uporaba adalimumaba pri tej populaciji bolnikov ni bila raziskana. Priporočil za odmerjanje ni mogoče dati. </w:t>
      </w:r>
    </w:p>
    <w:p w14:paraId="40388D65" w14:textId="77777777" w:rsidR="00616315" w:rsidRDefault="00616315" w:rsidP="00616315">
      <w:pPr>
        <w:pStyle w:val="a3"/>
        <w:rPr>
          <w:lang w:val="sl-SI"/>
        </w:rPr>
      </w:pPr>
    </w:p>
    <w:p w14:paraId="54953F1F" w14:textId="77777777" w:rsidR="00616315" w:rsidRPr="00721C46" w:rsidRDefault="00616315" w:rsidP="00616315">
      <w:pPr>
        <w:pStyle w:val="a3"/>
        <w:rPr>
          <w:u w:val="single"/>
          <w:lang w:val="sl-SI"/>
        </w:rPr>
      </w:pPr>
      <w:r w:rsidRPr="00721C46">
        <w:rPr>
          <w:rFonts w:eastAsia="Times New Roman"/>
          <w:iCs/>
          <w:u w:val="single"/>
          <w:lang w:val="sl-SI"/>
        </w:rPr>
        <w:t>Pediatrična populacija</w:t>
      </w:r>
    </w:p>
    <w:p w14:paraId="7CA36385" w14:textId="77777777" w:rsidR="00616315" w:rsidRPr="00816D87" w:rsidRDefault="00616315" w:rsidP="00616315">
      <w:pPr>
        <w:pStyle w:val="a3"/>
        <w:rPr>
          <w:i/>
          <w:lang w:val="sl-SI"/>
        </w:rPr>
      </w:pPr>
    </w:p>
    <w:p w14:paraId="452D3A27" w14:textId="0892B271" w:rsidR="00FC3B95" w:rsidRPr="00721C46" w:rsidRDefault="00FC3B95" w:rsidP="00721C46">
      <w:pPr>
        <w:pStyle w:val="a3"/>
        <w:rPr>
          <w:rFonts w:eastAsia="Times New Roman"/>
          <w:i/>
          <w:iCs/>
          <w:lang w:val="sl-SI"/>
        </w:rPr>
      </w:pPr>
      <w:r w:rsidRPr="00721C46">
        <w:rPr>
          <w:rFonts w:eastAsia="Times New Roman"/>
          <w:i/>
          <w:iCs/>
          <w:lang w:val="sl-SI"/>
        </w:rPr>
        <w:t>Psoriaza v plakih pri pediatričnih bolnikih</w:t>
      </w:r>
    </w:p>
    <w:p w14:paraId="7ED449D3" w14:textId="3D77BD57" w:rsidR="00FC3B95" w:rsidRPr="00721C46" w:rsidRDefault="00FC3B95" w:rsidP="00616315">
      <w:pPr>
        <w:jc w:val="both"/>
        <w:rPr>
          <w:lang w:val="sl-SI"/>
        </w:rPr>
      </w:pPr>
    </w:p>
    <w:p w14:paraId="5CBB1586" w14:textId="4AD3CF34" w:rsidR="00FC3B95" w:rsidRPr="00721C46" w:rsidRDefault="00FC3B95" w:rsidP="00616315">
      <w:pPr>
        <w:jc w:val="both"/>
        <w:rPr>
          <w:rFonts w:ascii="Times New Roman" w:eastAsia="Times New Roman" w:hAnsi="Times New Roman" w:cs="Times New Roman"/>
          <w:lang w:val="sl-SI"/>
        </w:rPr>
      </w:pPr>
      <w:r w:rsidRPr="00721C46">
        <w:rPr>
          <w:rFonts w:ascii="Times New Roman" w:eastAsia="Times New Roman" w:hAnsi="Times New Roman" w:cs="Times New Roman"/>
          <w:lang w:val="sl-SI"/>
        </w:rPr>
        <w:t xml:space="preserve">Varnost in učinkovitost zdravila </w:t>
      </w:r>
      <w:r>
        <w:rPr>
          <w:rFonts w:ascii="Times New Roman" w:eastAsia="Times New Roman" w:hAnsi="Times New Roman" w:cs="Times New Roman"/>
          <w:lang w:val="sl-SI"/>
        </w:rPr>
        <w:t>Yuflyma</w:t>
      </w:r>
      <w:r w:rsidRPr="00721C46">
        <w:rPr>
          <w:rFonts w:ascii="Times New Roman" w:eastAsia="Times New Roman" w:hAnsi="Times New Roman" w:cs="Times New Roman"/>
          <w:lang w:val="sl-SI"/>
        </w:rPr>
        <w:t xml:space="preserve"> pri otrocih s psoriazo v plakih, starih 4-17 let, je bila potrjena. Priporočljivi odmerek zdravila </w:t>
      </w:r>
      <w:r>
        <w:rPr>
          <w:rFonts w:ascii="Times New Roman" w:eastAsia="Times New Roman" w:hAnsi="Times New Roman" w:cs="Times New Roman"/>
          <w:lang w:val="sl-SI"/>
        </w:rPr>
        <w:t>Yuflyma</w:t>
      </w:r>
      <w:r w:rsidRPr="00721C46">
        <w:rPr>
          <w:rFonts w:ascii="Times New Roman" w:eastAsia="Times New Roman" w:hAnsi="Times New Roman" w:cs="Times New Roman"/>
          <w:lang w:val="sl-SI"/>
        </w:rPr>
        <w:t xml:space="preserve"> je največ 40 mg na en odmerek.</w:t>
      </w:r>
    </w:p>
    <w:p w14:paraId="17304CD4" w14:textId="77777777" w:rsidR="00FC3B95" w:rsidRDefault="00FC3B95" w:rsidP="00616315">
      <w:pPr>
        <w:jc w:val="both"/>
        <w:rPr>
          <w:rFonts w:ascii="Times New Roman" w:eastAsia="Times New Roman" w:hAnsi="Times New Roman" w:cs="Times New Roman"/>
          <w:i/>
          <w:iCs/>
          <w:spacing w:val="-1"/>
          <w:u w:val="single"/>
          <w:lang w:val="sl-SI"/>
        </w:rPr>
      </w:pPr>
    </w:p>
    <w:p w14:paraId="707B77B9" w14:textId="366D38FF" w:rsidR="00616315" w:rsidRDefault="00616315" w:rsidP="00616315">
      <w:pPr>
        <w:jc w:val="both"/>
        <w:rPr>
          <w:rFonts w:ascii="Times New Roman" w:eastAsia="Times New Roman" w:hAnsi="Times New Roman" w:cs="Times New Roman"/>
          <w:u w:val="single"/>
          <w:lang w:val="sl-SI"/>
        </w:rPr>
      </w:pPr>
      <w:r>
        <w:rPr>
          <w:rFonts w:ascii="Times New Roman" w:eastAsia="Times New Roman" w:hAnsi="Times New Roman" w:cs="Times New Roman"/>
          <w:i/>
          <w:iCs/>
          <w:spacing w:val="-1"/>
          <w:u w:val="single"/>
          <w:lang w:val="sl-SI"/>
        </w:rPr>
        <w:t>Hidradenitis suppurativa pri mladostnikih (od 12. leta starosti in telesne mase vsaj 30 kg)</w:t>
      </w:r>
    </w:p>
    <w:p w14:paraId="4BACF742" w14:textId="77777777" w:rsidR="00616315" w:rsidRDefault="00616315" w:rsidP="00616315">
      <w:pPr>
        <w:spacing w:line="240" w:lineRule="exact"/>
        <w:rPr>
          <w:rFonts w:ascii="Times New Roman" w:hAnsi="Times New Roman" w:cs="Times New Roman"/>
          <w:sz w:val="24"/>
          <w:szCs w:val="24"/>
          <w:lang w:val="sl-SI"/>
        </w:rPr>
      </w:pPr>
    </w:p>
    <w:p w14:paraId="45966CFA" w14:textId="77777777" w:rsidR="00616315" w:rsidRDefault="00616315" w:rsidP="00616315">
      <w:pPr>
        <w:pStyle w:val="a3"/>
        <w:rPr>
          <w:lang w:val="sl-SI"/>
        </w:rPr>
      </w:pPr>
      <w:r>
        <w:rPr>
          <w:rFonts w:eastAsia="Times New Roman"/>
          <w:lang w:val="sl-SI"/>
        </w:rPr>
        <w:t>Kliničnih preskušanj z adalimumabom pri mladostnikih s HS niso izvedli. Odmerjanje adalimumaba pri teh bolnikih so določili na podlagi farmakokinetičnega modeliranja in simulacije (glejte poglavje 5.2).</w:t>
      </w:r>
    </w:p>
    <w:p w14:paraId="36DF9008" w14:textId="77777777" w:rsidR="00616315" w:rsidRDefault="00616315" w:rsidP="00616315">
      <w:pPr>
        <w:spacing w:line="240" w:lineRule="exact"/>
        <w:rPr>
          <w:rFonts w:ascii="Times New Roman" w:hAnsi="Times New Roman" w:cs="Times New Roman"/>
          <w:sz w:val="24"/>
          <w:szCs w:val="24"/>
          <w:lang w:val="sl-SI"/>
        </w:rPr>
      </w:pPr>
    </w:p>
    <w:p w14:paraId="39A55B3F" w14:textId="77777777" w:rsidR="00616315" w:rsidRDefault="00616315" w:rsidP="00616315">
      <w:pPr>
        <w:pStyle w:val="a3"/>
        <w:rPr>
          <w:lang w:val="sl-SI"/>
        </w:rPr>
      </w:pPr>
      <w:r>
        <w:rPr>
          <w:rFonts w:eastAsia="Times New Roman"/>
          <w:spacing w:val="1"/>
          <w:lang w:val="sl-SI"/>
        </w:rPr>
        <w:t>Priporočeni odmerek zdravila Yuflyma je 80 mg v 0. tednu, ki mu sledi 40 mg vsak drugi teden z začetkom v 1. tednu, v obliki subkutane injekcije.</w:t>
      </w:r>
    </w:p>
    <w:p w14:paraId="17AA5FA6" w14:textId="77777777" w:rsidR="00616315" w:rsidRDefault="00616315" w:rsidP="00616315">
      <w:pPr>
        <w:spacing w:line="240" w:lineRule="exact"/>
        <w:rPr>
          <w:rFonts w:ascii="Times New Roman" w:hAnsi="Times New Roman" w:cs="Times New Roman"/>
          <w:sz w:val="24"/>
          <w:szCs w:val="24"/>
          <w:lang w:val="sl-SI"/>
        </w:rPr>
      </w:pPr>
    </w:p>
    <w:p w14:paraId="7E241C06" w14:textId="77777777" w:rsidR="00616315" w:rsidRDefault="00616315" w:rsidP="00616315">
      <w:pPr>
        <w:pStyle w:val="a3"/>
        <w:rPr>
          <w:lang w:val="sl-SI"/>
        </w:rPr>
      </w:pPr>
      <w:r>
        <w:rPr>
          <w:rFonts w:eastAsia="Times New Roman"/>
          <w:lang w:val="sl-SI"/>
        </w:rPr>
        <w:t>Pri mladostnikih z nezadostnim odzivom na zdravilo Yuflyma 40 mg vsak drugi teden je možno razmisliti o povečanju odmerka na 40 mg vsak teden ali na 80 mg vsak drugi teden.</w:t>
      </w:r>
    </w:p>
    <w:p w14:paraId="4A53FF46" w14:textId="77777777" w:rsidR="00616315" w:rsidRDefault="00616315" w:rsidP="00616315">
      <w:pPr>
        <w:spacing w:line="240" w:lineRule="exact"/>
        <w:rPr>
          <w:rFonts w:ascii="Times New Roman" w:hAnsi="Times New Roman" w:cs="Times New Roman"/>
          <w:sz w:val="24"/>
          <w:szCs w:val="24"/>
          <w:lang w:val="sl-SI"/>
        </w:rPr>
      </w:pPr>
    </w:p>
    <w:p w14:paraId="13750C41" w14:textId="77777777" w:rsidR="00616315" w:rsidRDefault="00616315" w:rsidP="00616315">
      <w:pPr>
        <w:pStyle w:val="a3"/>
        <w:rPr>
          <w:lang w:val="sl-SI"/>
        </w:rPr>
      </w:pPr>
      <w:r>
        <w:rPr>
          <w:rFonts w:eastAsia="Times New Roman"/>
          <w:lang w:val="sl-SI"/>
        </w:rPr>
        <w:t>Med zdravljenjem z zdravilom Yuflyma lahko nadaljujete z antibiotičnim zdravljenjem, če je potrebno. Priporočljivo je, da med zdravljenjem z zdravilom Yuflyma bolnik vsak dan uporablja topikalno antiseptično čistilno sredstvo za čiščenje lezij HS</w:t>
      </w:r>
    </w:p>
    <w:p w14:paraId="0C63DBB4" w14:textId="77777777" w:rsidR="00616315" w:rsidRDefault="00616315" w:rsidP="00616315">
      <w:pPr>
        <w:spacing w:line="240" w:lineRule="exact"/>
        <w:rPr>
          <w:rFonts w:ascii="Times New Roman" w:hAnsi="Times New Roman" w:cs="Times New Roman"/>
          <w:sz w:val="24"/>
          <w:szCs w:val="24"/>
          <w:lang w:val="sl-SI"/>
        </w:rPr>
      </w:pPr>
    </w:p>
    <w:p w14:paraId="6DF043CE" w14:textId="77777777" w:rsidR="00616315" w:rsidRDefault="00616315" w:rsidP="00616315">
      <w:pPr>
        <w:pStyle w:val="a3"/>
        <w:rPr>
          <w:lang w:val="sl-SI"/>
        </w:rPr>
      </w:pPr>
      <w:r>
        <w:rPr>
          <w:rFonts w:eastAsia="Times New Roman"/>
          <w:lang w:val="sl-SI"/>
        </w:rPr>
        <w:t>Po 12 tednih je treba nadaljevanje zdravljenja pri bolniku, pri katerem v tem obdobju ni prišlo do izboljšanja, vnovič skrbno pretehtati.</w:t>
      </w:r>
    </w:p>
    <w:p w14:paraId="3566379D" w14:textId="77777777" w:rsidR="00616315" w:rsidRDefault="00616315" w:rsidP="00616315">
      <w:pPr>
        <w:spacing w:line="240" w:lineRule="exact"/>
        <w:rPr>
          <w:rFonts w:ascii="Times New Roman" w:hAnsi="Times New Roman" w:cs="Times New Roman"/>
          <w:sz w:val="24"/>
          <w:szCs w:val="24"/>
          <w:lang w:val="sl-SI"/>
        </w:rPr>
      </w:pPr>
    </w:p>
    <w:p w14:paraId="2D704C97" w14:textId="77777777" w:rsidR="00616315" w:rsidRDefault="00616315" w:rsidP="00616315">
      <w:pPr>
        <w:pStyle w:val="a3"/>
        <w:rPr>
          <w:lang w:val="sl-SI"/>
        </w:rPr>
      </w:pPr>
      <w:r>
        <w:rPr>
          <w:rFonts w:eastAsia="Times New Roman"/>
          <w:lang w:val="sl-SI"/>
        </w:rPr>
        <w:t>Če je treba zdravljenje prekiniti, je možno zdravljenje z zdravilom Yuflyma znova uvesti, kakor je primerno.</w:t>
      </w:r>
    </w:p>
    <w:p w14:paraId="48370C6E" w14:textId="77777777" w:rsidR="00616315" w:rsidRDefault="00616315" w:rsidP="00616315">
      <w:pPr>
        <w:spacing w:line="240" w:lineRule="exact"/>
        <w:rPr>
          <w:rFonts w:ascii="Times New Roman" w:hAnsi="Times New Roman" w:cs="Times New Roman"/>
          <w:sz w:val="24"/>
          <w:szCs w:val="24"/>
          <w:lang w:val="sl-SI"/>
        </w:rPr>
      </w:pPr>
    </w:p>
    <w:p w14:paraId="02E4AE0F" w14:textId="77777777" w:rsidR="00616315" w:rsidRDefault="00616315" w:rsidP="00616315">
      <w:pPr>
        <w:pStyle w:val="a3"/>
        <w:rPr>
          <w:lang w:val="sl-SI"/>
        </w:rPr>
      </w:pPr>
      <w:r>
        <w:rPr>
          <w:rFonts w:eastAsia="Times New Roman"/>
          <w:lang w:val="sl-SI"/>
        </w:rPr>
        <w:t>Koristi in tveganja neprekinjenega dolgotrajnega zdravljenja je treba periodično ovrednotiti (glejte podatke za odrasle bolnike v poglavju 5.1).</w:t>
      </w:r>
    </w:p>
    <w:p w14:paraId="19F61D9D" w14:textId="77777777" w:rsidR="00616315" w:rsidRDefault="00616315" w:rsidP="00616315">
      <w:pPr>
        <w:spacing w:line="240" w:lineRule="exact"/>
        <w:rPr>
          <w:rFonts w:ascii="Times New Roman" w:hAnsi="Times New Roman" w:cs="Times New Roman"/>
          <w:sz w:val="24"/>
          <w:szCs w:val="24"/>
          <w:lang w:val="sl-SI"/>
        </w:rPr>
      </w:pPr>
    </w:p>
    <w:p w14:paraId="11DAD14E" w14:textId="77777777" w:rsidR="00616315" w:rsidRDefault="00616315" w:rsidP="00616315">
      <w:pPr>
        <w:pStyle w:val="a3"/>
        <w:rPr>
          <w:lang w:val="sl-SI"/>
        </w:rPr>
      </w:pPr>
      <w:r>
        <w:rPr>
          <w:rFonts w:eastAsia="Times New Roman"/>
          <w:lang w:val="sl-SI"/>
        </w:rPr>
        <w:t>Uporaba adalimumaba pri otrocih, mlajših od 12 let, za to indikacijo ni primerna.</w:t>
      </w:r>
    </w:p>
    <w:p w14:paraId="129C4979" w14:textId="77777777" w:rsidR="00616315" w:rsidRDefault="00616315" w:rsidP="00616315">
      <w:pPr>
        <w:spacing w:line="240" w:lineRule="exact"/>
        <w:rPr>
          <w:rFonts w:ascii="Times New Roman" w:hAnsi="Times New Roman" w:cs="Times New Roman"/>
          <w:sz w:val="24"/>
          <w:szCs w:val="24"/>
          <w:lang w:val="sl-SI"/>
        </w:rPr>
      </w:pPr>
    </w:p>
    <w:p w14:paraId="10BB59E9" w14:textId="77777777" w:rsidR="00616315" w:rsidRPr="00721C46" w:rsidRDefault="00616315" w:rsidP="00616315">
      <w:pPr>
        <w:jc w:val="both"/>
        <w:rPr>
          <w:rFonts w:ascii="Times New Roman" w:eastAsia="Times New Roman" w:hAnsi="Times New Roman" w:cs="Times New Roman"/>
          <w:lang w:val="sl-SI"/>
        </w:rPr>
      </w:pPr>
      <w:r w:rsidRPr="00721C46">
        <w:rPr>
          <w:rFonts w:ascii="Times New Roman" w:eastAsia="Times New Roman" w:hAnsi="Times New Roman" w:cs="Times New Roman"/>
          <w:i/>
          <w:iCs/>
          <w:spacing w:val="-1"/>
          <w:lang w:val="sl-SI"/>
        </w:rPr>
        <w:t>Crohnova bolezen pri pediatričnih bolnikih</w:t>
      </w:r>
    </w:p>
    <w:p w14:paraId="7E7506E6" w14:textId="77777777" w:rsidR="00616315" w:rsidRDefault="00616315" w:rsidP="00616315">
      <w:pPr>
        <w:spacing w:line="240" w:lineRule="exact"/>
        <w:rPr>
          <w:rFonts w:ascii="Times New Roman" w:hAnsi="Times New Roman" w:cs="Times New Roman"/>
          <w:sz w:val="24"/>
          <w:szCs w:val="24"/>
          <w:lang w:val="sl-SI"/>
        </w:rPr>
      </w:pPr>
    </w:p>
    <w:p w14:paraId="6A969BCA" w14:textId="7E86E7E4" w:rsidR="00616315" w:rsidRDefault="00616315" w:rsidP="00616315">
      <w:pPr>
        <w:pStyle w:val="a3"/>
        <w:rPr>
          <w:lang w:val="sl-SI"/>
        </w:rPr>
      </w:pPr>
      <w:r>
        <w:rPr>
          <w:rFonts w:eastAsia="Times New Roman"/>
          <w:lang w:val="sl-SI"/>
        </w:rPr>
        <w:t>Priporočeni odmerek zdravila Yuflyma pri bolnikih s Crohnovo boleznijo, starih od 6. do 17. let, temelji na telesni masi (preglednica </w:t>
      </w:r>
      <w:r w:rsidR="00B81968">
        <w:rPr>
          <w:rFonts w:eastAsia="Times New Roman"/>
          <w:lang w:val="sl-SI"/>
        </w:rPr>
        <w:t>1</w:t>
      </w:r>
      <w:r>
        <w:rPr>
          <w:rFonts w:eastAsia="Times New Roman"/>
          <w:lang w:val="sl-SI"/>
        </w:rPr>
        <w:t>). Zdravilo Yuflyma se odmerja v obliki subkutane injekcije.</w:t>
      </w:r>
    </w:p>
    <w:p w14:paraId="2EE38680" w14:textId="77777777" w:rsidR="00616315" w:rsidRDefault="00616315" w:rsidP="00616315">
      <w:pPr>
        <w:pStyle w:val="a3"/>
        <w:rPr>
          <w:lang w:val="sl-SI"/>
        </w:rPr>
      </w:pPr>
    </w:p>
    <w:p w14:paraId="69ABA87A" w14:textId="5929234B" w:rsidR="00616315" w:rsidRDefault="00616315" w:rsidP="00616315">
      <w:pPr>
        <w:pStyle w:val="a3"/>
        <w:jc w:val="center"/>
        <w:rPr>
          <w:b/>
          <w:lang w:val="sl-SI"/>
        </w:rPr>
      </w:pPr>
      <w:r>
        <w:rPr>
          <w:rFonts w:eastAsia="Times New Roman"/>
          <w:b/>
          <w:bCs/>
          <w:lang w:val="sl-SI"/>
        </w:rPr>
        <w:t>Preglednica </w:t>
      </w:r>
      <w:r w:rsidR="00B81968">
        <w:rPr>
          <w:rFonts w:eastAsia="Times New Roman"/>
          <w:b/>
          <w:bCs/>
          <w:lang w:val="sl-SI"/>
        </w:rPr>
        <w:t>1</w:t>
      </w:r>
      <w:r>
        <w:rPr>
          <w:rFonts w:eastAsia="Times New Roman"/>
          <w:b/>
          <w:bCs/>
          <w:lang w:val="sl-SI"/>
        </w:rPr>
        <w:t>. Odmerek adalimumaba pri pediatričnih bolnikih s Crohnovo boleznijo</w:t>
      </w:r>
    </w:p>
    <w:p w14:paraId="796B3133" w14:textId="77777777" w:rsidR="00616315" w:rsidRDefault="00616315" w:rsidP="00616315">
      <w:pPr>
        <w:spacing w:before="14" w:line="240" w:lineRule="exact"/>
        <w:rPr>
          <w:rFonts w:ascii="Times New Roman" w:hAnsi="Times New Roman" w:cs="Times New Roman"/>
          <w:sz w:val="24"/>
          <w:szCs w:val="24"/>
          <w:lang w:val="sl-SI"/>
        </w:rPr>
      </w:pPr>
    </w:p>
    <w:tbl>
      <w:tblPr>
        <w:tblStyle w:val="TableNormal1"/>
        <w:tblW w:w="0" w:type="auto"/>
        <w:tblInd w:w="110" w:type="dxa"/>
        <w:tblLayout w:type="fixed"/>
        <w:tblLook w:val="01E0" w:firstRow="1" w:lastRow="1" w:firstColumn="1" w:lastColumn="1" w:noHBand="0" w:noVBand="0"/>
      </w:tblPr>
      <w:tblGrid>
        <w:gridCol w:w="1303"/>
        <w:gridCol w:w="5953"/>
        <w:gridCol w:w="2147"/>
      </w:tblGrid>
      <w:tr w:rsidR="00616315" w:rsidRPr="00652F18" w14:paraId="7F774DDA" w14:textId="77777777" w:rsidTr="00F8029A">
        <w:tc>
          <w:tcPr>
            <w:tcW w:w="1303" w:type="dxa"/>
            <w:tcBorders>
              <w:top w:val="single" w:sz="4" w:space="0" w:color="auto"/>
              <w:left w:val="single" w:sz="4" w:space="0" w:color="auto"/>
              <w:bottom w:val="single" w:sz="4" w:space="0" w:color="auto"/>
              <w:right w:val="single" w:sz="4" w:space="0" w:color="auto"/>
            </w:tcBorders>
            <w:vAlign w:val="center"/>
          </w:tcPr>
          <w:p w14:paraId="204B6C69" w14:textId="77777777" w:rsidR="00616315" w:rsidRDefault="00616315" w:rsidP="00433A4B">
            <w:pPr>
              <w:pStyle w:val="TableParagraph"/>
              <w:spacing w:line="252" w:lineRule="exact"/>
              <w:ind w:firstLine="4"/>
              <w:jc w:val="center"/>
              <w:rPr>
                <w:rFonts w:ascii="Times New Roman" w:eastAsia="Times New Roman" w:hAnsi="Times New Roman" w:cs="Times New Roman"/>
                <w:lang w:val="sl-SI"/>
              </w:rPr>
            </w:pPr>
            <w:r>
              <w:rPr>
                <w:rFonts w:ascii="Times New Roman" w:eastAsia="Times New Roman" w:hAnsi="Times New Roman" w:cs="Times New Roman"/>
                <w:b/>
                <w:bCs/>
                <w:lang w:val="sl-SI"/>
              </w:rPr>
              <w:t>Telesna masa bolnika</w:t>
            </w:r>
          </w:p>
        </w:tc>
        <w:tc>
          <w:tcPr>
            <w:tcW w:w="5953" w:type="dxa"/>
            <w:tcBorders>
              <w:top w:val="single" w:sz="4" w:space="0" w:color="auto"/>
              <w:left w:val="single" w:sz="4" w:space="0" w:color="auto"/>
              <w:bottom w:val="single" w:sz="4" w:space="0" w:color="auto"/>
              <w:right w:val="single" w:sz="4" w:space="0" w:color="auto"/>
            </w:tcBorders>
            <w:vAlign w:val="center"/>
          </w:tcPr>
          <w:p w14:paraId="088ACDCB" w14:textId="77777777" w:rsidR="00616315" w:rsidRDefault="00616315" w:rsidP="00433A4B">
            <w:pPr>
              <w:pStyle w:val="TableParagraph"/>
              <w:spacing w:line="251" w:lineRule="exact"/>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Začetni odmerek</w:t>
            </w:r>
          </w:p>
        </w:tc>
        <w:tc>
          <w:tcPr>
            <w:tcW w:w="2147" w:type="dxa"/>
            <w:tcBorders>
              <w:top w:val="single" w:sz="4" w:space="0" w:color="auto"/>
              <w:left w:val="single" w:sz="4" w:space="0" w:color="auto"/>
              <w:bottom w:val="single" w:sz="4" w:space="0" w:color="auto"/>
              <w:right w:val="single" w:sz="4" w:space="0" w:color="auto"/>
            </w:tcBorders>
            <w:vAlign w:val="center"/>
          </w:tcPr>
          <w:p w14:paraId="50058976" w14:textId="77777777" w:rsidR="00616315" w:rsidRDefault="00616315" w:rsidP="00433A4B">
            <w:pPr>
              <w:pStyle w:val="TableParagraph"/>
              <w:spacing w:line="239" w:lineRule="auto"/>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Vzdrževalni odmerek z začetkom v 4. tednu</w:t>
            </w:r>
          </w:p>
        </w:tc>
      </w:tr>
      <w:tr w:rsidR="00FC3B95" w14:paraId="0D53C21A" w14:textId="77777777" w:rsidTr="00721C46">
        <w:tc>
          <w:tcPr>
            <w:tcW w:w="1303" w:type="dxa"/>
            <w:tcBorders>
              <w:top w:val="single" w:sz="4" w:space="0" w:color="auto"/>
              <w:left w:val="single" w:sz="7" w:space="0" w:color="000000"/>
              <w:bottom w:val="single" w:sz="7" w:space="0" w:color="000000"/>
              <w:right w:val="single" w:sz="7" w:space="0" w:color="000000"/>
            </w:tcBorders>
          </w:tcPr>
          <w:p w14:paraId="1EF2AA2B" w14:textId="77777777" w:rsidR="00FC3B95" w:rsidRDefault="00FC3B95" w:rsidP="00FC3B95">
            <w:pPr>
              <w:pStyle w:val="TableParagraph"/>
              <w:spacing w:before="9"/>
              <w:ind w:left="140"/>
              <w:rPr>
                <w:rFonts w:ascii="Times New Roman" w:eastAsia="Times New Roman" w:hAnsi="Times New Roman" w:cs="Times New Roman"/>
                <w:lang w:val="sl-SI"/>
              </w:rPr>
            </w:pPr>
            <w:r>
              <w:rPr>
                <w:rFonts w:ascii="Times New Roman" w:eastAsia="Times New Roman" w:hAnsi="Times New Roman" w:cs="Times New Roman"/>
                <w:lang w:val="sl-SI"/>
              </w:rPr>
              <w:t>&lt; 40 kg</w:t>
            </w:r>
          </w:p>
        </w:tc>
        <w:tc>
          <w:tcPr>
            <w:tcW w:w="5953" w:type="dxa"/>
            <w:tcBorders>
              <w:top w:val="single" w:sz="4" w:space="0" w:color="auto"/>
              <w:left w:val="single" w:sz="7" w:space="0" w:color="000000"/>
              <w:bottom w:val="single" w:sz="7" w:space="0" w:color="000000"/>
              <w:right w:val="single" w:sz="7" w:space="0" w:color="000000"/>
            </w:tcBorders>
          </w:tcPr>
          <w:p w14:paraId="5E7704C4" w14:textId="62C3A5E1" w:rsidR="00FC3B95" w:rsidRDefault="00FC3B95" w:rsidP="00FC3B95">
            <w:pPr>
              <w:pStyle w:val="a4"/>
              <w:numPr>
                <w:ilvl w:val="0"/>
                <w:numId w:val="13"/>
              </w:numPr>
              <w:tabs>
                <w:tab w:val="left" w:pos="315"/>
              </w:tabs>
              <w:spacing w:before="10"/>
              <w:ind w:left="315"/>
              <w:rPr>
                <w:rFonts w:ascii="Times New Roman" w:eastAsia="Times New Roman" w:hAnsi="Times New Roman" w:cs="Times New Roman"/>
                <w:lang w:val="sl-SI"/>
              </w:rPr>
            </w:pPr>
            <w:r>
              <w:rPr>
                <w:rFonts w:ascii="Times New Roman" w:eastAsia="Times New Roman" w:hAnsi="Times New Roman" w:cs="Times New Roman"/>
                <w:spacing w:val="-1"/>
                <w:lang w:val="sl-SI"/>
              </w:rPr>
              <w:t>40 mg v 0. tednu in 20 mg v 2 tednu</w:t>
            </w:r>
          </w:p>
          <w:p w14:paraId="16FEC88B" w14:textId="77777777" w:rsidR="00FC3B95" w:rsidRDefault="00FC3B95" w:rsidP="00FC3B95">
            <w:pPr>
              <w:pStyle w:val="TableParagraph"/>
              <w:spacing w:before="10" w:line="240" w:lineRule="exact"/>
              <w:rPr>
                <w:rFonts w:ascii="Times New Roman" w:hAnsi="Times New Roman" w:cs="Times New Roman"/>
                <w:sz w:val="24"/>
                <w:szCs w:val="24"/>
                <w:lang w:val="sl-SI"/>
              </w:rPr>
            </w:pPr>
          </w:p>
          <w:p w14:paraId="47604135" w14:textId="77777777" w:rsidR="00FC3B95" w:rsidRDefault="00FC3B95" w:rsidP="00FC3B95">
            <w:pPr>
              <w:pStyle w:val="TableParagraph"/>
              <w:ind w:left="159"/>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Če je potreben hitrejši odziv na zdravljenje in veste, da je tveganje za neželene učinke pri uporabi večjega indukcijskega </w:t>
            </w:r>
            <w:r>
              <w:rPr>
                <w:rFonts w:ascii="Times New Roman" w:eastAsia="Times New Roman" w:hAnsi="Times New Roman" w:cs="Times New Roman"/>
                <w:spacing w:val="-1"/>
                <w:lang w:val="sl-SI"/>
              </w:rPr>
              <w:lastRenderedPageBreak/>
              <w:t>odmerka lahko večje, lahko uporabite naslednji odmerek:</w:t>
            </w:r>
          </w:p>
          <w:p w14:paraId="52B25762" w14:textId="35109A0E" w:rsidR="00FC3B95" w:rsidRDefault="00FC3B95" w:rsidP="00FC3B95">
            <w:pPr>
              <w:pStyle w:val="a4"/>
              <w:numPr>
                <w:ilvl w:val="0"/>
                <w:numId w:val="13"/>
              </w:numPr>
              <w:tabs>
                <w:tab w:val="left" w:pos="315"/>
              </w:tabs>
              <w:spacing w:before="2"/>
              <w:ind w:left="315"/>
              <w:rPr>
                <w:rFonts w:ascii="Times New Roman" w:eastAsia="Times New Roman" w:hAnsi="Times New Roman" w:cs="Times New Roman"/>
                <w:lang w:val="sl-SI"/>
              </w:rPr>
            </w:pPr>
            <w:r>
              <w:rPr>
                <w:rFonts w:ascii="Times New Roman" w:eastAsia="Times New Roman" w:hAnsi="Times New Roman" w:cs="Times New Roman"/>
                <w:spacing w:val="-1"/>
                <w:lang w:val="sl-SI"/>
              </w:rPr>
              <w:t>80 mg v 0. tednu in 40 mg v 2 tednu</w:t>
            </w:r>
          </w:p>
        </w:tc>
        <w:tc>
          <w:tcPr>
            <w:tcW w:w="2147" w:type="dxa"/>
            <w:tcBorders>
              <w:top w:val="single" w:sz="4" w:space="0" w:color="auto"/>
              <w:left w:val="single" w:sz="7" w:space="0" w:color="000000"/>
              <w:bottom w:val="single" w:sz="7" w:space="0" w:color="000000"/>
              <w:right w:val="single" w:sz="7" w:space="0" w:color="000000"/>
            </w:tcBorders>
            <w:vAlign w:val="center"/>
          </w:tcPr>
          <w:p w14:paraId="1ECF2F3C" w14:textId="06BF85CE" w:rsidR="00FC3B95" w:rsidRDefault="00FC3B95" w:rsidP="00FC3B95">
            <w:pPr>
              <w:pStyle w:val="TableParagraph"/>
              <w:spacing w:before="100" w:beforeAutospacing="1" w:line="252" w:lineRule="exact"/>
              <w:ind w:left="63" w:hanging="63"/>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lastRenderedPageBreak/>
              <w:t>20 mg vsak drugi teden</w:t>
            </w:r>
          </w:p>
        </w:tc>
      </w:tr>
      <w:tr w:rsidR="00FC3B95" w14:paraId="26E69A95" w14:textId="77777777" w:rsidTr="00F8029A">
        <w:tc>
          <w:tcPr>
            <w:tcW w:w="1303" w:type="dxa"/>
            <w:tcBorders>
              <w:top w:val="single" w:sz="7" w:space="0" w:color="000000"/>
              <w:left w:val="single" w:sz="7" w:space="0" w:color="000000"/>
              <w:bottom w:val="single" w:sz="7" w:space="0" w:color="000000"/>
              <w:right w:val="single" w:sz="7" w:space="0" w:color="000000"/>
            </w:tcBorders>
          </w:tcPr>
          <w:p w14:paraId="614A26DA" w14:textId="77777777" w:rsidR="00FC3B95" w:rsidRDefault="00FC3B95" w:rsidP="00FC3B95">
            <w:pPr>
              <w:pStyle w:val="TableParagraph"/>
              <w:spacing w:before="7"/>
              <w:ind w:left="143"/>
              <w:rPr>
                <w:rFonts w:ascii="Times New Roman" w:eastAsia="Times New Roman" w:hAnsi="Times New Roman" w:cs="Times New Roman"/>
                <w:lang w:val="sl-SI"/>
              </w:rPr>
            </w:pPr>
            <w:r>
              <w:rPr>
                <w:rFonts w:ascii="Times New Roman" w:eastAsia="Times New Roman" w:hAnsi="Times New Roman" w:cs="Times New Roman"/>
                <w:lang w:val="sl-SI"/>
              </w:rPr>
              <w:t>≥ 40 kg</w:t>
            </w:r>
          </w:p>
        </w:tc>
        <w:tc>
          <w:tcPr>
            <w:tcW w:w="5953" w:type="dxa"/>
            <w:tcBorders>
              <w:top w:val="single" w:sz="7" w:space="0" w:color="000000"/>
              <w:left w:val="single" w:sz="7" w:space="0" w:color="000000"/>
              <w:bottom w:val="single" w:sz="7" w:space="0" w:color="000000"/>
              <w:right w:val="single" w:sz="7" w:space="0" w:color="000000"/>
            </w:tcBorders>
          </w:tcPr>
          <w:p w14:paraId="74C15701" w14:textId="7A142074" w:rsidR="00FC3B95" w:rsidRDefault="00FC3B95" w:rsidP="00FC3B95">
            <w:pPr>
              <w:pStyle w:val="a4"/>
              <w:numPr>
                <w:ilvl w:val="0"/>
                <w:numId w:val="12"/>
              </w:numPr>
              <w:tabs>
                <w:tab w:val="left" w:pos="315"/>
              </w:tabs>
              <w:spacing w:before="8"/>
              <w:ind w:left="315"/>
              <w:rPr>
                <w:rFonts w:ascii="Times New Roman" w:eastAsia="Times New Roman" w:hAnsi="Times New Roman" w:cs="Times New Roman"/>
                <w:lang w:val="sl-SI"/>
              </w:rPr>
            </w:pPr>
            <w:r>
              <w:rPr>
                <w:rFonts w:ascii="Times New Roman" w:eastAsia="Times New Roman" w:hAnsi="Times New Roman" w:cs="Times New Roman"/>
                <w:spacing w:val="-1"/>
                <w:lang w:val="sl-SI"/>
              </w:rPr>
              <w:t>80 mg v 0. tednu in 40 mg v 2 tednu</w:t>
            </w:r>
          </w:p>
          <w:p w14:paraId="3833AB17" w14:textId="77777777" w:rsidR="00FC3B95" w:rsidRDefault="00FC3B95" w:rsidP="00FC3B95">
            <w:pPr>
              <w:tabs>
                <w:tab w:val="left" w:pos="315"/>
              </w:tabs>
              <w:spacing w:before="8"/>
              <w:rPr>
                <w:rFonts w:ascii="Times New Roman" w:eastAsia="Times New Roman" w:hAnsi="Times New Roman" w:cs="Times New Roman"/>
                <w:lang w:val="sl-SI"/>
              </w:rPr>
            </w:pPr>
          </w:p>
          <w:p w14:paraId="31375039" w14:textId="77777777" w:rsidR="00FC3B95" w:rsidRDefault="00FC3B95" w:rsidP="00FC3B95">
            <w:pPr>
              <w:pStyle w:val="TableParagraph"/>
              <w:spacing w:before="7"/>
              <w:ind w:left="159" w:right="353"/>
              <w:rPr>
                <w:rFonts w:ascii="Times New Roman" w:eastAsia="Times New Roman" w:hAnsi="Times New Roman" w:cs="Times New Roman"/>
                <w:lang w:val="sl-SI"/>
              </w:rPr>
            </w:pPr>
            <w:r>
              <w:rPr>
                <w:rFonts w:ascii="Times New Roman" w:eastAsia="Times New Roman" w:hAnsi="Times New Roman" w:cs="Times New Roman"/>
                <w:spacing w:val="-1"/>
                <w:lang w:val="sl-SI"/>
              </w:rPr>
              <w:t>Če je potreben hitrejši odziv na zdravljenje in veste, da je tveganje za neželene učinke pri uporabi večjega indukcijskega odmerka lahko večje, lahko uporabite naslednji odmerek:</w:t>
            </w:r>
          </w:p>
          <w:p w14:paraId="320D5D65" w14:textId="0E926AE8" w:rsidR="00FC3B95" w:rsidRDefault="00FC3B95" w:rsidP="00FC3B95">
            <w:pPr>
              <w:pStyle w:val="a4"/>
              <w:numPr>
                <w:ilvl w:val="0"/>
                <w:numId w:val="13"/>
              </w:numPr>
              <w:tabs>
                <w:tab w:val="left" w:pos="315"/>
              </w:tabs>
              <w:spacing w:before="2"/>
              <w:ind w:left="315"/>
              <w:rPr>
                <w:rFonts w:ascii="Times New Roman" w:eastAsia="Times New Roman" w:hAnsi="Times New Roman" w:cs="Times New Roman"/>
                <w:lang w:val="sl-SI"/>
              </w:rPr>
            </w:pPr>
            <w:r>
              <w:rPr>
                <w:rFonts w:ascii="Times New Roman" w:eastAsia="Times New Roman" w:hAnsi="Times New Roman" w:cs="Times New Roman"/>
                <w:spacing w:val="-1"/>
                <w:lang w:val="sl-SI"/>
              </w:rPr>
              <w:t>160 mg v 0. tednu in 80 mg v 2 tednu</w:t>
            </w:r>
          </w:p>
        </w:tc>
        <w:tc>
          <w:tcPr>
            <w:tcW w:w="2147" w:type="dxa"/>
            <w:tcBorders>
              <w:top w:val="single" w:sz="7" w:space="0" w:color="000000"/>
              <w:left w:val="single" w:sz="7" w:space="0" w:color="000000"/>
              <w:bottom w:val="single" w:sz="7" w:space="0" w:color="000000"/>
              <w:right w:val="single" w:sz="7" w:space="0" w:color="000000"/>
            </w:tcBorders>
          </w:tcPr>
          <w:p w14:paraId="45C4B87E" w14:textId="77777777" w:rsidR="00FC3B95" w:rsidRDefault="00FC3B95" w:rsidP="00721C46">
            <w:pPr>
              <w:pStyle w:val="TableParagraph"/>
              <w:spacing w:before="100" w:beforeAutospacing="1" w:line="252" w:lineRule="exact"/>
              <w:ind w:left="63" w:hanging="63"/>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40 mg vsak drugi teden</w:t>
            </w:r>
          </w:p>
        </w:tc>
      </w:tr>
    </w:tbl>
    <w:tbl>
      <w:tblPr>
        <w:tblW w:w="0" w:type="auto"/>
        <w:tblInd w:w="-108" w:type="dxa"/>
        <w:tblBorders>
          <w:top w:val="nil"/>
          <w:left w:val="nil"/>
          <w:bottom w:val="nil"/>
          <w:right w:val="nil"/>
        </w:tblBorders>
        <w:tblLayout w:type="fixed"/>
        <w:tblLook w:val="0000" w:firstRow="0" w:lastRow="0" w:firstColumn="0" w:lastColumn="0" w:noHBand="0" w:noVBand="0"/>
      </w:tblPr>
      <w:tblGrid>
        <w:gridCol w:w="9635"/>
      </w:tblGrid>
      <w:tr w:rsidR="00616315" w:rsidRPr="00407F29" w14:paraId="5E90D3F9" w14:textId="77777777" w:rsidTr="00433A4B">
        <w:trPr>
          <w:trHeight w:val="147"/>
        </w:trPr>
        <w:tc>
          <w:tcPr>
            <w:tcW w:w="9635" w:type="dxa"/>
          </w:tcPr>
          <w:p w14:paraId="77C513AD" w14:textId="49BBA264" w:rsidR="00616315" w:rsidRDefault="00616315" w:rsidP="00433A4B">
            <w:pPr>
              <w:pStyle w:val="a3"/>
              <w:rPr>
                <w:color w:val="000000"/>
                <w:lang w:val="sl-SI"/>
              </w:rPr>
            </w:pPr>
          </w:p>
        </w:tc>
      </w:tr>
    </w:tbl>
    <w:p w14:paraId="10A30B96" w14:textId="3E51C4FF" w:rsidR="00616315" w:rsidRPr="00CF282E" w:rsidRDefault="00616315" w:rsidP="00721C46">
      <w:pPr>
        <w:pStyle w:val="a3"/>
        <w:rPr>
          <w:lang w:val="sl-SI"/>
        </w:rPr>
      </w:pPr>
      <w:r>
        <w:rPr>
          <w:rFonts w:eastAsia="Times New Roman"/>
          <w:lang w:val="sl-SI"/>
        </w:rPr>
        <w:t>Bolniki, pri katerih odziv ne zadošča, imajo lahko koristi od povečanja odmerka:</w:t>
      </w:r>
    </w:p>
    <w:p w14:paraId="74D8D867" w14:textId="248A5A0C" w:rsidR="00FC3B95" w:rsidRPr="00FC3B95" w:rsidRDefault="00FC3B95" w:rsidP="00721C46">
      <w:pPr>
        <w:pStyle w:val="a3"/>
        <w:numPr>
          <w:ilvl w:val="0"/>
          <w:numId w:val="12"/>
        </w:numPr>
        <w:ind w:left="660" w:hanging="660"/>
        <w:rPr>
          <w:rFonts w:eastAsia="Calibri"/>
          <w:spacing w:val="-1"/>
          <w:lang w:val="sl-SI"/>
        </w:rPr>
      </w:pPr>
      <w:r w:rsidRPr="00721C46">
        <w:rPr>
          <w:rFonts w:eastAsia="Calibri"/>
          <w:spacing w:val="-1"/>
          <w:lang w:val="sl-SI"/>
        </w:rPr>
        <w:t>&lt; 40 kg: 20 mg vsak teden</w:t>
      </w:r>
    </w:p>
    <w:p w14:paraId="5A003116" w14:textId="134C655A" w:rsidR="00616315" w:rsidRDefault="00616315" w:rsidP="00721C46">
      <w:pPr>
        <w:pStyle w:val="a3"/>
        <w:numPr>
          <w:ilvl w:val="0"/>
          <w:numId w:val="12"/>
        </w:numPr>
        <w:ind w:left="660" w:hanging="660"/>
        <w:rPr>
          <w:rFonts w:eastAsia="Times New Roman"/>
          <w:spacing w:val="-1"/>
          <w:lang w:val="sl-SI"/>
        </w:rPr>
      </w:pPr>
      <w:r w:rsidRPr="00CF282E">
        <w:rPr>
          <w:rFonts w:eastAsia="Calibri"/>
          <w:spacing w:val="-1"/>
          <w:lang w:val="sl-SI"/>
        </w:rPr>
        <w:t>≥ 40 </w:t>
      </w:r>
      <w:r w:rsidRPr="00566D4D">
        <w:rPr>
          <w:lang w:val="sl-SI"/>
        </w:rPr>
        <w:t>kg</w:t>
      </w:r>
      <w:r w:rsidRPr="00CF282E">
        <w:rPr>
          <w:rFonts w:eastAsia="Calibri"/>
          <w:spacing w:val="-1"/>
          <w:lang w:val="sl-SI"/>
        </w:rPr>
        <w:t xml:space="preserve">: </w:t>
      </w:r>
      <w:r w:rsidRPr="00CF282E">
        <w:rPr>
          <w:rFonts w:eastAsia="Times New Roman"/>
          <w:spacing w:val="-1"/>
          <w:lang w:val="sl-SI"/>
        </w:rPr>
        <w:t>40 mg</w:t>
      </w:r>
      <w:r>
        <w:rPr>
          <w:rFonts w:eastAsia="Times New Roman"/>
          <w:spacing w:val="-1"/>
          <w:lang w:val="sl-SI"/>
        </w:rPr>
        <w:t xml:space="preserve"> vsak teden ali 80 mg vsak drugi teden</w:t>
      </w:r>
    </w:p>
    <w:p w14:paraId="546810A7" w14:textId="77777777" w:rsidR="00616315" w:rsidRDefault="00616315" w:rsidP="00616315">
      <w:pPr>
        <w:spacing w:line="240" w:lineRule="exact"/>
        <w:rPr>
          <w:rFonts w:ascii="Times New Roman" w:hAnsi="Times New Roman" w:cs="Times New Roman"/>
          <w:sz w:val="24"/>
          <w:szCs w:val="24"/>
          <w:lang w:val="sl-SI"/>
        </w:rPr>
      </w:pPr>
    </w:p>
    <w:p w14:paraId="3753B394" w14:textId="77777777" w:rsidR="00616315" w:rsidRDefault="00616315" w:rsidP="00616315">
      <w:pPr>
        <w:pStyle w:val="a3"/>
        <w:rPr>
          <w:lang w:val="sl-SI"/>
        </w:rPr>
      </w:pPr>
      <w:r>
        <w:rPr>
          <w:rFonts w:eastAsia="Times New Roman"/>
          <w:lang w:val="sl-SI"/>
        </w:rPr>
        <w:t>Pri osebi, ki se do 12. tedna ne odzove, je treba skrbno pretehtati, ali naj se zdravljenje nadaljuje.</w:t>
      </w:r>
    </w:p>
    <w:p w14:paraId="211D1799" w14:textId="77777777" w:rsidR="00616315" w:rsidRDefault="00616315" w:rsidP="00616315">
      <w:pPr>
        <w:pStyle w:val="a3"/>
        <w:rPr>
          <w:lang w:val="sl-SI"/>
        </w:rPr>
      </w:pPr>
    </w:p>
    <w:p w14:paraId="741F1275" w14:textId="61FF4F57" w:rsidR="00616315" w:rsidRDefault="00616315" w:rsidP="00616315">
      <w:pPr>
        <w:pStyle w:val="a3"/>
        <w:rPr>
          <w:lang w:val="sl-SI"/>
        </w:rPr>
      </w:pPr>
      <w:r>
        <w:rPr>
          <w:rFonts w:eastAsia="Times New Roman"/>
          <w:lang w:val="sl-SI"/>
        </w:rPr>
        <w:t>Uporaba adalimumaba pri otrocih, mlajših od 6 let, za to indikacijo ni smiselna.</w:t>
      </w:r>
    </w:p>
    <w:p w14:paraId="67141673" w14:textId="77777777" w:rsidR="00616315" w:rsidRDefault="00616315" w:rsidP="00616315">
      <w:pPr>
        <w:rPr>
          <w:rFonts w:ascii="Times New Roman" w:eastAsia="Times New Roman" w:hAnsi="Times New Roman" w:cs="Times New Roman"/>
          <w:i/>
          <w:spacing w:val="-1"/>
          <w:u w:val="single" w:color="000000"/>
          <w:lang w:val="sl-SI"/>
        </w:rPr>
      </w:pPr>
    </w:p>
    <w:p w14:paraId="08AE350A" w14:textId="77777777" w:rsidR="00616315" w:rsidRPr="00CF282E" w:rsidRDefault="00616315" w:rsidP="00616315">
      <w:pPr>
        <w:rPr>
          <w:rFonts w:ascii="Times New Roman" w:hAnsi="Times New Roman" w:cs="Times New Roman"/>
          <w:b/>
          <w:bCs/>
          <w:iCs/>
          <w:lang w:val="sl-SI"/>
        </w:rPr>
      </w:pPr>
      <w:r w:rsidRPr="00CF282E">
        <w:rPr>
          <w:rFonts w:ascii="Times New Roman" w:hAnsi="Times New Roman" w:cs="Times New Roman"/>
          <w:i/>
          <w:lang w:val="sl-SI"/>
        </w:rPr>
        <w:t>Ulcerozni kolitis pri pediatričnih bolnikih</w:t>
      </w:r>
      <w:r w:rsidRPr="00CF282E">
        <w:rPr>
          <w:rFonts w:ascii="Times New Roman" w:hAnsi="Times New Roman" w:cs="Times New Roman"/>
          <w:b/>
          <w:lang w:val="sl-SI"/>
        </w:rPr>
        <w:t xml:space="preserve"> </w:t>
      </w:r>
    </w:p>
    <w:p w14:paraId="1E356C65" w14:textId="77777777" w:rsidR="00616315" w:rsidRPr="00CF282E" w:rsidRDefault="00616315" w:rsidP="00616315">
      <w:pPr>
        <w:rPr>
          <w:rFonts w:ascii="Times New Roman" w:hAnsi="Times New Roman" w:cs="Times New Roman"/>
          <w:lang w:val="sl-SI"/>
        </w:rPr>
      </w:pPr>
    </w:p>
    <w:p w14:paraId="028C152B" w14:textId="031616E7" w:rsidR="00616315" w:rsidRPr="00CF282E" w:rsidRDefault="00616315" w:rsidP="00616315">
      <w:pPr>
        <w:rPr>
          <w:rFonts w:ascii="Times New Roman" w:hAnsi="Times New Roman" w:cs="Times New Roman"/>
          <w:lang w:val="sl-SI"/>
        </w:rPr>
      </w:pPr>
      <w:r w:rsidRPr="00CF282E">
        <w:rPr>
          <w:rFonts w:ascii="Times New Roman" w:hAnsi="Times New Roman" w:cs="Times New Roman"/>
          <w:lang w:val="sl-SI"/>
        </w:rPr>
        <w:t xml:space="preserve">Priporočeni odmerek zdravila </w:t>
      </w:r>
      <w:r>
        <w:rPr>
          <w:rFonts w:ascii="Times New Roman" w:hAnsi="Times New Roman" w:cs="Times New Roman"/>
          <w:lang w:val="sl-SI"/>
        </w:rPr>
        <w:t>Yuflyma</w:t>
      </w:r>
      <w:r w:rsidRPr="00CF282E">
        <w:rPr>
          <w:rFonts w:ascii="Times New Roman" w:hAnsi="Times New Roman" w:cs="Times New Roman"/>
          <w:lang w:val="sl-SI"/>
        </w:rPr>
        <w:t xml:space="preserve"> pri bolnikih z ulceroznim kolitisom, starih 6 do 17 let, temelji na telesni masi (preglednica </w:t>
      </w:r>
      <w:r w:rsidR="00B81968">
        <w:rPr>
          <w:rFonts w:ascii="Times New Roman" w:hAnsi="Times New Roman" w:cs="Times New Roman"/>
          <w:lang w:val="sl-SI"/>
        </w:rPr>
        <w:t>2</w:t>
      </w:r>
      <w:r w:rsidRPr="00CF282E">
        <w:rPr>
          <w:rFonts w:ascii="Times New Roman" w:hAnsi="Times New Roman" w:cs="Times New Roman"/>
          <w:lang w:val="sl-SI"/>
        </w:rPr>
        <w:t xml:space="preserve">). Zdravilo </w:t>
      </w:r>
      <w:r>
        <w:rPr>
          <w:rFonts w:ascii="Times New Roman" w:hAnsi="Times New Roman" w:cs="Times New Roman"/>
          <w:lang w:val="sl-SI"/>
        </w:rPr>
        <w:t>Yuflyma</w:t>
      </w:r>
      <w:r w:rsidRPr="007233E9">
        <w:rPr>
          <w:rFonts w:ascii="Times New Roman" w:hAnsi="Times New Roman" w:cs="Times New Roman"/>
          <w:lang w:val="sl-SI"/>
        </w:rPr>
        <w:t xml:space="preserve"> </w:t>
      </w:r>
      <w:r w:rsidRPr="00CF282E">
        <w:rPr>
          <w:rFonts w:ascii="Times New Roman" w:hAnsi="Times New Roman" w:cs="Times New Roman"/>
          <w:lang w:val="sl-SI"/>
        </w:rPr>
        <w:t>se odmerja v obliki subkutane injekcije. </w:t>
      </w:r>
    </w:p>
    <w:p w14:paraId="5314C81E" w14:textId="77777777" w:rsidR="00616315" w:rsidRPr="00CF282E" w:rsidRDefault="00616315" w:rsidP="00616315">
      <w:pPr>
        <w:rPr>
          <w:rFonts w:ascii="Times New Roman" w:hAnsi="Times New Roman" w:cs="Times New Roman"/>
          <w:lang w:val="sl-SI"/>
        </w:rPr>
      </w:pPr>
    </w:p>
    <w:p w14:paraId="5F4E1B43" w14:textId="170FDB2A" w:rsidR="00616315" w:rsidRDefault="00616315" w:rsidP="00616315">
      <w:pPr>
        <w:keepNext/>
        <w:jc w:val="center"/>
        <w:rPr>
          <w:rFonts w:ascii="Times New Roman" w:hAnsi="Times New Roman" w:cs="Times New Roman"/>
          <w:b/>
          <w:lang w:val="sl-SI"/>
        </w:rPr>
      </w:pPr>
      <w:r w:rsidRPr="00CF282E">
        <w:rPr>
          <w:rFonts w:ascii="Times New Roman" w:hAnsi="Times New Roman" w:cs="Times New Roman"/>
          <w:b/>
          <w:lang w:val="sl-SI"/>
        </w:rPr>
        <w:t>Preglednica </w:t>
      </w:r>
      <w:r w:rsidR="00B81968">
        <w:rPr>
          <w:rFonts w:ascii="Times New Roman" w:hAnsi="Times New Roman" w:cs="Times New Roman"/>
          <w:b/>
          <w:lang w:val="sl-SI"/>
        </w:rPr>
        <w:t>2</w:t>
      </w:r>
      <w:r w:rsidRPr="00CF282E">
        <w:rPr>
          <w:rFonts w:ascii="Times New Roman" w:hAnsi="Times New Roman" w:cs="Times New Roman"/>
          <w:b/>
          <w:lang w:val="sl-SI"/>
        </w:rPr>
        <w:t xml:space="preserve">. Odmerjanje zdravila </w:t>
      </w:r>
      <w:r>
        <w:rPr>
          <w:rFonts w:ascii="Times New Roman" w:hAnsi="Times New Roman" w:cs="Times New Roman"/>
          <w:b/>
          <w:lang w:val="sl-SI"/>
        </w:rPr>
        <w:t>Yuflyma</w:t>
      </w:r>
      <w:r w:rsidRPr="009812C7">
        <w:rPr>
          <w:rFonts w:ascii="Times New Roman" w:hAnsi="Times New Roman" w:cs="Times New Roman"/>
          <w:b/>
          <w:lang w:val="sl-SI"/>
        </w:rPr>
        <w:t xml:space="preserve"> </w:t>
      </w:r>
      <w:r w:rsidRPr="00CF282E">
        <w:rPr>
          <w:rFonts w:ascii="Times New Roman" w:hAnsi="Times New Roman" w:cs="Times New Roman"/>
          <w:b/>
          <w:lang w:val="sl-SI"/>
        </w:rPr>
        <w:t xml:space="preserve">pri pediatričnih bolnikih z ulceroznim kolitisom </w:t>
      </w:r>
    </w:p>
    <w:p w14:paraId="56579FF1" w14:textId="77777777" w:rsidR="00B123FF" w:rsidRPr="00CF282E" w:rsidRDefault="00B123FF" w:rsidP="00616315">
      <w:pPr>
        <w:keepNext/>
        <w:jc w:val="center"/>
        <w:rPr>
          <w:rFonts w:ascii="Times New Roman" w:hAnsi="Times New Roman" w:cs="Times New Roman"/>
          <w:lang w:val="sl-SI"/>
        </w:rPr>
      </w:pPr>
    </w:p>
    <w:tbl>
      <w:tblPr>
        <w:tblW w:w="4574"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552"/>
        <w:gridCol w:w="4252"/>
        <w:gridCol w:w="2963"/>
      </w:tblGrid>
      <w:tr w:rsidR="00616315" w:rsidRPr="00652F18" w14:paraId="1E5CF2F3" w14:textId="77777777" w:rsidTr="00F8029A">
        <w:trPr>
          <w:jc w:val="center"/>
        </w:trPr>
        <w:tc>
          <w:tcPr>
            <w:tcW w:w="885" w:type="pct"/>
            <w:tcBorders>
              <w:top w:val="single" w:sz="6" w:space="0" w:color="000000"/>
              <w:left w:val="single" w:sz="6" w:space="0" w:color="000000"/>
              <w:bottom w:val="single" w:sz="6" w:space="0" w:color="000000"/>
              <w:right w:val="single" w:sz="6" w:space="0" w:color="000000"/>
            </w:tcBorders>
            <w:vAlign w:val="center"/>
            <w:hideMark/>
          </w:tcPr>
          <w:p w14:paraId="5278CD8E" w14:textId="77777777" w:rsidR="00616315" w:rsidRPr="00CF282E" w:rsidRDefault="00616315" w:rsidP="00433A4B">
            <w:pPr>
              <w:jc w:val="center"/>
              <w:rPr>
                <w:rFonts w:ascii="Times New Roman" w:hAnsi="Times New Roman" w:cs="Times New Roman"/>
                <w:b/>
                <w:lang w:val="sl-SI"/>
              </w:rPr>
            </w:pPr>
            <w:r w:rsidRPr="00CF282E">
              <w:rPr>
                <w:rFonts w:ascii="Times New Roman" w:hAnsi="Times New Roman" w:cs="Times New Roman"/>
                <w:b/>
                <w:lang w:val="sl-SI"/>
              </w:rPr>
              <w:t>Masa bolnika</w:t>
            </w:r>
          </w:p>
        </w:tc>
        <w:tc>
          <w:tcPr>
            <w:tcW w:w="2425" w:type="pct"/>
            <w:tcBorders>
              <w:top w:val="single" w:sz="6" w:space="0" w:color="000000"/>
              <w:left w:val="single" w:sz="6" w:space="0" w:color="000000"/>
              <w:bottom w:val="single" w:sz="6" w:space="0" w:color="000000"/>
              <w:right w:val="single" w:sz="6" w:space="0" w:color="000000"/>
            </w:tcBorders>
            <w:vAlign w:val="center"/>
            <w:hideMark/>
          </w:tcPr>
          <w:p w14:paraId="7F728FDB" w14:textId="77777777" w:rsidR="00616315" w:rsidRPr="00CF282E" w:rsidRDefault="00616315" w:rsidP="00433A4B">
            <w:pPr>
              <w:jc w:val="center"/>
              <w:rPr>
                <w:rFonts w:ascii="Times New Roman" w:hAnsi="Times New Roman" w:cs="Times New Roman"/>
                <w:b/>
                <w:lang w:val="sl-SI"/>
              </w:rPr>
            </w:pPr>
            <w:r w:rsidRPr="00CF282E">
              <w:rPr>
                <w:rFonts w:ascii="Times New Roman" w:hAnsi="Times New Roman" w:cs="Times New Roman"/>
                <w:b/>
                <w:lang w:val="sl-SI"/>
              </w:rPr>
              <w:t>Začetni odmerek</w:t>
            </w:r>
          </w:p>
        </w:tc>
        <w:tc>
          <w:tcPr>
            <w:tcW w:w="1690" w:type="pct"/>
            <w:tcBorders>
              <w:top w:val="single" w:sz="6" w:space="0" w:color="000000"/>
              <w:left w:val="single" w:sz="6" w:space="0" w:color="000000"/>
              <w:bottom w:val="single" w:sz="6" w:space="0" w:color="000000"/>
              <w:right w:val="single" w:sz="6" w:space="0" w:color="000000"/>
            </w:tcBorders>
            <w:hideMark/>
          </w:tcPr>
          <w:p w14:paraId="6905CB81" w14:textId="77777777" w:rsidR="00616315" w:rsidRPr="00CF282E" w:rsidRDefault="00616315" w:rsidP="00433A4B">
            <w:pPr>
              <w:jc w:val="center"/>
              <w:rPr>
                <w:rFonts w:ascii="Times New Roman" w:hAnsi="Times New Roman" w:cs="Times New Roman"/>
                <w:b/>
                <w:lang w:val="sl-SI"/>
              </w:rPr>
            </w:pPr>
            <w:r w:rsidRPr="00CF282E">
              <w:rPr>
                <w:rFonts w:ascii="Times New Roman" w:hAnsi="Times New Roman" w:cs="Times New Roman"/>
                <w:b/>
                <w:lang w:val="sl-SI"/>
              </w:rPr>
              <w:t>Vzdrževalni odmerek</w:t>
            </w:r>
            <w:r w:rsidRPr="00CF282E">
              <w:rPr>
                <w:rFonts w:ascii="Times New Roman" w:hAnsi="Times New Roman" w:cs="Times New Roman"/>
                <w:b/>
                <w:lang w:val="sl-SI"/>
              </w:rPr>
              <w:br/>
              <w:t>z začetkom v 4. tednu*</w:t>
            </w:r>
          </w:p>
        </w:tc>
      </w:tr>
      <w:tr w:rsidR="00616315" w:rsidRPr="00CF282E" w14:paraId="3688E9FD" w14:textId="77777777" w:rsidTr="00F8029A">
        <w:trPr>
          <w:jc w:val="center"/>
        </w:trPr>
        <w:tc>
          <w:tcPr>
            <w:tcW w:w="885" w:type="pct"/>
            <w:tcBorders>
              <w:top w:val="single" w:sz="6" w:space="0" w:color="000000"/>
              <w:left w:val="single" w:sz="6" w:space="0" w:color="000000"/>
              <w:bottom w:val="single" w:sz="6" w:space="0" w:color="000000"/>
              <w:right w:val="single" w:sz="6" w:space="0" w:color="000000"/>
            </w:tcBorders>
            <w:hideMark/>
          </w:tcPr>
          <w:p w14:paraId="6EE11B02" w14:textId="77777777" w:rsidR="00616315" w:rsidRPr="00CF282E" w:rsidRDefault="00616315" w:rsidP="00433A4B">
            <w:pPr>
              <w:jc w:val="center"/>
              <w:rPr>
                <w:rFonts w:ascii="Times New Roman" w:hAnsi="Times New Roman" w:cs="Times New Roman"/>
                <w:lang w:val="sl-SI"/>
              </w:rPr>
            </w:pPr>
            <w:r w:rsidRPr="00CF282E">
              <w:rPr>
                <w:rFonts w:ascii="Times New Roman" w:hAnsi="Times New Roman" w:cs="Times New Roman"/>
                <w:lang w:val="sl-SI"/>
              </w:rPr>
              <w:t>&lt; 40 kg</w:t>
            </w:r>
          </w:p>
        </w:tc>
        <w:tc>
          <w:tcPr>
            <w:tcW w:w="2425" w:type="pct"/>
            <w:tcBorders>
              <w:top w:val="single" w:sz="6" w:space="0" w:color="000000"/>
              <w:left w:val="single" w:sz="6" w:space="0" w:color="000000"/>
              <w:bottom w:val="single" w:sz="6" w:space="0" w:color="000000"/>
              <w:right w:val="single" w:sz="6" w:space="0" w:color="000000"/>
            </w:tcBorders>
            <w:hideMark/>
          </w:tcPr>
          <w:p w14:paraId="4CD6078C" w14:textId="11F070E0" w:rsidR="00616315" w:rsidRPr="00CF282E" w:rsidRDefault="00616315" w:rsidP="00433A4B">
            <w:pPr>
              <w:widowControl/>
              <w:numPr>
                <w:ilvl w:val="0"/>
                <w:numId w:val="113"/>
              </w:numPr>
              <w:ind w:left="360" w:hanging="210"/>
              <w:rPr>
                <w:rFonts w:ascii="Times New Roman" w:hAnsi="Times New Roman" w:cs="Times New Roman"/>
                <w:lang w:val="sl-SI"/>
              </w:rPr>
            </w:pPr>
            <w:r w:rsidRPr="00CF282E">
              <w:rPr>
                <w:rFonts w:ascii="Times New Roman" w:hAnsi="Times New Roman" w:cs="Times New Roman"/>
                <w:lang w:val="sl-SI"/>
              </w:rPr>
              <w:t xml:space="preserve">80 mg v 0. tednu (apliciran v obliki </w:t>
            </w:r>
            <w:r w:rsidR="00433A4B" w:rsidRPr="00433A4B">
              <w:rPr>
                <w:rFonts w:ascii="Times New Roman" w:hAnsi="Times New Roman" w:cs="Times New Roman"/>
                <w:lang w:val="sl-SI"/>
              </w:rPr>
              <w:t>ene 80 mg injekcije</w:t>
            </w:r>
            <w:r w:rsidR="00433A4B">
              <w:rPr>
                <w:rFonts w:ascii="Times New Roman" w:hAnsi="Times New Roman" w:cs="Times New Roman"/>
                <w:lang w:val="sl-SI"/>
              </w:rPr>
              <w:t xml:space="preserve"> </w:t>
            </w:r>
            <w:r w:rsidRPr="00CF282E">
              <w:rPr>
                <w:rFonts w:ascii="Times New Roman" w:hAnsi="Times New Roman" w:cs="Times New Roman"/>
                <w:lang w:val="sl-SI"/>
              </w:rPr>
              <w:t>v enem dnevu) in</w:t>
            </w:r>
          </w:p>
          <w:p w14:paraId="49EC6E62" w14:textId="77777777" w:rsidR="00616315" w:rsidRPr="00CF282E" w:rsidRDefault="00616315" w:rsidP="00433A4B">
            <w:pPr>
              <w:widowControl/>
              <w:numPr>
                <w:ilvl w:val="0"/>
                <w:numId w:val="113"/>
              </w:numPr>
              <w:ind w:left="360" w:hanging="210"/>
              <w:rPr>
                <w:rFonts w:ascii="Times New Roman" w:hAnsi="Times New Roman" w:cs="Times New Roman"/>
                <w:lang w:val="sl-SI"/>
              </w:rPr>
            </w:pPr>
            <w:r w:rsidRPr="00CF282E">
              <w:rPr>
                <w:rFonts w:ascii="Times New Roman" w:hAnsi="Times New Roman" w:cs="Times New Roman"/>
                <w:lang w:val="sl-SI"/>
              </w:rPr>
              <w:t>40 mg v 2. tednu (apliciran v obliki ene 40 mg injekcije)</w:t>
            </w:r>
          </w:p>
        </w:tc>
        <w:tc>
          <w:tcPr>
            <w:tcW w:w="1690" w:type="pct"/>
            <w:tcBorders>
              <w:top w:val="single" w:sz="6" w:space="0" w:color="000000"/>
              <w:left w:val="single" w:sz="6" w:space="0" w:color="000000"/>
              <w:bottom w:val="single" w:sz="6" w:space="0" w:color="000000"/>
              <w:right w:val="single" w:sz="6" w:space="0" w:color="000000"/>
            </w:tcBorders>
            <w:hideMark/>
          </w:tcPr>
          <w:p w14:paraId="0E538E5B" w14:textId="77777777" w:rsidR="00616315" w:rsidRPr="00CF282E" w:rsidRDefault="00616315" w:rsidP="00433A4B">
            <w:pPr>
              <w:widowControl/>
              <w:numPr>
                <w:ilvl w:val="0"/>
                <w:numId w:val="113"/>
              </w:numPr>
              <w:ind w:left="360" w:hanging="210"/>
              <w:rPr>
                <w:rFonts w:ascii="Times New Roman" w:hAnsi="Times New Roman" w:cs="Times New Roman"/>
                <w:lang w:val="sl-SI"/>
              </w:rPr>
            </w:pPr>
            <w:r w:rsidRPr="00CF282E">
              <w:rPr>
                <w:rFonts w:ascii="Times New Roman" w:hAnsi="Times New Roman" w:cs="Times New Roman"/>
                <w:lang w:val="sl-SI"/>
              </w:rPr>
              <w:t>40 mg vsak drugi teden</w:t>
            </w:r>
          </w:p>
        </w:tc>
      </w:tr>
      <w:tr w:rsidR="00616315" w:rsidRPr="00CF282E" w14:paraId="585CA904" w14:textId="77777777" w:rsidTr="00F8029A">
        <w:trPr>
          <w:jc w:val="center"/>
        </w:trPr>
        <w:tc>
          <w:tcPr>
            <w:tcW w:w="885" w:type="pct"/>
            <w:tcBorders>
              <w:top w:val="single" w:sz="6" w:space="0" w:color="000000"/>
              <w:left w:val="single" w:sz="6" w:space="0" w:color="000000"/>
              <w:bottom w:val="single" w:sz="4" w:space="0" w:color="auto"/>
              <w:right w:val="single" w:sz="6" w:space="0" w:color="000000"/>
            </w:tcBorders>
            <w:hideMark/>
          </w:tcPr>
          <w:p w14:paraId="3D8559D7" w14:textId="77777777" w:rsidR="00616315" w:rsidRPr="00CF282E" w:rsidRDefault="00616315" w:rsidP="00433A4B">
            <w:pPr>
              <w:jc w:val="center"/>
              <w:rPr>
                <w:rFonts w:ascii="Times New Roman" w:hAnsi="Times New Roman" w:cs="Times New Roman"/>
                <w:lang w:val="sl-SI"/>
              </w:rPr>
            </w:pPr>
            <w:r w:rsidRPr="00CF282E">
              <w:rPr>
                <w:rFonts w:ascii="Times New Roman" w:hAnsi="Times New Roman" w:cs="Times New Roman"/>
                <w:lang w:val="sl-SI"/>
              </w:rPr>
              <w:t>≥ 40 kg</w:t>
            </w:r>
          </w:p>
        </w:tc>
        <w:tc>
          <w:tcPr>
            <w:tcW w:w="2425" w:type="pct"/>
            <w:tcBorders>
              <w:top w:val="single" w:sz="6" w:space="0" w:color="000000"/>
              <w:left w:val="single" w:sz="6" w:space="0" w:color="000000"/>
              <w:bottom w:val="single" w:sz="4" w:space="0" w:color="auto"/>
              <w:right w:val="single" w:sz="6" w:space="0" w:color="000000"/>
            </w:tcBorders>
            <w:hideMark/>
          </w:tcPr>
          <w:p w14:paraId="3FD45928" w14:textId="03BFE159" w:rsidR="00616315" w:rsidRPr="00CF282E" w:rsidRDefault="00616315" w:rsidP="00433A4B">
            <w:pPr>
              <w:widowControl/>
              <w:numPr>
                <w:ilvl w:val="0"/>
                <w:numId w:val="114"/>
              </w:numPr>
              <w:ind w:left="360" w:hanging="210"/>
              <w:rPr>
                <w:rFonts w:ascii="Times New Roman" w:hAnsi="Times New Roman" w:cs="Times New Roman"/>
                <w:lang w:val="sl-SI"/>
              </w:rPr>
            </w:pPr>
            <w:r w:rsidRPr="00CF282E">
              <w:rPr>
                <w:rFonts w:ascii="Times New Roman" w:hAnsi="Times New Roman" w:cs="Times New Roman"/>
                <w:lang w:val="sl-SI"/>
              </w:rPr>
              <w:t xml:space="preserve">160 mg v 0. tednu (apliciran v obliki </w:t>
            </w:r>
            <w:r w:rsidR="00433A4B" w:rsidRPr="00433A4B">
              <w:rPr>
                <w:rFonts w:ascii="Times New Roman" w:hAnsi="Times New Roman" w:cs="Times New Roman"/>
                <w:lang w:val="sl-SI"/>
              </w:rPr>
              <w:t>dveh 80 mg injekcij</w:t>
            </w:r>
            <w:r w:rsidR="00433A4B">
              <w:rPr>
                <w:rFonts w:ascii="Times New Roman" w:hAnsi="Times New Roman" w:cs="Times New Roman"/>
                <w:lang w:val="sl-SI"/>
              </w:rPr>
              <w:t xml:space="preserve"> </w:t>
            </w:r>
            <w:r w:rsidRPr="00CF282E">
              <w:rPr>
                <w:rFonts w:ascii="Times New Roman" w:hAnsi="Times New Roman" w:cs="Times New Roman"/>
                <w:lang w:val="sl-SI"/>
              </w:rPr>
              <w:t xml:space="preserve">v enem dnevu ali </w:t>
            </w:r>
            <w:r w:rsidR="00433A4B" w:rsidRPr="00433A4B">
              <w:rPr>
                <w:rFonts w:ascii="Times New Roman" w:hAnsi="Times New Roman" w:cs="Times New Roman"/>
                <w:lang w:val="sl-SI"/>
              </w:rPr>
              <w:t>ene 80 mg injekcije</w:t>
            </w:r>
            <w:r w:rsidR="00433A4B">
              <w:rPr>
                <w:rFonts w:ascii="Times New Roman" w:hAnsi="Times New Roman" w:cs="Times New Roman"/>
                <w:lang w:val="sl-SI"/>
              </w:rPr>
              <w:t xml:space="preserve"> </w:t>
            </w:r>
            <w:r w:rsidRPr="00CF282E">
              <w:rPr>
                <w:rFonts w:ascii="Times New Roman" w:hAnsi="Times New Roman" w:cs="Times New Roman"/>
                <w:lang w:val="sl-SI"/>
              </w:rPr>
              <w:t>na dan dva zaporedna dneva) in</w:t>
            </w:r>
          </w:p>
          <w:p w14:paraId="506D3B62" w14:textId="3995DAEE" w:rsidR="00616315" w:rsidRPr="00CF282E" w:rsidRDefault="00616315" w:rsidP="00433A4B">
            <w:pPr>
              <w:widowControl/>
              <w:numPr>
                <w:ilvl w:val="0"/>
                <w:numId w:val="114"/>
              </w:numPr>
              <w:ind w:left="360" w:hanging="210"/>
              <w:rPr>
                <w:rFonts w:ascii="Times New Roman" w:hAnsi="Times New Roman" w:cs="Times New Roman"/>
                <w:lang w:val="sl-SI"/>
              </w:rPr>
            </w:pPr>
            <w:r w:rsidRPr="00CF282E">
              <w:rPr>
                <w:rFonts w:ascii="Times New Roman" w:hAnsi="Times New Roman" w:cs="Times New Roman"/>
                <w:lang w:val="sl-SI"/>
              </w:rPr>
              <w:t xml:space="preserve">80 mg v 2. tednu (apliciran v obliki </w:t>
            </w:r>
            <w:r w:rsidR="00433A4B" w:rsidRPr="00433A4B">
              <w:rPr>
                <w:rFonts w:ascii="Times New Roman" w:hAnsi="Times New Roman" w:cs="Times New Roman"/>
                <w:lang w:val="sl-SI"/>
              </w:rPr>
              <w:t>ene 80 mg injekcije</w:t>
            </w:r>
            <w:r w:rsidR="00433A4B">
              <w:rPr>
                <w:rFonts w:ascii="Times New Roman" w:hAnsi="Times New Roman" w:cs="Times New Roman"/>
                <w:lang w:val="sl-SI"/>
              </w:rPr>
              <w:t xml:space="preserve"> </w:t>
            </w:r>
            <w:r w:rsidRPr="00CF282E">
              <w:rPr>
                <w:rFonts w:ascii="Times New Roman" w:hAnsi="Times New Roman" w:cs="Times New Roman"/>
                <w:lang w:val="sl-SI"/>
              </w:rPr>
              <w:t>v enem dnevu)</w:t>
            </w:r>
          </w:p>
        </w:tc>
        <w:tc>
          <w:tcPr>
            <w:tcW w:w="1690" w:type="pct"/>
            <w:tcBorders>
              <w:top w:val="single" w:sz="6" w:space="0" w:color="000000"/>
              <w:left w:val="single" w:sz="6" w:space="0" w:color="000000"/>
              <w:bottom w:val="single" w:sz="4" w:space="0" w:color="auto"/>
              <w:right w:val="single" w:sz="6" w:space="0" w:color="000000"/>
            </w:tcBorders>
            <w:hideMark/>
          </w:tcPr>
          <w:p w14:paraId="098BEF01" w14:textId="77777777" w:rsidR="00616315" w:rsidRPr="00CF282E" w:rsidRDefault="00616315" w:rsidP="00433A4B">
            <w:pPr>
              <w:widowControl/>
              <w:numPr>
                <w:ilvl w:val="0"/>
                <w:numId w:val="113"/>
              </w:numPr>
              <w:ind w:left="360" w:hanging="210"/>
              <w:rPr>
                <w:rFonts w:ascii="Times New Roman" w:hAnsi="Times New Roman" w:cs="Times New Roman"/>
                <w:lang w:val="sl-SI"/>
              </w:rPr>
            </w:pPr>
            <w:r w:rsidRPr="00CF282E">
              <w:rPr>
                <w:rFonts w:ascii="Times New Roman" w:hAnsi="Times New Roman" w:cs="Times New Roman"/>
                <w:lang w:val="sl-SI"/>
              </w:rPr>
              <w:t>80 mg vsak drugi teden</w:t>
            </w:r>
          </w:p>
        </w:tc>
      </w:tr>
      <w:tr w:rsidR="00616315" w:rsidRPr="00CF282E" w14:paraId="5194E442" w14:textId="77777777" w:rsidTr="00433A4B">
        <w:trPr>
          <w:jc w:val="center"/>
        </w:trPr>
        <w:tc>
          <w:tcPr>
            <w:tcW w:w="5000" w:type="pct"/>
            <w:gridSpan w:val="3"/>
            <w:tcBorders>
              <w:top w:val="single" w:sz="4" w:space="0" w:color="auto"/>
              <w:left w:val="nil"/>
              <w:bottom w:val="nil"/>
              <w:right w:val="nil"/>
            </w:tcBorders>
          </w:tcPr>
          <w:p w14:paraId="75CCEC5F" w14:textId="77777777" w:rsidR="00616315" w:rsidRPr="00CF282E" w:rsidRDefault="00616315" w:rsidP="00433A4B">
            <w:pPr>
              <w:rPr>
                <w:rFonts w:ascii="Times New Roman" w:hAnsi="Times New Roman" w:cs="Times New Roman"/>
                <w:lang w:val="sl-SI"/>
              </w:rPr>
            </w:pPr>
            <w:r w:rsidRPr="00CF282E">
              <w:rPr>
                <w:rFonts w:ascii="Times New Roman" w:hAnsi="Times New Roman" w:cs="Times New Roman"/>
                <w:vertAlign w:val="superscript"/>
                <w:lang w:val="sl-SI"/>
              </w:rPr>
              <w:t xml:space="preserve">* </w:t>
            </w:r>
            <w:r w:rsidRPr="00CF282E">
              <w:rPr>
                <w:rFonts w:ascii="Times New Roman" w:hAnsi="Times New Roman" w:cs="Times New Roman"/>
                <w:lang w:val="sl-SI"/>
              </w:rPr>
              <w:t xml:space="preserve">Pediatrični bolniki, ki dopolnijo 18 let, medtem ko prejemajo zdravilo </w:t>
            </w:r>
            <w:r w:rsidRPr="009812C7">
              <w:rPr>
                <w:rFonts w:ascii="Times New Roman" w:hAnsi="Times New Roman" w:cs="Times New Roman"/>
                <w:lang w:val="sl-SI"/>
              </w:rPr>
              <w:t>adalimumaba</w:t>
            </w:r>
            <w:r w:rsidRPr="00CF282E">
              <w:rPr>
                <w:rFonts w:ascii="Times New Roman" w:hAnsi="Times New Roman" w:cs="Times New Roman"/>
                <w:lang w:val="sl-SI"/>
              </w:rPr>
              <w:t>, naj nadaljujejo zdravljenje s svojim predpisanim vzdrževalnim odmerkom.</w:t>
            </w:r>
          </w:p>
        </w:tc>
      </w:tr>
    </w:tbl>
    <w:p w14:paraId="5805999B" w14:textId="77777777" w:rsidR="00616315" w:rsidRPr="00CF282E" w:rsidRDefault="00616315" w:rsidP="00616315">
      <w:pPr>
        <w:pStyle w:val="gtctablespaceafter"/>
        <w:numPr>
          <w:ilvl w:val="0"/>
          <w:numId w:val="115"/>
        </w:numPr>
        <w:spacing w:after="0"/>
        <w:rPr>
          <w:sz w:val="22"/>
          <w:szCs w:val="22"/>
          <w:lang w:val="sl-SI"/>
        </w:rPr>
      </w:pPr>
    </w:p>
    <w:p w14:paraId="69E2C325" w14:textId="77777777" w:rsidR="00616315" w:rsidRPr="00CF282E" w:rsidRDefault="00616315" w:rsidP="00616315">
      <w:pPr>
        <w:pStyle w:val="a4"/>
        <w:widowControl/>
        <w:numPr>
          <w:ilvl w:val="0"/>
          <w:numId w:val="115"/>
        </w:numPr>
        <w:tabs>
          <w:tab w:val="left" w:pos="567"/>
        </w:tabs>
        <w:spacing w:line="260" w:lineRule="exact"/>
        <w:rPr>
          <w:rFonts w:ascii="Times New Roman" w:hAnsi="Times New Roman" w:cs="Times New Roman"/>
          <w:lang w:val="sl-SI"/>
        </w:rPr>
      </w:pPr>
      <w:r w:rsidRPr="00CF282E">
        <w:rPr>
          <w:rFonts w:ascii="Times New Roman" w:hAnsi="Times New Roman" w:cs="Times New Roman"/>
          <w:lang w:val="sl-SI"/>
        </w:rPr>
        <w:t>Če se bolnik v 8 tednih ne odzove na zdravljenje, je potrebno skrbno premisliti o nadaljevanju zdravljenja.</w:t>
      </w:r>
    </w:p>
    <w:p w14:paraId="3B655B9A" w14:textId="77777777" w:rsidR="00616315" w:rsidRPr="00CF282E" w:rsidRDefault="00616315" w:rsidP="00616315">
      <w:pPr>
        <w:rPr>
          <w:rFonts w:ascii="Times New Roman" w:hAnsi="Times New Roman" w:cs="Times New Roman"/>
          <w:lang w:val="sl-SI"/>
        </w:rPr>
      </w:pPr>
    </w:p>
    <w:p w14:paraId="3A77F1C5" w14:textId="77777777" w:rsidR="00616315" w:rsidRPr="00CF282E" w:rsidRDefault="00616315" w:rsidP="00616315">
      <w:pPr>
        <w:rPr>
          <w:rFonts w:ascii="Times New Roman" w:hAnsi="Times New Roman" w:cs="Times New Roman"/>
          <w:lang w:val="sl-SI"/>
        </w:rPr>
      </w:pPr>
      <w:r w:rsidRPr="00CF282E">
        <w:rPr>
          <w:rFonts w:ascii="Times New Roman" w:hAnsi="Times New Roman" w:cs="Times New Roman"/>
          <w:lang w:val="sl-SI"/>
        </w:rPr>
        <w:t>Uporaba zdravila adalimumaba pri otrocih, mlajših od 6 let, za to indikacijo ni primerna.</w:t>
      </w:r>
    </w:p>
    <w:p w14:paraId="2682EFB4" w14:textId="77777777" w:rsidR="00616315" w:rsidRDefault="00616315" w:rsidP="00616315">
      <w:pPr>
        <w:rPr>
          <w:rFonts w:ascii="Times New Roman" w:eastAsia="Times New Roman" w:hAnsi="Times New Roman" w:cs="Times New Roman"/>
          <w:i/>
          <w:spacing w:val="-1"/>
          <w:u w:val="single" w:color="000000"/>
          <w:lang w:val="sl-SI"/>
        </w:rPr>
      </w:pPr>
    </w:p>
    <w:p w14:paraId="08329DC4" w14:textId="77777777" w:rsidR="00616315" w:rsidRPr="00721C46" w:rsidRDefault="00616315" w:rsidP="00616315">
      <w:pPr>
        <w:rPr>
          <w:rFonts w:ascii="Times New Roman" w:eastAsia="Times New Roman" w:hAnsi="Times New Roman" w:cs="Times New Roman"/>
          <w:i/>
          <w:spacing w:val="-1"/>
          <w:u w:color="000000"/>
          <w:lang w:val="sl-SI"/>
        </w:rPr>
      </w:pPr>
      <w:r w:rsidRPr="00721C46">
        <w:rPr>
          <w:rFonts w:ascii="Times New Roman" w:eastAsia="Times New Roman" w:hAnsi="Times New Roman" w:cs="Times New Roman"/>
          <w:i/>
          <w:iCs/>
          <w:spacing w:val="-1"/>
          <w:u w:color="000000"/>
          <w:lang w:val="sl-SI"/>
        </w:rPr>
        <w:t>Pediatrični uveitis</w:t>
      </w:r>
    </w:p>
    <w:p w14:paraId="18DB25B9" w14:textId="77777777" w:rsidR="00616315" w:rsidRDefault="00616315" w:rsidP="00616315">
      <w:pPr>
        <w:rPr>
          <w:rFonts w:ascii="Times New Roman" w:eastAsia="Times New Roman" w:hAnsi="Times New Roman" w:cs="Times New Roman"/>
          <w:lang w:val="sl-SI"/>
        </w:rPr>
      </w:pPr>
    </w:p>
    <w:p w14:paraId="2A42E28E" w14:textId="34704F63" w:rsidR="00616315" w:rsidRDefault="00616315" w:rsidP="00616315">
      <w:pPr>
        <w:pStyle w:val="a3"/>
        <w:rPr>
          <w:lang w:val="sl-SI"/>
        </w:rPr>
      </w:pPr>
      <w:r>
        <w:rPr>
          <w:rFonts w:eastAsia="Times New Roman"/>
          <w:lang w:val="sl-SI"/>
        </w:rPr>
        <w:t>Priporočeni odmerek zdravila Yuflyma pri bolnikih z uveitisom, star</w:t>
      </w:r>
      <w:r w:rsidR="00FC2FB8">
        <w:rPr>
          <w:rFonts w:eastAsia="Times New Roman"/>
          <w:lang w:val="sl-SI"/>
        </w:rPr>
        <w:t>ejših</w:t>
      </w:r>
      <w:r>
        <w:rPr>
          <w:rFonts w:eastAsia="Times New Roman"/>
          <w:lang w:val="sl-SI"/>
        </w:rPr>
        <w:t xml:space="preserve"> od 2 let, je odvisen od telesne mase (preglednica </w:t>
      </w:r>
      <w:r w:rsidR="00B81968">
        <w:rPr>
          <w:rFonts w:eastAsia="Times New Roman"/>
          <w:lang w:val="sl-SI"/>
        </w:rPr>
        <w:t>3</w:t>
      </w:r>
      <w:r>
        <w:rPr>
          <w:rFonts w:eastAsia="Times New Roman"/>
          <w:lang w:val="sl-SI"/>
        </w:rPr>
        <w:t>). Zdravilo Yuflyma se odmerja v obliki subkutane injekcije.</w:t>
      </w:r>
    </w:p>
    <w:p w14:paraId="62FA2BD7" w14:textId="77777777" w:rsidR="00616315" w:rsidRDefault="00616315" w:rsidP="00616315">
      <w:pPr>
        <w:rPr>
          <w:rFonts w:ascii="Times New Roman" w:hAnsi="Times New Roman" w:cs="Times New Roman"/>
          <w:sz w:val="24"/>
          <w:szCs w:val="24"/>
          <w:lang w:val="sl-SI"/>
        </w:rPr>
      </w:pPr>
    </w:p>
    <w:p w14:paraId="3270B12C" w14:textId="77777777" w:rsidR="00616315" w:rsidRDefault="00616315" w:rsidP="00616315">
      <w:pPr>
        <w:pStyle w:val="a3"/>
        <w:rPr>
          <w:lang w:val="sl-SI"/>
        </w:rPr>
      </w:pPr>
      <w:r>
        <w:rPr>
          <w:rFonts w:eastAsia="Times New Roman"/>
          <w:lang w:val="sl-SI"/>
        </w:rPr>
        <w:t>Pri zdravljenju pediatričnega uveitisa ni izkušenj z zdravljenjem z adalimumabom brez sočasnega zdravljenja z metotreksatom.</w:t>
      </w:r>
    </w:p>
    <w:p w14:paraId="2849A533" w14:textId="77777777" w:rsidR="00616315" w:rsidRDefault="00616315" w:rsidP="00616315">
      <w:pPr>
        <w:pStyle w:val="a3"/>
        <w:rPr>
          <w:lang w:val="sl-SI"/>
        </w:rPr>
      </w:pPr>
    </w:p>
    <w:p w14:paraId="2C53628E" w14:textId="0A54233D" w:rsidR="00616315" w:rsidRDefault="00616315" w:rsidP="00616315">
      <w:pPr>
        <w:pStyle w:val="a3"/>
        <w:jc w:val="center"/>
        <w:rPr>
          <w:b/>
          <w:lang w:val="sl-SI"/>
        </w:rPr>
      </w:pPr>
      <w:r>
        <w:rPr>
          <w:rFonts w:eastAsia="Times New Roman"/>
          <w:b/>
          <w:bCs/>
          <w:lang w:val="sl-SI"/>
        </w:rPr>
        <w:t>Preglednica </w:t>
      </w:r>
      <w:r w:rsidR="00B81968">
        <w:rPr>
          <w:rFonts w:eastAsia="Times New Roman"/>
          <w:b/>
          <w:bCs/>
          <w:lang w:val="sl-SI"/>
        </w:rPr>
        <w:t>3</w:t>
      </w:r>
      <w:r>
        <w:rPr>
          <w:rFonts w:eastAsia="Times New Roman"/>
          <w:b/>
          <w:bCs/>
          <w:lang w:val="sl-SI"/>
        </w:rPr>
        <w:t>. Odmerek zdravila Yuflyma pri pediatričnih bolnikih z uveitisom</w:t>
      </w:r>
    </w:p>
    <w:p w14:paraId="15F8B0F0" w14:textId="77777777" w:rsidR="00616315" w:rsidRDefault="00616315" w:rsidP="00616315">
      <w:pPr>
        <w:spacing w:before="4" w:line="220" w:lineRule="exact"/>
        <w:rPr>
          <w:rFonts w:ascii="Times New Roman" w:hAnsi="Times New Roman" w:cs="Times New Roman"/>
          <w:lang w:val="sl-SI"/>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616315" w14:paraId="5F913057" w14:textId="77777777" w:rsidTr="00433A4B">
        <w:trPr>
          <w:trHeight w:val="374"/>
          <w:jc w:val="center"/>
        </w:trPr>
        <w:tc>
          <w:tcPr>
            <w:tcW w:w="3572" w:type="dxa"/>
            <w:tcBorders>
              <w:top w:val="single" w:sz="4" w:space="0" w:color="auto"/>
              <w:bottom w:val="single" w:sz="4" w:space="0" w:color="auto"/>
            </w:tcBorders>
            <w:vAlign w:val="center"/>
          </w:tcPr>
          <w:p w14:paraId="00A8A861" w14:textId="77777777" w:rsidR="00616315" w:rsidRDefault="00616315" w:rsidP="00433A4B">
            <w:pPr>
              <w:pStyle w:val="a3"/>
              <w:jc w:val="center"/>
              <w:rPr>
                <w:b/>
                <w:lang w:val="sl-SI"/>
              </w:rPr>
            </w:pPr>
            <w:r>
              <w:rPr>
                <w:rFonts w:eastAsia="Times New Roman"/>
                <w:b/>
                <w:bCs/>
                <w:lang w:val="sl-SI"/>
              </w:rPr>
              <w:lastRenderedPageBreak/>
              <w:t>Telesna masa bolnika</w:t>
            </w:r>
          </w:p>
        </w:tc>
        <w:tc>
          <w:tcPr>
            <w:tcW w:w="3572" w:type="dxa"/>
            <w:tcBorders>
              <w:top w:val="single" w:sz="4" w:space="0" w:color="auto"/>
              <w:bottom w:val="single" w:sz="4" w:space="0" w:color="auto"/>
            </w:tcBorders>
            <w:vAlign w:val="center"/>
          </w:tcPr>
          <w:p w14:paraId="615045C3" w14:textId="77777777" w:rsidR="00616315" w:rsidRDefault="00616315" w:rsidP="00433A4B">
            <w:pPr>
              <w:pStyle w:val="a3"/>
              <w:jc w:val="center"/>
              <w:rPr>
                <w:b/>
                <w:lang w:val="sl-SI"/>
              </w:rPr>
            </w:pPr>
            <w:r>
              <w:rPr>
                <w:rFonts w:eastAsia="Times New Roman"/>
                <w:b/>
                <w:bCs/>
                <w:lang w:val="sl-SI"/>
              </w:rPr>
              <w:t>Shema odmerjanja</w:t>
            </w:r>
          </w:p>
        </w:tc>
      </w:tr>
      <w:tr w:rsidR="00FC3B95" w:rsidRPr="00652F18" w14:paraId="3DC3198A" w14:textId="77777777" w:rsidTr="00433A4B">
        <w:trPr>
          <w:trHeight w:val="388"/>
          <w:jc w:val="center"/>
        </w:trPr>
        <w:tc>
          <w:tcPr>
            <w:tcW w:w="3572" w:type="dxa"/>
            <w:tcBorders>
              <w:top w:val="single" w:sz="4" w:space="0" w:color="auto"/>
              <w:bottom w:val="single" w:sz="4" w:space="0" w:color="auto"/>
            </w:tcBorders>
            <w:vAlign w:val="center"/>
          </w:tcPr>
          <w:p w14:paraId="5FF8717D" w14:textId="77777777" w:rsidR="00FC3B95" w:rsidRDefault="00FC3B95" w:rsidP="00FC3B95">
            <w:pPr>
              <w:pStyle w:val="a3"/>
              <w:jc w:val="center"/>
              <w:rPr>
                <w:lang w:val="sl-SI"/>
              </w:rPr>
            </w:pPr>
            <w:r>
              <w:rPr>
                <w:rFonts w:eastAsia="Times New Roman"/>
                <w:lang w:val="sl-SI"/>
              </w:rPr>
              <w:t>&lt; 30 kg</w:t>
            </w:r>
          </w:p>
        </w:tc>
        <w:tc>
          <w:tcPr>
            <w:tcW w:w="3572" w:type="dxa"/>
            <w:tcBorders>
              <w:top w:val="single" w:sz="4" w:space="0" w:color="auto"/>
              <w:bottom w:val="single" w:sz="4" w:space="0" w:color="auto"/>
            </w:tcBorders>
            <w:vAlign w:val="center"/>
          </w:tcPr>
          <w:p w14:paraId="5926BA3A" w14:textId="53A248CE" w:rsidR="00FC3B95" w:rsidRDefault="00FC3B95" w:rsidP="00FC3B95">
            <w:pPr>
              <w:pStyle w:val="a3"/>
              <w:jc w:val="center"/>
              <w:rPr>
                <w:lang w:val="sl-SI"/>
              </w:rPr>
            </w:pPr>
            <w:r>
              <w:rPr>
                <w:rFonts w:eastAsia="Times New Roman"/>
                <w:lang w:val="sl-SI"/>
              </w:rPr>
              <w:t>20 mg vsak drugi teden v kombinaciji z metotreksatom</w:t>
            </w:r>
          </w:p>
        </w:tc>
      </w:tr>
      <w:tr w:rsidR="00FC3B95" w:rsidRPr="00652F18" w14:paraId="2533BB08" w14:textId="77777777" w:rsidTr="00433A4B">
        <w:trPr>
          <w:trHeight w:val="374"/>
          <w:jc w:val="center"/>
        </w:trPr>
        <w:tc>
          <w:tcPr>
            <w:tcW w:w="3572" w:type="dxa"/>
            <w:tcBorders>
              <w:top w:val="single" w:sz="4" w:space="0" w:color="auto"/>
              <w:bottom w:val="single" w:sz="4" w:space="0" w:color="auto"/>
            </w:tcBorders>
            <w:vAlign w:val="center"/>
          </w:tcPr>
          <w:p w14:paraId="00B78E24" w14:textId="77777777" w:rsidR="00FC3B95" w:rsidRDefault="00FC3B95" w:rsidP="00FC3B95">
            <w:pPr>
              <w:pStyle w:val="a3"/>
              <w:jc w:val="center"/>
              <w:rPr>
                <w:lang w:val="sl-SI"/>
              </w:rPr>
            </w:pPr>
            <w:r>
              <w:rPr>
                <w:rFonts w:eastAsia="Times New Roman"/>
                <w:lang w:val="sl-SI"/>
              </w:rPr>
              <w:t>≥ 30 kg</w:t>
            </w:r>
          </w:p>
        </w:tc>
        <w:tc>
          <w:tcPr>
            <w:tcW w:w="3572" w:type="dxa"/>
            <w:tcBorders>
              <w:top w:val="single" w:sz="4" w:space="0" w:color="auto"/>
              <w:bottom w:val="single" w:sz="4" w:space="0" w:color="auto"/>
            </w:tcBorders>
            <w:vAlign w:val="center"/>
          </w:tcPr>
          <w:p w14:paraId="1CD4A7BD" w14:textId="77777777" w:rsidR="00FC3B95" w:rsidRDefault="00FC3B95" w:rsidP="00FC3B95">
            <w:pPr>
              <w:pStyle w:val="a3"/>
              <w:jc w:val="center"/>
              <w:rPr>
                <w:lang w:val="sl-SI"/>
              </w:rPr>
            </w:pPr>
            <w:r>
              <w:rPr>
                <w:rFonts w:eastAsia="Times New Roman"/>
                <w:lang w:val="sl-SI"/>
              </w:rPr>
              <w:t>40 mg vsak drugi teden v kombinaciji z metotreksatom</w:t>
            </w:r>
          </w:p>
        </w:tc>
      </w:tr>
    </w:tbl>
    <w:p w14:paraId="6B564E11" w14:textId="77777777" w:rsidR="00616315" w:rsidRDefault="00616315" w:rsidP="00616315">
      <w:pPr>
        <w:pStyle w:val="a3"/>
        <w:rPr>
          <w:lang w:val="sl-SI"/>
        </w:rPr>
      </w:pPr>
    </w:p>
    <w:p w14:paraId="6EDF9530" w14:textId="630E8DC3" w:rsidR="00616315" w:rsidRDefault="00616315" w:rsidP="00616315">
      <w:pPr>
        <w:pStyle w:val="a3"/>
        <w:rPr>
          <w:lang w:val="sl-SI"/>
        </w:rPr>
      </w:pPr>
      <w:r>
        <w:rPr>
          <w:rFonts w:eastAsia="Times New Roman"/>
          <w:lang w:val="sl-SI"/>
        </w:rPr>
        <w:t>Ob uvedbi zdravljenja z zdravilom Yuflyma se lahko uporabi polnilni odmerek 40 mg za bolnike s telesno maso &lt; 30 kg, ali 80 mg za bolnike</w:t>
      </w:r>
      <w:r w:rsidR="00FC3B95">
        <w:rPr>
          <w:rFonts w:eastAsia="Times New Roman"/>
          <w:lang w:val="sl-SI"/>
        </w:rPr>
        <w:t xml:space="preserve"> </w:t>
      </w:r>
      <w:r>
        <w:rPr>
          <w:rFonts w:eastAsia="Times New Roman"/>
          <w:lang w:val="sl-SI"/>
        </w:rPr>
        <w:t>≥ 30 kg en teden pred začetkom vzdrževalnega zdravljenja. Kliničnih podatkov o uporabi polnilnega odmerka adalimumaba pri otrocih, starih &lt; 6 let, ni (glejte poglavje 5.2).</w:t>
      </w:r>
    </w:p>
    <w:p w14:paraId="126B3DE3" w14:textId="77777777" w:rsidR="00616315" w:rsidRDefault="00616315" w:rsidP="00616315">
      <w:pPr>
        <w:spacing w:before="10" w:line="240" w:lineRule="exact"/>
        <w:rPr>
          <w:rFonts w:ascii="Times New Roman" w:hAnsi="Times New Roman" w:cs="Times New Roman"/>
          <w:sz w:val="24"/>
          <w:szCs w:val="24"/>
          <w:lang w:val="sl-SI"/>
        </w:rPr>
      </w:pPr>
    </w:p>
    <w:p w14:paraId="3731F339" w14:textId="77777777" w:rsidR="00616315" w:rsidRDefault="00616315" w:rsidP="00616315">
      <w:pPr>
        <w:pStyle w:val="a3"/>
        <w:rPr>
          <w:lang w:val="sl-SI"/>
        </w:rPr>
      </w:pPr>
      <w:r>
        <w:rPr>
          <w:rFonts w:eastAsia="Times New Roman"/>
          <w:lang w:val="sl-SI"/>
        </w:rPr>
        <w:t>Uporaba zdravila adalimumaba pri otrocih, mlajših od 2 let, za to indikacijo ni primerna.</w:t>
      </w:r>
    </w:p>
    <w:p w14:paraId="124CAFAC" w14:textId="77777777" w:rsidR="00616315" w:rsidRDefault="00616315" w:rsidP="00616315">
      <w:pPr>
        <w:spacing w:before="11" w:line="240" w:lineRule="exact"/>
        <w:rPr>
          <w:rFonts w:ascii="Times New Roman" w:hAnsi="Times New Roman" w:cs="Times New Roman"/>
          <w:sz w:val="24"/>
          <w:szCs w:val="24"/>
          <w:lang w:val="sl-SI"/>
        </w:rPr>
      </w:pPr>
    </w:p>
    <w:p w14:paraId="22FC046C" w14:textId="77777777" w:rsidR="00616315" w:rsidRDefault="00616315" w:rsidP="00616315">
      <w:pPr>
        <w:pStyle w:val="a3"/>
        <w:rPr>
          <w:lang w:val="sl-SI"/>
        </w:rPr>
      </w:pPr>
      <w:r>
        <w:rPr>
          <w:rFonts w:eastAsia="Times New Roman"/>
          <w:spacing w:val="-4"/>
          <w:lang w:val="sl-SI"/>
        </w:rPr>
        <w:t>Priporočljivo je, da se vsako leto ocenijo koristi in tveganja nadaljnjega dolgotrajnega zdravljenja (glejte poglavje 5.1).</w:t>
      </w:r>
    </w:p>
    <w:p w14:paraId="6AE99EFC" w14:textId="77777777" w:rsidR="00A56057" w:rsidRDefault="00A56057" w:rsidP="00A56057">
      <w:pPr>
        <w:pStyle w:val="a3"/>
        <w:rPr>
          <w:lang w:val="sl-SI"/>
        </w:rPr>
      </w:pPr>
    </w:p>
    <w:p w14:paraId="4F71F578" w14:textId="77777777" w:rsidR="00616315" w:rsidRDefault="00616315" w:rsidP="00616315">
      <w:pPr>
        <w:pStyle w:val="a3"/>
        <w:rPr>
          <w:u w:val="single"/>
          <w:lang w:val="sl-SI"/>
        </w:rPr>
      </w:pPr>
      <w:r>
        <w:rPr>
          <w:rFonts w:eastAsia="Times New Roman"/>
          <w:u w:val="single" w:color="000000"/>
          <w:lang w:val="sl-SI"/>
        </w:rPr>
        <w:t>Način uporabe</w:t>
      </w:r>
    </w:p>
    <w:p w14:paraId="61E2D169" w14:textId="77777777" w:rsidR="00616315" w:rsidRDefault="00616315" w:rsidP="00616315">
      <w:pPr>
        <w:spacing w:before="9" w:line="170" w:lineRule="exact"/>
        <w:rPr>
          <w:rFonts w:ascii="Times New Roman" w:hAnsi="Times New Roman" w:cs="Times New Roman"/>
          <w:lang w:val="sl-SI"/>
        </w:rPr>
      </w:pPr>
    </w:p>
    <w:p w14:paraId="55889AA9" w14:textId="77777777" w:rsidR="00616315" w:rsidRDefault="00616315" w:rsidP="00616315">
      <w:pPr>
        <w:pStyle w:val="a3"/>
        <w:rPr>
          <w:lang w:val="sl-SI"/>
        </w:rPr>
      </w:pPr>
      <w:r>
        <w:rPr>
          <w:rFonts w:eastAsia="Times New Roman"/>
          <w:lang w:val="sl-SI"/>
        </w:rPr>
        <w:t>Zdravilo Yuflyma se daje v obliki subkutane injekcije.</w:t>
      </w:r>
    </w:p>
    <w:p w14:paraId="74A22659" w14:textId="77777777" w:rsidR="00616315" w:rsidRDefault="00616315" w:rsidP="00616315">
      <w:pPr>
        <w:pStyle w:val="a3"/>
        <w:rPr>
          <w:lang w:val="sl-SI"/>
        </w:rPr>
      </w:pPr>
    </w:p>
    <w:p w14:paraId="0BA62630" w14:textId="77777777" w:rsidR="00616315" w:rsidRDefault="00616315" w:rsidP="00616315">
      <w:pPr>
        <w:pStyle w:val="a3"/>
        <w:rPr>
          <w:lang w:val="sl-SI"/>
        </w:rPr>
      </w:pPr>
      <w:r>
        <w:rPr>
          <w:rFonts w:eastAsia="Times New Roman"/>
          <w:lang w:val="sl-SI"/>
        </w:rPr>
        <w:t>Podrobna navodila za uporabo so vključena v navodilu za uporabo.</w:t>
      </w:r>
    </w:p>
    <w:p w14:paraId="0013AAAD" w14:textId="77777777" w:rsidR="00616315" w:rsidRDefault="00616315" w:rsidP="00616315">
      <w:pPr>
        <w:spacing w:before="12" w:line="240" w:lineRule="exact"/>
        <w:rPr>
          <w:rFonts w:ascii="Times New Roman" w:hAnsi="Times New Roman" w:cs="Times New Roman"/>
          <w:lang w:val="sl-SI"/>
        </w:rPr>
      </w:pPr>
    </w:p>
    <w:p w14:paraId="0D875AE9" w14:textId="671DDB9D" w:rsidR="00616315" w:rsidRDefault="00FC3B95" w:rsidP="00616315">
      <w:pPr>
        <w:pStyle w:val="a3"/>
        <w:rPr>
          <w:lang w:val="sl-SI"/>
        </w:rPr>
      </w:pPr>
      <w:r w:rsidRPr="00566D4D">
        <w:rPr>
          <w:lang w:val="de-DE"/>
        </w:rPr>
        <w:t>Zdravilo Yuflyma je na voljo v drugih jakostih in oblikah.</w:t>
      </w:r>
    </w:p>
    <w:p w14:paraId="1CB748A2" w14:textId="77777777" w:rsidR="00616315" w:rsidRDefault="00616315" w:rsidP="00616315">
      <w:pPr>
        <w:spacing w:before="16" w:line="240" w:lineRule="exact"/>
        <w:rPr>
          <w:rFonts w:ascii="Times New Roman" w:hAnsi="Times New Roman" w:cs="Times New Roman"/>
          <w:lang w:val="sl-SI"/>
        </w:rPr>
      </w:pPr>
    </w:p>
    <w:p w14:paraId="3E6A2186" w14:textId="77777777" w:rsidR="00616315" w:rsidRDefault="00616315" w:rsidP="0030421B">
      <w:pPr>
        <w:widowControl/>
        <w:numPr>
          <w:ilvl w:val="1"/>
          <w:numId w:val="118"/>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Kontraindikacije</w:t>
      </w:r>
    </w:p>
    <w:p w14:paraId="0894DB90" w14:textId="77777777" w:rsidR="00616315" w:rsidRDefault="00616315" w:rsidP="00616315">
      <w:pPr>
        <w:spacing w:before="9" w:line="240" w:lineRule="exact"/>
        <w:rPr>
          <w:rFonts w:ascii="Times New Roman" w:hAnsi="Times New Roman" w:cs="Times New Roman"/>
          <w:lang w:val="sl-SI"/>
        </w:rPr>
      </w:pPr>
    </w:p>
    <w:p w14:paraId="51B7DA89" w14:textId="77777777" w:rsidR="00616315" w:rsidRDefault="00616315" w:rsidP="00616315">
      <w:pPr>
        <w:pStyle w:val="a3"/>
        <w:rPr>
          <w:lang w:val="sl-SI"/>
        </w:rPr>
      </w:pPr>
      <w:r>
        <w:rPr>
          <w:rFonts w:eastAsia="Times New Roman"/>
          <w:lang w:val="sl-SI"/>
        </w:rPr>
        <w:t>Preobčutljivost na učinkovino ali katero koli pomožno snov, navedeno v poglavju 6.1.</w:t>
      </w:r>
    </w:p>
    <w:p w14:paraId="15478E97" w14:textId="77777777" w:rsidR="00616315" w:rsidRDefault="00616315" w:rsidP="00616315">
      <w:pPr>
        <w:spacing w:before="13" w:line="240" w:lineRule="exact"/>
        <w:rPr>
          <w:rFonts w:ascii="Times New Roman" w:hAnsi="Times New Roman" w:cs="Times New Roman"/>
          <w:lang w:val="sl-SI"/>
        </w:rPr>
      </w:pPr>
    </w:p>
    <w:p w14:paraId="75360201" w14:textId="77777777" w:rsidR="00616315" w:rsidRDefault="00616315" w:rsidP="00616315">
      <w:pPr>
        <w:pStyle w:val="a3"/>
        <w:rPr>
          <w:lang w:val="sl-SI"/>
        </w:rPr>
      </w:pPr>
      <w:r>
        <w:rPr>
          <w:rFonts w:eastAsia="Times New Roman"/>
          <w:lang w:val="sl-SI"/>
        </w:rPr>
        <w:t xml:space="preserve">Aktivna tuberkuloza ali druge hude okužbe, kot so sepsa in oportunistične okužbe (glejte poglavje 4.4). </w:t>
      </w:r>
    </w:p>
    <w:p w14:paraId="33F7E7AF" w14:textId="77777777" w:rsidR="00616315" w:rsidRDefault="00616315" w:rsidP="00616315">
      <w:pPr>
        <w:pStyle w:val="a3"/>
        <w:rPr>
          <w:lang w:val="sl-SI"/>
        </w:rPr>
      </w:pPr>
    </w:p>
    <w:p w14:paraId="48800036" w14:textId="77777777" w:rsidR="00616315" w:rsidRDefault="00616315" w:rsidP="00616315">
      <w:pPr>
        <w:pStyle w:val="a3"/>
        <w:rPr>
          <w:lang w:val="sl-SI"/>
        </w:rPr>
      </w:pPr>
      <w:r>
        <w:rPr>
          <w:rFonts w:eastAsia="Times New Roman"/>
          <w:lang w:val="sl-SI"/>
        </w:rPr>
        <w:t>Zmerno do hudo srčno popuščanje (razred III/IV po razvrstitvi NYHA) (glejte poglavje 4.4).</w:t>
      </w:r>
    </w:p>
    <w:p w14:paraId="7194F713" w14:textId="77777777" w:rsidR="00616315" w:rsidRDefault="00616315" w:rsidP="00616315">
      <w:pPr>
        <w:pStyle w:val="a3"/>
        <w:rPr>
          <w:lang w:val="sl-SI"/>
        </w:rPr>
      </w:pPr>
    </w:p>
    <w:p w14:paraId="7AD77D79" w14:textId="77777777" w:rsidR="00616315" w:rsidRDefault="00616315" w:rsidP="0030421B">
      <w:pPr>
        <w:widowControl/>
        <w:numPr>
          <w:ilvl w:val="1"/>
          <w:numId w:val="118"/>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Posebna opozorila in previdnostni ukrepi</w:t>
      </w:r>
    </w:p>
    <w:p w14:paraId="37F5889D" w14:textId="77777777" w:rsidR="00616315" w:rsidRDefault="00616315" w:rsidP="00616315">
      <w:pPr>
        <w:spacing w:before="9" w:line="240" w:lineRule="exact"/>
        <w:rPr>
          <w:rFonts w:ascii="Times New Roman" w:hAnsi="Times New Roman" w:cs="Times New Roman"/>
          <w:lang w:val="sl-SI"/>
        </w:rPr>
      </w:pPr>
    </w:p>
    <w:p w14:paraId="6186BA09" w14:textId="77777777" w:rsidR="00616315" w:rsidRDefault="00616315" w:rsidP="00616315">
      <w:pPr>
        <w:pStyle w:val="a3"/>
        <w:rPr>
          <w:u w:val="single"/>
          <w:lang w:val="sl-SI"/>
        </w:rPr>
      </w:pPr>
      <w:r>
        <w:rPr>
          <w:rFonts w:eastAsia="Times New Roman"/>
          <w:spacing w:val="1"/>
          <w:u w:val="single" w:color="000000"/>
          <w:lang w:val="sl-SI"/>
        </w:rPr>
        <w:t>Sledljivost</w:t>
      </w:r>
    </w:p>
    <w:p w14:paraId="089BE4A8" w14:textId="77777777" w:rsidR="00616315" w:rsidRDefault="00616315" w:rsidP="00616315">
      <w:pPr>
        <w:spacing w:before="1" w:line="180" w:lineRule="exact"/>
        <w:rPr>
          <w:rFonts w:ascii="Times New Roman" w:hAnsi="Times New Roman" w:cs="Times New Roman"/>
          <w:lang w:val="sl-SI"/>
        </w:rPr>
      </w:pPr>
    </w:p>
    <w:p w14:paraId="5F9FBE65" w14:textId="77777777" w:rsidR="00616315" w:rsidRDefault="00616315" w:rsidP="00616315">
      <w:pPr>
        <w:pStyle w:val="a3"/>
        <w:rPr>
          <w:lang w:val="sl-SI"/>
        </w:rPr>
      </w:pPr>
      <w:r>
        <w:rPr>
          <w:rFonts w:eastAsia="Times New Roman"/>
          <w:lang w:val="sl-SI"/>
        </w:rPr>
        <w:t>Z namenom izboljšanja sledljivosti bioloških zdravil je treba jasno zabeležiti ime in številko serije uporabljenega zdravila.</w:t>
      </w:r>
    </w:p>
    <w:p w14:paraId="0E581FD5" w14:textId="77777777" w:rsidR="00616315" w:rsidRDefault="00616315" w:rsidP="00616315">
      <w:pPr>
        <w:spacing w:before="11" w:line="240" w:lineRule="exact"/>
        <w:rPr>
          <w:rFonts w:ascii="Times New Roman" w:hAnsi="Times New Roman" w:cs="Times New Roman"/>
          <w:lang w:val="sl-SI"/>
        </w:rPr>
      </w:pPr>
    </w:p>
    <w:p w14:paraId="65C9DA82" w14:textId="77777777" w:rsidR="00616315" w:rsidRDefault="00616315" w:rsidP="00616315">
      <w:pPr>
        <w:pStyle w:val="a3"/>
        <w:rPr>
          <w:u w:val="single"/>
          <w:lang w:val="sl-SI"/>
        </w:rPr>
      </w:pPr>
      <w:r>
        <w:rPr>
          <w:rFonts w:eastAsia="Times New Roman"/>
          <w:u w:val="single" w:color="000000"/>
          <w:lang w:val="sl-SI"/>
        </w:rPr>
        <w:t>Okužbe</w:t>
      </w:r>
    </w:p>
    <w:p w14:paraId="0BD0ACE8" w14:textId="77777777" w:rsidR="00616315" w:rsidRDefault="00616315" w:rsidP="00616315">
      <w:pPr>
        <w:spacing w:before="1" w:line="180" w:lineRule="exact"/>
        <w:rPr>
          <w:rFonts w:ascii="Times New Roman" w:hAnsi="Times New Roman" w:cs="Times New Roman"/>
          <w:lang w:val="sl-SI"/>
        </w:rPr>
      </w:pPr>
    </w:p>
    <w:p w14:paraId="5F860789" w14:textId="77777777" w:rsidR="00616315" w:rsidRDefault="00616315" w:rsidP="00616315">
      <w:pPr>
        <w:pStyle w:val="a3"/>
        <w:rPr>
          <w:lang w:val="sl-SI"/>
        </w:rPr>
      </w:pPr>
      <w:r>
        <w:rPr>
          <w:rFonts w:eastAsia="Times New Roman"/>
          <w:lang w:val="sl-SI"/>
        </w:rPr>
        <w:t xml:space="preserve">Bolniki, ki jemljejo TNF-antagoniste, so bolj dovzetni za resne okužbe. </w:t>
      </w:r>
      <w:r w:rsidRPr="0047220F">
        <w:rPr>
          <w:rFonts w:eastAsia="Times New Roman"/>
          <w:lang w:val="sl-SI"/>
        </w:rPr>
        <w:t>Okvarjeno delovanje pljuč</w:t>
      </w:r>
      <w:r>
        <w:rPr>
          <w:rFonts w:eastAsia="Times New Roman"/>
          <w:lang w:val="sl-SI"/>
        </w:rPr>
        <w:t xml:space="preserve"> lahko poveča tveganje za razvoj okužb. Zato je treba bolnike pred zdravljenjem z zdravilom Yuflyma med njim in po njem skrbno spremljati glede okužb, vključno s tuberkulozo. Ker lahko odstranitev adalimumaba traja do štiri mesece, je treba v tem obdobju nadaljevati s spremljanjem.</w:t>
      </w:r>
    </w:p>
    <w:p w14:paraId="33DC0902" w14:textId="77777777" w:rsidR="00616315" w:rsidRDefault="00616315" w:rsidP="00616315">
      <w:pPr>
        <w:spacing w:before="14" w:line="240" w:lineRule="exact"/>
        <w:rPr>
          <w:rFonts w:ascii="Times New Roman" w:hAnsi="Times New Roman" w:cs="Times New Roman"/>
          <w:lang w:val="sl-SI"/>
        </w:rPr>
      </w:pPr>
    </w:p>
    <w:p w14:paraId="1B525D55" w14:textId="77777777" w:rsidR="00616315" w:rsidRDefault="00616315" w:rsidP="00616315">
      <w:pPr>
        <w:pStyle w:val="a3"/>
        <w:rPr>
          <w:lang w:val="sl-SI"/>
        </w:rPr>
      </w:pPr>
      <w:r>
        <w:rPr>
          <w:rFonts w:eastAsia="Times New Roman"/>
          <w:lang w:val="sl-SI"/>
        </w:rPr>
        <w:t xml:space="preserve">Zdravljenje z zdravilom Yuflyma se ne sme začeti pri bolnikih z aktivnimi okužbami, vključno s kroničnimi ali lokaliziranimi okužbami, dokler niso okužbe pod nadzorom. Pri bolnikih, ki so bili izpostavljeni tuberkulozi in bolnikom, ki so potovali na področja z visokim tveganjem za tuberkulozo ali endemične mikoze, kot so histoplazmoza, koktikoidomikoza ali blastomikoza, je treba pred začetkom zdravljenja pretehtati tveganje in koristi zdravljenja z zdravilom Yuflyma (glejte </w:t>
      </w:r>
      <w:r>
        <w:rPr>
          <w:rFonts w:eastAsia="Times New Roman"/>
          <w:i/>
          <w:iCs/>
          <w:lang w:val="sl-SI"/>
        </w:rPr>
        <w:t>Druge oportunistične okužbe</w:t>
      </w:r>
      <w:r>
        <w:rPr>
          <w:rFonts w:eastAsia="Times New Roman"/>
          <w:lang w:val="sl-SI"/>
        </w:rPr>
        <w:t>).</w:t>
      </w:r>
    </w:p>
    <w:p w14:paraId="41D343EB" w14:textId="77777777" w:rsidR="00616315" w:rsidRDefault="00616315" w:rsidP="00616315">
      <w:pPr>
        <w:spacing w:before="13" w:line="240" w:lineRule="exact"/>
        <w:rPr>
          <w:rFonts w:ascii="Times New Roman" w:hAnsi="Times New Roman" w:cs="Times New Roman"/>
          <w:lang w:val="sl-SI"/>
        </w:rPr>
      </w:pPr>
    </w:p>
    <w:p w14:paraId="60E1777E" w14:textId="77777777" w:rsidR="00616315" w:rsidRDefault="00616315" w:rsidP="00616315">
      <w:pPr>
        <w:pStyle w:val="a3"/>
        <w:rPr>
          <w:lang w:val="sl-SI"/>
        </w:rPr>
      </w:pPr>
      <w:r>
        <w:rPr>
          <w:rFonts w:eastAsia="Times New Roman"/>
          <w:lang w:val="sl-SI"/>
        </w:rPr>
        <w:t xml:space="preserve">Pri bolnikih, pri katerih se med zdravljenjem z zdravilom Yuflyma pojavi nova okužba, je treba skrbno spremljati in opraviti popolno diagnostično oceno. Če se bolniku pojavi nova resna okužba ali sepsa, je treba uporabo zdravila Yuflyma prekiniti in uvesti ustrezno protimikrobno ali protimikotično zdravljenje, dokler </w:t>
      </w:r>
      <w:r>
        <w:rPr>
          <w:rFonts w:eastAsia="Times New Roman"/>
          <w:lang w:val="sl-SI"/>
        </w:rPr>
        <w:lastRenderedPageBreak/>
        <w:t>okužba ni obvladana. Zdravniki morajo biti previdni pri odločanju o uporabi zdravila Yuflyma pri bolnikih z anamnezo ponavljajočih se okužb ali bolezenskih stanj v telesu, zaradi katerih bi lahko bolniki nagnjeni k okužbam, vključno z uporabo sočasnih imunosupresivnih zdravil.</w:t>
      </w:r>
    </w:p>
    <w:p w14:paraId="44B216E8" w14:textId="77777777" w:rsidR="00616315" w:rsidRDefault="00616315" w:rsidP="00616315">
      <w:pPr>
        <w:pStyle w:val="a3"/>
        <w:rPr>
          <w:lang w:val="sl-SI"/>
        </w:rPr>
      </w:pPr>
    </w:p>
    <w:p w14:paraId="7F259EF7" w14:textId="77777777" w:rsidR="00616315" w:rsidRDefault="00616315" w:rsidP="00616315">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Resne okužbe</w:t>
      </w:r>
    </w:p>
    <w:p w14:paraId="61505E04" w14:textId="77777777" w:rsidR="00616315" w:rsidRDefault="00616315" w:rsidP="00616315">
      <w:pPr>
        <w:spacing w:line="240" w:lineRule="exact"/>
        <w:rPr>
          <w:rFonts w:ascii="Times New Roman" w:hAnsi="Times New Roman" w:cs="Times New Roman"/>
          <w:lang w:val="sl-SI"/>
        </w:rPr>
      </w:pPr>
    </w:p>
    <w:p w14:paraId="6333BC0F" w14:textId="77777777" w:rsidR="00616315" w:rsidRDefault="00616315" w:rsidP="00616315">
      <w:pPr>
        <w:pStyle w:val="a3"/>
        <w:rPr>
          <w:lang w:val="sl-SI"/>
        </w:rPr>
      </w:pPr>
      <w:r>
        <w:rPr>
          <w:rFonts w:eastAsia="Times New Roman"/>
          <w:lang w:val="sl-SI"/>
        </w:rPr>
        <w:t>Pri bolnikih, ki so prejemali adalimumab, so poročali o resnih okužbah, vključno s sepso, zaradi bakterijskih, mikobakterijskih, invazivnih glivičnih, parazitskih, virusnih ali drugih oportunističnih okužb, kot so listerioza, legioneloza in pnevmocistis.</w:t>
      </w:r>
    </w:p>
    <w:p w14:paraId="52C267E9" w14:textId="77777777" w:rsidR="00616315" w:rsidRDefault="00616315" w:rsidP="00616315">
      <w:pPr>
        <w:spacing w:line="240" w:lineRule="exact"/>
        <w:rPr>
          <w:rFonts w:ascii="Times New Roman" w:hAnsi="Times New Roman" w:cs="Times New Roman"/>
          <w:lang w:val="sl-SI"/>
        </w:rPr>
      </w:pPr>
    </w:p>
    <w:p w14:paraId="07193508" w14:textId="77777777" w:rsidR="00616315" w:rsidRDefault="00616315" w:rsidP="00616315">
      <w:pPr>
        <w:pStyle w:val="a3"/>
        <w:rPr>
          <w:lang w:val="sl-SI"/>
        </w:rPr>
      </w:pPr>
      <w:r>
        <w:rPr>
          <w:rFonts w:eastAsia="Times New Roman"/>
          <w:lang w:val="sl-SI"/>
        </w:rPr>
        <w:t>Druge resne okužbe, ki so jih opazili v kliničnih preskušanjih, vključujejo pljučnico, pielonefritis, septični artritis in septikemijo. Poročali so o hospitalizaciji ali smrtnih izidih, povezanih z okužbami.</w:t>
      </w:r>
    </w:p>
    <w:p w14:paraId="6D143025" w14:textId="77777777" w:rsidR="00616315" w:rsidRDefault="00616315" w:rsidP="00616315">
      <w:pPr>
        <w:spacing w:line="240" w:lineRule="exact"/>
        <w:rPr>
          <w:rFonts w:ascii="Times New Roman" w:hAnsi="Times New Roman" w:cs="Times New Roman"/>
          <w:lang w:val="sl-SI"/>
        </w:rPr>
      </w:pPr>
    </w:p>
    <w:p w14:paraId="3A87FD25" w14:textId="77777777" w:rsidR="00616315" w:rsidRDefault="00616315" w:rsidP="00616315">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Tuberkuloza</w:t>
      </w:r>
    </w:p>
    <w:p w14:paraId="0E07381B" w14:textId="77777777" w:rsidR="00616315" w:rsidRDefault="00616315" w:rsidP="00616315">
      <w:pPr>
        <w:spacing w:line="240" w:lineRule="exact"/>
        <w:rPr>
          <w:rFonts w:ascii="Times New Roman" w:hAnsi="Times New Roman" w:cs="Times New Roman"/>
          <w:lang w:val="sl-SI"/>
        </w:rPr>
      </w:pPr>
    </w:p>
    <w:p w14:paraId="4600181C" w14:textId="77777777" w:rsidR="00616315" w:rsidRDefault="00616315" w:rsidP="00616315">
      <w:pPr>
        <w:pStyle w:val="a3"/>
        <w:rPr>
          <w:lang w:val="sl-SI"/>
        </w:rPr>
      </w:pPr>
      <w:r>
        <w:rPr>
          <w:rFonts w:eastAsia="Times New Roman"/>
          <w:lang w:val="sl-SI"/>
        </w:rPr>
        <w:t>Pri bolnikih, ki so prejemali adalimumab, so poročali o tuberkulozi, vključno z reaktivacijo in novim pojavom tuberkuloze. Poročila so vključevala primere pljučne in zunajpljučne tuberkuloze (tj. diseminirane).</w:t>
      </w:r>
    </w:p>
    <w:p w14:paraId="0CA9BBC6" w14:textId="77777777" w:rsidR="00616315" w:rsidRDefault="00616315" w:rsidP="00616315">
      <w:pPr>
        <w:spacing w:line="240" w:lineRule="exact"/>
        <w:rPr>
          <w:rFonts w:ascii="Times New Roman" w:hAnsi="Times New Roman" w:cs="Times New Roman"/>
          <w:lang w:val="sl-SI"/>
        </w:rPr>
      </w:pPr>
    </w:p>
    <w:p w14:paraId="669546FC" w14:textId="77777777" w:rsidR="00616315" w:rsidRDefault="00616315" w:rsidP="00616315">
      <w:pPr>
        <w:pStyle w:val="a3"/>
        <w:rPr>
          <w:lang w:val="sl-SI"/>
        </w:rPr>
      </w:pPr>
      <w:r>
        <w:rPr>
          <w:rFonts w:eastAsia="Times New Roman"/>
          <w:lang w:val="sl-SI"/>
        </w:rPr>
        <w:t>Pred začetkom zdravljenja z zdravilom Yuflyma je treba vse bolnike pregledati glede aktivne ali neaktivne („latentne“) tuberkuloze. Ta ocena mora vključevati podrobno zdravstveno oceno anamneze bolnikov s tuberkulozo ali morebitne predhodne izpostavljenosti osebam z aktivno tuberkulozo ter predhodno in/ali trenutno imunosupresivno terapijo. Pri vseh bolnikih je treba opraviti ustrezne presejalne teste (npr. tuberkulinski kožni test in rentgensko slikanje prsnega koša) (lahko veljajo lokalna priporočila). Priporočljivo je, da se izvajanje in rezultati teh preiskav zabeležijo na opozorilni kartici za bolnika. Predpisovalce opozarjamo na tveganje za lažne negativne rezultate tuberkulinskih kožnih testov, zlasti pri bolnikih s hudo bolnimi ali imunsko ogroženimi boleznimi.</w:t>
      </w:r>
    </w:p>
    <w:p w14:paraId="07D12A43" w14:textId="77777777" w:rsidR="00616315" w:rsidRDefault="00616315" w:rsidP="00616315">
      <w:pPr>
        <w:spacing w:before="13" w:line="240" w:lineRule="exact"/>
        <w:rPr>
          <w:rFonts w:ascii="Times New Roman" w:hAnsi="Times New Roman" w:cs="Times New Roman"/>
          <w:lang w:val="sl-SI"/>
        </w:rPr>
      </w:pPr>
    </w:p>
    <w:p w14:paraId="7E4EF15A" w14:textId="77777777" w:rsidR="00616315" w:rsidRDefault="00616315" w:rsidP="00616315">
      <w:pPr>
        <w:pStyle w:val="a3"/>
        <w:rPr>
          <w:lang w:val="sl-SI"/>
        </w:rPr>
      </w:pPr>
      <w:r>
        <w:rPr>
          <w:rFonts w:eastAsia="Times New Roman"/>
          <w:lang w:val="sl-SI"/>
        </w:rPr>
        <w:t>Če je diagnosticirana aktivna tuberkuloza, se zdravljenja z zdravilom Yuflyma ne sme začeti (glejte poglavje 4.3).</w:t>
      </w:r>
    </w:p>
    <w:p w14:paraId="358DFF8F" w14:textId="77777777" w:rsidR="00616315" w:rsidRDefault="00616315" w:rsidP="00616315">
      <w:pPr>
        <w:pStyle w:val="a3"/>
        <w:rPr>
          <w:lang w:val="sl-SI"/>
        </w:rPr>
      </w:pPr>
    </w:p>
    <w:p w14:paraId="2391E027" w14:textId="77777777" w:rsidR="00616315" w:rsidRDefault="00616315" w:rsidP="00616315">
      <w:pPr>
        <w:pStyle w:val="a3"/>
        <w:rPr>
          <w:lang w:val="sl-SI"/>
        </w:rPr>
      </w:pPr>
      <w:r>
        <w:rPr>
          <w:rFonts w:eastAsia="Times New Roman"/>
          <w:lang w:val="sl-SI"/>
        </w:rPr>
        <w:t xml:space="preserve">V vseh spodaj opisanih primerih je treba zelo skrbno pretehtati razmerje med koristmi in tveganji zdravljenja. </w:t>
      </w:r>
    </w:p>
    <w:p w14:paraId="2E50EB6C" w14:textId="77777777" w:rsidR="00616315" w:rsidRDefault="00616315" w:rsidP="00616315">
      <w:pPr>
        <w:pStyle w:val="a3"/>
        <w:rPr>
          <w:lang w:val="sl-SI"/>
        </w:rPr>
      </w:pPr>
    </w:p>
    <w:p w14:paraId="71644B00" w14:textId="77777777" w:rsidR="00616315" w:rsidRDefault="00616315" w:rsidP="00616315">
      <w:pPr>
        <w:pStyle w:val="a3"/>
        <w:rPr>
          <w:lang w:val="sl-SI"/>
        </w:rPr>
      </w:pPr>
      <w:r>
        <w:rPr>
          <w:rFonts w:eastAsia="Times New Roman"/>
          <w:lang w:val="sl-SI"/>
        </w:rPr>
        <w:t>V primeru suma na latentno tuberkulozo se morate posvetovati z zdravnikom, ki ima izkušnje z zdravljenjem tuberkuloze.</w:t>
      </w:r>
    </w:p>
    <w:p w14:paraId="2F9E24C1" w14:textId="77777777" w:rsidR="00616315" w:rsidRDefault="00616315" w:rsidP="00616315">
      <w:pPr>
        <w:spacing w:before="11" w:line="240" w:lineRule="exact"/>
        <w:rPr>
          <w:rFonts w:ascii="Times New Roman" w:hAnsi="Times New Roman" w:cs="Times New Roman"/>
          <w:lang w:val="sl-SI"/>
        </w:rPr>
      </w:pPr>
    </w:p>
    <w:p w14:paraId="60F4CD5D" w14:textId="77777777" w:rsidR="00616315" w:rsidRDefault="00616315" w:rsidP="00616315">
      <w:pPr>
        <w:pStyle w:val="a3"/>
        <w:rPr>
          <w:lang w:val="sl-SI"/>
        </w:rPr>
      </w:pPr>
      <w:r>
        <w:rPr>
          <w:rFonts w:eastAsia="Times New Roman"/>
          <w:lang w:val="sl-SI"/>
        </w:rPr>
        <w:t>Če je diagnosticirana latentna tuberkuloza, je treba pred uvedbo Yuflyma in v skladu z lokalnimi priporočili ustrezno zdravljenje začeti s protituberkuloznim profilaktičnim zdravljenjem.</w:t>
      </w:r>
    </w:p>
    <w:p w14:paraId="2A774D0A" w14:textId="77777777" w:rsidR="00616315" w:rsidRDefault="00616315" w:rsidP="00616315">
      <w:pPr>
        <w:spacing w:before="12" w:line="240" w:lineRule="exact"/>
        <w:rPr>
          <w:rFonts w:ascii="Times New Roman" w:hAnsi="Times New Roman" w:cs="Times New Roman"/>
          <w:lang w:val="sl-SI"/>
        </w:rPr>
      </w:pPr>
    </w:p>
    <w:p w14:paraId="3DD353D2" w14:textId="77777777" w:rsidR="00616315" w:rsidRDefault="00616315" w:rsidP="00616315">
      <w:pPr>
        <w:pStyle w:val="a3"/>
        <w:rPr>
          <w:lang w:val="sl-SI"/>
        </w:rPr>
      </w:pPr>
      <w:r>
        <w:rPr>
          <w:rFonts w:eastAsia="Times New Roman"/>
          <w:lang w:val="sl-SI"/>
        </w:rPr>
        <w:t>O uporabi protituberkuloznega profilaktičnega zdravljenja morate pred uvedbo zdravila Yuflyma razmisliti tudi pri bolnikih s hudimi ali pomembnimi faktorji tveganja za tuberkulozo kljub negativnemu testu za tuberkulozo in pri bolnikih z anamnezo latentne ali aktivne tuberkuloze, pri katerih ni mogoče potrditi ustreznega zdravljenja.</w:t>
      </w:r>
    </w:p>
    <w:p w14:paraId="6F437B4C" w14:textId="77777777" w:rsidR="00616315" w:rsidRDefault="00616315" w:rsidP="00616315">
      <w:pPr>
        <w:spacing w:before="17" w:line="240" w:lineRule="exact"/>
        <w:rPr>
          <w:rFonts w:ascii="Times New Roman" w:hAnsi="Times New Roman" w:cs="Times New Roman"/>
          <w:lang w:val="sl-SI"/>
        </w:rPr>
      </w:pPr>
    </w:p>
    <w:p w14:paraId="0ADE14EA" w14:textId="77777777" w:rsidR="00616315" w:rsidRDefault="00616315" w:rsidP="00616315">
      <w:pPr>
        <w:pStyle w:val="a3"/>
        <w:rPr>
          <w:lang w:val="sl-SI"/>
        </w:rPr>
      </w:pPr>
      <w:r>
        <w:rPr>
          <w:rFonts w:eastAsia="Times New Roman"/>
          <w:lang w:val="sl-SI"/>
        </w:rPr>
        <w:t>Kljub profilaktičnemu zdravljenju tuberkuloze so se pri bolnikih, zdravljenih z adalimumabom, pojavili primeri reaktivirane tuberkuloze. Nekateri bolniki, ki so bili uspešno zdravljeni za aktivno tuberkulozo, so med zdravljenjem z adalimumabom razvili tuberkulozo.</w:t>
      </w:r>
    </w:p>
    <w:p w14:paraId="04D503B1" w14:textId="77777777" w:rsidR="00616315" w:rsidRDefault="00616315" w:rsidP="00616315">
      <w:pPr>
        <w:spacing w:before="11" w:line="240" w:lineRule="exact"/>
        <w:rPr>
          <w:rFonts w:ascii="Times New Roman" w:hAnsi="Times New Roman" w:cs="Times New Roman"/>
          <w:lang w:val="sl-SI"/>
        </w:rPr>
      </w:pPr>
    </w:p>
    <w:p w14:paraId="7AFB56FE" w14:textId="77777777" w:rsidR="00616315" w:rsidRDefault="00616315" w:rsidP="00616315">
      <w:pPr>
        <w:pStyle w:val="a3"/>
        <w:rPr>
          <w:lang w:val="sl-SI"/>
        </w:rPr>
      </w:pPr>
      <w:r>
        <w:rPr>
          <w:rFonts w:eastAsia="Times New Roman"/>
          <w:lang w:val="sl-SI"/>
        </w:rPr>
        <w:t>Bolnikom je treba naročiti, naj se obrnejo na zdravstveno službo, če se med zdravljenjem z zdravilom Yuflyma ali po njem pojavijo znaki/simptomi, ki kažejo na okužbo s tuberkulozo (npr. vztrajni kašelj, hiranje/hujšanje, malo povišana telesna temperatura, brezvoljnost).</w:t>
      </w:r>
    </w:p>
    <w:p w14:paraId="1745493C" w14:textId="77777777" w:rsidR="00616315" w:rsidRDefault="00616315" w:rsidP="00616315">
      <w:pPr>
        <w:ind w:left="111"/>
        <w:rPr>
          <w:rFonts w:ascii="Times New Roman" w:hAnsi="Times New Roman" w:cs="Times New Roman"/>
          <w:lang w:val="sl-SI"/>
        </w:rPr>
      </w:pPr>
    </w:p>
    <w:p w14:paraId="5817391E" w14:textId="77777777" w:rsidR="00616315" w:rsidRDefault="00616315" w:rsidP="00616315">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Druge oportunistične okužbe</w:t>
      </w:r>
    </w:p>
    <w:p w14:paraId="0DF72831" w14:textId="77777777" w:rsidR="00616315" w:rsidRDefault="00616315" w:rsidP="00616315">
      <w:pPr>
        <w:spacing w:before="13" w:line="240" w:lineRule="exact"/>
        <w:rPr>
          <w:rFonts w:ascii="Times New Roman" w:hAnsi="Times New Roman" w:cs="Times New Roman"/>
          <w:lang w:val="sl-SI"/>
        </w:rPr>
      </w:pPr>
    </w:p>
    <w:p w14:paraId="5DCD8FAE" w14:textId="42817132" w:rsidR="00616315" w:rsidRDefault="00616315" w:rsidP="00616315">
      <w:pPr>
        <w:pStyle w:val="a3"/>
        <w:rPr>
          <w:lang w:val="sl-SI"/>
        </w:rPr>
      </w:pPr>
      <w:r>
        <w:rPr>
          <w:rFonts w:eastAsia="Times New Roman"/>
          <w:lang w:val="sl-SI"/>
        </w:rPr>
        <w:lastRenderedPageBreak/>
        <w:t>Pri bolnikih, ki so prejemali adalimumab, so opazili oportunistične okužbe, vključno z invazivnimi glivičnimi okužbami. Okužbe niso bile dosledno prepoznane pri bolnikih, ki so jemali TNF-antagoniste, kar je povzročilo zakasnitev ustreznega zdravljenja, včasih pa tudi smrtni izid.</w:t>
      </w:r>
    </w:p>
    <w:p w14:paraId="320DE2AC" w14:textId="77777777" w:rsidR="00616315" w:rsidRDefault="00616315" w:rsidP="00616315">
      <w:pPr>
        <w:pStyle w:val="a3"/>
        <w:rPr>
          <w:lang w:val="sl-SI"/>
        </w:rPr>
      </w:pPr>
    </w:p>
    <w:p w14:paraId="59BDBFDE" w14:textId="77777777" w:rsidR="00616315" w:rsidRDefault="00616315" w:rsidP="00616315">
      <w:pPr>
        <w:pStyle w:val="a3"/>
        <w:rPr>
          <w:lang w:val="sl-SI"/>
        </w:rPr>
      </w:pPr>
      <w:r>
        <w:rPr>
          <w:rFonts w:eastAsia="Times New Roman"/>
          <w:lang w:val="sl-SI"/>
        </w:rPr>
        <w:t>Pri bolnikih, pri katerih se pojavijo znaki in simptomi, kot so povišana telesna temperatura, slabo počutje, izguba telesne mase, potenje, kašelj, dispneja in/ali pljučni infiltrati ali druge resne sistemske bolezni s sočasnim šokom ali brez njega, je treba sumiti na invazivno glivično okužbo in nemudoma prekiniti z dajanjem zdravila Yuflyma. Pri teh bolnikih je pri postavitvi diagnoze in izbiri empiričnega antimikotičnega zdravljena potreben posvet z zdravnikom, izkušenim v zdravljenju bolnikov z invazivnimi glivičnimi okužbami.</w:t>
      </w:r>
    </w:p>
    <w:p w14:paraId="5F768A41" w14:textId="77777777" w:rsidR="00616315" w:rsidRDefault="00616315" w:rsidP="00616315">
      <w:pPr>
        <w:spacing w:before="13" w:line="240" w:lineRule="exact"/>
        <w:rPr>
          <w:rFonts w:ascii="Times New Roman" w:hAnsi="Times New Roman" w:cs="Times New Roman"/>
          <w:lang w:val="sl-SI"/>
        </w:rPr>
      </w:pPr>
    </w:p>
    <w:p w14:paraId="61A2BAF3" w14:textId="77777777" w:rsidR="00616315" w:rsidRDefault="00616315" w:rsidP="00616315">
      <w:pPr>
        <w:pStyle w:val="a3"/>
        <w:rPr>
          <w:u w:val="single"/>
          <w:lang w:val="sl-SI"/>
        </w:rPr>
      </w:pPr>
      <w:r>
        <w:rPr>
          <w:rFonts w:eastAsia="Times New Roman"/>
          <w:u w:val="single" w:color="000000"/>
          <w:lang w:val="sl-SI"/>
        </w:rPr>
        <w:t>Reaktivacija virusa hepatitisa B</w:t>
      </w:r>
    </w:p>
    <w:p w14:paraId="3AEAE63A" w14:textId="77777777" w:rsidR="00616315" w:rsidRDefault="00616315" w:rsidP="00616315">
      <w:pPr>
        <w:spacing w:before="9" w:line="170" w:lineRule="exact"/>
        <w:rPr>
          <w:rFonts w:ascii="Times New Roman" w:hAnsi="Times New Roman" w:cs="Times New Roman"/>
          <w:lang w:val="sl-SI"/>
        </w:rPr>
      </w:pPr>
    </w:p>
    <w:p w14:paraId="608F12C3" w14:textId="77777777" w:rsidR="00616315" w:rsidRDefault="00616315" w:rsidP="00616315">
      <w:pPr>
        <w:pStyle w:val="a3"/>
        <w:rPr>
          <w:lang w:val="sl-SI"/>
        </w:rPr>
      </w:pPr>
      <w:r>
        <w:rPr>
          <w:rFonts w:eastAsia="Times New Roman"/>
          <w:lang w:val="sl-SI"/>
        </w:rPr>
        <w:t>Reaktivacija hepatitisa B se je pojavila pri bolnikih, ki so prejemali antagonist TNF, vključno z adalimumabom, ki so kronični prenašalci tega virusa (tj. pozitivni na površinski antigen). V nekaterih primerih je prišlo do smrtnega izida. Bolnike je treba pred začetkom zdravljenja z zdravilom Yuflyma testirati na okužbo s HBV. Pri bolnikih, ki imajo pozitiven test okužbe z virusom hepatitisa B, se je priporočljivo posvetovati z zdravnikom, ki ima izkušnje z zdravljenjem hepatitisa B.</w:t>
      </w:r>
    </w:p>
    <w:p w14:paraId="6BCFBEEB" w14:textId="77777777" w:rsidR="00616315" w:rsidRDefault="00616315" w:rsidP="00616315">
      <w:pPr>
        <w:spacing w:before="13" w:line="240" w:lineRule="exact"/>
        <w:rPr>
          <w:rFonts w:ascii="Times New Roman" w:hAnsi="Times New Roman" w:cs="Times New Roman"/>
          <w:lang w:val="sl-SI"/>
        </w:rPr>
      </w:pPr>
    </w:p>
    <w:p w14:paraId="1BDC35C9" w14:textId="77777777" w:rsidR="00616315" w:rsidRDefault="00616315" w:rsidP="00616315">
      <w:pPr>
        <w:pStyle w:val="a3"/>
        <w:rPr>
          <w:lang w:val="sl-SI"/>
        </w:rPr>
      </w:pPr>
      <w:r>
        <w:rPr>
          <w:rFonts w:eastAsia="Times New Roman"/>
          <w:lang w:val="sl-SI"/>
        </w:rPr>
        <w:t>Pri prenašalcih HBV, ki jih je treba zdraviti z zdravilom Yuflyma, je treba ves čas zdravljenja in več mesecev po koncu zdravljenja skrbno spremljati znake in simptome aktivne okužbe s HBV. Zadostni podatki o zdravljenju bolnikov, ki so prenašalcih HBV s protivirusnim zdravljenjem v povezavi z zdravljenjem s TNF-antagonisti, za preprečevanje reaktivacije HBV niso na voljo. Pri bolnikih, pri katerih se razvije reaktivacija HBV, je treba zdravljenje z zdravilom Yuflyma prekiniti in začeti učinkovito protivirusno zdravljenje z ustreznim podpornim zdravljenjem.</w:t>
      </w:r>
    </w:p>
    <w:p w14:paraId="6A080F99" w14:textId="77777777" w:rsidR="00616315" w:rsidRDefault="00616315" w:rsidP="00616315">
      <w:pPr>
        <w:spacing w:before="13" w:line="240" w:lineRule="exact"/>
        <w:rPr>
          <w:rFonts w:ascii="Times New Roman" w:hAnsi="Times New Roman" w:cs="Times New Roman"/>
          <w:lang w:val="sl-SI"/>
        </w:rPr>
      </w:pPr>
    </w:p>
    <w:p w14:paraId="524B4788" w14:textId="77777777" w:rsidR="00616315" w:rsidRDefault="00616315" w:rsidP="00616315">
      <w:pPr>
        <w:pStyle w:val="a3"/>
        <w:rPr>
          <w:u w:val="single"/>
          <w:lang w:val="sl-SI"/>
        </w:rPr>
      </w:pPr>
      <w:r>
        <w:rPr>
          <w:rFonts w:eastAsia="Times New Roman"/>
          <w:u w:val="single" w:color="000000"/>
          <w:lang w:val="sl-SI"/>
        </w:rPr>
        <w:t>Nevrološki dogodki</w:t>
      </w:r>
    </w:p>
    <w:p w14:paraId="2D041C47" w14:textId="77777777" w:rsidR="00616315" w:rsidRDefault="00616315" w:rsidP="00616315">
      <w:pPr>
        <w:spacing w:before="1" w:line="180" w:lineRule="exact"/>
        <w:rPr>
          <w:rFonts w:ascii="Times New Roman" w:hAnsi="Times New Roman" w:cs="Times New Roman"/>
          <w:lang w:val="sl-SI"/>
        </w:rPr>
      </w:pPr>
    </w:p>
    <w:p w14:paraId="11BD8A8A" w14:textId="77777777" w:rsidR="00616315" w:rsidRDefault="00616315" w:rsidP="00616315">
      <w:pPr>
        <w:pStyle w:val="a3"/>
        <w:rPr>
          <w:lang w:val="sl-SI"/>
        </w:rPr>
      </w:pPr>
      <w:r>
        <w:rPr>
          <w:rFonts w:eastAsia="Times New Roman"/>
          <w:lang w:val="sl-SI"/>
        </w:rPr>
        <w:t>V redkih primerih so TNF-antagoniste, vključno z adalimumabom, povezovali z novonastalimi ali poslabšanjem kliničnih simptomov in/ali radiografskih znakov demielinizirajoče bolezni centralnega živčnega sistema, vključno z multiplo sklerozo, optičnim nevritisom in periferno demielinizirajočo boleznijo, vključno z Guillain-Barréjevim sindromom. Zdravniki, ki zdravilo predpisujejo, morajo biti previdni pri odločitvi o uporabi zdravila Yuflyma pri bolnikih z obstoječimi ali nedavno nastalimi demielinizirajočimi motnjami osrednjega ali perifernega živčevja; če se razvije katera koli od teh bolezni, je treba razmisliti o prekinitvi zdravljenja z zdravilom Yuflyma. Znana je zveza med intermediarnim uveitisom in demielinizirajočimi boleznimi osrednjega živčevja. Pri bolnikih z neinfekcijskim intermediarnim uveitisom je treba pred začetkom zdravljenja z zdravilom Yuflyma in redno med zdravljenjem opravljati nevrološko oceno, da se oceni že obstoječe ali razvijajoče se demielinizirajoče bolezni osrednjega živčevja.</w:t>
      </w:r>
    </w:p>
    <w:p w14:paraId="2F789332" w14:textId="77777777" w:rsidR="00616315" w:rsidRDefault="00616315" w:rsidP="00616315">
      <w:pPr>
        <w:spacing w:before="13" w:line="240" w:lineRule="exact"/>
        <w:rPr>
          <w:rFonts w:ascii="Times New Roman" w:hAnsi="Times New Roman" w:cs="Times New Roman"/>
          <w:lang w:val="sl-SI"/>
        </w:rPr>
      </w:pPr>
    </w:p>
    <w:p w14:paraId="3FB3AE72" w14:textId="77777777" w:rsidR="00616315" w:rsidRDefault="00616315" w:rsidP="00616315">
      <w:pPr>
        <w:pStyle w:val="a3"/>
        <w:rPr>
          <w:u w:val="single"/>
          <w:lang w:val="sl-SI"/>
        </w:rPr>
      </w:pPr>
      <w:r>
        <w:rPr>
          <w:rFonts w:eastAsia="Times New Roman"/>
          <w:u w:val="single" w:color="000000"/>
          <w:lang w:val="sl-SI"/>
        </w:rPr>
        <w:t>Alergijske reakcije</w:t>
      </w:r>
    </w:p>
    <w:p w14:paraId="6B38179D" w14:textId="77777777" w:rsidR="00616315" w:rsidRDefault="00616315" w:rsidP="00616315">
      <w:pPr>
        <w:spacing w:before="9" w:line="170" w:lineRule="exact"/>
        <w:rPr>
          <w:rFonts w:ascii="Times New Roman" w:hAnsi="Times New Roman" w:cs="Times New Roman"/>
          <w:lang w:val="sl-SI"/>
        </w:rPr>
      </w:pPr>
    </w:p>
    <w:p w14:paraId="61EED7D2" w14:textId="77777777" w:rsidR="00616315" w:rsidRDefault="00616315" w:rsidP="00616315">
      <w:pPr>
        <w:pStyle w:val="a3"/>
        <w:rPr>
          <w:lang w:val="sl-SI"/>
        </w:rPr>
      </w:pPr>
      <w:r>
        <w:rPr>
          <w:rFonts w:eastAsia="Times New Roman"/>
          <w:lang w:val="sl-SI"/>
        </w:rPr>
        <w:t>Med kliničnimi preskušanji so bile hude alergijske reakcije, povezane z adalimumabom, redke. Z adalimumabom povezane alergijske reakcije, ki niso bile resne, so se v kliničnih študijah pojavljale občasno. Po uporabi adalimumaba so poročali o resnih alergijskih reakcijah, vključno z anafilaksijo. Če se pojavi anafilaktična reakcija ali kakšna druga resna alergijska reakcija, je treba uporabo zdravila Yuflyma nemudoma prekiniti in uvesti ustrezno zdravljenje.</w:t>
      </w:r>
    </w:p>
    <w:p w14:paraId="22DA81CF" w14:textId="77777777" w:rsidR="00616315" w:rsidRDefault="00616315" w:rsidP="00616315">
      <w:pPr>
        <w:spacing w:before="13" w:line="240" w:lineRule="exact"/>
        <w:rPr>
          <w:rFonts w:ascii="Times New Roman" w:hAnsi="Times New Roman" w:cs="Times New Roman"/>
          <w:lang w:val="sl-SI"/>
        </w:rPr>
      </w:pPr>
    </w:p>
    <w:p w14:paraId="33B2B8F8" w14:textId="77777777" w:rsidR="00616315" w:rsidRDefault="00616315" w:rsidP="00616315">
      <w:pPr>
        <w:pStyle w:val="a3"/>
        <w:rPr>
          <w:u w:val="single"/>
          <w:lang w:val="sl-SI"/>
        </w:rPr>
      </w:pPr>
      <w:r>
        <w:rPr>
          <w:rFonts w:eastAsia="Times New Roman"/>
          <w:u w:val="single" w:color="000000"/>
          <w:lang w:val="sl-SI"/>
        </w:rPr>
        <w:t>Imunosupresija</w:t>
      </w:r>
    </w:p>
    <w:p w14:paraId="6A6EC29B" w14:textId="77777777" w:rsidR="00616315" w:rsidRDefault="00616315" w:rsidP="00616315">
      <w:pPr>
        <w:spacing w:before="1" w:line="180" w:lineRule="exact"/>
        <w:rPr>
          <w:rFonts w:ascii="Times New Roman" w:hAnsi="Times New Roman" w:cs="Times New Roman"/>
          <w:lang w:val="sl-SI"/>
        </w:rPr>
      </w:pPr>
    </w:p>
    <w:p w14:paraId="362C9D36" w14:textId="77777777" w:rsidR="00616315" w:rsidRDefault="00616315" w:rsidP="00616315">
      <w:pPr>
        <w:pStyle w:val="a3"/>
        <w:rPr>
          <w:lang w:val="sl-SI"/>
        </w:rPr>
      </w:pPr>
      <w:r>
        <w:rPr>
          <w:rFonts w:eastAsia="Times New Roman"/>
          <w:lang w:val="sl-SI"/>
        </w:rPr>
        <w:t>V študiji s 64 bolniki z revmatoidnim artritisom, zdravljenih z adalimumabom, ni bilo dokazov o depresiji preobčutljivosti zapoznelega tipa, depresiji ravni imunoglobulina ali spremembi števila efektorskih celic T in B, naravnih celic ubijalk, monocitov/makrofagov in nevtrofilcev.</w:t>
      </w:r>
    </w:p>
    <w:p w14:paraId="6897DF7B" w14:textId="77777777" w:rsidR="00616315" w:rsidRDefault="00616315" w:rsidP="00616315">
      <w:pPr>
        <w:spacing w:before="11" w:line="240" w:lineRule="exact"/>
        <w:rPr>
          <w:rFonts w:ascii="Times New Roman" w:hAnsi="Times New Roman" w:cs="Times New Roman"/>
          <w:lang w:val="sl-SI"/>
        </w:rPr>
      </w:pPr>
    </w:p>
    <w:p w14:paraId="25655ABC" w14:textId="77777777" w:rsidR="00616315" w:rsidRDefault="00616315" w:rsidP="00616315">
      <w:pPr>
        <w:pStyle w:val="a3"/>
        <w:rPr>
          <w:u w:val="single"/>
          <w:lang w:val="sl-SI"/>
        </w:rPr>
      </w:pPr>
      <w:r>
        <w:rPr>
          <w:rFonts w:eastAsia="Times New Roman"/>
          <w:u w:val="single" w:color="000000"/>
          <w:lang w:val="sl-SI"/>
        </w:rPr>
        <w:t>Malignomi in limfoproliferativne bolezni</w:t>
      </w:r>
    </w:p>
    <w:p w14:paraId="3C56AB19" w14:textId="77777777" w:rsidR="00616315" w:rsidRDefault="00616315" w:rsidP="00616315">
      <w:pPr>
        <w:spacing w:before="1" w:line="180" w:lineRule="exact"/>
        <w:rPr>
          <w:rFonts w:ascii="Times New Roman" w:hAnsi="Times New Roman" w:cs="Times New Roman"/>
          <w:lang w:val="sl-SI"/>
        </w:rPr>
      </w:pPr>
    </w:p>
    <w:p w14:paraId="63EEBEE3" w14:textId="77777777" w:rsidR="00616315" w:rsidRDefault="00616315" w:rsidP="00616315">
      <w:pPr>
        <w:pStyle w:val="a3"/>
        <w:rPr>
          <w:lang w:val="sl-SI"/>
        </w:rPr>
      </w:pPr>
      <w:r w:rsidRPr="0047220F">
        <w:rPr>
          <w:rFonts w:eastAsia="Times New Roman"/>
          <w:lang w:val="sl-SI"/>
        </w:rPr>
        <w:t xml:space="preserve">V nadzorovanih delih kliničnih preskušanj z antagonisti TNF so med bolniki, ki so prejemali TNF, opazili </w:t>
      </w:r>
      <w:r w:rsidRPr="0047220F">
        <w:rPr>
          <w:rFonts w:eastAsia="Times New Roman"/>
          <w:lang w:val="sl-SI"/>
        </w:rPr>
        <w:lastRenderedPageBreak/>
        <w:t>več primerov malignomov, vključno z limfomom, kot med bolniki, ki so prejemali TNF-antagonist.</w:t>
      </w:r>
      <w:r>
        <w:rPr>
          <w:rFonts w:eastAsia="Times New Roman"/>
          <w:lang w:val="sl-SI"/>
        </w:rPr>
        <w:t xml:space="preserve"> Vendar je bilo pojavljanje redko. V obdobju trženja zdravila so pri bolnikih, zdravljenih z antagonistom TNF, poročali o primerih levkemije. Pri bolnikih z revmatoidnim artritisom z dolgotrajno, zelo aktivno vnetno boleznijo, ki oteži oceno tveganja, obstaja povečano osnovno tveganje za limfom in levkemijo. S trenutnim znanjem možnega tveganja za razvoj limfomov, levkemije in drugih malignomov pri bolnikih, zdravljenih z antagonistom TNF, ni mogoče izključiti.</w:t>
      </w:r>
    </w:p>
    <w:p w14:paraId="591DFE61" w14:textId="77777777" w:rsidR="00616315" w:rsidRDefault="00616315" w:rsidP="00616315">
      <w:pPr>
        <w:spacing w:before="13" w:line="240" w:lineRule="exact"/>
        <w:rPr>
          <w:rFonts w:ascii="Times New Roman" w:hAnsi="Times New Roman" w:cs="Times New Roman"/>
          <w:lang w:val="sl-SI"/>
        </w:rPr>
      </w:pPr>
    </w:p>
    <w:p w14:paraId="6EB4A900" w14:textId="77777777" w:rsidR="00616315" w:rsidRDefault="00616315" w:rsidP="00616315">
      <w:pPr>
        <w:pStyle w:val="a3"/>
        <w:rPr>
          <w:lang w:val="sl-SI"/>
        </w:rPr>
      </w:pPr>
      <w:r>
        <w:rPr>
          <w:rFonts w:eastAsia="Times New Roman"/>
          <w:lang w:val="sl-SI"/>
        </w:rPr>
        <w:t>Med obdobjem trženja so bili opisani malignomi (nekateri s smrtnim izidom) pri otrocih, mladostnikih in mladih odraslih (starih do 22 let), ki so dobivali antagoniste TNF, vključno z adalimumabom (začetek zdravljenja v starosti ≤ 18 let). Približno polovica primerov je bila limfomov. Drugi primeri so obsegali številne različne malignome, med njimi redke malignome, ki so po navadi povezani z imunosupresijo. Pri otrocih in mladostnikih, zdravljenih z antagonisti TNF, ni mogoče izključiti tveganja nastanka malignomov.</w:t>
      </w:r>
    </w:p>
    <w:p w14:paraId="23C45612" w14:textId="77777777" w:rsidR="00616315" w:rsidRDefault="00616315" w:rsidP="00616315">
      <w:pPr>
        <w:spacing w:before="11" w:line="240" w:lineRule="exact"/>
        <w:rPr>
          <w:rFonts w:ascii="Times New Roman" w:hAnsi="Times New Roman" w:cs="Times New Roman"/>
          <w:lang w:val="sl-SI"/>
        </w:rPr>
      </w:pPr>
    </w:p>
    <w:p w14:paraId="3E26A7C3" w14:textId="77777777" w:rsidR="00616315" w:rsidRDefault="00616315" w:rsidP="00616315">
      <w:pPr>
        <w:pStyle w:val="a3"/>
        <w:rPr>
          <w:lang w:val="sl-SI"/>
        </w:rPr>
      </w:pPr>
      <w:r>
        <w:rPr>
          <w:rFonts w:eastAsia="Times New Roman"/>
          <w:lang w:val="sl-SI"/>
        </w:rPr>
        <w:t>Pri bolnikih, ki so se zdravili z adalimumabom, so odkrili redke primere hepatospleničnega limfoma celic T. Ta redka vrsta limfoma celic T ima zelo agresivni potek bolezni in je običajno smrtna. Pri uporabi adalimumaba so se nekateri od hepatospleničnih limfomov celic T pojavili pri mladih odraslih bolnikih, ki so se sočasno zdravili z azatioprinom ali 6-merkaptopurinom, ki se uporabljata pri vnetni bolezni črevesa. Pozorno je treba pretehtati morebitno tveganje pri uporabi kombinacije azatioprina ali 6-merkaptopurina in zdravila Yuflyma. Tveganja za razvoj hepatospleničnega limfoma celic T pri bolnikih, ki dobivajo zdravilo Yuflyma, ni mogoče izključiti (glejte poglavje 4.8).</w:t>
      </w:r>
    </w:p>
    <w:p w14:paraId="6BFEB8A8" w14:textId="77777777" w:rsidR="00616315" w:rsidRDefault="00616315" w:rsidP="00616315">
      <w:pPr>
        <w:spacing w:before="11" w:line="240" w:lineRule="exact"/>
        <w:rPr>
          <w:rFonts w:ascii="Times New Roman" w:hAnsi="Times New Roman" w:cs="Times New Roman"/>
          <w:lang w:val="sl-SI"/>
        </w:rPr>
      </w:pPr>
    </w:p>
    <w:p w14:paraId="25FEF68D" w14:textId="77777777" w:rsidR="00616315" w:rsidRDefault="00616315" w:rsidP="00616315">
      <w:pPr>
        <w:pStyle w:val="a3"/>
        <w:rPr>
          <w:lang w:val="sl-SI"/>
        </w:rPr>
      </w:pPr>
      <w:r>
        <w:rPr>
          <w:rFonts w:eastAsia="Times New Roman"/>
          <w:lang w:val="sl-SI"/>
        </w:rPr>
        <w:t>Študij, ki bi vključevale bolnike z anamnezo malignoma ali bolnike, pri katerih se je zdravljenje z adalimumabom nadaljevalo po pojavu malignoma, niso izvedli. Zato je potrebna dodatna previdnost, kadar razmišljamo o zdravljenju z zdravilom Yuflyma pri teh bolnikih (glejte poglavje 4.8).</w:t>
      </w:r>
    </w:p>
    <w:p w14:paraId="414539E4" w14:textId="77777777" w:rsidR="00616315" w:rsidRDefault="00616315" w:rsidP="00616315">
      <w:pPr>
        <w:spacing w:before="13" w:line="240" w:lineRule="exact"/>
        <w:rPr>
          <w:rFonts w:ascii="Times New Roman" w:hAnsi="Times New Roman" w:cs="Times New Roman"/>
          <w:lang w:val="sl-SI"/>
        </w:rPr>
      </w:pPr>
    </w:p>
    <w:p w14:paraId="17CAC249" w14:textId="77777777" w:rsidR="00616315" w:rsidRDefault="00616315" w:rsidP="00616315">
      <w:pPr>
        <w:pStyle w:val="a3"/>
        <w:rPr>
          <w:lang w:val="sl-SI"/>
        </w:rPr>
      </w:pPr>
      <w:r>
        <w:rPr>
          <w:rFonts w:eastAsia="Times New Roman"/>
          <w:lang w:val="sl-SI"/>
        </w:rPr>
        <w:t>Pred zdravljenjem z zdravilom Yuflyma in med zdravljenjem z njim je treba za nemelanomskega kožnega raka pregledati vse bolnike, še zlasti pa bolnike z anamnezo intenzivne imunosupresivne terapije in bolnike s psoriazo, ki so kdaj prejemali PUVA. Poročali so tudi o melanomu in karcinomu Merklovih celic pri bolnikih, zdravljenih z antagonisti TNF, vključno z adalimumabom (glejte poglavje 4.8).</w:t>
      </w:r>
    </w:p>
    <w:p w14:paraId="588C37EB" w14:textId="77777777" w:rsidR="00616315" w:rsidRDefault="00616315" w:rsidP="00616315">
      <w:pPr>
        <w:spacing w:before="13" w:line="240" w:lineRule="exact"/>
        <w:rPr>
          <w:rFonts w:ascii="Times New Roman" w:hAnsi="Times New Roman" w:cs="Times New Roman"/>
          <w:lang w:val="sl-SI"/>
        </w:rPr>
      </w:pPr>
    </w:p>
    <w:p w14:paraId="164A2491" w14:textId="77777777" w:rsidR="00616315" w:rsidRDefault="00616315" w:rsidP="00616315">
      <w:pPr>
        <w:pStyle w:val="a3"/>
        <w:rPr>
          <w:lang w:val="sl-SI"/>
        </w:rPr>
      </w:pPr>
      <w:r>
        <w:rPr>
          <w:rFonts w:eastAsia="Times New Roman"/>
          <w:lang w:val="sl-SI"/>
        </w:rPr>
        <w:t>V eksploracijskem kliničnem preskušanju infliksimaba, antagonista TNF, pri bolnikih z zmerno do hudo kronično obstruktivno pljučno boleznijo (KOPB), so med prejemniki infliksimaba zabeležili več malignomov, večinoma pljuč ali glave in vratu, kot med primerjalnimi bolniki. Vsi bolniki so imeli anamnezo hudega kajenja. Zato je treba pri bolnikih s KOPB in bolnikih, ki jih zaradi hudega kajenja bolj ogroža malignom, vsak antagonist TNF uporabljati previdno.</w:t>
      </w:r>
    </w:p>
    <w:p w14:paraId="35697B42" w14:textId="77777777" w:rsidR="00616315" w:rsidRDefault="00616315" w:rsidP="00616315">
      <w:pPr>
        <w:spacing w:before="11" w:line="240" w:lineRule="exact"/>
        <w:rPr>
          <w:rFonts w:ascii="Times New Roman" w:hAnsi="Times New Roman" w:cs="Times New Roman"/>
          <w:lang w:val="sl-SI"/>
        </w:rPr>
      </w:pPr>
    </w:p>
    <w:p w14:paraId="2AAA6FBD" w14:textId="77777777" w:rsidR="00616315" w:rsidRDefault="00616315" w:rsidP="00616315">
      <w:pPr>
        <w:pStyle w:val="a3"/>
        <w:rPr>
          <w:lang w:val="sl-SI"/>
        </w:rPr>
      </w:pPr>
      <w:r>
        <w:rPr>
          <w:rFonts w:eastAsia="Times New Roman"/>
          <w:lang w:val="sl-SI"/>
        </w:rPr>
        <w:t>Glede na trenutne podatke ni znano, ali zdravljenje z adalimumabom vpliva na tveganje za nastanek displazije ali raka kolona. Vse bolnike z ulceroznim kolitisom, ki imajo večje tveganje za displazijo ali karcinom kolona (npr. bolnike z dolgotrajnim ulceroznim kolitisom ali primarnim sklerozirajočim holangitisom), ali imajo anamnezo displazije ali karcinoma kolona, je treba pred zdravljenjem in redno med potekom bolezni presejalno pregledovati glede displazije. Takšna ocena mora vključevati kolonoskopijo in biopsije v skladu z lokalnimi priporočili.</w:t>
      </w:r>
    </w:p>
    <w:p w14:paraId="678D7A8D" w14:textId="77777777" w:rsidR="00616315" w:rsidRDefault="00616315" w:rsidP="00616315">
      <w:pPr>
        <w:spacing w:before="13" w:line="240" w:lineRule="exact"/>
        <w:rPr>
          <w:rFonts w:ascii="Times New Roman" w:hAnsi="Times New Roman" w:cs="Times New Roman"/>
          <w:lang w:val="sl-SI"/>
        </w:rPr>
      </w:pPr>
    </w:p>
    <w:p w14:paraId="39A36BB5" w14:textId="77777777" w:rsidR="00616315" w:rsidRDefault="00616315" w:rsidP="00616315">
      <w:pPr>
        <w:pStyle w:val="a3"/>
        <w:rPr>
          <w:u w:val="single"/>
          <w:lang w:val="sl-SI"/>
        </w:rPr>
      </w:pPr>
      <w:r>
        <w:rPr>
          <w:rFonts w:eastAsia="Times New Roman"/>
          <w:u w:val="single" w:color="000000"/>
          <w:lang w:val="sl-SI"/>
        </w:rPr>
        <w:t>Hematološke reakcije</w:t>
      </w:r>
    </w:p>
    <w:p w14:paraId="4D67DB97" w14:textId="77777777" w:rsidR="00616315" w:rsidRDefault="00616315" w:rsidP="00616315">
      <w:pPr>
        <w:spacing w:before="1" w:line="180" w:lineRule="exact"/>
        <w:rPr>
          <w:rFonts w:ascii="Times New Roman" w:hAnsi="Times New Roman" w:cs="Times New Roman"/>
          <w:lang w:val="sl-SI"/>
        </w:rPr>
      </w:pPr>
    </w:p>
    <w:p w14:paraId="24600BB8" w14:textId="77777777" w:rsidR="00616315" w:rsidRDefault="00616315" w:rsidP="00616315">
      <w:pPr>
        <w:pStyle w:val="a3"/>
        <w:rPr>
          <w:lang w:val="sl-SI"/>
        </w:rPr>
      </w:pPr>
      <w:r>
        <w:rPr>
          <w:rFonts w:eastAsia="Times New Roman"/>
          <w:lang w:val="sl-SI"/>
        </w:rPr>
        <w:t>Pri uporabi antagonistov TNF je bila v redkih primerih opisana pancitopenija, vključno z aplastično anemijo. Med uporabo adalimumaba so poročali o neželenih učinkih na hematološki sistem, vključno z medicinsko pomembno citopenijo (npr. trombocitopenijo, levkopenijo). Vsem bolnikom je treba svetovati, da med uporabo zdravila Yuflyma nemudoma poiščejo zdravniško pomoč, če se pojavijo znaki in simptomi, ki kažejo na krvno diskrazijo (npr. trajno zvišana telesna temperatura, podplutbe, krvavitve, bledica). Pri bolnikih s potrjenimi pomembnimi hematološkimi nepravilnostmi je treba razmisliti o prekinitvi terapije z zdravilom Yuflyma.</w:t>
      </w:r>
    </w:p>
    <w:p w14:paraId="13AE5FD9" w14:textId="77777777" w:rsidR="00616315" w:rsidRDefault="00616315" w:rsidP="00616315">
      <w:pPr>
        <w:pStyle w:val="a3"/>
        <w:rPr>
          <w:lang w:val="sl-SI"/>
        </w:rPr>
      </w:pPr>
    </w:p>
    <w:p w14:paraId="239FBEAE" w14:textId="77777777" w:rsidR="00616315" w:rsidRDefault="00616315" w:rsidP="00616315">
      <w:pPr>
        <w:pStyle w:val="a3"/>
        <w:rPr>
          <w:u w:val="single"/>
          <w:lang w:val="sl-SI"/>
        </w:rPr>
      </w:pPr>
      <w:r>
        <w:rPr>
          <w:rFonts w:eastAsia="Times New Roman"/>
          <w:u w:val="single" w:color="000000"/>
          <w:lang w:val="sl-SI"/>
        </w:rPr>
        <w:t>Cepljenja</w:t>
      </w:r>
    </w:p>
    <w:p w14:paraId="4262F18D" w14:textId="77777777" w:rsidR="00616315" w:rsidRDefault="00616315" w:rsidP="00616315">
      <w:pPr>
        <w:spacing w:before="1" w:line="180" w:lineRule="exact"/>
        <w:rPr>
          <w:rFonts w:ascii="Times New Roman" w:hAnsi="Times New Roman" w:cs="Times New Roman"/>
          <w:lang w:val="sl-SI"/>
        </w:rPr>
      </w:pPr>
    </w:p>
    <w:p w14:paraId="68D98DFB" w14:textId="77777777" w:rsidR="00616315" w:rsidRDefault="00616315" w:rsidP="00616315">
      <w:pPr>
        <w:pStyle w:val="a3"/>
        <w:rPr>
          <w:lang w:val="sl-SI"/>
        </w:rPr>
      </w:pPr>
      <w:r>
        <w:rPr>
          <w:rFonts w:eastAsia="Times New Roman"/>
          <w:lang w:val="sl-SI"/>
        </w:rPr>
        <w:lastRenderedPageBreak/>
        <w:t>V študiji 226 odraslih preiskovancev z revmatoidnim artritisom, ki so prejemali adalimumab ali placebo, so ugotovili podobne odzive protiteles na standardno 23-valentno pnevmokokno cepivo in trivalentno virusno cepivo proti influenci. Podatkov o sekundarnem prenosu okužbe z živimi cepivi pri bolnikih, zdravljenih z adalimumabom, ni.</w:t>
      </w:r>
    </w:p>
    <w:p w14:paraId="7D28B544" w14:textId="77777777" w:rsidR="00616315" w:rsidRDefault="00616315" w:rsidP="00616315">
      <w:pPr>
        <w:spacing w:before="17" w:line="240" w:lineRule="exact"/>
        <w:rPr>
          <w:rFonts w:ascii="Times New Roman" w:hAnsi="Times New Roman" w:cs="Times New Roman"/>
          <w:lang w:val="sl-SI"/>
        </w:rPr>
      </w:pPr>
    </w:p>
    <w:p w14:paraId="1DBEDECD" w14:textId="77777777" w:rsidR="00616315" w:rsidRDefault="00616315" w:rsidP="00616315">
      <w:pPr>
        <w:pStyle w:val="a3"/>
        <w:rPr>
          <w:lang w:val="sl-SI"/>
        </w:rPr>
      </w:pPr>
      <w:r>
        <w:rPr>
          <w:rFonts w:eastAsia="Times New Roman"/>
          <w:spacing w:val="-4"/>
          <w:lang w:val="sl-SI"/>
        </w:rPr>
        <w:t>Za pediatrične bolnike je priporočljivo, da pred začetkom zdravljenja z zdravilom Yuflyma opravijo vsa cepljenja v skladu z veljavnimi smernicami za cepljenje, če je le mogoče.</w:t>
      </w:r>
    </w:p>
    <w:p w14:paraId="3E7623EE" w14:textId="77777777" w:rsidR="00616315" w:rsidRDefault="00616315" w:rsidP="00616315">
      <w:pPr>
        <w:spacing w:before="11" w:line="240" w:lineRule="exact"/>
        <w:rPr>
          <w:rFonts w:ascii="Times New Roman" w:hAnsi="Times New Roman" w:cs="Times New Roman"/>
          <w:lang w:val="sl-SI"/>
        </w:rPr>
      </w:pPr>
    </w:p>
    <w:p w14:paraId="554D49E9" w14:textId="77777777" w:rsidR="00616315" w:rsidRDefault="00616315" w:rsidP="00616315">
      <w:pPr>
        <w:pStyle w:val="a3"/>
        <w:rPr>
          <w:lang w:val="sl-SI"/>
        </w:rPr>
      </w:pPr>
      <w:r>
        <w:rPr>
          <w:rFonts w:eastAsia="Times New Roman"/>
          <w:lang w:val="sl-SI"/>
        </w:rPr>
        <w:t>Bolniki, ki prejemajo zdravilo Yuflyma, lahko prejmejo sočasna cepljenja, razen živih cepiv. Uporaba živih cepiv (npr. BCG cepiva) pri dojenčkih, ki so bili izpostavljeni adalimumabu in utero, ni priporočljiva še 5 mesecev po materini zadnji injekciji adalimumaba med nosečnostjo.</w:t>
      </w:r>
    </w:p>
    <w:p w14:paraId="1119516E" w14:textId="77777777" w:rsidR="00616315" w:rsidRDefault="00616315" w:rsidP="00616315">
      <w:pPr>
        <w:spacing w:before="13" w:line="240" w:lineRule="exact"/>
        <w:rPr>
          <w:rFonts w:ascii="Times New Roman" w:hAnsi="Times New Roman" w:cs="Times New Roman"/>
          <w:lang w:val="sl-SI"/>
        </w:rPr>
      </w:pPr>
    </w:p>
    <w:p w14:paraId="13559E03" w14:textId="77777777" w:rsidR="00616315" w:rsidRDefault="00616315" w:rsidP="00616315">
      <w:pPr>
        <w:pStyle w:val="a3"/>
        <w:rPr>
          <w:u w:val="single"/>
          <w:lang w:val="sl-SI"/>
        </w:rPr>
      </w:pPr>
      <w:r>
        <w:rPr>
          <w:rFonts w:eastAsia="Times New Roman"/>
          <w:u w:val="single" w:color="000000"/>
          <w:lang w:val="sl-SI"/>
        </w:rPr>
        <w:t>Kongestivno srčno popuščanje</w:t>
      </w:r>
    </w:p>
    <w:p w14:paraId="569BA3A4" w14:textId="77777777" w:rsidR="00616315" w:rsidRDefault="00616315" w:rsidP="00616315">
      <w:pPr>
        <w:spacing w:before="1" w:line="180" w:lineRule="exact"/>
        <w:rPr>
          <w:rFonts w:ascii="Times New Roman" w:hAnsi="Times New Roman" w:cs="Times New Roman"/>
          <w:lang w:val="sl-SI"/>
        </w:rPr>
      </w:pPr>
    </w:p>
    <w:p w14:paraId="2BE1C084" w14:textId="77777777" w:rsidR="00616315" w:rsidRDefault="00616315" w:rsidP="00616315">
      <w:pPr>
        <w:pStyle w:val="a3"/>
        <w:rPr>
          <w:lang w:val="sl-SI"/>
        </w:rPr>
      </w:pPr>
      <w:r>
        <w:rPr>
          <w:rFonts w:eastAsia="Times New Roman"/>
          <w:lang w:val="sl-SI"/>
        </w:rPr>
        <w:t>V kliničnem preskušanju z drugim antagonistom TNF so opažali poslabšanje kongestivnega srčnega popuščanja in večjo umrljivost zaradi kongestivnega srčnega popuščanja. O primerih poslabšanja kongestivnega srčnega popuščanja so poročali pri bolnikih, ki so prejemali adalimumab. Pri bolnikih z blagim srčnim popuščanjem (razred I/II po NYHA) je treba zdravilo Yuflyma uporabljati previdno. Pri bolnikih z zmernim ali hudim srčnim popuščanjem je zdravilo Yuflyma kontraindicirano (glejte poglavje 4.3). Pri bolnikih, ki se jim na novo pojavijo simptomi kongestivnega srčnega popuščanja ali se jim takšni simptomi poslabšajo, je treba zdravljenje z zdravilom Yuflyma prekiniti.</w:t>
      </w:r>
    </w:p>
    <w:p w14:paraId="0EA35E0D" w14:textId="77777777" w:rsidR="00616315" w:rsidRDefault="00616315" w:rsidP="00616315">
      <w:pPr>
        <w:spacing w:before="13" w:line="240" w:lineRule="exact"/>
        <w:rPr>
          <w:rFonts w:ascii="Times New Roman" w:hAnsi="Times New Roman" w:cs="Times New Roman"/>
          <w:lang w:val="sl-SI"/>
        </w:rPr>
      </w:pPr>
    </w:p>
    <w:p w14:paraId="2C5BC0E3" w14:textId="77777777" w:rsidR="00616315" w:rsidRDefault="00616315" w:rsidP="00616315">
      <w:pPr>
        <w:pStyle w:val="a3"/>
        <w:rPr>
          <w:u w:val="single"/>
          <w:lang w:val="sl-SI"/>
        </w:rPr>
      </w:pPr>
      <w:r>
        <w:rPr>
          <w:rFonts w:eastAsia="Times New Roman"/>
          <w:u w:val="single" w:color="000000"/>
          <w:lang w:val="sl-SI"/>
        </w:rPr>
        <w:t>Avtoimunska dogajanja</w:t>
      </w:r>
    </w:p>
    <w:p w14:paraId="570385BA" w14:textId="77777777" w:rsidR="00616315" w:rsidRDefault="00616315" w:rsidP="00616315">
      <w:pPr>
        <w:spacing w:before="9" w:line="170" w:lineRule="exact"/>
        <w:rPr>
          <w:rFonts w:ascii="Times New Roman" w:hAnsi="Times New Roman" w:cs="Times New Roman"/>
          <w:lang w:val="sl-SI"/>
        </w:rPr>
      </w:pPr>
    </w:p>
    <w:p w14:paraId="3D2E126D" w14:textId="77777777" w:rsidR="00616315" w:rsidRDefault="00616315" w:rsidP="00616315">
      <w:pPr>
        <w:pStyle w:val="a3"/>
        <w:rPr>
          <w:lang w:val="sl-SI"/>
        </w:rPr>
      </w:pPr>
      <w:r>
        <w:rPr>
          <w:rFonts w:eastAsia="Times New Roman"/>
          <w:lang w:val="sl-SI"/>
        </w:rPr>
        <w:t>Zdravljenje z zdravilom Yuflyma lahko povzroči nastanek avtoimunskih protiteles. Vpliv dolgoročnega zdravljenja z adalimumabom na razvoj avtoimunskih bolezni ni znan. Če se pri bolniku po zdravljenju z zdravilom Yuflyma pojavijo simptomi, ki kažejo na lupusu podoben sindrom, in je pozitiven na protitelesa proti dvojnoverižni DNA, zdravila Yuflyma ne sme več prejemati (glejte poglavje 4.8).</w:t>
      </w:r>
    </w:p>
    <w:p w14:paraId="2B85C1FB" w14:textId="77777777" w:rsidR="00616315" w:rsidRDefault="00616315" w:rsidP="00616315">
      <w:pPr>
        <w:spacing w:before="13" w:line="240" w:lineRule="exact"/>
        <w:rPr>
          <w:rFonts w:ascii="Times New Roman" w:hAnsi="Times New Roman" w:cs="Times New Roman"/>
          <w:u w:val="single"/>
          <w:lang w:val="sl-SI"/>
        </w:rPr>
      </w:pPr>
    </w:p>
    <w:p w14:paraId="456F809E" w14:textId="77777777" w:rsidR="00616315" w:rsidRDefault="00616315" w:rsidP="00616315">
      <w:pPr>
        <w:pStyle w:val="a3"/>
        <w:rPr>
          <w:u w:val="single"/>
          <w:lang w:val="sl-SI"/>
        </w:rPr>
      </w:pPr>
      <w:r>
        <w:rPr>
          <w:rFonts w:eastAsia="Times New Roman"/>
          <w:u w:val="single" w:color="000000"/>
          <w:lang w:val="sl-SI"/>
        </w:rPr>
        <w:t>Sočasna uporaba bioloških DMARD ali antagonistov TNF</w:t>
      </w:r>
    </w:p>
    <w:p w14:paraId="61A5FD58" w14:textId="77777777" w:rsidR="00616315" w:rsidRDefault="00616315" w:rsidP="00616315">
      <w:pPr>
        <w:spacing w:before="1" w:line="180" w:lineRule="exact"/>
        <w:rPr>
          <w:rFonts w:ascii="Times New Roman" w:hAnsi="Times New Roman" w:cs="Times New Roman"/>
          <w:lang w:val="sl-SI"/>
        </w:rPr>
      </w:pPr>
    </w:p>
    <w:p w14:paraId="37F511E7" w14:textId="77777777" w:rsidR="00616315" w:rsidRDefault="00616315" w:rsidP="00616315">
      <w:pPr>
        <w:pStyle w:val="a3"/>
        <w:rPr>
          <w:lang w:val="sl-SI"/>
        </w:rPr>
      </w:pPr>
      <w:r>
        <w:rPr>
          <w:rFonts w:eastAsia="Times New Roman"/>
          <w:lang w:val="sl-SI"/>
        </w:rPr>
        <w:t>V kliničnih študijah s sočasno uporabo anakinre in etanercepta, drugega</w:t>
      </w:r>
    </w:p>
    <w:p w14:paraId="4FBCAB33" w14:textId="77777777" w:rsidR="00616315" w:rsidRDefault="00616315" w:rsidP="00616315">
      <w:pPr>
        <w:pStyle w:val="a3"/>
        <w:rPr>
          <w:lang w:val="sl-SI"/>
        </w:rPr>
      </w:pPr>
      <w:r>
        <w:rPr>
          <w:rFonts w:eastAsia="Times New Roman"/>
          <w:lang w:val="sl-SI"/>
        </w:rPr>
        <w:t>antagonista TNF, so opazili hude okužbe brez dodatnih kliničnih prednosti v primerjavi z etanerceptom samim. Glede na naravo neželenih dogodkov, opaženih pri kombiniranem zdravljenju z etanerceptom in anakinro, lahko podobne toksičnosti nastanejo tudi pri uporabi anakinre in drugih antagonistov TNF. Zato kombinacija adalimumaba in anakinre ni priporočljiva (glejte poglavje 4.5).</w:t>
      </w:r>
    </w:p>
    <w:p w14:paraId="1400AD08" w14:textId="77777777" w:rsidR="00616315" w:rsidRDefault="00616315" w:rsidP="00616315">
      <w:pPr>
        <w:spacing w:before="14" w:line="240" w:lineRule="exact"/>
        <w:rPr>
          <w:rFonts w:ascii="Times New Roman" w:hAnsi="Times New Roman" w:cs="Times New Roman"/>
          <w:lang w:val="sl-SI"/>
        </w:rPr>
      </w:pPr>
    </w:p>
    <w:p w14:paraId="78FAB5CA" w14:textId="77777777" w:rsidR="00616315" w:rsidRDefault="00616315" w:rsidP="00616315">
      <w:pPr>
        <w:pStyle w:val="a3"/>
        <w:rPr>
          <w:lang w:val="sl-SI"/>
        </w:rPr>
      </w:pPr>
      <w:r>
        <w:rPr>
          <w:rFonts w:eastAsia="Times New Roman"/>
          <w:lang w:val="sl-SI"/>
        </w:rPr>
        <w:t>Sočasna uporaba adalimumaba z drugimi biološkimi DMARD (tj.anakinra in abacept) ali z drugimi antagonisti TNF ni priporočljiva zaradi možnega povečanega tveganja za okužbe, vključno z resnimi okužbami, in drugih potencialnih farmakoloških interakcij (glejte poglavje 4.5).</w:t>
      </w:r>
    </w:p>
    <w:p w14:paraId="451CF4D4" w14:textId="77777777" w:rsidR="00616315" w:rsidRDefault="00616315" w:rsidP="00616315">
      <w:pPr>
        <w:spacing w:before="13" w:line="240" w:lineRule="exact"/>
        <w:rPr>
          <w:rFonts w:ascii="Times New Roman" w:hAnsi="Times New Roman" w:cs="Times New Roman"/>
          <w:lang w:val="sl-SI"/>
        </w:rPr>
      </w:pPr>
    </w:p>
    <w:p w14:paraId="02E938F8" w14:textId="36214CA6" w:rsidR="00616315" w:rsidRDefault="00616315" w:rsidP="00616315">
      <w:pPr>
        <w:pStyle w:val="a3"/>
        <w:rPr>
          <w:u w:val="single"/>
          <w:lang w:val="sl-SI"/>
        </w:rPr>
      </w:pPr>
      <w:r>
        <w:rPr>
          <w:rFonts w:eastAsia="Times New Roman"/>
          <w:u w:val="single" w:color="000000"/>
          <w:lang w:val="sl-SI"/>
        </w:rPr>
        <w:t>Kirurški posegi</w:t>
      </w:r>
    </w:p>
    <w:p w14:paraId="483B2E4D" w14:textId="77777777" w:rsidR="00616315" w:rsidRDefault="00616315" w:rsidP="00616315">
      <w:pPr>
        <w:spacing w:before="1" w:line="180" w:lineRule="exact"/>
        <w:rPr>
          <w:rFonts w:ascii="Times New Roman" w:hAnsi="Times New Roman" w:cs="Times New Roman"/>
          <w:lang w:val="sl-SI"/>
        </w:rPr>
      </w:pPr>
    </w:p>
    <w:p w14:paraId="216C2043" w14:textId="77777777" w:rsidR="00616315" w:rsidRDefault="00616315" w:rsidP="00616315">
      <w:pPr>
        <w:pStyle w:val="a3"/>
        <w:rPr>
          <w:lang w:val="sl-SI"/>
        </w:rPr>
      </w:pPr>
      <w:r>
        <w:rPr>
          <w:rFonts w:eastAsia="Times New Roman"/>
          <w:lang w:val="sl-SI"/>
        </w:rPr>
        <w:t>Izkušnje z varnostjo kirurških posegov pri bolnikih, zdravljenih z zdravilom Yuflyma, so omejene. Pri načrtovanju kirurškega posega je treba upoštevati dolg razpolovni čas adalimumaba. Bolnika, ki med jemanjem zdravila Yuflyma potrebuje operacijo, je treba skrbno spremljati glede okužb in ustrezno ukrepati. Izkušnje z varnostjo pri bolnikih, ki so jim med zdravljenjem z adalimumabom opravili artroplastiko, so omejene.</w:t>
      </w:r>
    </w:p>
    <w:p w14:paraId="4C1E5E1D" w14:textId="77777777" w:rsidR="00616315" w:rsidRDefault="00616315" w:rsidP="00616315">
      <w:pPr>
        <w:pStyle w:val="a3"/>
        <w:rPr>
          <w:u w:color="000000"/>
          <w:lang w:val="sl-SI"/>
        </w:rPr>
      </w:pPr>
    </w:p>
    <w:p w14:paraId="440D6C15" w14:textId="77777777" w:rsidR="00616315" w:rsidRDefault="00616315" w:rsidP="00616315">
      <w:pPr>
        <w:pStyle w:val="a3"/>
        <w:rPr>
          <w:u w:val="single"/>
          <w:lang w:val="sl-SI"/>
        </w:rPr>
      </w:pPr>
      <w:r>
        <w:rPr>
          <w:rFonts w:eastAsia="Times New Roman"/>
          <w:u w:val="single" w:color="000000"/>
          <w:lang w:val="sl-SI"/>
        </w:rPr>
        <w:t>Zapora tankega črevesa</w:t>
      </w:r>
    </w:p>
    <w:p w14:paraId="51F82A89" w14:textId="77777777" w:rsidR="00616315" w:rsidRDefault="00616315" w:rsidP="00616315">
      <w:pPr>
        <w:pStyle w:val="a3"/>
        <w:rPr>
          <w:lang w:val="sl-SI"/>
        </w:rPr>
      </w:pPr>
    </w:p>
    <w:p w14:paraId="3884997E" w14:textId="77777777" w:rsidR="00616315" w:rsidRDefault="00616315" w:rsidP="00616315">
      <w:pPr>
        <w:pStyle w:val="a3"/>
        <w:rPr>
          <w:lang w:val="sl-SI"/>
        </w:rPr>
      </w:pPr>
      <w:r>
        <w:rPr>
          <w:rFonts w:eastAsia="Times New Roman"/>
          <w:lang w:val="sl-SI"/>
        </w:rPr>
        <w:t>Če se bolnik ne odzove na zdravljenje Crohnove bolezni, lahko to pomeni, da ima stalno fibrotično strikturo, zaradi katere utegne biti potrebno kirurško zdravljenje. Razpoložljivi podatki kažejo, da adalimumabne poslabša in ne povzroči striktur.</w:t>
      </w:r>
    </w:p>
    <w:p w14:paraId="52015ACD" w14:textId="77777777" w:rsidR="00616315" w:rsidRDefault="00616315" w:rsidP="00616315">
      <w:pPr>
        <w:spacing w:before="13" w:line="240" w:lineRule="exact"/>
        <w:rPr>
          <w:rFonts w:ascii="Times New Roman" w:hAnsi="Times New Roman" w:cs="Times New Roman"/>
          <w:lang w:val="sl-SI"/>
        </w:rPr>
      </w:pPr>
    </w:p>
    <w:p w14:paraId="1905571F" w14:textId="77777777" w:rsidR="00616315" w:rsidRDefault="00616315" w:rsidP="00616315">
      <w:pPr>
        <w:pStyle w:val="a3"/>
        <w:rPr>
          <w:u w:val="single"/>
          <w:lang w:val="sl-SI"/>
        </w:rPr>
      </w:pPr>
      <w:r>
        <w:rPr>
          <w:rFonts w:eastAsia="Times New Roman"/>
          <w:u w:val="single" w:color="000000"/>
          <w:lang w:val="sl-SI"/>
        </w:rPr>
        <w:lastRenderedPageBreak/>
        <w:t>Starejši bolniki</w:t>
      </w:r>
    </w:p>
    <w:p w14:paraId="7CEC0245" w14:textId="77777777" w:rsidR="00616315" w:rsidRDefault="00616315" w:rsidP="00616315">
      <w:pPr>
        <w:spacing w:before="9" w:line="170" w:lineRule="exact"/>
        <w:rPr>
          <w:rFonts w:ascii="Times New Roman" w:hAnsi="Times New Roman" w:cs="Times New Roman"/>
          <w:lang w:val="sl-SI"/>
        </w:rPr>
      </w:pPr>
    </w:p>
    <w:p w14:paraId="0520123F" w14:textId="77777777" w:rsidR="00616315" w:rsidRDefault="00616315" w:rsidP="00616315">
      <w:pPr>
        <w:pStyle w:val="a3"/>
        <w:rPr>
          <w:lang w:val="sl-SI"/>
        </w:rPr>
      </w:pPr>
      <w:r>
        <w:rPr>
          <w:rFonts w:eastAsia="Times New Roman"/>
          <w:lang w:val="sl-SI"/>
        </w:rPr>
        <w:t>Pogostnost resnih okužb pri preiskovancih, zdravljenih z adalimumabom, starejših od 65 let (3,7 %), je bila večja kot pri mlajših od 65 let (1,5 %). Pri nekaterih je bil izid smrten. Pri zdravljenju starejših oseb je treba posebno pozornost posvetiti tveganju za okužbo.</w:t>
      </w:r>
    </w:p>
    <w:p w14:paraId="3A68B40F" w14:textId="77777777" w:rsidR="00616315" w:rsidRDefault="00616315" w:rsidP="00616315">
      <w:pPr>
        <w:spacing w:before="11" w:line="240" w:lineRule="exact"/>
        <w:rPr>
          <w:rFonts w:ascii="Times New Roman" w:hAnsi="Times New Roman" w:cs="Times New Roman"/>
          <w:lang w:val="sl-SI"/>
        </w:rPr>
      </w:pPr>
    </w:p>
    <w:p w14:paraId="5DD06DA0" w14:textId="77777777" w:rsidR="00616315" w:rsidRDefault="00616315" w:rsidP="00616315">
      <w:pPr>
        <w:pStyle w:val="a3"/>
        <w:rPr>
          <w:u w:val="single"/>
          <w:lang w:val="sl-SI"/>
        </w:rPr>
      </w:pPr>
      <w:r>
        <w:rPr>
          <w:rFonts w:eastAsia="Times New Roman"/>
          <w:u w:val="single" w:color="000000"/>
          <w:lang w:val="sl-SI"/>
        </w:rPr>
        <w:t>Pediatrična populacija</w:t>
      </w:r>
    </w:p>
    <w:p w14:paraId="200A8C96" w14:textId="77777777" w:rsidR="00616315" w:rsidRDefault="00616315" w:rsidP="00616315">
      <w:pPr>
        <w:spacing w:before="1" w:line="180" w:lineRule="exact"/>
        <w:rPr>
          <w:rFonts w:ascii="Times New Roman" w:hAnsi="Times New Roman" w:cs="Times New Roman"/>
          <w:lang w:val="sl-SI"/>
        </w:rPr>
      </w:pPr>
    </w:p>
    <w:p w14:paraId="4FC01AD3" w14:textId="77777777" w:rsidR="00616315" w:rsidRDefault="00616315" w:rsidP="00616315">
      <w:pPr>
        <w:pStyle w:val="a3"/>
        <w:rPr>
          <w:lang w:val="sl-SI"/>
        </w:rPr>
      </w:pPr>
      <w:r>
        <w:rPr>
          <w:rFonts w:eastAsia="Times New Roman"/>
          <w:lang w:val="sl-SI"/>
        </w:rPr>
        <w:t>Glejte podpoglavje Cepljenja zgoraj.</w:t>
      </w:r>
    </w:p>
    <w:p w14:paraId="17D203AC" w14:textId="77777777" w:rsidR="00616315" w:rsidRDefault="00616315" w:rsidP="00616315">
      <w:pPr>
        <w:pStyle w:val="a3"/>
        <w:rPr>
          <w:lang w:val="sl-SI"/>
        </w:rPr>
      </w:pPr>
    </w:p>
    <w:p w14:paraId="6EE389FD" w14:textId="77777777" w:rsidR="00616315" w:rsidRDefault="00616315" w:rsidP="00616315">
      <w:pPr>
        <w:pStyle w:val="a3"/>
        <w:rPr>
          <w:u w:val="single"/>
          <w:lang w:val="sl-SI"/>
        </w:rPr>
      </w:pPr>
      <w:r>
        <w:rPr>
          <w:rFonts w:eastAsia="Times New Roman"/>
          <w:u w:val="single" w:color="000000"/>
          <w:lang w:val="sl-SI"/>
        </w:rPr>
        <w:t>Vsebnost natrija</w:t>
      </w:r>
    </w:p>
    <w:p w14:paraId="2A31AB11" w14:textId="77777777" w:rsidR="00616315" w:rsidRDefault="00616315" w:rsidP="00616315">
      <w:pPr>
        <w:pStyle w:val="a3"/>
        <w:rPr>
          <w:lang w:val="sl-SI"/>
        </w:rPr>
      </w:pPr>
    </w:p>
    <w:p w14:paraId="4E7C8444" w14:textId="7AE059B0" w:rsidR="00616315" w:rsidRDefault="00616315" w:rsidP="00616315">
      <w:pPr>
        <w:pStyle w:val="a3"/>
        <w:rPr>
          <w:lang w:val="sl-SI"/>
        </w:rPr>
      </w:pPr>
      <w:r>
        <w:rPr>
          <w:rFonts w:eastAsia="Times New Roman"/>
          <w:lang w:val="sl-SI"/>
        </w:rPr>
        <w:t>To zdravilo vsebuje manj kot 1 mmol (23 mg) natrija na 0,</w:t>
      </w:r>
      <w:r w:rsidR="00A81BD1">
        <w:rPr>
          <w:rFonts w:eastAsia="Times New Roman"/>
          <w:lang w:val="sl-SI"/>
        </w:rPr>
        <w:t>8</w:t>
      </w:r>
      <w:r>
        <w:rPr>
          <w:rFonts w:eastAsia="Times New Roman"/>
          <w:lang w:val="sl-SI"/>
        </w:rPr>
        <w:t> ml odmerek, kar v bistvu pomeni ‘brez natrija’.</w:t>
      </w:r>
    </w:p>
    <w:p w14:paraId="19EAFD6C" w14:textId="77777777" w:rsidR="00616315" w:rsidRDefault="00616315" w:rsidP="00616315">
      <w:pPr>
        <w:spacing w:before="18" w:line="240" w:lineRule="exact"/>
        <w:rPr>
          <w:sz w:val="24"/>
          <w:szCs w:val="24"/>
          <w:lang w:val="sl-SI"/>
        </w:rPr>
      </w:pPr>
    </w:p>
    <w:p w14:paraId="6708CE1B" w14:textId="77777777" w:rsidR="00616315" w:rsidRDefault="00616315" w:rsidP="0030421B">
      <w:pPr>
        <w:widowControl/>
        <w:numPr>
          <w:ilvl w:val="1"/>
          <w:numId w:val="118"/>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Medsebojno delovanje z drugimi zdravili in druge oblike interakcij</w:t>
      </w:r>
    </w:p>
    <w:p w14:paraId="57D7D2A6" w14:textId="77777777" w:rsidR="00616315" w:rsidRDefault="00616315" w:rsidP="00616315">
      <w:pPr>
        <w:spacing w:before="9" w:line="240" w:lineRule="exact"/>
        <w:rPr>
          <w:sz w:val="24"/>
          <w:szCs w:val="24"/>
          <w:lang w:val="sl-SI"/>
        </w:rPr>
      </w:pPr>
    </w:p>
    <w:p w14:paraId="0DB91947" w14:textId="77777777" w:rsidR="00616315" w:rsidRDefault="00616315" w:rsidP="00616315">
      <w:pPr>
        <w:pStyle w:val="a3"/>
        <w:rPr>
          <w:lang w:val="sl-SI"/>
        </w:rPr>
      </w:pPr>
      <w:r>
        <w:rPr>
          <w:rFonts w:eastAsia="Times New Roman"/>
          <w:lang w:val="sl-SI"/>
        </w:rPr>
        <w:t>Adalimumab so raziskali pri bolnikih z revmatoidnim artritisom, poliartikularnim juvenilnim idiopatskim artritisom in psoriatičnim artritisom, ki so adalimumab jemali v monoterapiji, in pri tistih, ki so ga jemali hkrati z metotreksatom. Pri uporabi adalimumaba skupaj z metotreksatom v primerjavi z uporabo monoterapije je bilo nastajanje protiteles manjše. Uporaba adalimumaba brez metotreksata je zvečala nastajanje protiteles, zvečala očistek in zmanjšala učinkovitost adalimumaba (glejte poglavje 5.1).</w:t>
      </w:r>
    </w:p>
    <w:p w14:paraId="110B6CA6" w14:textId="77777777" w:rsidR="00616315" w:rsidRDefault="00616315" w:rsidP="00616315">
      <w:pPr>
        <w:spacing w:before="17" w:line="240" w:lineRule="exact"/>
        <w:rPr>
          <w:sz w:val="24"/>
          <w:szCs w:val="24"/>
          <w:lang w:val="sl-SI"/>
        </w:rPr>
      </w:pPr>
    </w:p>
    <w:p w14:paraId="7E53C417" w14:textId="77777777" w:rsidR="00616315" w:rsidRDefault="00616315" w:rsidP="00616315">
      <w:pPr>
        <w:pStyle w:val="a3"/>
        <w:rPr>
          <w:lang w:val="sl-SI"/>
        </w:rPr>
      </w:pPr>
      <w:r>
        <w:rPr>
          <w:rFonts w:eastAsia="Times New Roman"/>
          <w:lang w:val="sl-SI"/>
        </w:rPr>
        <w:t>Kombinacija adalimumaba in anakinre ni priporočljiva (glejte poglavje 4.4 “Sočasna uporaba bioloških DMARD ali antagonistov TNF”).</w:t>
      </w:r>
    </w:p>
    <w:p w14:paraId="6E969180" w14:textId="77777777" w:rsidR="00616315" w:rsidRDefault="00616315" w:rsidP="00616315">
      <w:pPr>
        <w:spacing w:before="11" w:line="240" w:lineRule="exact"/>
        <w:rPr>
          <w:sz w:val="24"/>
          <w:szCs w:val="24"/>
          <w:lang w:val="sl-SI"/>
        </w:rPr>
      </w:pPr>
    </w:p>
    <w:p w14:paraId="2158D21D" w14:textId="77777777" w:rsidR="00616315" w:rsidRDefault="00616315" w:rsidP="00616315">
      <w:pPr>
        <w:pStyle w:val="a3"/>
        <w:rPr>
          <w:lang w:val="sl-SI"/>
        </w:rPr>
      </w:pPr>
      <w:r>
        <w:rPr>
          <w:rFonts w:eastAsia="Times New Roman"/>
          <w:lang w:val="sl-SI"/>
        </w:rPr>
        <w:t>Kombinacija adalimumaba in abatacepta ni priporočljiva (glejte poglavje 4.4 “Sočasna uporaba bioloških DMARD ali antagonistov TNF”).</w:t>
      </w:r>
    </w:p>
    <w:p w14:paraId="67816AB0" w14:textId="77777777" w:rsidR="00616315" w:rsidRDefault="00616315" w:rsidP="00616315">
      <w:pPr>
        <w:spacing w:before="14" w:line="240" w:lineRule="exact"/>
        <w:rPr>
          <w:sz w:val="24"/>
          <w:szCs w:val="24"/>
          <w:lang w:val="sl-SI"/>
        </w:rPr>
      </w:pPr>
    </w:p>
    <w:p w14:paraId="6AE6DF11" w14:textId="77777777" w:rsidR="00616315" w:rsidRDefault="00616315" w:rsidP="0030421B">
      <w:pPr>
        <w:widowControl/>
        <w:numPr>
          <w:ilvl w:val="1"/>
          <w:numId w:val="118"/>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Plodnost, nosečnost in dojenje</w:t>
      </w:r>
    </w:p>
    <w:p w14:paraId="3608760E" w14:textId="77777777" w:rsidR="00616315" w:rsidRDefault="00616315" w:rsidP="00616315">
      <w:pPr>
        <w:spacing w:before="9" w:line="240" w:lineRule="exact"/>
        <w:rPr>
          <w:rFonts w:ascii="Times New Roman" w:hAnsi="Times New Roman" w:cs="Times New Roman"/>
          <w:lang w:val="sl-SI"/>
        </w:rPr>
      </w:pPr>
    </w:p>
    <w:p w14:paraId="7DA5B9B2" w14:textId="77777777" w:rsidR="00616315" w:rsidRDefault="00616315" w:rsidP="00616315">
      <w:pPr>
        <w:pStyle w:val="a3"/>
        <w:rPr>
          <w:u w:val="single"/>
          <w:lang w:val="sl-SI"/>
        </w:rPr>
      </w:pPr>
      <w:r>
        <w:rPr>
          <w:rFonts w:eastAsia="Times New Roman"/>
          <w:u w:val="single" w:color="000000"/>
          <w:lang w:val="sl-SI"/>
        </w:rPr>
        <w:t>Ženske v rodni dobi</w:t>
      </w:r>
    </w:p>
    <w:p w14:paraId="59D1CDDC" w14:textId="77777777" w:rsidR="00616315" w:rsidRDefault="00616315" w:rsidP="00616315">
      <w:pPr>
        <w:spacing w:before="1" w:line="180" w:lineRule="exact"/>
        <w:rPr>
          <w:rFonts w:ascii="Times New Roman" w:hAnsi="Times New Roman" w:cs="Times New Roman"/>
          <w:lang w:val="sl-SI"/>
        </w:rPr>
      </w:pPr>
    </w:p>
    <w:p w14:paraId="60D355D9" w14:textId="77777777" w:rsidR="00616315" w:rsidRDefault="00616315" w:rsidP="00616315">
      <w:pPr>
        <w:pStyle w:val="a3"/>
        <w:rPr>
          <w:lang w:val="sl-SI"/>
        </w:rPr>
      </w:pPr>
      <w:r>
        <w:rPr>
          <w:rFonts w:eastAsia="Times New Roman"/>
          <w:lang w:val="sl-SI"/>
        </w:rPr>
        <w:t>Ženske v rodni dobi morajo premisliti o uporabi ustrezne kontracepcijske zaščite za preprečitev nosečnosti in z njo nadaljevati vsaj še pet mesecev po zadnjem zdravljenju z zdravilom Yuflyma.</w:t>
      </w:r>
    </w:p>
    <w:p w14:paraId="26915960" w14:textId="77777777" w:rsidR="00616315" w:rsidRDefault="00616315" w:rsidP="00616315">
      <w:pPr>
        <w:spacing w:before="11" w:line="240" w:lineRule="exact"/>
        <w:rPr>
          <w:rFonts w:ascii="Times New Roman" w:hAnsi="Times New Roman" w:cs="Times New Roman"/>
          <w:lang w:val="sl-SI"/>
        </w:rPr>
      </w:pPr>
    </w:p>
    <w:p w14:paraId="311E6ECC" w14:textId="77777777" w:rsidR="00616315" w:rsidRDefault="00616315" w:rsidP="00616315">
      <w:pPr>
        <w:pStyle w:val="a3"/>
        <w:rPr>
          <w:u w:val="single"/>
          <w:lang w:val="sl-SI"/>
        </w:rPr>
      </w:pPr>
      <w:r>
        <w:rPr>
          <w:rFonts w:eastAsia="Times New Roman"/>
          <w:u w:val="single" w:color="000000"/>
          <w:lang w:val="sl-SI"/>
        </w:rPr>
        <w:t>Nosečnost</w:t>
      </w:r>
    </w:p>
    <w:p w14:paraId="778D676A" w14:textId="77777777" w:rsidR="00616315" w:rsidRDefault="00616315" w:rsidP="00616315">
      <w:pPr>
        <w:spacing w:before="1" w:line="180" w:lineRule="exact"/>
        <w:rPr>
          <w:rFonts w:ascii="Times New Roman" w:hAnsi="Times New Roman" w:cs="Times New Roman"/>
          <w:lang w:val="sl-SI"/>
        </w:rPr>
      </w:pPr>
    </w:p>
    <w:p w14:paraId="06C54F83" w14:textId="77777777" w:rsidR="00616315" w:rsidRDefault="00616315" w:rsidP="00616315">
      <w:pPr>
        <w:pStyle w:val="a3"/>
        <w:rPr>
          <w:lang w:val="sl-SI"/>
        </w:rPr>
      </w:pPr>
      <w:r>
        <w:rPr>
          <w:rFonts w:eastAsia="Times New Roman"/>
          <w:lang w:val="sl-SI"/>
        </w:rPr>
        <w:t>Veliko število (približno 2100) v naprej izbranih nosečnosti, med katerimi so bile matere izpostavljene adalimumabu in jim je sledilo rojstvo živorojenih otrok z znanim izidom, vključno s 1500 izpostavljenimi v prvem trimesečju, ne nakazuje povečanja razmerja malformacij pri novorojenčkih.</w:t>
      </w:r>
    </w:p>
    <w:p w14:paraId="5A880DC2" w14:textId="77777777" w:rsidR="00616315" w:rsidRDefault="00616315" w:rsidP="00616315">
      <w:pPr>
        <w:spacing w:before="13" w:line="240" w:lineRule="exact"/>
        <w:rPr>
          <w:rFonts w:ascii="Times New Roman" w:hAnsi="Times New Roman" w:cs="Times New Roman"/>
          <w:lang w:val="sl-SI"/>
        </w:rPr>
      </w:pPr>
    </w:p>
    <w:p w14:paraId="3084BC05" w14:textId="77777777" w:rsidR="00616315" w:rsidRDefault="00616315" w:rsidP="00616315">
      <w:pPr>
        <w:pStyle w:val="a3"/>
        <w:rPr>
          <w:lang w:val="sl-SI"/>
        </w:rPr>
      </w:pPr>
      <w:r>
        <w:rPr>
          <w:rFonts w:eastAsia="Times New Roman"/>
          <w:lang w:val="sl-SI"/>
        </w:rPr>
        <w:t>V predvidenem kohortnem registru je bilo vključenih 257 žensk z revmatoidnim artritisom (RA) ali Crohnovo boleznijo (CB), zdravljenih z adalimumabom vsaj v prvem trimesečju nosečnosti, in 120 žensk z RA ali CB, ki niso bile zdravljene z adalimumabom. Primarni opazovani dogodek je bila prevalenca rojstev z večjimi okvarami ob rojstvu. Razmerje nosečnosti, ki so se končale vsaj z enim živorojenim otrokom z večjo okvaro ob rojstvu, je bilo 6/69 (8,7 %) pri nosečnicah, zdravljenih z adalimumabom z RA, in 5/74 (6,8 %) pri nezdravljenih nosečnicah z RA (neprilagojeno razmerje obetov 1.31, 95-% interval zaupanja 0.38–4.52), ter 16/152 (10,5 %) pri nosečnicah, zdravljenih z adalimumabom s CB, in 3/32 (9,4 %) pri nezdravljenih nosečnicah s CB (neprilagojeno razmerje obetov 1.14, 95-% interval zaupanja 0.31–4.16). Prilagojeno razmerje obetov (z ozirom na izhodiščne razlike) je bilo 1.10 (95-% interval zaupanja 0.45–2.73) za RA in CB skupaj. Ni bilo opaznih razlik med nosečnicami, zdravljenimi z adalimumabom in nezdravljenimi glede sekundarnih opazovanih dogodkov, kot so spontani splavi, manjši defekti ob rojstvu, prezgodnji porodi, porodna velikost in resne ali oportunistične okužbe, prav tako ni bilo opisanih mrtvorojenosti ali malignosti. Na interpretacijo podatkov lahko vplivajo metodološke omejitve raziskave, vključno z majhno velikostjo vzorca in nerandomizirano zasnovo raziskave.</w:t>
      </w:r>
    </w:p>
    <w:p w14:paraId="6F2DDEE9" w14:textId="77777777" w:rsidR="00616315" w:rsidRDefault="00616315" w:rsidP="00616315">
      <w:pPr>
        <w:spacing w:before="10" w:line="240" w:lineRule="exact"/>
        <w:rPr>
          <w:rFonts w:ascii="Times New Roman" w:hAnsi="Times New Roman" w:cs="Times New Roman"/>
          <w:lang w:val="sl-SI"/>
        </w:rPr>
      </w:pPr>
    </w:p>
    <w:p w14:paraId="4DCD7B58" w14:textId="77777777" w:rsidR="00616315" w:rsidRDefault="00616315" w:rsidP="00616315">
      <w:pPr>
        <w:pStyle w:val="a3"/>
        <w:rPr>
          <w:lang w:val="sl-SI"/>
        </w:rPr>
      </w:pPr>
      <w:r>
        <w:rPr>
          <w:rFonts w:eastAsia="Times New Roman"/>
          <w:spacing w:val="-2"/>
          <w:lang w:val="sl-SI"/>
        </w:rPr>
        <w:t>V študiji razvojne toksičnosti pri opicah ni bilo znakov maternalne toksičnosti, embriotoksičnosti ali teratogenosti. Predkliničnih podatkov o poporodni toksičnosti adalimumaba ni (glejte poglavje 5.3).</w:t>
      </w:r>
    </w:p>
    <w:p w14:paraId="5F01AB9E" w14:textId="77777777" w:rsidR="00616315" w:rsidRDefault="00616315" w:rsidP="00616315">
      <w:pPr>
        <w:spacing w:before="14" w:line="260" w:lineRule="exact"/>
        <w:rPr>
          <w:rFonts w:ascii="Times New Roman" w:hAnsi="Times New Roman" w:cs="Times New Roman"/>
          <w:lang w:val="sl-SI"/>
        </w:rPr>
      </w:pPr>
    </w:p>
    <w:p w14:paraId="5E21C5A2" w14:textId="77777777" w:rsidR="00616315" w:rsidRDefault="00616315" w:rsidP="00616315">
      <w:pPr>
        <w:pStyle w:val="a3"/>
        <w:rPr>
          <w:lang w:val="sl-SI"/>
        </w:rPr>
      </w:pPr>
      <w:r>
        <w:rPr>
          <w:rFonts w:eastAsia="Times New Roman"/>
          <w:lang w:val="sl-SI"/>
        </w:rPr>
        <w:t>Ker adalimumab zavira TNF</w:t>
      </w:r>
      <w:r>
        <w:rPr>
          <w:rFonts w:ascii="Symbol" w:eastAsia="Symbol" w:hAnsi="Symbol" w:cs="Symbol"/>
          <w:lang w:val="sl-SI"/>
        </w:rPr>
        <w:sym w:font="Symbol" w:char="F061"/>
      </w:r>
      <w:r>
        <w:rPr>
          <w:rFonts w:eastAsia="Times New Roman"/>
          <w:lang w:val="sl-SI"/>
        </w:rPr>
        <w:t>, bi njegova uporaba med nosečnostjo lahko okrnila normalne imunske odzive novorojenčka. Adalimumab se med nosečnostjo lahko uporablja samo, če je brez dvoma potrebno.</w:t>
      </w:r>
    </w:p>
    <w:p w14:paraId="50A7ADA5" w14:textId="77777777" w:rsidR="00616315" w:rsidRDefault="00616315" w:rsidP="00616315">
      <w:pPr>
        <w:spacing w:before="11" w:line="240" w:lineRule="exact"/>
        <w:rPr>
          <w:rFonts w:ascii="Times New Roman" w:hAnsi="Times New Roman" w:cs="Times New Roman"/>
          <w:lang w:val="sl-SI"/>
        </w:rPr>
      </w:pPr>
    </w:p>
    <w:p w14:paraId="4BBD6BF5" w14:textId="77777777" w:rsidR="00616315" w:rsidRDefault="00616315" w:rsidP="00616315">
      <w:pPr>
        <w:pStyle w:val="a3"/>
        <w:rPr>
          <w:lang w:val="sl-SI"/>
        </w:rPr>
      </w:pPr>
      <w:r>
        <w:rPr>
          <w:rFonts w:eastAsia="Times New Roman"/>
          <w:lang w:val="sl-SI"/>
        </w:rPr>
        <w:t>Adalimumab lahko prehaja skozi placento v serum dojenčkov, ki so jih rodile ženske, zdravljene z adalimumabom med nosečnostjo. Posledično je lahko tveganje za okužbe pri teh dojenčkih večje. Uporaba živih cepiv (npr. BCG cepiva) pri dojenčkih, ki so bili izpostavljeni adalimumabu in utero, ni priporočljiva 5 mesecev po zadnji injekciji adalimumaba, ki jo je mati prejela med nosečnostjo.</w:t>
      </w:r>
    </w:p>
    <w:p w14:paraId="3CE367C0" w14:textId="77777777" w:rsidR="00616315" w:rsidRDefault="00616315" w:rsidP="00616315">
      <w:pPr>
        <w:spacing w:before="13" w:line="240" w:lineRule="exact"/>
        <w:rPr>
          <w:rFonts w:ascii="Times New Roman" w:hAnsi="Times New Roman" w:cs="Times New Roman"/>
          <w:lang w:val="sl-SI"/>
        </w:rPr>
      </w:pPr>
    </w:p>
    <w:p w14:paraId="7B10111B" w14:textId="77777777" w:rsidR="00616315" w:rsidRDefault="00616315" w:rsidP="00616315">
      <w:pPr>
        <w:pStyle w:val="a3"/>
        <w:rPr>
          <w:u w:val="single"/>
          <w:lang w:val="sl-SI"/>
        </w:rPr>
      </w:pPr>
      <w:r>
        <w:rPr>
          <w:rFonts w:eastAsia="Times New Roman"/>
          <w:spacing w:val="-1"/>
          <w:u w:val="single" w:color="000000"/>
          <w:lang w:val="sl-SI"/>
        </w:rPr>
        <w:t>Dojenje</w:t>
      </w:r>
    </w:p>
    <w:p w14:paraId="326D2947" w14:textId="77777777" w:rsidR="00616315" w:rsidRDefault="00616315" w:rsidP="00616315">
      <w:pPr>
        <w:spacing w:before="1" w:line="180" w:lineRule="exact"/>
        <w:rPr>
          <w:rFonts w:ascii="Times New Roman" w:hAnsi="Times New Roman" w:cs="Times New Roman"/>
          <w:lang w:val="sl-SI"/>
        </w:rPr>
      </w:pPr>
    </w:p>
    <w:p w14:paraId="20D554FF" w14:textId="77777777" w:rsidR="00616315" w:rsidRDefault="00616315" w:rsidP="00616315">
      <w:pPr>
        <w:pStyle w:val="a3"/>
        <w:rPr>
          <w:lang w:val="sl-SI"/>
        </w:rPr>
      </w:pPr>
      <w:r>
        <w:rPr>
          <w:rFonts w:eastAsia="Times New Roman"/>
          <w:lang w:val="sl-SI"/>
        </w:rPr>
        <w:t>Omejeni podatki iz objavljene literature kažejo, da se adalimumab izloča v materino mleko v zelo nizkih koncentracijah, s prisotnostjo adalimumaba v človeškem mleku v koncentraciji 0,1 % do 1 % glede na materin serum. Pri peroralnem dajanju so imunoglobulini G podvrženi intestinalni proteolizi in imajo nizko biološko uporabnost. Ni pričakovanega učinka na dojene novorojenčke/dojenčke. Posledično se zdravilo Yuflyma lahko uporablja med dojenjem.</w:t>
      </w:r>
    </w:p>
    <w:p w14:paraId="332A8A10" w14:textId="57D4F975" w:rsidR="00616315" w:rsidRDefault="00616315" w:rsidP="00616315">
      <w:pPr>
        <w:spacing w:before="11" w:line="240" w:lineRule="exact"/>
        <w:rPr>
          <w:rFonts w:ascii="Times New Roman" w:hAnsi="Times New Roman" w:cs="Times New Roman"/>
          <w:lang w:val="sl-SI"/>
        </w:rPr>
      </w:pPr>
    </w:p>
    <w:p w14:paraId="01FF4FF9" w14:textId="77777777" w:rsidR="00616315" w:rsidRDefault="00616315" w:rsidP="00616315">
      <w:pPr>
        <w:pStyle w:val="a3"/>
        <w:rPr>
          <w:u w:val="single"/>
          <w:lang w:val="sl-SI"/>
        </w:rPr>
      </w:pPr>
      <w:r>
        <w:rPr>
          <w:rFonts w:eastAsia="Times New Roman"/>
          <w:u w:val="single" w:color="000000"/>
          <w:lang w:val="sl-SI"/>
        </w:rPr>
        <w:t>Plodnost</w:t>
      </w:r>
    </w:p>
    <w:p w14:paraId="3AABB3DD" w14:textId="77777777" w:rsidR="00616315" w:rsidRDefault="00616315" w:rsidP="00616315">
      <w:pPr>
        <w:spacing w:before="1" w:line="180" w:lineRule="exact"/>
        <w:rPr>
          <w:rFonts w:ascii="Times New Roman" w:hAnsi="Times New Roman" w:cs="Times New Roman"/>
          <w:lang w:val="sl-SI"/>
        </w:rPr>
      </w:pPr>
    </w:p>
    <w:p w14:paraId="681FE5CC" w14:textId="77777777" w:rsidR="00616315" w:rsidRDefault="00616315" w:rsidP="00616315">
      <w:pPr>
        <w:pStyle w:val="a3"/>
        <w:rPr>
          <w:lang w:val="sl-SI"/>
        </w:rPr>
      </w:pPr>
      <w:r>
        <w:rPr>
          <w:rFonts w:eastAsia="Times New Roman"/>
          <w:lang w:val="sl-SI"/>
        </w:rPr>
        <w:t>Predkliničnih podatkov o učinkih adalimumaba na plodnost ni na voljo.</w:t>
      </w:r>
    </w:p>
    <w:p w14:paraId="2ABFC303" w14:textId="77777777" w:rsidR="00616315" w:rsidRDefault="00616315" w:rsidP="00616315">
      <w:pPr>
        <w:spacing w:before="18" w:line="240" w:lineRule="exact"/>
        <w:rPr>
          <w:sz w:val="24"/>
          <w:szCs w:val="24"/>
          <w:lang w:val="sl-SI"/>
        </w:rPr>
      </w:pPr>
    </w:p>
    <w:p w14:paraId="19A92641" w14:textId="77777777" w:rsidR="00616315" w:rsidRDefault="00616315" w:rsidP="0030421B">
      <w:pPr>
        <w:widowControl/>
        <w:numPr>
          <w:ilvl w:val="1"/>
          <w:numId w:val="118"/>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Vpliv na sposobnost vožnje in upravljanja strojev</w:t>
      </w:r>
    </w:p>
    <w:p w14:paraId="092D4F21" w14:textId="77777777" w:rsidR="00616315" w:rsidRDefault="00616315" w:rsidP="00616315">
      <w:pPr>
        <w:spacing w:before="12" w:line="240" w:lineRule="exact"/>
        <w:rPr>
          <w:sz w:val="24"/>
          <w:szCs w:val="24"/>
          <w:lang w:val="sl-SI"/>
        </w:rPr>
      </w:pPr>
    </w:p>
    <w:p w14:paraId="2A414B5A" w14:textId="77777777" w:rsidR="00616315" w:rsidRDefault="00616315" w:rsidP="00616315">
      <w:pPr>
        <w:pStyle w:val="a3"/>
        <w:rPr>
          <w:lang w:val="sl-SI"/>
        </w:rPr>
      </w:pPr>
      <w:r>
        <w:rPr>
          <w:rFonts w:eastAsia="Times New Roman"/>
          <w:lang w:val="sl-SI"/>
        </w:rPr>
        <w:t>Zdravilo Yuflyma ima blag vpliv na sposobnost vožnje in upravljanja strojev. Po dajanju zdravila Yuflyma se lahko pojavita vrtoglavica in poslabšanje vida (glejte poglavje 4.8).</w:t>
      </w:r>
    </w:p>
    <w:p w14:paraId="25F49589" w14:textId="77777777" w:rsidR="00616315" w:rsidRDefault="00616315" w:rsidP="00616315">
      <w:pPr>
        <w:spacing w:before="15" w:line="240" w:lineRule="exact"/>
        <w:rPr>
          <w:sz w:val="24"/>
          <w:szCs w:val="24"/>
          <w:lang w:val="sl-SI"/>
        </w:rPr>
      </w:pPr>
    </w:p>
    <w:p w14:paraId="33197A71" w14:textId="77777777" w:rsidR="00616315" w:rsidRDefault="00616315" w:rsidP="0030421B">
      <w:pPr>
        <w:widowControl/>
        <w:numPr>
          <w:ilvl w:val="1"/>
          <w:numId w:val="118"/>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Neželeni učinki</w:t>
      </w:r>
    </w:p>
    <w:p w14:paraId="737B1A70" w14:textId="77777777" w:rsidR="00616315" w:rsidRDefault="00616315" w:rsidP="00616315">
      <w:pPr>
        <w:spacing w:before="9" w:line="240" w:lineRule="exact"/>
        <w:rPr>
          <w:sz w:val="24"/>
          <w:szCs w:val="24"/>
          <w:lang w:val="sl-SI"/>
        </w:rPr>
      </w:pPr>
    </w:p>
    <w:p w14:paraId="54B22F46" w14:textId="77777777" w:rsidR="00616315" w:rsidRDefault="00616315" w:rsidP="00616315">
      <w:pPr>
        <w:pStyle w:val="a3"/>
        <w:rPr>
          <w:u w:val="single"/>
          <w:lang w:val="sl-SI"/>
        </w:rPr>
      </w:pPr>
      <w:r>
        <w:rPr>
          <w:rFonts w:eastAsia="Times New Roman"/>
          <w:u w:val="single" w:color="000000"/>
          <w:lang w:val="sl-SI"/>
        </w:rPr>
        <w:t>Povzetek varnostnega profila</w:t>
      </w:r>
    </w:p>
    <w:p w14:paraId="52CC828B" w14:textId="77777777" w:rsidR="00616315" w:rsidRDefault="00616315" w:rsidP="00616315">
      <w:pPr>
        <w:spacing w:before="1" w:line="180" w:lineRule="exact"/>
        <w:rPr>
          <w:sz w:val="18"/>
          <w:szCs w:val="18"/>
          <w:lang w:val="sl-SI"/>
        </w:rPr>
      </w:pPr>
    </w:p>
    <w:p w14:paraId="0AB900D7" w14:textId="77777777" w:rsidR="00616315" w:rsidRDefault="00616315" w:rsidP="00616315">
      <w:pPr>
        <w:pStyle w:val="a3"/>
        <w:rPr>
          <w:lang w:val="sl-SI"/>
        </w:rPr>
      </w:pPr>
      <w:r>
        <w:rPr>
          <w:rFonts w:eastAsia="Times New Roman"/>
          <w:lang w:val="sl-SI"/>
        </w:rPr>
        <w:t>Adalimumab so raziskovali pri 9.506 bolnikih v ključnih kontroliranih in odprtih preskušanjih, ki so trajala do 60 mesecev ali več. Ta preskušanja so vključevala bolnike z revmatoidnim artritisom s kratkotrajno in dolgotrajno boleznijo, juvenilnim idiopatskim artritisom (poliartikularnim juvenilnim idiopatskim artritisom in artritisom, povezanim z entezitisom) ter aksialnim spondiloartritisom (ankilozirajočim spondilitisom in aksialnim spondiloartritisom brez radiografskega dokaza za AS), psoriatičnim artritisom, Crohnovo bolezen, ulceroznim kolitisom, luskavico, hidradenitisom suppurativa in uveitisom. Ključne nadzorovane študije so vključevale 6089 bolnikov, ki so med kontroliranim obdobjem prejemali adalimumab, in 3801 bolnikov, ki so v tem obdobju prejemali placebo ali primerjalno učinkovino.</w:t>
      </w:r>
    </w:p>
    <w:p w14:paraId="7661F29F" w14:textId="77777777" w:rsidR="00616315" w:rsidRDefault="00616315" w:rsidP="00616315">
      <w:pPr>
        <w:spacing w:before="13" w:line="240" w:lineRule="exact"/>
        <w:rPr>
          <w:sz w:val="24"/>
          <w:szCs w:val="24"/>
          <w:lang w:val="sl-SI"/>
        </w:rPr>
      </w:pPr>
    </w:p>
    <w:p w14:paraId="26A5B8A5" w14:textId="77777777" w:rsidR="00616315" w:rsidRDefault="00616315" w:rsidP="00616315">
      <w:pPr>
        <w:pStyle w:val="a3"/>
        <w:rPr>
          <w:lang w:val="sl-SI"/>
        </w:rPr>
      </w:pPr>
      <w:r>
        <w:rPr>
          <w:rFonts w:eastAsia="Times New Roman"/>
          <w:lang w:val="sl-SI"/>
        </w:rPr>
        <w:t>Delež bolnikov, ki so zdravljenje prekinili zaradi neželenih učinkov med dvojno slepim, nadzorovanim delom ključnih študij, je bil 5,9 % pri bolnikih, ki so prejemali adalimumab, in 5,4 % v kontrolni skupini.</w:t>
      </w:r>
    </w:p>
    <w:p w14:paraId="3EA96796" w14:textId="77777777" w:rsidR="00616315" w:rsidRDefault="00616315" w:rsidP="00616315">
      <w:pPr>
        <w:spacing w:before="17" w:line="240" w:lineRule="exact"/>
        <w:rPr>
          <w:sz w:val="24"/>
          <w:szCs w:val="24"/>
          <w:lang w:val="sl-SI"/>
        </w:rPr>
      </w:pPr>
    </w:p>
    <w:p w14:paraId="03F7B093" w14:textId="77777777" w:rsidR="00616315" w:rsidRDefault="00616315" w:rsidP="00616315">
      <w:pPr>
        <w:pStyle w:val="a3"/>
        <w:rPr>
          <w:lang w:val="sl-SI"/>
        </w:rPr>
      </w:pPr>
      <w:r>
        <w:rPr>
          <w:rFonts w:eastAsia="Times New Roman"/>
          <w:lang w:val="sl-SI"/>
        </w:rPr>
        <w:t>Najpogosteje opisani neželeni učinki so okužbe (kot so nazofaringitis, okužba zgornjih dihal in sinusitis), reakcije na mestu injiciranja (eritem, srbenje, hemoragija, bolečina ali oteklina), glavobol in mišično-skeletne bolečine.</w:t>
      </w:r>
    </w:p>
    <w:p w14:paraId="503DAB07" w14:textId="77777777" w:rsidR="00616315" w:rsidRDefault="00616315" w:rsidP="00616315">
      <w:pPr>
        <w:pStyle w:val="a3"/>
        <w:rPr>
          <w:lang w:val="sl-SI"/>
        </w:rPr>
      </w:pPr>
    </w:p>
    <w:p w14:paraId="68D70B26" w14:textId="77777777" w:rsidR="00616315" w:rsidRDefault="00616315" w:rsidP="00616315">
      <w:pPr>
        <w:pStyle w:val="a3"/>
        <w:rPr>
          <w:lang w:val="sl-SI"/>
        </w:rPr>
      </w:pPr>
      <w:r>
        <w:rPr>
          <w:rFonts w:eastAsia="Times New Roman"/>
          <w:lang w:val="sl-SI"/>
        </w:rPr>
        <w:t>Poročali so tudi o resnih neželenih učinkih v zvezi z adalimumabom. Antagonisti TNF, kot je adalimumab, prizadenejo imunski sistem in njihova uporaba lahko vpliva na obrambo telesa proti okužbi in raku.</w:t>
      </w:r>
    </w:p>
    <w:p w14:paraId="1CD3A851" w14:textId="77777777" w:rsidR="00616315" w:rsidRDefault="00616315" w:rsidP="00616315">
      <w:pPr>
        <w:pStyle w:val="a3"/>
        <w:rPr>
          <w:lang w:val="sl-SI"/>
        </w:rPr>
      </w:pPr>
      <w:r>
        <w:rPr>
          <w:rFonts w:eastAsia="Times New Roman"/>
          <w:lang w:val="sl-SI"/>
        </w:rPr>
        <w:t>Pri uporabi adalimumaba so poročali tudi o smrtnih in življenjsko nevarnih okužbah (vključno s sepso, oportunističnimi okužbami in TB), HBV reaktivaciji in različnih malignih obolenjih (vključno z levkemijo, limfomom in HSTCL).</w:t>
      </w:r>
    </w:p>
    <w:p w14:paraId="7EECFA66" w14:textId="77777777" w:rsidR="00616315" w:rsidRDefault="00616315" w:rsidP="00616315">
      <w:pPr>
        <w:spacing w:before="17" w:line="240" w:lineRule="exact"/>
        <w:rPr>
          <w:sz w:val="24"/>
          <w:szCs w:val="24"/>
          <w:lang w:val="sl-SI"/>
        </w:rPr>
      </w:pPr>
    </w:p>
    <w:p w14:paraId="644F0620" w14:textId="77777777" w:rsidR="00616315" w:rsidRDefault="00616315" w:rsidP="00616315">
      <w:pPr>
        <w:pStyle w:val="a3"/>
        <w:rPr>
          <w:lang w:val="sl-SI"/>
        </w:rPr>
      </w:pPr>
      <w:r>
        <w:rPr>
          <w:rFonts w:eastAsia="Times New Roman"/>
          <w:lang w:val="sl-SI"/>
        </w:rPr>
        <w:lastRenderedPageBreak/>
        <w:t>Poročali so tudi o resnih hematoloških, nevroloških in avtoimunskih reakcijah. To vključuje redka poročila o pancitopeniji, aplastični anemiji, centralnih in perifernih demielinizacijskih dogodkih in poročila o lupusu, z lupusom povezanimi stanji in sindromom Stevens-Johnson.</w:t>
      </w:r>
    </w:p>
    <w:p w14:paraId="46AAE931" w14:textId="77777777" w:rsidR="00616315" w:rsidRDefault="00616315" w:rsidP="00616315">
      <w:pPr>
        <w:spacing w:before="11" w:line="240" w:lineRule="exact"/>
        <w:rPr>
          <w:sz w:val="24"/>
          <w:szCs w:val="24"/>
          <w:lang w:val="sl-SI"/>
        </w:rPr>
      </w:pPr>
    </w:p>
    <w:p w14:paraId="25C0E866" w14:textId="77777777" w:rsidR="00616315" w:rsidRDefault="00616315" w:rsidP="00616315">
      <w:pPr>
        <w:pStyle w:val="a3"/>
        <w:rPr>
          <w:u w:val="single"/>
          <w:lang w:val="sl-SI"/>
        </w:rPr>
      </w:pPr>
      <w:r>
        <w:rPr>
          <w:rFonts w:eastAsia="Times New Roman"/>
          <w:u w:val="single" w:color="000000"/>
          <w:lang w:val="sl-SI"/>
        </w:rPr>
        <w:t>Pediatrična populacija</w:t>
      </w:r>
    </w:p>
    <w:p w14:paraId="74A06499" w14:textId="77777777" w:rsidR="00616315" w:rsidRDefault="00616315" w:rsidP="00616315">
      <w:pPr>
        <w:spacing w:before="1" w:line="180" w:lineRule="exact"/>
        <w:rPr>
          <w:sz w:val="18"/>
          <w:szCs w:val="18"/>
          <w:lang w:val="sl-SI"/>
        </w:rPr>
      </w:pPr>
    </w:p>
    <w:p w14:paraId="48402FBA" w14:textId="77777777" w:rsidR="00616315" w:rsidRDefault="00616315" w:rsidP="00616315">
      <w:pPr>
        <w:pStyle w:val="a3"/>
        <w:rPr>
          <w:lang w:val="sl-SI"/>
        </w:rPr>
      </w:pPr>
      <w:r>
        <w:rPr>
          <w:rFonts w:eastAsia="Times New Roman"/>
          <w:lang w:val="sl-SI"/>
        </w:rPr>
        <w:t>Na splošno so bili neželeni učinki pri pediatričnih bolnikih po pogostnosti in vrsti podobni neželenim učinkom, ki so jih opazili pri odraslih bolnikih.</w:t>
      </w:r>
    </w:p>
    <w:p w14:paraId="6173CD02" w14:textId="77777777" w:rsidR="00616315" w:rsidRDefault="00616315" w:rsidP="00616315">
      <w:pPr>
        <w:spacing w:before="11" w:line="240" w:lineRule="exact"/>
        <w:rPr>
          <w:sz w:val="24"/>
          <w:szCs w:val="24"/>
          <w:lang w:val="sl-SI"/>
        </w:rPr>
      </w:pPr>
    </w:p>
    <w:p w14:paraId="328CA8C8" w14:textId="77777777" w:rsidR="00616315" w:rsidRDefault="00616315" w:rsidP="00616315">
      <w:pPr>
        <w:pStyle w:val="a3"/>
        <w:rPr>
          <w:u w:val="single"/>
          <w:lang w:val="sl-SI"/>
        </w:rPr>
      </w:pPr>
      <w:r>
        <w:rPr>
          <w:rFonts w:eastAsia="Times New Roman"/>
          <w:u w:val="single" w:color="000000"/>
          <w:lang w:val="sl-SI"/>
        </w:rPr>
        <w:t>Seznam neželenih učinkov v preglednici</w:t>
      </w:r>
    </w:p>
    <w:p w14:paraId="5933DF70" w14:textId="77777777" w:rsidR="00616315" w:rsidRDefault="00616315" w:rsidP="00616315">
      <w:pPr>
        <w:spacing w:before="1" w:line="180" w:lineRule="exact"/>
        <w:rPr>
          <w:sz w:val="18"/>
          <w:szCs w:val="18"/>
          <w:lang w:val="sl-SI"/>
        </w:rPr>
      </w:pPr>
    </w:p>
    <w:p w14:paraId="360FC346" w14:textId="7F7F053A" w:rsidR="00616315" w:rsidRDefault="00616315" w:rsidP="00616315">
      <w:pPr>
        <w:pStyle w:val="a3"/>
        <w:rPr>
          <w:lang w:val="sl-SI"/>
        </w:rPr>
      </w:pPr>
      <w:r>
        <w:rPr>
          <w:rFonts w:eastAsia="Times New Roman"/>
          <w:lang w:val="sl-SI"/>
        </w:rPr>
        <w:t>Naslednji seznam neželenih učinkov temelji na izkušnjah iz kliničnih preskušanj in izkušnjah v obdobju trženja ter je prikazan spodaj v preglednici </w:t>
      </w:r>
      <w:r w:rsidR="00FC3B95">
        <w:rPr>
          <w:rFonts w:eastAsia="Times New Roman"/>
          <w:lang w:val="sl-SI"/>
        </w:rPr>
        <w:t>4</w:t>
      </w:r>
      <w:r>
        <w:rPr>
          <w:rFonts w:eastAsia="Times New Roman"/>
          <w:lang w:val="sl-SI"/>
        </w:rPr>
        <w:t xml:space="preserve"> glede na organske sisteme in pogostnost: zelo pogosti</w:t>
      </w:r>
    </w:p>
    <w:p w14:paraId="15C32A60" w14:textId="77777777" w:rsidR="00616315" w:rsidRDefault="00616315" w:rsidP="00616315">
      <w:pPr>
        <w:pStyle w:val="a3"/>
        <w:rPr>
          <w:lang w:val="sl-SI"/>
        </w:rPr>
      </w:pPr>
      <w:r>
        <w:rPr>
          <w:rFonts w:eastAsia="Times New Roman"/>
          <w:lang w:val="sl-SI"/>
        </w:rPr>
        <w:t>(</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1/10); pogosti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1/100 do &lt; 1/10); občasni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1/1.000 do &lt; 1/100); redki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1/10.000 do &lt; 1/1.000) in neznana pogostnost (ni mogoče oceniti iz razpoložljivih podatkov). V razvrstitvah pogostnosti so neželeni učinki navedeni po padajoči resnosti. Vključena je bila največja pogostnost, ki je bila opažena med različnimi indikacijami. V stolpcu Organski sistem je zvezdica (*), če so v zvezi s tem vključene dodatne informacije v poglavjih 4.3, 4.4 in 4.8.</w:t>
      </w:r>
    </w:p>
    <w:p w14:paraId="01AB641C" w14:textId="77777777" w:rsidR="00A56057" w:rsidRDefault="00A56057" w:rsidP="00616315">
      <w:pPr>
        <w:spacing w:before="15" w:line="240" w:lineRule="exact"/>
        <w:rPr>
          <w:sz w:val="24"/>
          <w:szCs w:val="24"/>
          <w:lang w:val="sl-SI"/>
        </w:rPr>
      </w:pPr>
    </w:p>
    <w:p w14:paraId="7D6A4FBB" w14:textId="441B26AA" w:rsidR="00616315" w:rsidRDefault="00616315" w:rsidP="00616315">
      <w:pPr>
        <w:pStyle w:val="a3"/>
        <w:jc w:val="center"/>
        <w:rPr>
          <w:b/>
          <w:lang w:val="sl-SI"/>
        </w:rPr>
      </w:pPr>
      <w:r>
        <w:rPr>
          <w:rFonts w:eastAsia="Times New Roman"/>
          <w:b/>
          <w:bCs/>
          <w:lang w:val="sl-SI"/>
        </w:rPr>
        <w:t>Preglednica </w:t>
      </w:r>
      <w:r w:rsidR="00FC3B95">
        <w:rPr>
          <w:rFonts w:eastAsia="Times New Roman"/>
          <w:b/>
          <w:bCs/>
          <w:lang w:val="sl-SI"/>
        </w:rPr>
        <w:t xml:space="preserve">4 </w:t>
      </w:r>
      <w:r>
        <w:rPr>
          <w:rFonts w:eastAsia="Times New Roman"/>
          <w:b/>
          <w:bCs/>
          <w:lang w:val="sl-SI"/>
        </w:rPr>
        <w:t>Neželeni učinki</w:t>
      </w:r>
    </w:p>
    <w:p w14:paraId="7281C07A" w14:textId="77777777" w:rsidR="00616315" w:rsidRDefault="00616315" w:rsidP="00616315">
      <w:pPr>
        <w:spacing w:before="10" w:line="240" w:lineRule="exact"/>
        <w:rPr>
          <w:sz w:val="24"/>
          <w:szCs w:val="24"/>
          <w:lang w:val="sl-SI"/>
        </w:rPr>
      </w:pPr>
    </w:p>
    <w:tbl>
      <w:tblPr>
        <w:tblStyle w:val="TableNormal1"/>
        <w:tblW w:w="0" w:type="auto"/>
        <w:tblInd w:w="110" w:type="dxa"/>
        <w:tblLayout w:type="fixed"/>
        <w:tblLook w:val="01E0" w:firstRow="1" w:lastRow="1" w:firstColumn="1" w:lastColumn="1" w:noHBand="0" w:noVBand="0"/>
      </w:tblPr>
      <w:tblGrid>
        <w:gridCol w:w="2599"/>
        <w:gridCol w:w="2076"/>
        <w:gridCol w:w="4574"/>
      </w:tblGrid>
      <w:tr w:rsidR="00616315" w:rsidRPr="00652F18" w14:paraId="46C19566" w14:textId="77777777" w:rsidTr="00433A4B">
        <w:tc>
          <w:tcPr>
            <w:tcW w:w="2599" w:type="dxa"/>
            <w:tcBorders>
              <w:top w:val="single" w:sz="5" w:space="0" w:color="000000"/>
              <w:left w:val="single" w:sz="5" w:space="0" w:color="000000"/>
              <w:bottom w:val="single" w:sz="5" w:space="0" w:color="000000"/>
              <w:right w:val="single" w:sz="5" w:space="0" w:color="000000"/>
            </w:tcBorders>
            <w:vAlign w:val="center"/>
          </w:tcPr>
          <w:p w14:paraId="76C1F8C9" w14:textId="77777777" w:rsidR="00616315" w:rsidRDefault="00616315" w:rsidP="00433A4B">
            <w:pPr>
              <w:pStyle w:val="TableParagraph"/>
              <w:ind w:left="22"/>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Organski sistem</w:t>
            </w:r>
          </w:p>
        </w:tc>
        <w:tc>
          <w:tcPr>
            <w:tcW w:w="2076" w:type="dxa"/>
            <w:tcBorders>
              <w:top w:val="single" w:sz="5" w:space="0" w:color="000000"/>
              <w:left w:val="single" w:sz="5" w:space="0" w:color="000000"/>
              <w:bottom w:val="single" w:sz="5" w:space="0" w:color="000000"/>
              <w:right w:val="single" w:sz="5" w:space="0" w:color="000000"/>
            </w:tcBorders>
            <w:vAlign w:val="center"/>
          </w:tcPr>
          <w:p w14:paraId="0A722997"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lang w:val="sl-SI"/>
              </w:rPr>
              <w:t>Pogostnost</w:t>
            </w:r>
          </w:p>
        </w:tc>
        <w:tc>
          <w:tcPr>
            <w:tcW w:w="4574" w:type="dxa"/>
            <w:tcBorders>
              <w:top w:val="single" w:sz="5" w:space="0" w:color="000000"/>
              <w:left w:val="single" w:sz="5" w:space="0" w:color="000000"/>
              <w:bottom w:val="single" w:sz="5" w:space="0" w:color="000000"/>
              <w:right w:val="single" w:sz="5" w:space="0" w:color="000000"/>
            </w:tcBorders>
            <w:vAlign w:val="center"/>
          </w:tcPr>
          <w:p w14:paraId="58B22EFD"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Neželeni učinek</w:t>
            </w:r>
          </w:p>
        </w:tc>
      </w:tr>
      <w:tr w:rsidR="00616315" w:rsidRPr="00652F18" w14:paraId="621B639B" w14:textId="77777777" w:rsidTr="00433A4B">
        <w:tc>
          <w:tcPr>
            <w:tcW w:w="2599" w:type="dxa"/>
            <w:vMerge w:val="restart"/>
            <w:tcBorders>
              <w:top w:val="single" w:sz="5" w:space="0" w:color="000000"/>
              <w:left w:val="single" w:sz="5" w:space="0" w:color="000000"/>
              <w:right w:val="single" w:sz="5" w:space="0" w:color="000000"/>
            </w:tcBorders>
          </w:tcPr>
          <w:p w14:paraId="0B8D3CB4" w14:textId="77777777" w:rsidR="00616315" w:rsidRDefault="00616315" w:rsidP="00433A4B">
            <w:pPr>
              <w:pStyle w:val="TableParagraph"/>
              <w:ind w:left="102" w:right="155"/>
              <w:rPr>
                <w:rFonts w:ascii="Times New Roman" w:eastAsia="Times New Roman" w:hAnsi="Times New Roman" w:cs="Times New Roman"/>
                <w:lang w:val="sl-SI"/>
              </w:rPr>
            </w:pPr>
            <w:r>
              <w:rPr>
                <w:rFonts w:ascii="Times New Roman" w:eastAsia="Times New Roman" w:hAnsi="Times New Roman" w:cs="Times New Roman"/>
                <w:spacing w:val="-1"/>
                <w:lang w:val="sl-SI"/>
              </w:rPr>
              <w:t>Infekcijske in parazitske bolezni</w:t>
            </w:r>
            <w:r w:rsidRPr="000B07F9">
              <w:rPr>
                <w:rFonts w:ascii="Times New Roman" w:eastAsia="Times New Roman" w:hAnsi="Times New Roman" w:cs="Times New Roman"/>
                <w:spacing w:val="-1"/>
              </w:rPr>
              <w:t>*</w:t>
            </w:r>
          </w:p>
        </w:tc>
        <w:tc>
          <w:tcPr>
            <w:tcW w:w="2076" w:type="dxa"/>
            <w:tcBorders>
              <w:top w:val="single" w:sz="5" w:space="0" w:color="000000"/>
              <w:left w:val="single" w:sz="5" w:space="0" w:color="000000"/>
              <w:bottom w:val="single" w:sz="5" w:space="0" w:color="000000"/>
              <w:right w:val="single" w:sz="5" w:space="0" w:color="000000"/>
            </w:tcBorders>
          </w:tcPr>
          <w:p w14:paraId="445E8647"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7952372B"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okužbe dihal (vključno z okužbo spodnjih in zgornjih dihal, pljučnico, sinusitisom, faringitisom, nazofaringitisom in pljučnim virusnim herpesom)</w:t>
            </w:r>
          </w:p>
        </w:tc>
      </w:tr>
      <w:tr w:rsidR="00616315" w14:paraId="29F9C21C" w14:textId="77777777" w:rsidTr="00433A4B">
        <w:tc>
          <w:tcPr>
            <w:tcW w:w="2599" w:type="dxa"/>
            <w:vMerge/>
            <w:tcBorders>
              <w:left w:val="single" w:sz="5" w:space="0" w:color="000000"/>
              <w:right w:val="single" w:sz="5" w:space="0" w:color="000000"/>
            </w:tcBorders>
          </w:tcPr>
          <w:p w14:paraId="4FC91C3B"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714CE4FD"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2DF9AAC8"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sistemske okužbe (vključno s sepso, kandidozo in gripo),</w:t>
            </w:r>
          </w:p>
          <w:p w14:paraId="5E1991A6"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črevesne okužbe (vključno z virusnim gastroenteritisom),</w:t>
            </w:r>
          </w:p>
          <w:p w14:paraId="15F562BA"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okužbe kože in mehkega tkiva (vključno s</w:t>
            </w:r>
          </w:p>
          <w:p w14:paraId="01D92FBF"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paronihijo, celulitisom, impetigom, nekrotizirajočim fasciitisom in herpes zostrom),</w:t>
            </w:r>
          </w:p>
          <w:p w14:paraId="04097261"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okužbe ušes,</w:t>
            </w:r>
          </w:p>
          <w:p w14:paraId="7975AB5C"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okužbe ustne votline (vključno z herpes simpleksom, ustnim herpesom in okužbami zob),</w:t>
            </w:r>
          </w:p>
          <w:p w14:paraId="323BDB21" w14:textId="77777777" w:rsidR="00616315" w:rsidRDefault="00616315" w:rsidP="00433A4B">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okužbe rodil (vključno z vulvovaginalno mikotično okužbo), </w:t>
            </w:r>
          </w:p>
          <w:p w14:paraId="3D524F24"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okužbe sečil (vključno s pielonefritisom),</w:t>
            </w:r>
          </w:p>
          <w:p w14:paraId="19B2DCDD"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 xml:space="preserve">glivične okužbe, </w:t>
            </w:r>
          </w:p>
          <w:p w14:paraId="7DCFDA61"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okužbe sklepov</w:t>
            </w:r>
          </w:p>
        </w:tc>
      </w:tr>
      <w:tr w:rsidR="00616315" w:rsidRPr="00797234" w14:paraId="537C1970" w14:textId="77777777" w:rsidTr="00433A4B">
        <w:tc>
          <w:tcPr>
            <w:tcW w:w="2599" w:type="dxa"/>
            <w:vMerge/>
            <w:tcBorders>
              <w:left w:val="single" w:sz="5" w:space="0" w:color="000000"/>
              <w:bottom w:val="single" w:sz="5" w:space="0" w:color="000000"/>
              <w:right w:val="single" w:sz="5" w:space="0" w:color="000000"/>
            </w:tcBorders>
          </w:tcPr>
          <w:p w14:paraId="6D988436"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F14F5DE"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32290F01"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nevrološke okužbe (vključno s virusnim </w:t>
            </w:r>
            <w:r>
              <w:rPr>
                <w:rFonts w:ascii="Times New Roman" w:eastAsia="Times New Roman" w:hAnsi="Times New Roman" w:cs="Times New Roman"/>
                <w:lang w:val="sl-SI"/>
              </w:rPr>
              <w:t>meningitisom),</w:t>
            </w:r>
          </w:p>
          <w:p w14:paraId="6C316C88" w14:textId="77777777" w:rsidR="00616315" w:rsidRDefault="00616315" w:rsidP="00433A4B">
            <w:pPr>
              <w:pStyle w:val="TableParagraph"/>
              <w:ind w:left="99" w:right="235"/>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oportunistične okužbe in tuberkuloza (vključno s kokcidioidomikozo, histoplazmozo in kompleksno okužbo z Mycobacterium avium), bakterijske okužbe, </w:t>
            </w:r>
          </w:p>
          <w:p w14:paraId="3F1D8F13" w14:textId="77777777" w:rsidR="00616315" w:rsidRDefault="00616315" w:rsidP="00433A4B">
            <w:pPr>
              <w:pStyle w:val="TableParagraph"/>
              <w:ind w:left="99" w:right="235"/>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okužbe oči, </w:t>
            </w:r>
          </w:p>
          <w:p w14:paraId="6C069481" w14:textId="77777777" w:rsidR="00616315" w:rsidRDefault="00616315" w:rsidP="00433A4B">
            <w:pPr>
              <w:pStyle w:val="TableParagraph"/>
              <w:ind w:left="99" w:right="235"/>
              <w:rPr>
                <w:rFonts w:ascii="Times New Roman" w:eastAsia="Times New Roman" w:hAnsi="Times New Roman" w:cs="Times New Roman"/>
                <w:lang w:val="sl-SI"/>
              </w:rPr>
            </w:pPr>
            <w:r>
              <w:rPr>
                <w:rFonts w:ascii="Times New Roman" w:eastAsia="Times New Roman" w:hAnsi="Times New Roman" w:cs="Times New Roman"/>
                <w:spacing w:val="-1"/>
                <w:lang w:val="sl-SI"/>
              </w:rPr>
              <w:t>divertikulitis</w:t>
            </w:r>
            <w:r>
              <w:rPr>
                <w:rFonts w:ascii="Times New Roman" w:eastAsia="Times New Roman" w:hAnsi="Times New Roman" w:cs="Times New Roman"/>
                <w:spacing w:val="-1"/>
                <w:vertAlign w:val="superscript"/>
                <w:lang w:val="sl-SI"/>
              </w:rPr>
              <w:t>1)</w:t>
            </w:r>
          </w:p>
        </w:tc>
      </w:tr>
      <w:tr w:rsidR="00616315" w:rsidRPr="00797234" w14:paraId="208C0BAE" w14:textId="77777777" w:rsidTr="00433A4B">
        <w:tc>
          <w:tcPr>
            <w:tcW w:w="2599" w:type="dxa"/>
            <w:vMerge w:val="restart"/>
            <w:tcBorders>
              <w:top w:val="single" w:sz="5" w:space="0" w:color="000000"/>
              <w:left w:val="single" w:sz="5" w:space="0" w:color="000000"/>
              <w:right w:val="single" w:sz="5" w:space="0" w:color="000000"/>
            </w:tcBorders>
          </w:tcPr>
          <w:p w14:paraId="5AE8D233" w14:textId="77777777" w:rsidR="00616315" w:rsidRDefault="00616315" w:rsidP="00433A4B">
            <w:pPr>
              <w:pStyle w:val="TableParagraph"/>
              <w:ind w:left="102" w:right="11"/>
              <w:rPr>
                <w:rFonts w:ascii="Times New Roman" w:eastAsia="Times New Roman" w:hAnsi="Times New Roman" w:cs="Times New Roman"/>
                <w:lang w:val="sl-SI"/>
              </w:rPr>
            </w:pPr>
            <w:r>
              <w:rPr>
                <w:rFonts w:ascii="Times New Roman" w:eastAsia="Times New Roman" w:hAnsi="Times New Roman" w:cs="Times New Roman"/>
                <w:spacing w:val="-1"/>
                <w:lang w:val="sl-SI"/>
              </w:rPr>
              <w:t>Benigne, maligne in neopredeljene novotvorbe (vključno s cistami in polipi)*</w:t>
            </w:r>
          </w:p>
        </w:tc>
        <w:tc>
          <w:tcPr>
            <w:tcW w:w="2076" w:type="dxa"/>
            <w:tcBorders>
              <w:top w:val="single" w:sz="5" w:space="0" w:color="000000"/>
              <w:left w:val="single" w:sz="5" w:space="0" w:color="000000"/>
              <w:bottom w:val="single" w:sz="5" w:space="0" w:color="000000"/>
              <w:right w:val="single" w:sz="5" w:space="0" w:color="000000"/>
            </w:tcBorders>
          </w:tcPr>
          <w:p w14:paraId="30D4D9AD"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70AF91F1" w14:textId="77777777" w:rsidR="00616315" w:rsidRDefault="00616315" w:rsidP="00433A4B">
            <w:pPr>
              <w:pStyle w:val="TableParagraph"/>
              <w:ind w:left="99" w:right="18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rak kože, </w:t>
            </w:r>
          </w:p>
          <w:p w14:paraId="1A7ED16D" w14:textId="77777777" w:rsidR="00616315" w:rsidRDefault="00616315" w:rsidP="00433A4B">
            <w:pPr>
              <w:pStyle w:val="TableParagraph"/>
              <w:ind w:left="99" w:right="18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ki ne vključuje malignega melanoma (vključno z bazalnoceličnim karcinomom in ploščatoceličnim karcinomom), </w:t>
            </w:r>
          </w:p>
          <w:p w14:paraId="0E34F447" w14:textId="77777777" w:rsidR="00616315" w:rsidRDefault="00616315" w:rsidP="00433A4B">
            <w:pPr>
              <w:pStyle w:val="TableParagraph"/>
              <w:ind w:left="99" w:right="187"/>
              <w:rPr>
                <w:rFonts w:ascii="Times New Roman" w:eastAsia="Times New Roman" w:hAnsi="Times New Roman" w:cs="Times New Roman"/>
                <w:lang w:val="sl-SI"/>
              </w:rPr>
            </w:pPr>
            <w:r>
              <w:rPr>
                <w:rFonts w:ascii="Times New Roman" w:eastAsia="Times New Roman" w:hAnsi="Times New Roman" w:cs="Times New Roman"/>
                <w:spacing w:val="-1"/>
                <w:lang w:val="sl-SI"/>
              </w:rPr>
              <w:t>benigne novotvorbe,</w:t>
            </w:r>
          </w:p>
        </w:tc>
      </w:tr>
      <w:tr w:rsidR="00616315" w14:paraId="6745C38D" w14:textId="77777777" w:rsidTr="00433A4B">
        <w:tc>
          <w:tcPr>
            <w:tcW w:w="2599" w:type="dxa"/>
            <w:vMerge/>
            <w:tcBorders>
              <w:left w:val="single" w:sz="5" w:space="0" w:color="000000"/>
              <w:right w:val="single" w:sz="5" w:space="0" w:color="000000"/>
            </w:tcBorders>
          </w:tcPr>
          <w:p w14:paraId="37A8DB6B"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63F65D1A"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7D5EA85A"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limfom**,</w:t>
            </w:r>
          </w:p>
          <w:p w14:paraId="336D72D7" w14:textId="77777777" w:rsidR="00616315" w:rsidRDefault="00616315" w:rsidP="00433A4B">
            <w:pPr>
              <w:pStyle w:val="TableParagraph"/>
              <w:ind w:left="99" w:right="244"/>
              <w:rPr>
                <w:rFonts w:ascii="Times New Roman" w:eastAsia="Times New Roman" w:hAnsi="Times New Roman" w:cs="Times New Roman"/>
                <w:lang w:val="sl-SI"/>
              </w:rPr>
            </w:pPr>
            <w:r>
              <w:rPr>
                <w:rFonts w:ascii="Times New Roman" w:eastAsia="Times New Roman" w:hAnsi="Times New Roman" w:cs="Times New Roman"/>
                <w:spacing w:val="-1"/>
                <w:lang w:val="sl-SI"/>
              </w:rPr>
              <w:lastRenderedPageBreak/>
              <w:t>tumorji parenhimskih organov (vključno s rakom dojk, tumorjem pljuč in tumorjem ščitnice),</w:t>
            </w:r>
          </w:p>
          <w:p w14:paraId="08DB7C8C"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melanom**</w:t>
            </w:r>
          </w:p>
        </w:tc>
      </w:tr>
      <w:tr w:rsidR="00616315" w14:paraId="3341834C" w14:textId="77777777" w:rsidTr="00433A4B">
        <w:tc>
          <w:tcPr>
            <w:tcW w:w="2599" w:type="dxa"/>
            <w:vMerge/>
            <w:tcBorders>
              <w:left w:val="single" w:sz="5" w:space="0" w:color="000000"/>
              <w:right w:val="single" w:sz="5" w:space="0" w:color="000000"/>
            </w:tcBorders>
          </w:tcPr>
          <w:p w14:paraId="7A6BD701"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162438F4"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06A99839"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levkemija</w:t>
            </w:r>
            <w:r>
              <w:rPr>
                <w:rFonts w:ascii="Times New Roman" w:eastAsia="Times New Roman" w:hAnsi="Times New Roman" w:cs="Times New Roman"/>
                <w:spacing w:val="-1"/>
                <w:vertAlign w:val="superscript"/>
                <w:lang w:val="sl-SI"/>
              </w:rPr>
              <w:t>1)</w:t>
            </w:r>
          </w:p>
        </w:tc>
      </w:tr>
      <w:tr w:rsidR="00616315" w14:paraId="5AD81DDD" w14:textId="77777777" w:rsidTr="00433A4B">
        <w:tc>
          <w:tcPr>
            <w:tcW w:w="2599" w:type="dxa"/>
            <w:vMerge/>
            <w:tcBorders>
              <w:left w:val="single" w:sz="5" w:space="0" w:color="000000"/>
              <w:bottom w:val="single" w:sz="5" w:space="0" w:color="000000"/>
              <w:right w:val="single" w:sz="5" w:space="0" w:color="000000"/>
            </w:tcBorders>
          </w:tcPr>
          <w:p w14:paraId="7356C41C"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62AE6DA4"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Neznana pogostnost</w:t>
            </w:r>
          </w:p>
        </w:tc>
        <w:tc>
          <w:tcPr>
            <w:tcW w:w="4574" w:type="dxa"/>
            <w:tcBorders>
              <w:top w:val="single" w:sz="5" w:space="0" w:color="000000"/>
              <w:left w:val="single" w:sz="5" w:space="0" w:color="000000"/>
              <w:bottom w:val="single" w:sz="5" w:space="0" w:color="000000"/>
              <w:right w:val="single" w:sz="5" w:space="0" w:color="000000"/>
            </w:tcBorders>
          </w:tcPr>
          <w:p w14:paraId="58B11600" w14:textId="77777777" w:rsidR="00616315" w:rsidRDefault="00616315" w:rsidP="00433A4B">
            <w:pPr>
              <w:pStyle w:val="TableParagraph"/>
              <w:ind w:left="96"/>
              <w:rPr>
                <w:rFonts w:ascii="Times New Roman" w:eastAsia="Times New Roman" w:hAnsi="Times New Roman" w:cs="Times New Roman"/>
                <w:w w:val="99"/>
                <w:position w:val="8"/>
                <w:lang w:val="sl-SI"/>
              </w:rPr>
            </w:pPr>
            <w:r>
              <w:rPr>
                <w:rFonts w:ascii="Times New Roman" w:eastAsia="Times New Roman" w:hAnsi="Times New Roman" w:cs="Times New Roman"/>
                <w:spacing w:val="-1"/>
                <w:lang w:val="sl-SI"/>
              </w:rPr>
              <w:t>hepatosplenični T-celični limfom</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w:t>
            </w:r>
          </w:p>
          <w:p w14:paraId="1CA5EDA5" w14:textId="77777777" w:rsidR="00616315" w:rsidRDefault="00616315" w:rsidP="00433A4B">
            <w:pPr>
              <w:pStyle w:val="TableParagraph"/>
              <w:ind w:left="96"/>
              <w:rPr>
                <w:rFonts w:ascii="Times New Roman" w:eastAsia="Times New Roman" w:hAnsi="Times New Roman" w:cs="Times New Roman"/>
                <w:w w:val="99"/>
                <w:position w:val="8"/>
                <w:lang w:val="sl-SI"/>
              </w:rPr>
            </w:pPr>
            <w:r>
              <w:rPr>
                <w:rFonts w:ascii="Times New Roman" w:eastAsia="Times New Roman" w:hAnsi="Times New Roman" w:cs="Times New Roman"/>
                <w:spacing w:val="-1"/>
                <w:lang w:val="sl-SI"/>
              </w:rPr>
              <w:t>karcinom Merklovih celic (nevroendokrini karcinom kože)</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 xml:space="preserve">, </w:t>
            </w:r>
          </w:p>
          <w:p w14:paraId="249A9F25" w14:textId="77777777" w:rsidR="00616315" w:rsidRDefault="00616315" w:rsidP="00433A4B">
            <w:pPr>
              <w:pStyle w:val="TableParagraph"/>
              <w:ind w:left="96"/>
              <w:rPr>
                <w:rFonts w:ascii="Times New Roman" w:eastAsia="Times New Roman" w:hAnsi="Times New Roman" w:cs="Times New Roman"/>
                <w:lang w:val="sl-SI"/>
              </w:rPr>
            </w:pPr>
            <w:r>
              <w:rPr>
                <w:rFonts w:ascii="Times New Roman" w:eastAsia="Times New Roman" w:hAnsi="Times New Roman" w:cs="Times New Roman"/>
                <w:spacing w:val="-1"/>
                <w:lang w:val="sl-SI"/>
              </w:rPr>
              <w:t>Kaposijev sarkom</w:t>
            </w:r>
          </w:p>
        </w:tc>
      </w:tr>
      <w:tr w:rsidR="00616315" w14:paraId="0E77CBAB" w14:textId="77777777" w:rsidTr="00433A4B">
        <w:tc>
          <w:tcPr>
            <w:tcW w:w="2599" w:type="dxa"/>
            <w:vMerge w:val="restart"/>
            <w:tcBorders>
              <w:top w:val="single" w:sz="5" w:space="0" w:color="000000"/>
              <w:left w:val="single" w:sz="5" w:space="0" w:color="000000"/>
              <w:right w:val="single" w:sz="5" w:space="0" w:color="000000"/>
            </w:tcBorders>
          </w:tcPr>
          <w:p w14:paraId="2FFE95CE"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Bolezni krvi in limfatičnega sistema*</w:t>
            </w:r>
          </w:p>
        </w:tc>
        <w:tc>
          <w:tcPr>
            <w:tcW w:w="2076" w:type="dxa"/>
            <w:tcBorders>
              <w:top w:val="single" w:sz="5" w:space="0" w:color="000000"/>
              <w:left w:val="single" w:sz="5" w:space="0" w:color="000000"/>
              <w:bottom w:val="single" w:sz="5" w:space="0" w:color="000000"/>
              <w:right w:val="single" w:sz="5" w:space="0" w:color="000000"/>
            </w:tcBorders>
          </w:tcPr>
          <w:p w14:paraId="54C5D69A"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44C6B8D2"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levkopenija (vključno z nevtropenijo in agranulocitozo),</w:t>
            </w:r>
          </w:p>
          <w:p w14:paraId="16AD3931"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anemija</w:t>
            </w:r>
          </w:p>
        </w:tc>
      </w:tr>
      <w:tr w:rsidR="00616315" w14:paraId="6766D496" w14:textId="77777777" w:rsidTr="00433A4B">
        <w:tc>
          <w:tcPr>
            <w:tcW w:w="2599" w:type="dxa"/>
            <w:vMerge/>
            <w:tcBorders>
              <w:left w:val="single" w:sz="5" w:space="0" w:color="000000"/>
              <w:right w:val="single" w:sz="5" w:space="0" w:color="000000"/>
            </w:tcBorders>
          </w:tcPr>
          <w:p w14:paraId="24CD21CF"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6C96CF00"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709013CE"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levkocitoza,</w:t>
            </w:r>
          </w:p>
          <w:p w14:paraId="6254B9C0"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trombocitopenija</w:t>
            </w:r>
          </w:p>
        </w:tc>
      </w:tr>
      <w:tr w:rsidR="00616315" w14:paraId="71337ED8" w14:textId="77777777" w:rsidTr="00433A4B">
        <w:tc>
          <w:tcPr>
            <w:tcW w:w="2599" w:type="dxa"/>
            <w:vMerge/>
            <w:tcBorders>
              <w:left w:val="single" w:sz="5" w:space="0" w:color="000000"/>
              <w:right w:val="single" w:sz="5" w:space="0" w:color="000000"/>
            </w:tcBorders>
          </w:tcPr>
          <w:p w14:paraId="6EF67686"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02DF270"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7DBA5A9F"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4"/>
                <w:lang w:val="sl-SI"/>
              </w:rPr>
              <w:t>idiopatska trombocitopenična purpura</w:t>
            </w:r>
          </w:p>
        </w:tc>
      </w:tr>
      <w:tr w:rsidR="00616315" w14:paraId="1A7DB31F" w14:textId="77777777" w:rsidTr="00433A4B">
        <w:tc>
          <w:tcPr>
            <w:tcW w:w="2599" w:type="dxa"/>
            <w:vMerge/>
            <w:tcBorders>
              <w:left w:val="single" w:sz="5" w:space="0" w:color="000000"/>
              <w:bottom w:val="single" w:sz="5" w:space="0" w:color="000000"/>
              <w:right w:val="single" w:sz="5" w:space="0" w:color="000000"/>
            </w:tcBorders>
          </w:tcPr>
          <w:p w14:paraId="5F962113"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1D7FB271"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46ED590A"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pancitopenija</w:t>
            </w:r>
          </w:p>
        </w:tc>
      </w:tr>
      <w:tr w:rsidR="00616315" w:rsidRPr="00652F18" w14:paraId="07D98B3A" w14:textId="77777777" w:rsidTr="00433A4B">
        <w:tc>
          <w:tcPr>
            <w:tcW w:w="2599" w:type="dxa"/>
            <w:vMerge w:val="restart"/>
            <w:tcBorders>
              <w:top w:val="single" w:sz="5" w:space="0" w:color="000000"/>
              <w:left w:val="single" w:sz="5" w:space="0" w:color="000000"/>
              <w:right w:val="single" w:sz="5" w:space="0" w:color="000000"/>
            </w:tcBorders>
          </w:tcPr>
          <w:p w14:paraId="634D619C"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Bolezni imunskega sistema</w:t>
            </w:r>
            <w:r w:rsidRPr="000B07F9">
              <w:rPr>
                <w:rFonts w:ascii="Times New Roman" w:eastAsia="Times New Roman" w:hAnsi="Times New Roman" w:cs="Times New Roman"/>
                <w:spacing w:val="-1"/>
              </w:rPr>
              <w:t>*</w:t>
            </w:r>
          </w:p>
        </w:tc>
        <w:tc>
          <w:tcPr>
            <w:tcW w:w="2076" w:type="dxa"/>
            <w:tcBorders>
              <w:top w:val="single" w:sz="5" w:space="0" w:color="000000"/>
              <w:left w:val="single" w:sz="5" w:space="0" w:color="000000"/>
              <w:bottom w:val="single" w:sz="5" w:space="0" w:color="000000"/>
              <w:right w:val="single" w:sz="5" w:space="0" w:color="000000"/>
            </w:tcBorders>
          </w:tcPr>
          <w:p w14:paraId="2AA6841A"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51269889"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preobčutljivost,</w:t>
            </w:r>
          </w:p>
          <w:p w14:paraId="50B6975C"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alergije (vključno s sezonsko alergijo)</w:t>
            </w:r>
          </w:p>
        </w:tc>
      </w:tr>
      <w:tr w:rsidR="00616315" w14:paraId="3742E33C" w14:textId="77777777" w:rsidTr="00433A4B">
        <w:tc>
          <w:tcPr>
            <w:tcW w:w="2599" w:type="dxa"/>
            <w:vMerge/>
            <w:tcBorders>
              <w:left w:val="single" w:sz="5" w:space="0" w:color="000000"/>
              <w:right w:val="single" w:sz="5" w:space="0" w:color="000000"/>
            </w:tcBorders>
          </w:tcPr>
          <w:p w14:paraId="3FBEEBA3"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1A62B591"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57DC3DFC" w14:textId="77777777" w:rsidR="00616315" w:rsidRDefault="00616315" w:rsidP="00433A4B">
            <w:pPr>
              <w:pStyle w:val="TableParagraph"/>
              <w:ind w:left="99" w:right="3183"/>
              <w:rPr>
                <w:rFonts w:ascii="Times New Roman" w:eastAsia="Times New Roman" w:hAnsi="Times New Roman" w:cs="Times New Roman"/>
                <w:lang w:val="sl-SI"/>
              </w:rPr>
            </w:pPr>
            <w:r>
              <w:rPr>
                <w:rFonts w:ascii="Times New Roman" w:eastAsia="Times New Roman" w:hAnsi="Times New Roman" w:cs="Times New Roman"/>
                <w:spacing w:val="-1"/>
                <w:lang w:val="sl-SI"/>
              </w:rPr>
              <w:t>sarkoidoza</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 vaskulitis</w:t>
            </w:r>
          </w:p>
        </w:tc>
      </w:tr>
      <w:tr w:rsidR="00616315" w14:paraId="596DFF96" w14:textId="77777777" w:rsidTr="00433A4B">
        <w:tc>
          <w:tcPr>
            <w:tcW w:w="2599" w:type="dxa"/>
            <w:vMerge/>
            <w:tcBorders>
              <w:left w:val="single" w:sz="5" w:space="0" w:color="000000"/>
              <w:bottom w:val="single" w:sz="5" w:space="0" w:color="000000"/>
              <w:right w:val="single" w:sz="5" w:space="0" w:color="000000"/>
            </w:tcBorders>
          </w:tcPr>
          <w:p w14:paraId="1C1443D9"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507BA782"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32D6119A"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anafilaksa</w:t>
            </w:r>
            <w:r>
              <w:rPr>
                <w:rFonts w:ascii="Times New Roman" w:eastAsia="Times New Roman" w:hAnsi="Times New Roman" w:cs="Times New Roman"/>
                <w:spacing w:val="-1"/>
                <w:vertAlign w:val="superscript"/>
                <w:lang w:val="sl-SI"/>
              </w:rPr>
              <w:t>1)</w:t>
            </w:r>
          </w:p>
        </w:tc>
      </w:tr>
      <w:tr w:rsidR="00616315" w14:paraId="1F936898" w14:textId="77777777" w:rsidTr="00433A4B">
        <w:tc>
          <w:tcPr>
            <w:tcW w:w="2599" w:type="dxa"/>
            <w:vMerge w:val="restart"/>
            <w:tcBorders>
              <w:top w:val="single" w:sz="5" w:space="0" w:color="000000"/>
              <w:left w:val="single" w:sz="5" w:space="0" w:color="000000"/>
              <w:right w:val="single" w:sz="5" w:space="0" w:color="000000"/>
            </w:tcBorders>
          </w:tcPr>
          <w:p w14:paraId="6BF2F1A2"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Presnovne in prehranske motnje</w:t>
            </w:r>
          </w:p>
        </w:tc>
        <w:tc>
          <w:tcPr>
            <w:tcW w:w="2076" w:type="dxa"/>
            <w:tcBorders>
              <w:top w:val="single" w:sz="5" w:space="0" w:color="000000"/>
              <w:left w:val="single" w:sz="5" w:space="0" w:color="000000"/>
              <w:bottom w:val="single" w:sz="5" w:space="0" w:color="000000"/>
              <w:right w:val="single" w:sz="5" w:space="0" w:color="000000"/>
            </w:tcBorders>
          </w:tcPr>
          <w:p w14:paraId="622CD361"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6CB61012"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zvečanje vrednosti lipidov</w:t>
            </w:r>
          </w:p>
        </w:tc>
      </w:tr>
      <w:tr w:rsidR="00616315" w:rsidRPr="00652F18" w14:paraId="3613C86B" w14:textId="77777777" w:rsidTr="00433A4B">
        <w:tc>
          <w:tcPr>
            <w:tcW w:w="2599" w:type="dxa"/>
            <w:vMerge/>
            <w:tcBorders>
              <w:left w:val="single" w:sz="5" w:space="0" w:color="000000"/>
              <w:bottom w:val="single" w:sz="5" w:space="0" w:color="000000"/>
              <w:right w:val="single" w:sz="5" w:space="0" w:color="000000"/>
            </w:tcBorders>
          </w:tcPr>
          <w:p w14:paraId="752051FA"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73F5DDF3"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3A50B67A"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hipokaliemija,</w:t>
            </w:r>
          </w:p>
          <w:p w14:paraId="45754242" w14:textId="77777777" w:rsidR="00616315" w:rsidRDefault="00616315" w:rsidP="00433A4B">
            <w:pPr>
              <w:pStyle w:val="TableParagraph"/>
              <w:ind w:left="99" w:right="293"/>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zvečanje vrednosti sečne kisline, </w:t>
            </w:r>
          </w:p>
          <w:p w14:paraId="3E7BB2F2" w14:textId="77777777" w:rsidR="00616315" w:rsidRDefault="00616315" w:rsidP="00433A4B">
            <w:pPr>
              <w:pStyle w:val="TableParagraph"/>
              <w:ind w:left="99" w:right="293"/>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nenormalna koncentracija natrija v krvi, hipokalciemija, </w:t>
            </w:r>
          </w:p>
          <w:p w14:paraId="2A8CC701" w14:textId="77777777" w:rsidR="00616315" w:rsidRDefault="00616315" w:rsidP="00433A4B">
            <w:pPr>
              <w:pStyle w:val="TableParagraph"/>
              <w:ind w:left="99" w:right="293"/>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hiperglikemija, </w:t>
            </w:r>
          </w:p>
          <w:p w14:paraId="75BB4A13" w14:textId="77777777" w:rsidR="00616315" w:rsidRDefault="00616315" w:rsidP="00433A4B">
            <w:pPr>
              <w:pStyle w:val="TableParagraph"/>
              <w:ind w:left="99" w:right="293"/>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hipofosfatemija, </w:t>
            </w:r>
          </w:p>
          <w:p w14:paraId="2D15BD81" w14:textId="77777777" w:rsidR="00616315" w:rsidRDefault="00616315" w:rsidP="00433A4B">
            <w:pPr>
              <w:pStyle w:val="TableParagraph"/>
              <w:ind w:left="99" w:right="293"/>
              <w:rPr>
                <w:rFonts w:ascii="Times New Roman" w:eastAsia="Times New Roman" w:hAnsi="Times New Roman" w:cs="Times New Roman"/>
                <w:lang w:val="sl-SI"/>
              </w:rPr>
            </w:pPr>
            <w:r>
              <w:rPr>
                <w:rFonts w:ascii="Times New Roman" w:eastAsia="Times New Roman" w:hAnsi="Times New Roman" w:cs="Times New Roman"/>
                <w:spacing w:val="-1"/>
                <w:lang w:val="sl-SI"/>
              </w:rPr>
              <w:t>dehidracija</w:t>
            </w:r>
          </w:p>
        </w:tc>
      </w:tr>
      <w:tr w:rsidR="00616315" w14:paraId="7F03192E" w14:textId="77777777" w:rsidTr="00433A4B">
        <w:tc>
          <w:tcPr>
            <w:tcW w:w="2599" w:type="dxa"/>
            <w:tcBorders>
              <w:top w:val="single" w:sz="5" w:space="0" w:color="000000"/>
              <w:left w:val="single" w:sz="5" w:space="0" w:color="000000"/>
              <w:bottom w:val="single" w:sz="5" w:space="0" w:color="000000"/>
              <w:right w:val="single" w:sz="5" w:space="0" w:color="000000"/>
            </w:tcBorders>
          </w:tcPr>
          <w:p w14:paraId="2FFC8072"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Psihiatrične motnje</w:t>
            </w:r>
          </w:p>
        </w:tc>
        <w:tc>
          <w:tcPr>
            <w:tcW w:w="2076" w:type="dxa"/>
            <w:tcBorders>
              <w:top w:val="single" w:sz="5" w:space="0" w:color="000000"/>
              <w:left w:val="single" w:sz="5" w:space="0" w:color="000000"/>
              <w:bottom w:val="single" w:sz="5" w:space="0" w:color="000000"/>
              <w:right w:val="single" w:sz="5" w:space="0" w:color="000000"/>
            </w:tcBorders>
          </w:tcPr>
          <w:p w14:paraId="04D86B83"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7DA128BF" w14:textId="77777777" w:rsidR="00616315" w:rsidRDefault="00616315" w:rsidP="00433A4B">
            <w:pPr>
              <w:pStyle w:val="TableParagraph"/>
              <w:ind w:left="99" w:right="244"/>
              <w:rPr>
                <w:rFonts w:ascii="Times New Roman" w:eastAsia="Times New Roman" w:hAnsi="Times New Roman" w:cs="Times New Roman"/>
                <w:lang w:val="sl-SI"/>
              </w:rPr>
            </w:pPr>
            <w:r>
              <w:rPr>
                <w:rFonts w:ascii="Times New Roman" w:eastAsia="Times New Roman" w:hAnsi="Times New Roman" w:cs="Times New Roman"/>
                <w:lang w:val="sl-SI"/>
              </w:rPr>
              <w:t xml:space="preserve">spremembe razpoloženja (vključno z depresijo), </w:t>
            </w:r>
          </w:p>
          <w:p w14:paraId="2AA53561" w14:textId="77777777" w:rsidR="00616315" w:rsidRDefault="00616315" w:rsidP="00433A4B">
            <w:pPr>
              <w:pStyle w:val="TableParagraph"/>
              <w:ind w:left="99" w:right="244"/>
              <w:rPr>
                <w:rFonts w:ascii="Times New Roman" w:eastAsia="Times New Roman" w:hAnsi="Times New Roman" w:cs="Times New Roman"/>
                <w:lang w:val="sl-SI"/>
              </w:rPr>
            </w:pPr>
            <w:r>
              <w:rPr>
                <w:rFonts w:ascii="Times New Roman" w:eastAsia="Times New Roman" w:hAnsi="Times New Roman" w:cs="Times New Roman"/>
                <w:lang w:val="sl-SI"/>
              </w:rPr>
              <w:t>anksioznost,</w:t>
            </w:r>
          </w:p>
          <w:p w14:paraId="1EFD85CF"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nespečnost</w:t>
            </w:r>
          </w:p>
        </w:tc>
      </w:tr>
      <w:tr w:rsidR="00616315" w14:paraId="19285F36" w14:textId="77777777" w:rsidTr="00433A4B">
        <w:tc>
          <w:tcPr>
            <w:tcW w:w="2599" w:type="dxa"/>
            <w:vMerge w:val="restart"/>
            <w:tcBorders>
              <w:top w:val="single" w:sz="5" w:space="0" w:color="000000"/>
              <w:left w:val="single" w:sz="5" w:space="0" w:color="000000"/>
              <w:right w:val="single" w:sz="5" w:space="0" w:color="000000"/>
            </w:tcBorders>
          </w:tcPr>
          <w:p w14:paraId="34EA08C0"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Bolezni živčevja*</w:t>
            </w:r>
          </w:p>
        </w:tc>
        <w:tc>
          <w:tcPr>
            <w:tcW w:w="2076" w:type="dxa"/>
            <w:tcBorders>
              <w:top w:val="single" w:sz="5" w:space="0" w:color="000000"/>
              <w:left w:val="single" w:sz="5" w:space="0" w:color="000000"/>
              <w:bottom w:val="single" w:sz="5" w:space="0" w:color="000000"/>
              <w:right w:val="single" w:sz="5" w:space="0" w:color="000000"/>
            </w:tcBorders>
          </w:tcPr>
          <w:p w14:paraId="115E7E27"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711A4DD2"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glavobol</w:t>
            </w:r>
          </w:p>
        </w:tc>
      </w:tr>
      <w:tr w:rsidR="00616315" w:rsidRPr="00652F18" w14:paraId="01F580BA" w14:textId="77777777" w:rsidTr="00433A4B">
        <w:tc>
          <w:tcPr>
            <w:tcW w:w="2599" w:type="dxa"/>
            <w:vMerge/>
            <w:tcBorders>
              <w:left w:val="single" w:sz="5" w:space="0" w:color="000000"/>
              <w:right w:val="single" w:sz="5" w:space="0" w:color="000000"/>
            </w:tcBorders>
          </w:tcPr>
          <w:p w14:paraId="3CD96014"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7A47A159"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2905DB7A" w14:textId="77777777" w:rsidR="00616315" w:rsidRDefault="00616315" w:rsidP="00433A4B">
            <w:pPr>
              <w:pStyle w:val="TableParagraph"/>
              <w:ind w:left="99" w:right="658"/>
              <w:rPr>
                <w:rFonts w:ascii="Times New Roman" w:eastAsia="Times New Roman" w:hAnsi="Times New Roman" w:cs="Times New Roman"/>
                <w:lang w:val="sl-SI"/>
              </w:rPr>
            </w:pPr>
            <w:r>
              <w:rPr>
                <w:rFonts w:ascii="Times New Roman" w:eastAsia="Times New Roman" w:hAnsi="Times New Roman" w:cs="Times New Roman"/>
                <w:spacing w:val="-1"/>
                <w:lang w:val="sl-SI"/>
              </w:rPr>
              <w:t>parastezije (vključno s hipoestezijo), migrena,</w:t>
            </w:r>
          </w:p>
          <w:p w14:paraId="60C1B2CE"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stisnjenje živčnih korenin</w:t>
            </w:r>
          </w:p>
        </w:tc>
      </w:tr>
      <w:tr w:rsidR="00616315" w14:paraId="07352516" w14:textId="77777777" w:rsidTr="00433A4B">
        <w:tc>
          <w:tcPr>
            <w:tcW w:w="2599" w:type="dxa"/>
            <w:vMerge/>
            <w:tcBorders>
              <w:left w:val="single" w:sz="5" w:space="0" w:color="000000"/>
              <w:right w:val="single" w:sz="5" w:space="0" w:color="000000"/>
            </w:tcBorders>
          </w:tcPr>
          <w:p w14:paraId="425804A9"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45B79DDD"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3030094B"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cerebrovaskularni inzult</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w:t>
            </w:r>
          </w:p>
          <w:p w14:paraId="3DE14C33" w14:textId="77777777" w:rsidR="00616315" w:rsidRDefault="00616315" w:rsidP="00433A4B">
            <w:pPr>
              <w:pStyle w:val="TableParagraph"/>
              <w:ind w:left="99" w:right="2870"/>
              <w:rPr>
                <w:rFonts w:ascii="Times New Roman" w:eastAsia="Times New Roman" w:hAnsi="Times New Roman" w:cs="Times New Roman"/>
                <w:lang w:val="sl-SI"/>
              </w:rPr>
            </w:pPr>
            <w:r>
              <w:rPr>
                <w:rFonts w:ascii="Times New Roman" w:eastAsia="Times New Roman" w:hAnsi="Times New Roman" w:cs="Times New Roman"/>
                <w:spacing w:val="-1"/>
                <w:lang w:val="sl-SI"/>
              </w:rPr>
              <w:t>tremor, nevropatija</w:t>
            </w:r>
          </w:p>
        </w:tc>
      </w:tr>
      <w:tr w:rsidR="00616315" w:rsidRPr="00652F18" w14:paraId="43E5C5CD" w14:textId="77777777" w:rsidTr="00433A4B">
        <w:tc>
          <w:tcPr>
            <w:tcW w:w="2599" w:type="dxa"/>
            <w:vMerge/>
            <w:tcBorders>
              <w:left w:val="single" w:sz="5" w:space="0" w:color="000000"/>
              <w:bottom w:val="single" w:sz="5" w:space="0" w:color="000000"/>
              <w:right w:val="single" w:sz="5" w:space="0" w:color="000000"/>
            </w:tcBorders>
          </w:tcPr>
          <w:p w14:paraId="1CDC6754"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4E74CD0B"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71EAFC6E"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multipla skleroza,</w:t>
            </w:r>
          </w:p>
          <w:p w14:paraId="5EE2F534"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demielinizirajoče bolezni (npr. optični nevritis, Guillain-Barréjev sindrom)</w:t>
            </w:r>
            <w:r>
              <w:rPr>
                <w:rFonts w:ascii="Times New Roman" w:eastAsia="Times New Roman" w:hAnsi="Times New Roman" w:cs="Times New Roman"/>
                <w:spacing w:val="-1"/>
                <w:vertAlign w:val="superscript"/>
                <w:lang w:val="sl-SI"/>
              </w:rPr>
              <w:t>1)</w:t>
            </w:r>
          </w:p>
        </w:tc>
      </w:tr>
      <w:tr w:rsidR="00616315" w:rsidRPr="00AC7013" w14:paraId="09BD9329" w14:textId="77777777" w:rsidTr="00433A4B">
        <w:tc>
          <w:tcPr>
            <w:tcW w:w="2599" w:type="dxa"/>
            <w:vMerge w:val="restart"/>
            <w:tcBorders>
              <w:top w:val="single" w:sz="5" w:space="0" w:color="000000"/>
              <w:left w:val="single" w:sz="5" w:space="0" w:color="000000"/>
              <w:right w:val="single" w:sz="5" w:space="0" w:color="000000"/>
            </w:tcBorders>
          </w:tcPr>
          <w:p w14:paraId="60E21141"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Očesne bolezni</w:t>
            </w:r>
          </w:p>
        </w:tc>
        <w:tc>
          <w:tcPr>
            <w:tcW w:w="2076" w:type="dxa"/>
            <w:tcBorders>
              <w:top w:val="single" w:sz="5" w:space="0" w:color="000000"/>
              <w:left w:val="single" w:sz="5" w:space="0" w:color="000000"/>
              <w:bottom w:val="single" w:sz="5" w:space="0" w:color="000000"/>
              <w:right w:val="single" w:sz="5" w:space="0" w:color="000000"/>
            </w:tcBorders>
          </w:tcPr>
          <w:p w14:paraId="5BBCC4E7"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73DAA709" w14:textId="77777777" w:rsidR="00616315" w:rsidRDefault="00616315" w:rsidP="00433A4B">
            <w:pPr>
              <w:pStyle w:val="TableParagraph"/>
              <w:ind w:left="99" w:right="2274"/>
              <w:rPr>
                <w:rFonts w:ascii="Times New Roman" w:eastAsia="Times New Roman" w:hAnsi="Times New Roman" w:cs="Times New Roman"/>
                <w:lang w:val="sl-SI"/>
              </w:rPr>
            </w:pPr>
            <w:r>
              <w:rPr>
                <w:rFonts w:ascii="Times New Roman" w:eastAsia="Times New Roman" w:hAnsi="Times New Roman" w:cs="Times New Roman"/>
                <w:spacing w:val="1"/>
                <w:lang w:val="sl-SI"/>
              </w:rPr>
              <w:t>okvare vida, konjunktivitis, blefaritis,</w:t>
            </w:r>
          </w:p>
          <w:p w14:paraId="2646EB4C"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otekanje oči</w:t>
            </w:r>
          </w:p>
        </w:tc>
      </w:tr>
      <w:tr w:rsidR="00616315" w14:paraId="380AFBD4" w14:textId="77777777" w:rsidTr="00433A4B">
        <w:tc>
          <w:tcPr>
            <w:tcW w:w="2599" w:type="dxa"/>
            <w:vMerge/>
            <w:tcBorders>
              <w:left w:val="single" w:sz="5" w:space="0" w:color="000000"/>
              <w:bottom w:val="single" w:sz="5" w:space="0" w:color="000000"/>
              <w:right w:val="single" w:sz="5" w:space="0" w:color="000000"/>
            </w:tcBorders>
          </w:tcPr>
          <w:p w14:paraId="48C3497C"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6E6FFBA"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66ED48B3"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diplopija</w:t>
            </w:r>
          </w:p>
        </w:tc>
      </w:tr>
      <w:tr w:rsidR="00616315" w14:paraId="0E46E1D2" w14:textId="77777777" w:rsidTr="00433A4B">
        <w:tc>
          <w:tcPr>
            <w:tcW w:w="2599" w:type="dxa"/>
            <w:vMerge w:val="restart"/>
            <w:tcBorders>
              <w:top w:val="single" w:sz="5" w:space="0" w:color="000000"/>
              <w:left w:val="single" w:sz="5" w:space="0" w:color="000000"/>
              <w:right w:val="single" w:sz="5" w:space="0" w:color="000000"/>
            </w:tcBorders>
          </w:tcPr>
          <w:p w14:paraId="186BD713" w14:textId="77777777" w:rsidR="00616315" w:rsidRDefault="00616315" w:rsidP="00433A4B">
            <w:pPr>
              <w:pStyle w:val="TableParagraph"/>
              <w:ind w:left="102" w:right="196"/>
              <w:rPr>
                <w:rFonts w:ascii="Times New Roman" w:eastAsia="Times New Roman" w:hAnsi="Times New Roman" w:cs="Times New Roman"/>
                <w:lang w:val="sl-SI"/>
              </w:rPr>
            </w:pPr>
            <w:r>
              <w:rPr>
                <w:rFonts w:ascii="Times New Roman" w:eastAsia="Times New Roman" w:hAnsi="Times New Roman" w:cs="Times New Roman"/>
                <w:spacing w:val="-1"/>
                <w:lang w:val="sl-SI"/>
              </w:rPr>
              <w:t>Ušesne bolezni, vključno z motnjami labirinta</w:t>
            </w:r>
          </w:p>
        </w:tc>
        <w:tc>
          <w:tcPr>
            <w:tcW w:w="2076" w:type="dxa"/>
            <w:tcBorders>
              <w:top w:val="single" w:sz="5" w:space="0" w:color="000000"/>
              <w:left w:val="single" w:sz="5" w:space="0" w:color="000000"/>
              <w:bottom w:val="single" w:sz="5" w:space="0" w:color="000000"/>
              <w:right w:val="single" w:sz="5" w:space="0" w:color="000000"/>
            </w:tcBorders>
          </w:tcPr>
          <w:p w14:paraId="7C26AC52"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72ADBD5F"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vertigo</w:t>
            </w:r>
          </w:p>
        </w:tc>
      </w:tr>
      <w:tr w:rsidR="00616315" w14:paraId="10F12388" w14:textId="77777777" w:rsidTr="00433A4B">
        <w:tc>
          <w:tcPr>
            <w:tcW w:w="2599" w:type="dxa"/>
            <w:vMerge/>
            <w:tcBorders>
              <w:left w:val="single" w:sz="5" w:space="0" w:color="000000"/>
              <w:bottom w:val="single" w:sz="5" w:space="0" w:color="000000"/>
              <w:right w:val="single" w:sz="5" w:space="0" w:color="000000"/>
            </w:tcBorders>
          </w:tcPr>
          <w:p w14:paraId="5051F5F4"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7355621C"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2DA1CF86"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izguba sluha,</w:t>
            </w:r>
          </w:p>
          <w:p w14:paraId="33A30B31"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tinitus</w:t>
            </w:r>
          </w:p>
        </w:tc>
      </w:tr>
      <w:tr w:rsidR="00616315" w14:paraId="3E5BC704" w14:textId="77777777" w:rsidTr="00433A4B">
        <w:tc>
          <w:tcPr>
            <w:tcW w:w="2599" w:type="dxa"/>
            <w:vMerge w:val="restart"/>
            <w:tcBorders>
              <w:top w:val="single" w:sz="5" w:space="0" w:color="000000"/>
              <w:left w:val="single" w:sz="5" w:space="0" w:color="000000"/>
              <w:right w:val="single" w:sz="5" w:space="0" w:color="000000"/>
            </w:tcBorders>
          </w:tcPr>
          <w:p w14:paraId="0DECCBE3"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Srčne bolezni*</w:t>
            </w:r>
          </w:p>
        </w:tc>
        <w:tc>
          <w:tcPr>
            <w:tcW w:w="2076" w:type="dxa"/>
            <w:tcBorders>
              <w:top w:val="single" w:sz="5" w:space="0" w:color="000000"/>
              <w:left w:val="single" w:sz="5" w:space="0" w:color="000000"/>
              <w:bottom w:val="single" w:sz="5" w:space="0" w:color="000000"/>
              <w:right w:val="single" w:sz="5" w:space="0" w:color="000000"/>
            </w:tcBorders>
          </w:tcPr>
          <w:p w14:paraId="50566EC6"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1EE47B52"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tahikardija</w:t>
            </w:r>
          </w:p>
        </w:tc>
      </w:tr>
      <w:tr w:rsidR="00616315" w:rsidRPr="00652F18" w14:paraId="12021208" w14:textId="77777777" w:rsidTr="00433A4B">
        <w:tc>
          <w:tcPr>
            <w:tcW w:w="2599" w:type="dxa"/>
            <w:vMerge/>
            <w:tcBorders>
              <w:left w:val="single" w:sz="5" w:space="0" w:color="000000"/>
              <w:right w:val="single" w:sz="5" w:space="0" w:color="000000"/>
            </w:tcBorders>
          </w:tcPr>
          <w:p w14:paraId="61EEB034"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right w:val="single" w:sz="5" w:space="0" w:color="000000"/>
            </w:tcBorders>
          </w:tcPr>
          <w:p w14:paraId="1CEAAD3C"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right w:val="single" w:sz="5" w:space="0" w:color="000000"/>
            </w:tcBorders>
          </w:tcPr>
          <w:p w14:paraId="72049150" w14:textId="77777777" w:rsidR="00616315" w:rsidRDefault="00616315" w:rsidP="00433A4B">
            <w:pPr>
              <w:pStyle w:val="TableParagraph"/>
              <w:ind w:left="99" w:right="1400"/>
              <w:rPr>
                <w:rFonts w:ascii="Times New Roman" w:eastAsia="Times New Roman" w:hAnsi="Times New Roman" w:cs="Times New Roman"/>
                <w:lang w:val="sl-SI"/>
              </w:rPr>
            </w:pPr>
            <w:r>
              <w:rPr>
                <w:rFonts w:ascii="Times New Roman" w:eastAsia="Times New Roman" w:hAnsi="Times New Roman" w:cs="Times New Roman"/>
                <w:lang w:val="sl-SI"/>
              </w:rPr>
              <w:t>miokardni infarkt</w:t>
            </w:r>
            <w:r>
              <w:rPr>
                <w:rFonts w:ascii="Times New Roman" w:eastAsia="Times New Roman" w:hAnsi="Times New Roman" w:cs="Times New Roman"/>
                <w:vertAlign w:val="superscript"/>
                <w:lang w:val="sl-SI"/>
              </w:rPr>
              <w:t>1)</w:t>
            </w:r>
            <w:r>
              <w:rPr>
                <w:rFonts w:ascii="Times New Roman" w:eastAsia="Times New Roman" w:hAnsi="Times New Roman" w:cs="Times New Roman"/>
                <w:lang w:val="sl-SI"/>
              </w:rPr>
              <w:t xml:space="preserve">, </w:t>
            </w:r>
          </w:p>
          <w:p w14:paraId="3447A4F2" w14:textId="77777777" w:rsidR="00616315" w:rsidRDefault="00616315" w:rsidP="00433A4B">
            <w:pPr>
              <w:pStyle w:val="TableParagraph"/>
              <w:ind w:left="99" w:right="1400"/>
              <w:rPr>
                <w:rFonts w:ascii="Times New Roman" w:eastAsia="Times New Roman" w:hAnsi="Times New Roman" w:cs="Times New Roman"/>
                <w:lang w:val="sl-SI"/>
              </w:rPr>
            </w:pPr>
            <w:r>
              <w:rPr>
                <w:rFonts w:ascii="Times New Roman" w:eastAsia="Times New Roman" w:hAnsi="Times New Roman" w:cs="Times New Roman"/>
                <w:lang w:val="sl-SI"/>
              </w:rPr>
              <w:lastRenderedPageBreak/>
              <w:t>aritmija,</w:t>
            </w:r>
          </w:p>
          <w:p w14:paraId="3B8FAD8F"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kongestivno srčno popuščanje</w:t>
            </w:r>
          </w:p>
        </w:tc>
      </w:tr>
      <w:tr w:rsidR="00616315" w14:paraId="03BC9DEC" w14:textId="77777777" w:rsidTr="00433A4B">
        <w:tc>
          <w:tcPr>
            <w:tcW w:w="2599" w:type="dxa"/>
            <w:vMerge/>
            <w:tcBorders>
              <w:left w:val="single" w:sz="5" w:space="0" w:color="000000"/>
              <w:bottom w:val="single" w:sz="5" w:space="0" w:color="000000"/>
              <w:right w:val="single" w:sz="5" w:space="0" w:color="000000"/>
            </w:tcBorders>
          </w:tcPr>
          <w:p w14:paraId="747A7087"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183BF104"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4E99F79A"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zastoj srca</w:t>
            </w:r>
          </w:p>
        </w:tc>
      </w:tr>
      <w:tr w:rsidR="00616315" w14:paraId="29C8FD5E" w14:textId="77777777" w:rsidTr="00433A4B">
        <w:tc>
          <w:tcPr>
            <w:tcW w:w="2599" w:type="dxa"/>
            <w:vMerge w:val="restart"/>
            <w:tcBorders>
              <w:top w:val="single" w:sz="5" w:space="0" w:color="000000"/>
              <w:left w:val="single" w:sz="5" w:space="0" w:color="000000"/>
              <w:right w:val="single" w:sz="5" w:space="0" w:color="000000"/>
            </w:tcBorders>
          </w:tcPr>
          <w:p w14:paraId="76032B71"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Žilne bolezni</w:t>
            </w:r>
          </w:p>
        </w:tc>
        <w:tc>
          <w:tcPr>
            <w:tcW w:w="2076" w:type="dxa"/>
            <w:tcBorders>
              <w:top w:val="single" w:sz="5" w:space="0" w:color="000000"/>
              <w:left w:val="single" w:sz="5" w:space="0" w:color="000000"/>
              <w:bottom w:val="single" w:sz="5" w:space="0" w:color="000000"/>
              <w:right w:val="single" w:sz="5" w:space="0" w:color="000000"/>
            </w:tcBorders>
          </w:tcPr>
          <w:p w14:paraId="72A67D8B"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782B221F" w14:textId="77777777" w:rsidR="00616315" w:rsidRDefault="00616315" w:rsidP="00433A4B">
            <w:pPr>
              <w:pStyle w:val="TableParagraph"/>
              <w:ind w:left="99" w:right="2870"/>
              <w:rPr>
                <w:rFonts w:ascii="Times New Roman" w:eastAsia="Times New Roman" w:hAnsi="Times New Roman" w:cs="Times New Roman"/>
                <w:lang w:val="sl-SI"/>
              </w:rPr>
            </w:pPr>
            <w:r>
              <w:rPr>
                <w:rFonts w:ascii="Times New Roman" w:eastAsia="Times New Roman" w:hAnsi="Times New Roman" w:cs="Times New Roman"/>
                <w:spacing w:val="-1"/>
                <w:lang w:val="sl-SI"/>
              </w:rPr>
              <w:t>hipertenzija, zardevanje, hematom</w:t>
            </w:r>
          </w:p>
        </w:tc>
      </w:tr>
      <w:tr w:rsidR="00616315" w14:paraId="6EF8E972" w14:textId="77777777" w:rsidTr="00433A4B">
        <w:tc>
          <w:tcPr>
            <w:tcW w:w="2599" w:type="dxa"/>
            <w:vMerge/>
            <w:tcBorders>
              <w:left w:val="single" w:sz="5" w:space="0" w:color="000000"/>
              <w:bottom w:val="single" w:sz="5" w:space="0" w:color="000000"/>
              <w:right w:val="single" w:sz="5" w:space="0" w:color="000000"/>
            </w:tcBorders>
          </w:tcPr>
          <w:p w14:paraId="1EACCD9A"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6658473D"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63B1D523"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aortna anevrizma,</w:t>
            </w:r>
          </w:p>
          <w:p w14:paraId="384A81B9" w14:textId="77777777" w:rsidR="00616315" w:rsidRDefault="00616315" w:rsidP="00433A4B">
            <w:pPr>
              <w:pStyle w:val="TableParagraph"/>
              <w:ind w:left="99" w:right="658"/>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žilna arterijska okluzija, </w:t>
            </w:r>
          </w:p>
          <w:p w14:paraId="1D5F602A" w14:textId="77777777" w:rsidR="00616315" w:rsidRDefault="00616315" w:rsidP="00433A4B">
            <w:pPr>
              <w:pStyle w:val="TableParagraph"/>
              <w:ind w:left="99" w:right="658"/>
              <w:rPr>
                <w:rFonts w:ascii="Times New Roman" w:eastAsia="Times New Roman" w:hAnsi="Times New Roman" w:cs="Times New Roman"/>
                <w:lang w:val="sl-SI"/>
              </w:rPr>
            </w:pPr>
            <w:r>
              <w:rPr>
                <w:rFonts w:ascii="Times New Roman" w:eastAsia="Times New Roman" w:hAnsi="Times New Roman" w:cs="Times New Roman"/>
                <w:spacing w:val="-1"/>
                <w:lang w:val="sl-SI"/>
              </w:rPr>
              <w:t>tromboflebitis</w:t>
            </w:r>
          </w:p>
        </w:tc>
      </w:tr>
      <w:tr w:rsidR="00616315" w14:paraId="52BE81D7" w14:textId="77777777" w:rsidTr="00433A4B">
        <w:tc>
          <w:tcPr>
            <w:tcW w:w="2599" w:type="dxa"/>
            <w:vMerge w:val="restart"/>
            <w:tcBorders>
              <w:top w:val="single" w:sz="5" w:space="0" w:color="000000"/>
              <w:left w:val="single" w:sz="5" w:space="0" w:color="000000"/>
              <w:right w:val="single" w:sz="5" w:space="0" w:color="000000"/>
            </w:tcBorders>
          </w:tcPr>
          <w:p w14:paraId="5E20B179" w14:textId="77777777" w:rsidR="00616315" w:rsidRDefault="00616315" w:rsidP="00433A4B">
            <w:pPr>
              <w:pStyle w:val="TableParagraph"/>
              <w:ind w:left="102" w:right="163"/>
              <w:rPr>
                <w:rFonts w:ascii="Times New Roman" w:eastAsia="Times New Roman" w:hAnsi="Times New Roman" w:cs="Times New Roman"/>
                <w:lang w:val="sl-SI"/>
              </w:rPr>
            </w:pPr>
            <w:r>
              <w:rPr>
                <w:rFonts w:ascii="Times New Roman" w:eastAsia="Times New Roman" w:hAnsi="Times New Roman" w:cs="Times New Roman"/>
                <w:spacing w:val="-1"/>
                <w:lang w:val="sl-SI"/>
              </w:rPr>
              <w:t>Bolezni dihal, prsnega koša in mediastinalnega prostora</w:t>
            </w:r>
            <w:r w:rsidRPr="000B07F9">
              <w:rPr>
                <w:rFonts w:ascii="Times New Roman" w:eastAsia="Times New Roman" w:hAnsi="Times New Roman" w:cs="Times New Roman"/>
                <w:spacing w:val="-1"/>
              </w:rPr>
              <w:t>*</w:t>
            </w:r>
          </w:p>
        </w:tc>
        <w:tc>
          <w:tcPr>
            <w:tcW w:w="2076" w:type="dxa"/>
            <w:tcBorders>
              <w:top w:val="single" w:sz="5" w:space="0" w:color="000000"/>
              <w:left w:val="single" w:sz="5" w:space="0" w:color="000000"/>
              <w:bottom w:val="single" w:sz="5" w:space="0" w:color="000000"/>
              <w:right w:val="single" w:sz="5" w:space="0" w:color="000000"/>
            </w:tcBorders>
          </w:tcPr>
          <w:p w14:paraId="274560ED"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2BA42224" w14:textId="77777777" w:rsidR="00616315" w:rsidRDefault="00616315" w:rsidP="00433A4B">
            <w:pPr>
              <w:pStyle w:val="TableParagraph"/>
              <w:ind w:left="99" w:right="3074"/>
              <w:rPr>
                <w:rFonts w:ascii="Times New Roman" w:eastAsia="Times New Roman" w:hAnsi="Times New Roman" w:cs="Times New Roman"/>
                <w:lang w:val="sl-SI"/>
              </w:rPr>
            </w:pPr>
            <w:r>
              <w:rPr>
                <w:rFonts w:ascii="Times New Roman" w:eastAsia="Times New Roman" w:hAnsi="Times New Roman" w:cs="Times New Roman"/>
                <w:spacing w:val="-1"/>
                <w:lang w:val="sl-SI"/>
              </w:rPr>
              <w:t>astma, dispneja, kašelj.</w:t>
            </w:r>
          </w:p>
        </w:tc>
      </w:tr>
      <w:tr w:rsidR="00616315" w:rsidRPr="00797234" w14:paraId="4E8A6B48" w14:textId="77777777" w:rsidTr="00433A4B">
        <w:tc>
          <w:tcPr>
            <w:tcW w:w="2599" w:type="dxa"/>
            <w:vMerge/>
            <w:tcBorders>
              <w:left w:val="single" w:sz="5" w:space="0" w:color="000000"/>
              <w:right w:val="single" w:sz="5" w:space="0" w:color="000000"/>
            </w:tcBorders>
          </w:tcPr>
          <w:p w14:paraId="7187E8DF"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5FDB611"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713E51CF"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pljučna embolija</w:t>
            </w:r>
            <w:r>
              <w:rPr>
                <w:rFonts w:ascii="Times New Roman" w:eastAsia="Times New Roman" w:hAnsi="Times New Roman" w:cs="Times New Roman"/>
                <w:spacing w:val="-1"/>
                <w:vertAlign w:val="superscript"/>
                <w:lang w:val="sl-SI"/>
              </w:rPr>
              <w:t>1),</w:t>
            </w:r>
          </w:p>
          <w:p w14:paraId="7ED575C5"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intersticijska pljučna bolezen,</w:t>
            </w:r>
          </w:p>
          <w:p w14:paraId="5E140545" w14:textId="77777777" w:rsidR="00616315" w:rsidRDefault="00616315" w:rsidP="00433A4B">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kronična obstruktivna pljučna bolezen, </w:t>
            </w:r>
          </w:p>
          <w:p w14:paraId="411B07E6"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pnevmonitis,</w:t>
            </w:r>
          </w:p>
          <w:p w14:paraId="450AE89B"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plevralni izliv</w:t>
            </w:r>
            <w:r>
              <w:rPr>
                <w:rFonts w:ascii="Times New Roman" w:eastAsia="Times New Roman" w:hAnsi="Times New Roman" w:cs="Times New Roman"/>
                <w:spacing w:val="-1"/>
                <w:vertAlign w:val="superscript"/>
                <w:lang w:val="sl-SI"/>
              </w:rPr>
              <w:t>1)</w:t>
            </w:r>
          </w:p>
        </w:tc>
      </w:tr>
      <w:tr w:rsidR="00616315" w14:paraId="4D06C442" w14:textId="77777777" w:rsidTr="00433A4B">
        <w:tc>
          <w:tcPr>
            <w:tcW w:w="2599" w:type="dxa"/>
            <w:vMerge/>
            <w:tcBorders>
              <w:left w:val="single" w:sz="5" w:space="0" w:color="000000"/>
              <w:bottom w:val="single" w:sz="5" w:space="0" w:color="000000"/>
              <w:right w:val="single" w:sz="5" w:space="0" w:color="000000"/>
            </w:tcBorders>
          </w:tcPr>
          <w:p w14:paraId="2F42955B"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286882A0"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4C68014D"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pljučna fibroza</w:t>
            </w:r>
            <w:r>
              <w:rPr>
                <w:rFonts w:ascii="Times New Roman" w:eastAsia="Times New Roman" w:hAnsi="Times New Roman" w:cs="Times New Roman"/>
                <w:spacing w:val="-1"/>
                <w:vertAlign w:val="superscript"/>
                <w:lang w:val="sl-SI"/>
              </w:rPr>
              <w:t>1)</w:t>
            </w:r>
          </w:p>
        </w:tc>
      </w:tr>
      <w:tr w:rsidR="00616315" w:rsidRPr="00AC7013" w14:paraId="6D521B7B" w14:textId="77777777" w:rsidTr="00433A4B">
        <w:tc>
          <w:tcPr>
            <w:tcW w:w="2599" w:type="dxa"/>
            <w:vMerge w:val="restart"/>
            <w:tcBorders>
              <w:top w:val="single" w:sz="5" w:space="0" w:color="000000"/>
              <w:left w:val="single" w:sz="5" w:space="0" w:color="000000"/>
              <w:right w:val="single" w:sz="5" w:space="0" w:color="000000"/>
            </w:tcBorders>
          </w:tcPr>
          <w:p w14:paraId="17A3F74A"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Bolezni prebavil</w:t>
            </w:r>
          </w:p>
        </w:tc>
        <w:tc>
          <w:tcPr>
            <w:tcW w:w="2076" w:type="dxa"/>
            <w:tcBorders>
              <w:top w:val="single" w:sz="5" w:space="0" w:color="000000"/>
              <w:left w:val="single" w:sz="5" w:space="0" w:color="000000"/>
              <w:bottom w:val="single" w:sz="5" w:space="0" w:color="000000"/>
              <w:right w:val="single" w:sz="5" w:space="0" w:color="000000"/>
            </w:tcBorders>
          </w:tcPr>
          <w:p w14:paraId="08528729"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6117E8FD" w14:textId="77777777" w:rsidR="00616315" w:rsidRDefault="00616315" w:rsidP="00433A4B">
            <w:pPr>
              <w:pStyle w:val="TableParagraph"/>
              <w:ind w:left="99" w:right="2425"/>
              <w:rPr>
                <w:rFonts w:ascii="Times New Roman" w:eastAsia="Times New Roman" w:hAnsi="Times New Roman" w:cs="Times New Roman"/>
                <w:lang w:val="sl-SI"/>
              </w:rPr>
            </w:pPr>
            <w:r>
              <w:rPr>
                <w:rFonts w:ascii="Times New Roman" w:eastAsia="Times New Roman" w:hAnsi="Times New Roman" w:cs="Times New Roman"/>
                <w:spacing w:val="-1"/>
                <w:lang w:val="sl-SI"/>
              </w:rPr>
              <w:t>bolečine v trebuhu, navzea in bruhanje</w:t>
            </w:r>
          </w:p>
        </w:tc>
      </w:tr>
      <w:tr w:rsidR="00616315" w:rsidRPr="00652F18" w14:paraId="5298CADD" w14:textId="77777777" w:rsidTr="00433A4B">
        <w:tc>
          <w:tcPr>
            <w:tcW w:w="2599" w:type="dxa"/>
            <w:vMerge/>
            <w:tcBorders>
              <w:left w:val="single" w:sz="5" w:space="0" w:color="000000"/>
              <w:right w:val="single" w:sz="5" w:space="0" w:color="000000"/>
            </w:tcBorders>
          </w:tcPr>
          <w:p w14:paraId="01F53B44"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37EF63AA"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75CF40EE"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krvavitev v prebavilih,</w:t>
            </w:r>
          </w:p>
          <w:p w14:paraId="2AFAE8F1"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dispepsija,</w:t>
            </w:r>
          </w:p>
          <w:p w14:paraId="76C73067" w14:textId="77777777" w:rsidR="00616315" w:rsidRDefault="00616315" w:rsidP="00433A4B">
            <w:pPr>
              <w:pStyle w:val="TableParagraph"/>
              <w:ind w:left="99" w:right="1237"/>
              <w:rPr>
                <w:rFonts w:ascii="Times New Roman" w:eastAsia="Times New Roman" w:hAnsi="Times New Roman" w:cs="Times New Roman"/>
                <w:lang w:val="sl-SI"/>
              </w:rPr>
            </w:pPr>
            <w:r>
              <w:rPr>
                <w:rFonts w:ascii="Times New Roman" w:eastAsia="Times New Roman" w:hAnsi="Times New Roman" w:cs="Times New Roman"/>
                <w:spacing w:val="-1"/>
                <w:lang w:val="sl-SI"/>
              </w:rPr>
              <w:t>gastroezofagealna refluksna bolezen, Sjögrenov sindrom</w:t>
            </w:r>
          </w:p>
        </w:tc>
      </w:tr>
      <w:tr w:rsidR="00616315" w14:paraId="2CC908DC" w14:textId="77777777" w:rsidTr="00433A4B">
        <w:tc>
          <w:tcPr>
            <w:tcW w:w="2599" w:type="dxa"/>
            <w:vMerge/>
            <w:tcBorders>
              <w:left w:val="single" w:sz="5" w:space="0" w:color="000000"/>
              <w:right w:val="single" w:sz="5" w:space="0" w:color="000000"/>
            </w:tcBorders>
          </w:tcPr>
          <w:p w14:paraId="4AAB6C68"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2D6AAFBE"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70E4DD51"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pankreatitis,</w:t>
            </w:r>
          </w:p>
          <w:p w14:paraId="170B6FB4" w14:textId="77777777" w:rsidR="00616315" w:rsidRDefault="00616315" w:rsidP="00433A4B">
            <w:pPr>
              <w:pStyle w:val="TableParagraph"/>
              <w:ind w:left="99" w:right="3183"/>
              <w:rPr>
                <w:rFonts w:ascii="Times New Roman" w:eastAsia="Times New Roman" w:hAnsi="Times New Roman" w:cs="Times New Roman"/>
                <w:lang w:val="sl-SI"/>
              </w:rPr>
            </w:pPr>
            <w:r>
              <w:rPr>
                <w:rFonts w:ascii="Times New Roman" w:eastAsia="Times New Roman" w:hAnsi="Times New Roman" w:cs="Times New Roman"/>
                <w:spacing w:val="-1"/>
                <w:lang w:val="sl-SI"/>
              </w:rPr>
              <w:t>disfagija, edem obraza</w:t>
            </w:r>
          </w:p>
        </w:tc>
      </w:tr>
      <w:tr w:rsidR="00616315" w14:paraId="65847938" w14:textId="77777777" w:rsidTr="00433A4B">
        <w:tc>
          <w:tcPr>
            <w:tcW w:w="2599" w:type="dxa"/>
            <w:vMerge/>
            <w:tcBorders>
              <w:left w:val="single" w:sz="5" w:space="0" w:color="000000"/>
              <w:bottom w:val="single" w:sz="5" w:space="0" w:color="000000"/>
              <w:right w:val="single" w:sz="5" w:space="0" w:color="000000"/>
            </w:tcBorders>
          </w:tcPr>
          <w:p w14:paraId="3765A9CD"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522FFB0F"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15BF4345"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4"/>
                <w:lang w:val="sl-SI"/>
              </w:rPr>
              <w:t>perforacija črevesja</w:t>
            </w:r>
            <w:r>
              <w:rPr>
                <w:rFonts w:ascii="Times New Roman" w:eastAsia="Times New Roman" w:hAnsi="Times New Roman" w:cs="Times New Roman"/>
                <w:spacing w:val="-4"/>
                <w:vertAlign w:val="superscript"/>
                <w:lang w:val="sl-SI"/>
              </w:rPr>
              <w:t>1)</w:t>
            </w:r>
          </w:p>
        </w:tc>
      </w:tr>
      <w:tr w:rsidR="00616315" w:rsidRPr="00BC4B06" w14:paraId="7210B6C7" w14:textId="77777777" w:rsidTr="00433A4B">
        <w:tc>
          <w:tcPr>
            <w:tcW w:w="2599" w:type="dxa"/>
            <w:vMerge w:val="restart"/>
            <w:tcBorders>
              <w:top w:val="single" w:sz="5" w:space="0" w:color="000000"/>
              <w:left w:val="single" w:sz="5" w:space="0" w:color="000000"/>
              <w:right w:val="single" w:sz="5" w:space="0" w:color="000000"/>
            </w:tcBorders>
          </w:tcPr>
          <w:p w14:paraId="262B3A4E"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Bolezni jeter, žolčnika in žolčevodov*</w:t>
            </w:r>
          </w:p>
        </w:tc>
        <w:tc>
          <w:tcPr>
            <w:tcW w:w="2076" w:type="dxa"/>
            <w:tcBorders>
              <w:top w:val="single" w:sz="5" w:space="0" w:color="000000"/>
              <w:left w:val="single" w:sz="5" w:space="0" w:color="000000"/>
              <w:bottom w:val="single" w:sz="5" w:space="0" w:color="000000"/>
              <w:right w:val="single" w:sz="5" w:space="0" w:color="000000"/>
            </w:tcBorders>
          </w:tcPr>
          <w:p w14:paraId="63687775"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39BBBB64"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zvečanje vrednosti jetrnih encimov</w:t>
            </w:r>
          </w:p>
        </w:tc>
      </w:tr>
      <w:tr w:rsidR="00616315" w14:paraId="60B1CA86" w14:textId="77777777" w:rsidTr="00433A4B">
        <w:tc>
          <w:tcPr>
            <w:tcW w:w="2599" w:type="dxa"/>
            <w:vMerge/>
            <w:tcBorders>
              <w:left w:val="single" w:sz="5" w:space="0" w:color="000000"/>
              <w:right w:val="single" w:sz="5" w:space="0" w:color="000000"/>
            </w:tcBorders>
          </w:tcPr>
          <w:p w14:paraId="0640ED21"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3D5AFC8"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37C54640"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vnetje žolčnika in holelitiaza,</w:t>
            </w:r>
          </w:p>
          <w:p w14:paraId="2624E0BD"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 xml:space="preserve">jetrna steatoza, </w:t>
            </w:r>
          </w:p>
          <w:p w14:paraId="6FCE842E"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zvečanje vrednosti bilirubina</w:t>
            </w:r>
          </w:p>
        </w:tc>
      </w:tr>
      <w:tr w:rsidR="00616315" w14:paraId="3FD77C59" w14:textId="77777777" w:rsidTr="00433A4B">
        <w:tc>
          <w:tcPr>
            <w:tcW w:w="2599" w:type="dxa"/>
            <w:vMerge/>
            <w:tcBorders>
              <w:left w:val="single" w:sz="5" w:space="0" w:color="000000"/>
              <w:right w:val="single" w:sz="5" w:space="0" w:color="000000"/>
            </w:tcBorders>
          </w:tcPr>
          <w:p w14:paraId="1FB37396"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right w:val="single" w:sz="5" w:space="0" w:color="000000"/>
            </w:tcBorders>
          </w:tcPr>
          <w:p w14:paraId="42661377"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right w:val="single" w:sz="5" w:space="0" w:color="000000"/>
            </w:tcBorders>
          </w:tcPr>
          <w:p w14:paraId="61058B21"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hepatitis,</w:t>
            </w:r>
          </w:p>
          <w:p w14:paraId="2CB75518"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reaktivacija hepatitisa B</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w:t>
            </w:r>
          </w:p>
          <w:p w14:paraId="104846F9"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avtoimunski hepatitis</w:t>
            </w:r>
            <w:r>
              <w:rPr>
                <w:rFonts w:ascii="Times New Roman" w:eastAsia="Times New Roman" w:hAnsi="Times New Roman" w:cs="Times New Roman"/>
                <w:spacing w:val="-1"/>
                <w:vertAlign w:val="superscript"/>
                <w:lang w:val="sl-SI"/>
              </w:rPr>
              <w:t>1)</w:t>
            </w:r>
          </w:p>
        </w:tc>
      </w:tr>
      <w:tr w:rsidR="00616315" w14:paraId="24C46C1C" w14:textId="77777777" w:rsidTr="00433A4B">
        <w:tc>
          <w:tcPr>
            <w:tcW w:w="2599" w:type="dxa"/>
            <w:vMerge/>
            <w:tcBorders>
              <w:left w:val="single" w:sz="5" w:space="0" w:color="000000"/>
              <w:bottom w:val="single" w:sz="5" w:space="0" w:color="000000"/>
              <w:right w:val="single" w:sz="5" w:space="0" w:color="000000"/>
            </w:tcBorders>
          </w:tcPr>
          <w:p w14:paraId="48CA3D85"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11A6F355"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Neznana pogostnost</w:t>
            </w:r>
          </w:p>
        </w:tc>
        <w:tc>
          <w:tcPr>
            <w:tcW w:w="4574" w:type="dxa"/>
            <w:tcBorders>
              <w:top w:val="single" w:sz="5" w:space="0" w:color="000000"/>
              <w:left w:val="single" w:sz="5" w:space="0" w:color="000000"/>
              <w:bottom w:val="single" w:sz="5" w:space="0" w:color="000000"/>
              <w:right w:val="single" w:sz="5" w:space="0" w:color="000000"/>
            </w:tcBorders>
          </w:tcPr>
          <w:p w14:paraId="4CD1B974"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odpoved jeter</w:t>
            </w:r>
            <w:r>
              <w:rPr>
                <w:rFonts w:ascii="Times New Roman" w:eastAsia="Times New Roman" w:hAnsi="Times New Roman" w:cs="Times New Roman"/>
                <w:spacing w:val="-1"/>
                <w:vertAlign w:val="superscript"/>
                <w:lang w:val="sl-SI"/>
              </w:rPr>
              <w:t>1)</w:t>
            </w:r>
          </w:p>
        </w:tc>
      </w:tr>
      <w:tr w:rsidR="00616315" w:rsidRPr="00652F18" w14:paraId="2432D9B5" w14:textId="77777777" w:rsidTr="00433A4B">
        <w:tc>
          <w:tcPr>
            <w:tcW w:w="2599" w:type="dxa"/>
            <w:vMerge w:val="restart"/>
            <w:tcBorders>
              <w:top w:val="single" w:sz="5" w:space="0" w:color="000000"/>
              <w:left w:val="single" w:sz="5" w:space="0" w:color="000000"/>
              <w:right w:val="single" w:sz="5" w:space="0" w:color="000000"/>
            </w:tcBorders>
          </w:tcPr>
          <w:p w14:paraId="1E744744" w14:textId="77777777" w:rsidR="00616315" w:rsidRDefault="00616315" w:rsidP="00433A4B">
            <w:pPr>
              <w:pStyle w:val="TableParagraph"/>
              <w:ind w:left="102" w:right="11"/>
              <w:rPr>
                <w:rFonts w:ascii="Times New Roman" w:eastAsia="Times New Roman" w:hAnsi="Times New Roman" w:cs="Times New Roman"/>
                <w:lang w:val="sl-SI"/>
              </w:rPr>
            </w:pPr>
            <w:r>
              <w:rPr>
                <w:rFonts w:ascii="Times New Roman" w:eastAsia="Times New Roman" w:hAnsi="Times New Roman" w:cs="Times New Roman"/>
                <w:spacing w:val="-1"/>
                <w:lang w:val="sl-SI"/>
              </w:rPr>
              <w:t>Bolezni kože in podkožja</w:t>
            </w:r>
          </w:p>
        </w:tc>
        <w:tc>
          <w:tcPr>
            <w:tcW w:w="2076" w:type="dxa"/>
            <w:tcBorders>
              <w:top w:val="single" w:sz="5" w:space="0" w:color="000000"/>
              <w:left w:val="single" w:sz="5" w:space="0" w:color="000000"/>
              <w:bottom w:val="single" w:sz="5" w:space="0" w:color="000000"/>
              <w:right w:val="single" w:sz="5" w:space="0" w:color="000000"/>
            </w:tcBorders>
          </w:tcPr>
          <w:p w14:paraId="6DDEAE0D"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12C82B53"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izpuščaj (vključno z eksfoliativnim izpuščajem)</w:t>
            </w:r>
          </w:p>
        </w:tc>
      </w:tr>
      <w:tr w:rsidR="00616315" w14:paraId="118AD4EA" w14:textId="77777777" w:rsidTr="00433A4B">
        <w:tc>
          <w:tcPr>
            <w:tcW w:w="2599" w:type="dxa"/>
            <w:vMerge/>
            <w:tcBorders>
              <w:left w:val="single" w:sz="5" w:space="0" w:color="000000"/>
              <w:right w:val="single" w:sz="5" w:space="0" w:color="000000"/>
            </w:tcBorders>
          </w:tcPr>
          <w:p w14:paraId="4DD6C454"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4336A09C"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21BC4F33" w14:textId="77777777" w:rsidR="00616315" w:rsidRDefault="00616315" w:rsidP="00433A4B">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lang w:val="sl-SI"/>
              </w:rPr>
              <w:t xml:space="preserve">poslabšanje ali nov pojav psoriaze (vključno s </w:t>
            </w:r>
            <w:r>
              <w:rPr>
                <w:rFonts w:ascii="Times New Roman" w:eastAsia="Times New Roman" w:hAnsi="Times New Roman" w:cs="Times New Roman"/>
                <w:spacing w:val="-1"/>
                <w:lang w:val="sl-SI"/>
              </w:rPr>
              <w:t xml:space="preserve">palmoplantarno pustularno psoriazo </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 xml:space="preserve">, </w:t>
            </w:r>
          </w:p>
          <w:p w14:paraId="503718CA"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urtikarija,</w:t>
            </w:r>
          </w:p>
          <w:p w14:paraId="6CBEDF3D"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modrice (vključno s purpuro),</w:t>
            </w:r>
          </w:p>
          <w:p w14:paraId="7187098A" w14:textId="77777777" w:rsidR="00616315" w:rsidRDefault="00616315" w:rsidP="00433A4B">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dermatitis (vključno z ekcemom), </w:t>
            </w:r>
          </w:p>
          <w:p w14:paraId="6485E000"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lomljenje nohtov,</w:t>
            </w:r>
          </w:p>
          <w:p w14:paraId="7EEF5D5A"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hiperhidroza,</w:t>
            </w:r>
          </w:p>
          <w:p w14:paraId="3FDD417A" w14:textId="77777777" w:rsidR="00616315" w:rsidRDefault="00616315" w:rsidP="00433A4B">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alopecija</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 xml:space="preserve">, </w:t>
            </w:r>
          </w:p>
          <w:p w14:paraId="2625C1DC"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pruritus</w:t>
            </w:r>
          </w:p>
        </w:tc>
      </w:tr>
      <w:tr w:rsidR="00616315" w:rsidRPr="00652F18" w14:paraId="5C0C08CF" w14:textId="77777777" w:rsidTr="00433A4B">
        <w:tc>
          <w:tcPr>
            <w:tcW w:w="2599" w:type="dxa"/>
            <w:vMerge/>
            <w:tcBorders>
              <w:left w:val="single" w:sz="5" w:space="0" w:color="000000"/>
              <w:right w:val="single" w:sz="5" w:space="0" w:color="000000"/>
            </w:tcBorders>
          </w:tcPr>
          <w:p w14:paraId="1616CD22"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3C846B4"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354D2775"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nočno znojenje,</w:t>
            </w:r>
          </w:p>
          <w:p w14:paraId="6BEF7297"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brazgotinjenje</w:t>
            </w:r>
          </w:p>
        </w:tc>
      </w:tr>
      <w:tr w:rsidR="00616315" w:rsidRPr="00652F18" w14:paraId="14561FDA" w14:textId="77777777" w:rsidTr="00433A4B">
        <w:tc>
          <w:tcPr>
            <w:tcW w:w="2599" w:type="dxa"/>
            <w:vMerge/>
            <w:tcBorders>
              <w:left w:val="single" w:sz="5" w:space="0" w:color="000000"/>
              <w:right w:val="single" w:sz="5" w:space="0" w:color="000000"/>
            </w:tcBorders>
          </w:tcPr>
          <w:p w14:paraId="54BAD413"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1E66C5CE"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67BF2EB3" w14:textId="77777777" w:rsidR="00616315" w:rsidRDefault="00616315" w:rsidP="00433A4B">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multiformni eritem </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 xml:space="preserve">, </w:t>
            </w:r>
          </w:p>
          <w:p w14:paraId="2C6F7214" w14:textId="77777777" w:rsidR="00616315" w:rsidRDefault="00616315" w:rsidP="00433A4B">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Stevens-Johnsonov sindrom</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 xml:space="preserve">, </w:t>
            </w:r>
          </w:p>
          <w:p w14:paraId="4A783611"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angioedem</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w:t>
            </w:r>
          </w:p>
          <w:p w14:paraId="00BF0AFD" w14:textId="77777777" w:rsidR="00616315" w:rsidRDefault="00616315" w:rsidP="00433A4B">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kožni vaskulitis</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w:t>
            </w:r>
          </w:p>
          <w:p w14:paraId="3C153319"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lihenoidna kožna reakcija</w:t>
            </w:r>
            <w:r>
              <w:rPr>
                <w:rFonts w:ascii="Times New Roman" w:eastAsia="Times New Roman" w:hAnsi="Times New Roman" w:cs="Times New Roman"/>
                <w:spacing w:val="-1"/>
                <w:vertAlign w:val="superscript"/>
                <w:lang w:val="sl-SI"/>
              </w:rPr>
              <w:t>1)</w:t>
            </w:r>
          </w:p>
        </w:tc>
      </w:tr>
      <w:tr w:rsidR="00616315" w14:paraId="66F76A06" w14:textId="77777777" w:rsidTr="00433A4B">
        <w:tc>
          <w:tcPr>
            <w:tcW w:w="2599" w:type="dxa"/>
            <w:vMerge/>
            <w:tcBorders>
              <w:left w:val="single" w:sz="5" w:space="0" w:color="000000"/>
              <w:bottom w:val="single" w:sz="5" w:space="0" w:color="000000"/>
              <w:right w:val="single" w:sz="5" w:space="0" w:color="000000"/>
            </w:tcBorders>
          </w:tcPr>
          <w:p w14:paraId="47109E00"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638A3B7E"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Neznana pogostnost</w:t>
            </w:r>
          </w:p>
        </w:tc>
        <w:tc>
          <w:tcPr>
            <w:tcW w:w="4574" w:type="dxa"/>
            <w:tcBorders>
              <w:top w:val="single" w:sz="5" w:space="0" w:color="000000"/>
              <w:left w:val="single" w:sz="5" w:space="0" w:color="000000"/>
              <w:bottom w:val="single" w:sz="5" w:space="0" w:color="000000"/>
              <w:right w:val="single" w:sz="5" w:space="0" w:color="000000"/>
            </w:tcBorders>
          </w:tcPr>
          <w:p w14:paraId="49193447"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poslabšanje simptomov dermatomiozitisa</w:t>
            </w:r>
            <w:r>
              <w:rPr>
                <w:rFonts w:ascii="Times New Roman" w:eastAsia="Times New Roman" w:hAnsi="Times New Roman" w:cs="Times New Roman"/>
                <w:vertAlign w:val="superscript"/>
                <w:lang w:val="sl-SI"/>
              </w:rPr>
              <w:t>1)</w:t>
            </w:r>
          </w:p>
        </w:tc>
      </w:tr>
      <w:tr w:rsidR="00616315" w14:paraId="54316B48" w14:textId="77777777" w:rsidTr="00433A4B">
        <w:tc>
          <w:tcPr>
            <w:tcW w:w="2599" w:type="dxa"/>
            <w:vMerge w:val="restart"/>
            <w:tcBorders>
              <w:top w:val="single" w:sz="5" w:space="0" w:color="000000"/>
              <w:left w:val="single" w:sz="5" w:space="0" w:color="000000"/>
              <w:right w:val="single" w:sz="5" w:space="0" w:color="000000"/>
            </w:tcBorders>
          </w:tcPr>
          <w:p w14:paraId="3CAB470A"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Bolezni mišično-skeletnega sistema in vezivnega tkiva</w:t>
            </w:r>
          </w:p>
        </w:tc>
        <w:tc>
          <w:tcPr>
            <w:tcW w:w="2076" w:type="dxa"/>
            <w:tcBorders>
              <w:top w:val="single" w:sz="5" w:space="0" w:color="000000"/>
              <w:left w:val="single" w:sz="5" w:space="0" w:color="000000"/>
              <w:bottom w:val="single" w:sz="5" w:space="0" w:color="000000"/>
              <w:right w:val="single" w:sz="5" w:space="0" w:color="000000"/>
            </w:tcBorders>
          </w:tcPr>
          <w:p w14:paraId="11D122D4"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1F31CA7A"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mišičnoskeletne bolečine</w:t>
            </w:r>
          </w:p>
        </w:tc>
      </w:tr>
      <w:tr w:rsidR="00616315" w:rsidRPr="00652F18" w14:paraId="21F664AB" w14:textId="77777777" w:rsidTr="00433A4B">
        <w:tc>
          <w:tcPr>
            <w:tcW w:w="2599" w:type="dxa"/>
            <w:vMerge/>
            <w:tcBorders>
              <w:left w:val="single" w:sz="5" w:space="0" w:color="000000"/>
              <w:right w:val="single" w:sz="5" w:space="0" w:color="000000"/>
            </w:tcBorders>
          </w:tcPr>
          <w:p w14:paraId="06ED9582"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638D425D"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3D37D515"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mišični krči (vključno s zvečanjem vrednosti kreatin-fosfokinaze v krvi)</w:t>
            </w:r>
          </w:p>
        </w:tc>
      </w:tr>
      <w:tr w:rsidR="00616315" w14:paraId="1D3A06DD" w14:textId="77777777" w:rsidTr="00433A4B">
        <w:tc>
          <w:tcPr>
            <w:tcW w:w="2599" w:type="dxa"/>
            <w:vMerge/>
            <w:tcBorders>
              <w:left w:val="single" w:sz="5" w:space="0" w:color="000000"/>
              <w:right w:val="single" w:sz="5" w:space="0" w:color="000000"/>
            </w:tcBorders>
          </w:tcPr>
          <w:p w14:paraId="0480A607"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566E0CF8"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56F4694C"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rabdomioliza, </w:t>
            </w:r>
          </w:p>
          <w:p w14:paraId="79787554"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sistemski eritematozni lupus</w:t>
            </w:r>
          </w:p>
        </w:tc>
      </w:tr>
      <w:tr w:rsidR="00616315" w14:paraId="22880A4D" w14:textId="77777777" w:rsidTr="00433A4B">
        <w:tc>
          <w:tcPr>
            <w:tcW w:w="2599" w:type="dxa"/>
            <w:vMerge/>
            <w:tcBorders>
              <w:left w:val="single" w:sz="5" w:space="0" w:color="000000"/>
              <w:bottom w:val="single" w:sz="5" w:space="0" w:color="000000"/>
              <w:right w:val="single" w:sz="5" w:space="0" w:color="000000"/>
            </w:tcBorders>
          </w:tcPr>
          <w:p w14:paraId="5625FCC3"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A5EB2B0"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6DF9C85A"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lupusu podoben sindrom</w:t>
            </w:r>
            <w:r>
              <w:rPr>
                <w:rFonts w:ascii="Times New Roman" w:eastAsia="Times New Roman" w:hAnsi="Times New Roman" w:cs="Times New Roman"/>
                <w:spacing w:val="-1"/>
                <w:vertAlign w:val="superscript"/>
                <w:lang w:val="sl-SI"/>
              </w:rPr>
              <w:t>1)</w:t>
            </w:r>
          </w:p>
        </w:tc>
      </w:tr>
      <w:tr w:rsidR="00616315" w14:paraId="65043E25" w14:textId="77777777" w:rsidTr="00433A4B">
        <w:tc>
          <w:tcPr>
            <w:tcW w:w="2599" w:type="dxa"/>
            <w:vMerge w:val="restart"/>
            <w:tcBorders>
              <w:top w:val="single" w:sz="5" w:space="0" w:color="000000"/>
              <w:left w:val="single" w:sz="5" w:space="0" w:color="000000"/>
              <w:right w:val="single" w:sz="5" w:space="0" w:color="000000"/>
            </w:tcBorders>
          </w:tcPr>
          <w:p w14:paraId="57FFEB23" w14:textId="77777777" w:rsidR="00616315" w:rsidRDefault="00616315" w:rsidP="00433A4B">
            <w:pPr>
              <w:pStyle w:val="TableParagraph"/>
              <w:ind w:left="102" w:right="196"/>
              <w:rPr>
                <w:rFonts w:ascii="Times New Roman" w:eastAsia="Times New Roman" w:hAnsi="Times New Roman" w:cs="Times New Roman"/>
                <w:lang w:val="sl-SI"/>
              </w:rPr>
            </w:pPr>
            <w:r>
              <w:rPr>
                <w:rFonts w:ascii="Times New Roman" w:eastAsia="Times New Roman" w:hAnsi="Times New Roman" w:cs="Times New Roman"/>
                <w:spacing w:val="-1"/>
                <w:lang w:val="sl-SI"/>
              </w:rPr>
              <w:t>Bolezni sečil</w:t>
            </w:r>
          </w:p>
        </w:tc>
        <w:tc>
          <w:tcPr>
            <w:tcW w:w="2076" w:type="dxa"/>
            <w:tcBorders>
              <w:top w:val="single" w:sz="5" w:space="0" w:color="000000"/>
              <w:left w:val="single" w:sz="5" w:space="0" w:color="000000"/>
              <w:bottom w:val="single" w:sz="5" w:space="0" w:color="000000"/>
              <w:right w:val="single" w:sz="5" w:space="0" w:color="000000"/>
            </w:tcBorders>
          </w:tcPr>
          <w:p w14:paraId="0FEC7C47"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7E686C1B" w14:textId="77777777" w:rsidR="00616315" w:rsidRDefault="00616315" w:rsidP="00433A4B">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okvara ledvic, </w:t>
            </w:r>
          </w:p>
          <w:p w14:paraId="0708507B"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hematurija</w:t>
            </w:r>
          </w:p>
        </w:tc>
      </w:tr>
      <w:tr w:rsidR="00616315" w14:paraId="1F193C15" w14:textId="77777777" w:rsidTr="00433A4B">
        <w:tc>
          <w:tcPr>
            <w:tcW w:w="2599" w:type="dxa"/>
            <w:vMerge/>
            <w:tcBorders>
              <w:left w:val="single" w:sz="5" w:space="0" w:color="000000"/>
              <w:bottom w:val="single" w:sz="5" w:space="0" w:color="000000"/>
              <w:right w:val="single" w:sz="5" w:space="0" w:color="000000"/>
            </w:tcBorders>
          </w:tcPr>
          <w:p w14:paraId="6ED10BDF"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64C16292"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69EF5EEB"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nokturija</w:t>
            </w:r>
          </w:p>
        </w:tc>
      </w:tr>
      <w:tr w:rsidR="00616315" w14:paraId="69B7CAC4" w14:textId="77777777" w:rsidTr="00433A4B">
        <w:tc>
          <w:tcPr>
            <w:tcW w:w="2599" w:type="dxa"/>
            <w:tcBorders>
              <w:top w:val="single" w:sz="5" w:space="0" w:color="000000"/>
              <w:left w:val="single" w:sz="5" w:space="0" w:color="000000"/>
              <w:bottom w:val="single" w:sz="5" w:space="0" w:color="000000"/>
              <w:right w:val="single" w:sz="5" w:space="0" w:color="000000"/>
            </w:tcBorders>
          </w:tcPr>
          <w:p w14:paraId="2622BBE2"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Motnje reprodukcije in dojk</w:t>
            </w:r>
          </w:p>
        </w:tc>
        <w:tc>
          <w:tcPr>
            <w:tcW w:w="2076" w:type="dxa"/>
            <w:tcBorders>
              <w:top w:val="single" w:sz="5" w:space="0" w:color="000000"/>
              <w:left w:val="single" w:sz="5" w:space="0" w:color="000000"/>
              <w:bottom w:val="single" w:sz="5" w:space="0" w:color="000000"/>
              <w:right w:val="single" w:sz="5" w:space="0" w:color="000000"/>
            </w:tcBorders>
          </w:tcPr>
          <w:p w14:paraId="1D8EA72B"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04AFDCD7"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erektilna disfunkcija</w:t>
            </w:r>
          </w:p>
        </w:tc>
      </w:tr>
      <w:tr w:rsidR="00616315" w:rsidRPr="00652F18" w14:paraId="2ED8663F" w14:textId="77777777" w:rsidTr="00433A4B">
        <w:tc>
          <w:tcPr>
            <w:tcW w:w="2599" w:type="dxa"/>
            <w:vMerge w:val="restart"/>
            <w:tcBorders>
              <w:top w:val="single" w:sz="5" w:space="0" w:color="000000"/>
              <w:left w:val="single" w:sz="5" w:space="0" w:color="000000"/>
              <w:right w:val="single" w:sz="5" w:space="0" w:color="000000"/>
            </w:tcBorders>
          </w:tcPr>
          <w:p w14:paraId="4AEAB6EA"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Splošne težave in spremembe na mestu aplikacije*</w:t>
            </w:r>
          </w:p>
        </w:tc>
        <w:tc>
          <w:tcPr>
            <w:tcW w:w="2076" w:type="dxa"/>
            <w:tcBorders>
              <w:top w:val="single" w:sz="5" w:space="0" w:color="000000"/>
              <w:left w:val="single" w:sz="5" w:space="0" w:color="000000"/>
              <w:right w:val="single" w:sz="5" w:space="0" w:color="000000"/>
            </w:tcBorders>
          </w:tcPr>
          <w:p w14:paraId="2978168F"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right w:val="single" w:sz="5" w:space="0" w:color="000000"/>
            </w:tcBorders>
          </w:tcPr>
          <w:p w14:paraId="7F0646D5"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4"/>
                <w:lang w:val="sl-SI"/>
              </w:rPr>
              <w:t xml:space="preserve">reakcija na mestu injiciranja (vključno z eritemom na mestu </w:t>
            </w:r>
            <w:r>
              <w:rPr>
                <w:rFonts w:ascii="Times New Roman" w:eastAsia="Times New Roman" w:hAnsi="Times New Roman" w:cs="Times New Roman"/>
                <w:spacing w:val="-1"/>
                <w:lang w:val="sl-SI"/>
              </w:rPr>
              <w:t>injiciranja)</w:t>
            </w:r>
          </w:p>
        </w:tc>
      </w:tr>
      <w:tr w:rsidR="00616315" w:rsidRPr="00652F18" w14:paraId="0ED8B1E7" w14:textId="77777777" w:rsidTr="00433A4B">
        <w:tc>
          <w:tcPr>
            <w:tcW w:w="2599" w:type="dxa"/>
            <w:vMerge/>
            <w:tcBorders>
              <w:left w:val="single" w:sz="5" w:space="0" w:color="000000"/>
              <w:right w:val="single" w:sz="5" w:space="0" w:color="000000"/>
            </w:tcBorders>
          </w:tcPr>
          <w:p w14:paraId="3ED744F2"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637CCB62"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459355C7"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bolečina v prsih,</w:t>
            </w:r>
          </w:p>
          <w:p w14:paraId="404E91B4" w14:textId="77777777" w:rsidR="00616315" w:rsidRDefault="00616315" w:rsidP="00433A4B">
            <w:pPr>
              <w:pStyle w:val="TableParagraph"/>
              <w:ind w:left="99" w:right="2976"/>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edem, </w:t>
            </w:r>
          </w:p>
          <w:p w14:paraId="21387B23" w14:textId="77777777" w:rsidR="00616315" w:rsidRDefault="00616315" w:rsidP="00433A4B">
            <w:pPr>
              <w:pStyle w:val="TableParagraph"/>
              <w:ind w:left="99" w:right="2976"/>
              <w:rPr>
                <w:rFonts w:ascii="Times New Roman" w:eastAsia="Times New Roman" w:hAnsi="Times New Roman" w:cs="Times New Roman"/>
                <w:lang w:val="sl-SI"/>
              </w:rPr>
            </w:pPr>
            <w:r>
              <w:rPr>
                <w:rFonts w:ascii="Times New Roman" w:eastAsia="Times New Roman" w:hAnsi="Times New Roman" w:cs="Times New Roman"/>
                <w:spacing w:val="-1"/>
                <w:lang w:val="sl-SI"/>
              </w:rPr>
              <w:t>pireksija</w:t>
            </w:r>
            <w:r>
              <w:rPr>
                <w:rFonts w:ascii="Times New Roman" w:eastAsia="Times New Roman" w:hAnsi="Times New Roman" w:cs="Times New Roman"/>
                <w:spacing w:val="-1"/>
                <w:vertAlign w:val="superscript"/>
                <w:lang w:val="sl-SI"/>
              </w:rPr>
              <w:t>1)</w:t>
            </w:r>
          </w:p>
        </w:tc>
      </w:tr>
      <w:tr w:rsidR="00616315" w14:paraId="04C639FE" w14:textId="77777777" w:rsidTr="00433A4B">
        <w:tc>
          <w:tcPr>
            <w:tcW w:w="2599" w:type="dxa"/>
            <w:vMerge/>
            <w:tcBorders>
              <w:left w:val="single" w:sz="5" w:space="0" w:color="000000"/>
              <w:bottom w:val="single" w:sz="5" w:space="0" w:color="000000"/>
              <w:right w:val="single" w:sz="5" w:space="0" w:color="000000"/>
            </w:tcBorders>
          </w:tcPr>
          <w:p w14:paraId="2A2DA9A2" w14:textId="77777777" w:rsidR="00616315" w:rsidRDefault="00616315" w:rsidP="00433A4B">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34D186F7"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653386C6"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4"/>
                <w:lang w:val="sl-SI"/>
              </w:rPr>
              <w:t>vnetje</w:t>
            </w:r>
          </w:p>
        </w:tc>
      </w:tr>
      <w:tr w:rsidR="00616315" w:rsidRPr="00652F18" w14:paraId="2DC1482F" w14:textId="77777777" w:rsidTr="00433A4B">
        <w:tc>
          <w:tcPr>
            <w:tcW w:w="2599" w:type="dxa"/>
            <w:vMerge w:val="restart"/>
            <w:tcBorders>
              <w:top w:val="single" w:sz="5" w:space="0" w:color="000000"/>
              <w:left w:val="single" w:sz="5" w:space="0" w:color="000000"/>
              <w:right w:val="single" w:sz="5" w:space="0" w:color="000000"/>
            </w:tcBorders>
          </w:tcPr>
          <w:p w14:paraId="43AB7381"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4"/>
                <w:lang w:val="sl-SI"/>
              </w:rPr>
              <w:t>Preiskave*</w:t>
            </w:r>
          </w:p>
          <w:p w14:paraId="237AF87A" w14:textId="77777777" w:rsidR="00616315" w:rsidRDefault="00616315" w:rsidP="00433A4B">
            <w:pPr>
              <w:pStyle w:val="TableParagraph"/>
              <w:ind w:left="102"/>
              <w:rPr>
                <w:rFonts w:ascii="Times New Roman" w:eastAsia="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3F9B2747"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3E3EA928"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koagulacije in motnje krvavitve (vključno s podaljšanim aktiviranim parcialnim tromboplastinskim časom),</w:t>
            </w:r>
          </w:p>
          <w:p w14:paraId="04EC3F9F"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pozitiven test avtoprotiteles (vključno s protitelesi proti dvoverižni DNA),</w:t>
            </w:r>
          </w:p>
          <w:p w14:paraId="7651734D"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zvečanje vrednosti laktat-dehidrogenaze v krvi</w:t>
            </w:r>
          </w:p>
        </w:tc>
      </w:tr>
      <w:tr w:rsidR="00616315" w14:paraId="1EDDCB1A" w14:textId="77777777" w:rsidTr="00433A4B">
        <w:tc>
          <w:tcPr>
            <w:tcW w:w="2599" w:type="dxa"/>
            <w:vMerge/>
            <w:tcBorders>
              <w:left w:val="single" w:sz="5" w:space="0" w:color="000000"/>
              <w:bottom w:val="single" w:sz="5" w:space="0" w:color="000000"/>
              <w:right w:val="single" w:sz="5" w:space="0" w:color="000000"/>
            </w:tcBorders>
          </w:tcPr>
          <w:p w14:paraId="6AFB0C9C" w14:textId="77777777" w:rsidR="00616315" w:rsidRDefault="00616315" w:rsidP="00433A4B">
            <w:pPr>
              <w:pStyle w:val="TableParagraph"/>
              <w:ind w:left="102"/>
              <w:rPr>
                <w:rFonts w:ascii="Times New Roman" w:eastAsia="Times New Roman" w:hAnsi="Times New Roman" w:cs="Times New Roman"/>
                <w:spacing w:val="-4"/>
                <w:lang w:val="sl-SI"/>
              </w:rPr>
            </w:pPr>
          </w:p>
        </w:tc>
        <w:tc>
          <w:tcPr>
            <w:tcW w:w="2076" w:type="dxa"/>
            <w:tcBorders>
              <w:top w:val="single" w:sz="5" w:space="0" w:color="000000"/>
              <w:left w:val="single" w:sz="5" w:space="0" w:color="000000"/>
              <w:bottom w:val="single" w:sz="5" w:space="0" w:color="000000"/>
              <w:right w:val="single" w:sz="5" w:space="0" w:color="000000"/>
            </w:tcBorders>
          </w:tcPr>
          <w:p w14:paraId="3C1FBF33" w14:textId="77777777" w:rsidR="00616315" w:rsidRDefault="00616315" w:rsidP="00433A4B">
            <w:pPr>
              <w:pStyle w:val="TableParagraph"/>
              <w:ind w:left="102"/>
              <w:rPr>
                <w:rFonts w:ascii="Times New Roman" w:eastAsia="Times New Roman" w:hAnsi="Times New Roman" w:cs="Times New Roman"/>
                <w:spacing w:val="-2"/>
                <w:lang w:val="sl-SI"/>
              </w:rPr>
            </w:pPr>
            <w:r>
              <w:rPr>
                <w:rFonts w:ascii="Times New Roman" w:eastAsia="Times New Roman" w:hAnsi="Times New Roman" w:cs="Times New Roman"/>
                <w:spacing w:val="-1"/>
                <w:lang w:val="sl-SI"/>
              </w:rPr>
              <w:t>Neznana pogostnost</w:t>
            </w:r>
          </w:p>
        </w:tc>
        <w:tc>
          <w:tcPr>
            <w:tcW w:w="4574" w:type="dxa"/>
            <w:tcBorders>
              <w:top w:val="single" w:sz="5" w:space="0" w:color="000000"/>
              <w:left w:val="single" w:sz="5" w:space="0" w:color="000000"/>
              <w:bottom w:val="single" w:sz="5" w:space="0" w:color="000000"/>
              <w:right w:val="single" w:sz="5" w:space="0" w:color="000000"/>
            </w:tcBorders>
          </w:tcPr>
          <w:p w14:paraId="28F6CB30" w14:textId="77777777" w:rsidR="00616315" w:rsidRDefault="00616315" w:rsidP="00433A4B">
            <w:pPr>
              <w:pStyle w:val="TableParagraph"/>
              <w:ind w:left="99"/>
              <w:rPr>
                <w:rFonts w:ascii="Times New Roman" w:eastAsia="Times New Roman" w:hAnsi="Times New Roman" w:cs="Times New Roman"/>
                <w:spacing w:val="-1"/>
                <w:lang w:val="sl-SI"/>
              </w:rPr>
            </w:pPr>
            <w:r w:rsidRPr="00907360">
              <w:rPr>
                <w:rFonts w:ascii="Times New Roman" w:eastAsia="Times New Roman" w:hAnsi="Times New Roman" w:cs="Times New Roman"/>
                <w:spacing w:val="-1"/>
                <w:lang w:val="sl-SI"/>
              </w:rPr>
              <w:t>povečana telesna masa</w:t>
            </w:r>
            <w:r w:rsidRPr="00DA5D63">
              <w:rPr>
                <w:rFonts w:ascii="Times New Roman" w:eastAsia="Times New Roman" w:hAnsi="Times New Roman" w:cs="Times New Roman"/>
                <w:spacing w:val="-1"/>
                <w:vertAlign w:val="superscript"/>
                <w:lang w:val="sl-SI"/>
              </w:rPr>
              <w:t>2)</w:t>
            </w:r>
          </w:p>
        </w:tc>
      </w:tr>
      <w:tr w:rsidR="00616315" w14:paraId="6D1244B8" w14:textId="77777777" w:rsidTr="00433A4B">
        <w:tc>
          <w:tcPr>
            <w:tcW w:w="2599" w:type="dxa"/>
            <w:tcBorders>
              <w:top w:val="single" w:sz="5" w:space="0" w:color="000000"/>
              <w:left w:val="single" w:sz="5" w:space="0" w:color="000000"/>
              <w:bottom w:val="single" w:sz="5" w:space="0" w:color="000000"/>
              <w:right w:val="single" w:sz="5" w:space="0" w:color="000000"/>
            </w:tcBorders>
          </w:tcPr>
          <w:p w14:paraId="3DC5760B"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Poškodbe, zastrupitve in zapleti pri posegih</w:t>
            </w:r>
          </w:p>
        </w:tc>
        <w:tc>
          <w:tcPr>
            <w:tcW w:w="2076" w:type="dxa"/>
            <w:tcBorders>
              <w:top w:val="single" w:sz="5" w:space="0" w:color="000000"/>
              <w:left w:val="single" w:sz="5" w:space="0" w:color="000000"/>
              <w:bottom w:val="single" w:sz="5" w:space="0" w:color="000000"/>
              <w:right w:val="single" w:sz="5" w:space="0" w:color="000000"/>
            </w:tcBorders>
          </w:tcPr>
          <w:p w14:paraId="5B4E566A"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67561937" w14:textId="77777777" w:rsidR="00616315" w:rsidRDefault="00616315" w:rsidP="00433A4B">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2"/>
                <w:lang w:val="sl-SI"/>
              </w:rPr>
              <w:t>slabše celjenje</w:t>
            </w:r>
          </w:p>
        </w:tc>
      </w:tr>
    </w:tbl>
    <w:p w14:paraId="70E33CB4" w14:textId="77777777" w:rsidR="00616315" w:rsidRDefault="00616315" w:rsidP="00616315">
      <w:pPr>
        <w:spacing w:before="1" w:line="150" w:lineRule="exact"/>
        <w:rPr>
          <w:sz w:val="15"/>
          <w:szCs w:val="15"/>
          <w:lang w:val="sl-SI"/>
        </w:rPr>
      </w:pPr>
    </w:p>
    <w:p w14:paraId="589CBAF4" w14:textId="77777777" w:rsidR="00616315" w:rsidRDefault="00616315" w:rsidP="00616315">
      <w:pPr>
        <w:pStyle w:val="a3"/>
        <w:numPr>
          <w:ilvl w:val="0"/>
          <w:numId w:val="0"/>
        </w:numPr>
        <w:rPr>
          <w:lang w:val="sl-SI"/>
        </w:rPr>
      </w:pPr>
      <w:r>
        <w:rPr>
          <w:rFonts w:eastAsia="Times New Roman"/>
          <w:lang w:val="sl-SI"/>
        </w:rPr>
        <w:t>* Dodatne informacije lahko najdete drugje v poglavjih 4.3, 4.4 in 4.8.</w:t>
      </w:r>
    </w:p>
    <w:p w14:paraId="0FBCFC55" w14:textId="77777777" w:rsidR="00616315" w:rsidRDefault="00616315" w:rsidP="00616315">
      <w:pPr>
        <w:pStyle w:val="a3"/>
        <w:rPr>
          <w:lang w:val="sl-SI"/>
        </w:rPr>
      </w:pPr>
      <w:r>
        <w:rPr>
          <w:rFonts w:eastAsia="Times New Roman"/>
          <w:lang w:val="sl-SI"/>
        </w:rPr>
        <w:t>** vključno z odprtimi podaljšanimi študijami</w:t>
      </w:r>
    </w:p>
    <w:p w14:paraId="60290C9D" w14:textId="77777777" w:rsidR="00616315" w:rsidRDefault="00616315" w:rsidP="00616315">
      <w:pPr>
        <w:pStyle w:val="a3"/>
        <w:rPr>
          <w:rFonts w:eastAsia="Times New Roman"/>
          <w:position w:val="8"/>
          <w:lang w:val="sl-SI"/>
        </w:rPr>
      </w:pPr>
      <w:r>
        <w:rPr>
          <w:rFonts w:eastAsia="Times New Roman"/>
          <w:position w:val="8"/>
          <w:vertAlign w:val="superscript"/>
          <w:lang w:val="sl-SI"/>
        </w:rPr>
        <w:t>1)</w:t>
      </w:r>
      <w:r>
        <w:rPr>
          <w:rFonts w:eastAsia="Times New Roman"/>
          <w:position w:val="8"/>
          <w:sz w:val="14"/>
          <w:szCs w:val="14"/>
          <w:lang w:val="sl-SI"/>
        </w:rPr>
        <w:t xml:space="preserve"> </w:t>
      </w:r>
      <w:r>
        <w:rPr>
          <w:rFonts w:eastAsia="Times New Roman"/>
          <w:position w:val="8"/>
          <w:lang w:val="sl-SI"/>
        </w:rPr>
        <w:t>vključno s podatki iz spontanega poročanja</w:t>
      </w:r>
    </w:p>
    <w:p w14:paraId="21D5C4AB" w14:textId="77777777" w:rsidR="00616315" w:rsidRPr="00907360" w:rsidRDefault="00616315" w:rsidP="00616315">
      <w:pPr>
        <w:pStyle w:val="a3"/>
        <w:ind w:left="176" w:hangingChars="80" w:hanging="176"/>
        <w:rPr>
          <w:lang w:val="sl-SI"/>
        </w:rPr>
      </w:pPr>
      <w:r w:rsidRPr="00DA5D63">
        <w:rPr>
          <w:vertAlign w:val="superscript"/>
          <w:lang w:val="sl-SI"/>
        </w:rPr>
        <w:t xml:space="preserve">2) </w:t>
      </w:r>
      <w:r w:rsidRPr="00907360">
        <w:rPr>
          <w:lang w:val="sl-SI"/>
        </w:rPr>
        <w:t>Povprečna sprememba telesne mase glede na izhodiščno vrednost v skupini z adalimumabom je znašala od 0,3 kg do 1,0 kg pri vseh indikacijah za odrasle, v primerjavi z od (minus) –0,4 kg do 0,4 kg v skupini s placebom, v obdobju zdravljenja 4–6 mesecev. Povečanje telesne mase za 5–6 kg je bilo opaženo tudi pri dolgoročni podaljšani študiji zdravila ob povprečni izpostavljenosti približno 1–2 leti, brez kontrolne skupine, še zlasti pri bolnikih s Crohnovo boleznijo in ulceroznim kolitisom. Mehanizem tega učinka ni znan, vendar bi bil lahko povezan s protivnetnim učinkom adalimumaba.</w:t>
      </w:r>
    </w:p>
    <w:p w14:paraId="20E6A199" w14:textId="77777777" w:rsidR="00616315" w:rsidRDefault="00616315" w:rsidP="00616315">
      <w:pPr>
        <w:spacing w:before="13" w:line="240" w:lineRule="exact"/>
        <w:rPr>
          <w:sz w:val="24"/>
          <w:szCs w:val="24"/>
          <w:lang w:val="sl-SI"/>
        </w:rPr>
      </w:pPr>
    </w:p>
    <w:p w14:paraId="4AD23D61" w14:textId="77777777" w:rsidR="00616315" w:rsidRDefault="00616315" w:rsidP="00616315">
      <w:pPr>
        <w:pStyle w:val="a3"/>
        <w:rPr>
          <w:u w:val="single"/>
          <w:lang w:val="sl-SI"/>
        </w:rPr>
      </w:pPr>
      <w:r>
        <w:rPr>
          <w:rFonts w:eastAsia="Times New Roman"/>
          <w:u w:val="single" w:color="000000"/>
          <w:lang w:val="sl-SI"/>
        </w:rPr>
        <w:t>Hidradenitis suppurativa</w:t>
      </w:r>
    </w:p>
    <w:p w14:paraId="7E89810F" w14:textId="77777777" w:rsidR="00616315" w:rsidRDefault="00616315" w:rsidP="00616315">
      <w:pPr>
        <w:spacing w:before="1" w:line="180" w:lineRule="exact"/>
        <w:rPr>
          <w:sz w:val="18"/>
          <w:szCs w:val="18"/>
          <w:lang w:val="sl-SI"/>
        </w:rPr>
      </w:pPr>
    </w:p>
    <w:p w14:paraId="7C291FF2" w14:textId="77777777" w:rsidR="00616315" w:rsidRDefault="00616315" w:rsidP="00616315">
      <w:pPr>
        <w:pStyle w:val="a3"/>
        <w:rPr>
          <w:lang w:val="sl-SI"/>
        </w:rPr>
      </w:pPr>
      <w:r>
        <w:rPr>
          <w:rFonts w:eastAsia="Times New Roman"/>
          <w:lang w:val="sl-SI"/>
        </w:rPr>
        <w:t>Varnostni profil bolnikov s HS, ki so se zdravili z adalimumabom vsak teden, je bil skladen z znanim varnostnim profilom adalimumaba.</w:t>
      </w:r>
    </w:p>
    <w:p w14:paraId="50BB7EB9" w14:textId="77777777" w:rsidR="00616315" w:rsidRDefault="00616315" w:rsidP="00616315">
      <w:pPr>
        <w:spacing w:before="11" w:line="240" w:lineRule="exact"/>
        <w:rPr>
          <w:sz w:val="24"/>
          <w:szCs w:val="24"/>
          <w:lang w:val="sl-SI"/>
        </w:rPr>
      </w:pPr>
    </w:p>
    <w:p w14:paraId="43F96A21" w14:textId="77777777" w:rsidR="00616315" w:rsidRDefault="00616315" w:rsidP="00616315">
      <w:pPr>
        <w:pStyle w:val="a3"/>
        <w:rPr>
          <w:u w:val="single"/>
          <w:lang w:val="sl-SI"/>
        </w:rPr>
      </w:pPr>
      <w:r>
        <w:rPr>
          <w:rFonts w:eastAsia="Times New Roman"/>
          <w:u w:val="single" w:color="000000"/>
          <w:lang w:val="sl-SI"/>
        </w:rPr>
        <w:t>Uveitis</w:t>
      </w:r>
    </w:p>
    <w:p w14:paraId="5269558B" w14:textId="77777777" w:rsidR="00616315" w:rsidRDefault="00616315" w:rsidP="00616315">
      <w:pPr>
        <w:spacing w:before="1" w:line="180" w:lineRule="exact"/>
        <w:rPr>
          <w:sz w:val="18"/>
          <w:szCs w:val="18"/>
          <w:lang w:val="sl-SI"/>
        </w:rPr>
      </w:pPr>
    </w:p>
    <w:p w14:paraId="2E03A25E" w14:textId="77777777" w:rsidR="00616315" w:rsidRDefault="00616315" w:rsidP="00616315">
      <w:pPr>
        <w:pStyle w:val="a3"/>
        <w:rPr>
          <w:lang w:val="sl-SI"/>
        </w:rPr>
      </w:pPr>
      <w:r>
        <w:rPr>
          <w:rFonts w:eastAsia="Times New Roman"/>
          <w:lang w:val="sl-SI"/>
        </w:rPr>
        <w:t>Varnostni profil bolnikov s uveitisom, ki so se zdravili z adalimumabom vsak drug teden, je bil skladen z znanim varnostnim profilom adalimumaba.</w:t>
      </w:r>
    </w:p>
    <w:p w14:paraId="5C78C710" w14:textId="77777777" w:rsidR="00616315" w:rsidRDefault="00616315" w:rsidP="00616315">
      <w:pPr>
        <w:spacing w:before="11" w:line="240" w:lineRule="exact"/>
        <w:rPr>
          <w:sz w:val="24"/>
          <w:szCs w:val="24"/>
          <w:lang w:val="sl-SI"/>
        </w:rPr>
      </w:pPr>
    </w:p>
    <w:p w14:paraId="2079A5A1" w14:textId="77777777" w:rsidR="00616315" w:rsidRPr="0030421B" w:rsidRDefault="00616315" w:rsidP="00616315">
      <w:pPr>
        <w:pStyle w:val="a3"/>
        <w:rPr>
          <w:u w:val="single"/>
          <w:lang w:val="sl-SI"/>
        </w:rPr>
      </w:pPr>
      <w:r w:rsidRPr="0030421B">
        <w:rPr>
          <w:rFonts w:eastAsia="Times New Roman"/>
          <w:u w:val="single" w:color="000000"/>
          <w:lang w:val="sl-SI"/>
        </w:rPr>
        <w:t>Opis izbranih neželenih učinkov</w:t>
      </w:r>
    </w:p>
    <w:p w14:paraId="75D3CBC8" w14:textId="77777777" w:rsidR="00616315" w:rsidRDefault="00616315" w:rsidP="00616315">
      <w:pPr>
        <w:pStyle w:val="a3"/>
        <w:rPr>
          <w:sz w:val="18"/>
          <w:szCs w:val="18"/>
          <w:lang w:val="sl-SI"/>
        </w:rPr>
      </w:pPr>
    </w:p>
    <w:p w14:paraId="593D9DA2" w14:textId="77777777" w:rsidR="00616315" w:rsidRDefault="00616315" w:rsidP="00616315">
      <w:pPr>
        <w:pStyle w:val="a3"/>
        <w:rPr>
          <w:rFonts w:eastAsia="Times New Roman"/>
          <w:lang w:val="sl-SI"/>
        </w:rPr>
      </w:pPr>
      <w:r>
        <w:rPr>
          <w:rFonts w:eastAsia="Times New Roman"/>
          <w:i/>
          <w:iCs/>
          <w:spacing w:val="-1"/>
          <w:lang w:val="sl-SI"/>
        </w:rPr>
        <w:t>Reakcije na mestu injiciranja</w:t>
      </w:r>
    </w:p>
    <w:p w14:paraId="2BD531EF" w14:textId="77777777" w:rsidR="00616315" w:rsidRDefault="00616315" w:rsidP="00616315">
      <w:pPr>
        <w:pStyle w:val="a3"/>
        <w:rPr>
          <w:sz w:val="24"/>
          <w:szCs w:val="24"/>
          <w:lang w:val="sl-SI"/>
        </w:rPr>
      </w:pPr>
    </w:p>
    <w:p w14:paraId="2CE96EC0" w14:textId="77777777" w:rsidR="00616315" w:rsidRDefault="00616315" w:rsidP="00616315">
      <w:pPr>
        <w:pStyle w:val="a3"/>
        <w:rPr>
          <w:lang w:val="sl-SI"/>
        </w:rPr>
      </w:pPr>
      <w:r>
        <w:rPr>
          <w:rFonts w:eastAsia="Times New Roman"/>
          <w:lang w:val="sl-SI"/>
        </w:rPr>
        <w:t xml:space="preserve">V ključnih kontroliranih preskušanjih pri odraslih in otrocih so se pri 12,9 % bolnikov, zdravljenih z adalimumabom, pojavile reakcije na mestu injiciranja (eritem in/ali srbenje, krvavitve, bolečine ali otekanje), v primerjavi s 7,2 % bolnikov, ki so prejemali placebo ali kontrolno učinkovino. Zaradi reakcij na </w:t>
      </w:r>
      <w:r>
        <w:rPr>
          <w:rFonts w:eastAsia="Times New Roman"/>
          <w:lang w:val="sl-SI"/>
        </w:rPr>
        <w:lastRenderedPageBreak/>
        <w:t>mestu injiciranja uporabe zdravila praviloma ni bilo treba prekiniti.</w:t>
      </w:r>
    </w:p>
    <w:p w14:paraId="124A75D3" w14:textId="77777777" w:rsidR="00616315" w:rsidRDefault="00616315" w:rsidP="00616315">
      <w:pPr>
        <w:pStyle w:val="a3"/>
        <w:rPr>
          <w:lang w:val="sl-SI"/>
        </w:rPr>
      </w:pPr>
    </w:p>
    <w:p w14:paraId="4D96CA5C" w14:textId="77777777" w:rsidR="00616315" w:rsidRDefault="00616315" w:rsidP="00616315">
      <w:pPr>
        <w:pStyle w:val="a3"/>
        <w:rPr>
          <w:rFonts w:eastAsia="Times New Roman"/>
          <w:lang w:val="sl-SI"/>
        </w:rPr>
      </w:pPr>
      <w:r>
        <w:rPr>
          <w:rFonts w:eastAsia="Times New Roman"/>
          <w:i/>
          <w:iCs/>
          <w:spacing w:val="-1"/>
          <w:lang w:val="sl-SI"/>
        </w:rPr>
        <w:t>Okužbe</w:t>
      </w:r>
    </w:p>
    <w:p w14:paraId="2CDE19CB" w14:textId="77777777" w:rsidR="00616315" w:rsidRDefault="00616315" w:rsidP="00616315">
      <w:pPr>
        <w:pStyle w:val="a3"/>
        <w:rPr>
          <w:lang w:val="sl-SI"/>
        </w:rPr>
      </w:pPr>
    </w:p>
    <w:p w14:paraId="5F904993" w14:textId="77777777" w:rsidR="00616315" w:rsidRDefault="00616315" w:rsidP="00616315">
      <w:pPr>
        <w:pStyle w:val="a3"/>
        <w:rPr>
          <w:lang w:val="sl-SI"/>
        </w:rPr>
      </w:pPr>
      <w:r>
        <w:rPr>
          <w:rFonts w:eastAsia="Times New Roman"/>
          <w:lang w:val="sl-SI"/>
        </w:rPr>
        <w:t>V ključnih kontroliranih preskušanjih pri odraslih in otrocih je bil delež okužb pri bolnikih, zdravljenih z adalimumabom, 1,51 na bolnikov-let, in 1,46 na bolnikov-let pri bolnikih, ki so prejemali placebo ali kontrolno učinkovino. Pri okužbah je šlo predvsem za nazofaringitis, okužbo zgornjih dihal in sinusitis. Večina bolnikov je po ozdravitvi okužbe nadaljevala zdravljenje z adalimumabom.</w:t>
      </w:r>
    </w:p>
    <w:p w14:paraId="3D637B85" w14:textId="77777777" w:rsidR="00616315" w:rsidRDefault="00616315" w:rsidP="00616315">
      <w:pPr>
        <w:pStyle w:val="a3"/>
        <w:rPr>
          <w:lang w:val="sl-SI"/>
        </w:rPr>
      </w:pPr>
    </w:p>
    <w:p w14:paraId="2C868578" w14:textId="77777777" w:rsidR="00616315" w:rsidRDefault="00616315" w:rsidP="00616315">
      <w:pPr>
        <w:pStyle w:val="a3"/>
        <w:rPr>
          <w:lang w:val="sl-SI"/>
        </w:rPr>
      </w:pPr>
      <w:r>
        <w:rPr>
          <w:rFonts w:eastAsia="Times New Roman"/>
          <w:lang w:val="sl-SI"/>
        </w:rPr>
        <w:t>Pri bolnikih, zdravljenih z adalimumabom, je bila incidenca resnih okužb 0,04 na bolnikov-let, pri bolnikih, zdravljenih s placebom in aktivno kontrolo, pa 0,03 na bolnikov-let.</w:t>
      </w:r>
    </w:p>
    <w:p w14:paraId="3FBB1281" w14:textId="77777777" w:rsidR="00616315" w:rsidRDefault="00616315" w:rsidP="00616315">
      <w:pPr>
        <w:pStyle w:val="a3"/>
        <w:rPr>
          <w:lang w:val="sl-SI"/>
        </w:rPr>
      </w:pPr>
    </w:p>
    <w:p w14:paraId="06C1A467" w14:textId="77777777" w:rsidR="00616315" w:rsidRDefault="00616315" w:rsidP="00616315">
      <w:pPr>
        <w:pStyle w:val="a3"/>
        <w:rPr>
          <w:lang w:val="sl-SI"/>
        </w:rPr>
      </w:pPr>
      <w:r>
        <w:rPr>
          <w:rFonts w:eastAsia="Times New Roman"/>
          <w:lang w:val="sl-SI"/>
        </w:rPr>
        <w:t>V kontroliranih in odprtih študijah z adalimumabom pri odraslih in otrocih so poročali o resnih okužbah (vključno s smrtnimi okužbami, ki so se pojavile redko), med katerimi so bile tuberkuloza (tudi miliarna in zunajpljučna) in invazivne oportunistične okužbe (npr. diseminirana ali zunajpljučna histoplazmoza, blastomikoza, kokcidioidomikoza, pnevmocistoza, kandidoza, aspergiloza in listerioza). Večina primerov tuberkuloze se je pojavila v prvih osmih mesecih po uvedbi zdravljenja in mogoče je, da gre za ponoven izbruh latentne bolezni.</w:t>
      </w:r>
    </w:p>
    <w:p w14:paraId="1673D436" w14:textId="77777777" w:rsidR="00A56057" w:rsidRDefault="00A56057" w:rsidP="00616315">
      <w:pPr>
        <w:pStyle w:val="a3"/>
        <w:rPr>
          <w:lang w:val="sl-SI"/>
        </w:rPr>
      </w:pPr>
    </w:p>
    <w:p w14:paraId="3F0D5DD5" w14:textId="77777777" w:rsidR="00616315" w:rsidRDefault="00616315" w:rsidP="00616315">
      <w:pPr>
        <w:pStyle w:val="a3"/>
        <w:rPr>
          <w:rFonts w:eastAsia="Times New Roman"/>
          <w:lang w:val="sl-SI"/>
        </w:rPr>
      </w:pPr>
      <w:r>
        <w:rPr>
          <w:rFonts w:eastAsia="Times New Roman"/>
          <w:i/>
          <w:iCs/>
          <w:spacing w:val="-1"/>
          <w:lang w:val="sl-SI"/>
        </w:rPr>
        <w:t>Maligne in limfoproliferativne bolezni</w:t>
      </w:r>
    </w:p>
    <w:p w14:paraId="7ED5902A" w14:textId="77777777" w:rsidR="00616315" w:rsidRDefault="00616315" w:rsidP="00616315">
      <w:pPr>
        <w:pStyle w:val="a3"/>
        <w:rPr>
          <w:lang w:val="sl-SI"/>
        </w:rPr>
      </w:pPr>
    </w:p>
    <w:p w14:paraId="620888A7" w14:textId="77777777" w:rsidR="00616315" w:rsidRDefault="00616315" w:rsidP="00616315">
      <w:pPr>
        <w:pStyle w:val="a3"/>
        <w:rPr>
          <w:lang w:val="sl-SI"/>
        </w:rPr>
      </w:pPr>
      <w:r>
        <w:rPr>
          <w:rFonts w:eastAsia="Times New Roman"/>
          <w:lang w:val="sl-SI"/>
        </w:rPr>
        <w:t>Pri 249 pediatričnih bolnikih z juvenilnim idiopatskim artritisom (s poliartikularnim juvenilnim idiopatskim artritisom in artritisom, povezanim z entezitisom), ki so bili med preskušanji zdravila adalimumabom</w:t>
      </w:r>
      <w:r w:rsidDel="00982DE1">
        <w:rPr>
          <w:rFonts w:eastAsia="Times New Roman"/>
          <w:lang w:val="sl-SI"/>
        </w:rPr>
        <w:t xml:space="preserve"> </w:t>
      </w:r>
      <w:r>
        <w:rPr>
          <w:rFonts w:eastAsia="Times New Roman"/>
          <w:lang w:val="sl-SI"/>
        </w:rPr>
        <w:t xml:space="preserve">zdravilu izpostavljeni 655,6 bolnikov-let, niso ugotovili nobenega malignoma. Malignomov prav tako niso opazili pri 192 pediatričnih bolnikih, ki so bili izpostavljeni 498,1 bolnikov-let med študijami z adalimumabom pri pediatričnih bolnikih s Crohnovo boleznijo. Pri 77 pediatričnih bolnikih v preskušanju adalimumaba pri pediatričnih bolnikih s kronično psoriazo v plakih z izpostavljenostjo 80,0 bolnikov-let niso opazili malignomov </w:t>
      </w:r>
      <w:r w:rsidRPr="00FA20D4">
        <w:rPr>
          <w:rStyle w:val="normaltextrun"/>
          <w:shd w:val="clear" w:color="auto" w:fill="FFFFFF"/>
          <w:lang w:val="sl-SI"/>
        </w:rPr>
        <w:t>Pri 93 pediatričnih bolnikih z ulceroznim kolitisom, ki so bili med preskušanj</w:t>
      </w:r>
      <w:r>
        <w:rPr>
          <w:rStyle w:val="normaltextrun"/>
          <w:shd w:val="clear" w:color="auto" w:fill="FFFFFF"/>
          <w:lang w:val="sl-SI"/>
        </w:rPr>
        <w:t>em</w:t>
      </w:r>
      <w:r w:rsidRPr="00FA20D4">
        <w:rPr>
          <w:rStyle w:val="normaltextrun"/>
          <w:shd w:val="clear" w:color="auto" w:fill="FFFFFF"/>
          <w:lang w:val="sl-SI"/>
        </w:rPr>
        <w:t xml:space="preserve"> zdravil</w:t>
      </w:r>
      <w:r>
        <w:rPr>
          <w:rStyle w:val="normaltextrun"/>
          <w:shd w:val="clear" w:color="auto" w:fill="FFFFFF"/>
          <w:lang w:val="sl-SI"/>
        </w:rPr>
        <w:t>a</w:t>
      </w:r>
      <w:r w:rsidRPr="00FA20D4">
        <w:rPr>
          <w:rStyle w:val="normaltextrun"/>
          <w:shd w:val="clear" w:color="auto" w:fill="FFFFFF"/>
          <w:lang w:val="sl-SI"/>
        </w:rPr>
        <w:t xml:space="preserve"> </w:t>
      </w:r>
      <w:r w:rsidRPr="00982DE1">
        <w:rPr>
          <w:lang w:val="sl-SI"/>
        </w:rPr>
        <w:t>adalimumab</w:t>
      </w:r>
      <w:r>
        <w:rPr>
          <w:lang w:val="sl-SI"/>
        </w:rPr>
        <w:t>a</w:t>
      </w:r>
      <w:r w:rsidRPr="00982DE1">
        <w:rPr>
          <w:lang w:val="sl-SI"/>
        </w:rPr>
        <w:t xml:space="preserve"> </w:t>
      </w:r>
      <w:r w:rsidRPr="00FA20D4">
        <w:rPr>
          <w:rStyle w:val="normaltextrun"/>
          <w:shd w:val="clear" w:color="auto" w:fill="FFFFFF"/>
          <w:lang w:val="sl-SI"/>
        </w:rPr>
        <w:t>izpostavljeni 65,3 bolnikov-let, niso ugotovili nobenega malignoma</w:t>
      </w:r>
      <w:r>
        <w:rPr>
          <w:rStyle w:val="normaltextrun"/>
          <w:shd w:val="clear" w:color="auto" w:fill="FFFFFF"/>
          <w:lang w:val="sl-SI"/>
        </w:rPr>
        <w:t>.</w:t>
      </w:r>
      <w:r>
        <w:rPr>
          <w:rFonts w:eastAsia="Times New Roman"/>
          <w:lang w:val="sl-SI"/>
        </w:rPr>
        <w:t xml:space="preserve"> Pri 60 pediatričnih bolnikih z uveitisom, ki so bili med preskušanji adalimumaba izpostavljeni 58,4 bolnikov-let, niso ugotovili nobenega malignoma.</w:t>
      </w:r>
    </w:p>
    <w:p w14:paraId="7C6F4FFF" w14:textId="77777777" w:rsidR="00616315" w:rsidRDefault="00616315" w:rsidP="00616315">
      <w:pPr>
        <w:spacing w:before="13" w:line="240" w:lineRule="exact"/>
        <w:rPr>
          <w:sz w:val="24"/>
          <w:szCs w:val="24"/>
          <w:lang w:val="sl-SI"/>
        </w:rPr>
      </w:pPr>
    </w:p>
    <w:p w14:paraId="555CE7F7" w14:textId="77777777" w:rsidR="00616315" w:rsidRDefault="00616315" w:rsidP="00616315">
      <w:pPr>
        <w:pStyle w:val="a3"/>
        <w:rPr>
          <w:lang w:val="sl-SI"/>
        </w:rPr>
      </w:pPr>
      <w:r>
        <w:rPr>
          <w:rFonts w:eastAsia="Times New Roman"/>
          <w:lang w:val="sl-SI"/>
        </w:rPr>
        <w:t>V kontroliranih delih ključnih preskušanj adalimumaba pri odraslih, ki so trajala vsaj 12 tednov, pri bolnikih z zmerno do hudo aktivnim revmatoidnim artritisom, ankilozirajočim spondilitisom, aksialnim spondiloartritisom brez radiografskega dokaza za AS, psoriatičnim artritisom, psoriazo, hidradenitis suppurativa, Crohnovo boleznijo, ulceroznim kolitisom in uveitisom so malignome (razen limfoma in nemelanomskega kožnega raka) opažali z deležem (95-% interval zaupanja) 6,8 (4,4; 10,5) na 1000 bolnikov-let med 5291 bolniki, ki so prejemali adalimumab, in 6,3 (3,4; 11,8) na 1000 bolnikov-let med 3444 kontrolnimi bolniki (pri prvih je zdravljenje mediano trajalo 4,0 meseca, pri drugih pa 3,8 meseca). Delež (95-% interval zaupanja) nemelanomskih kožnih rakov je bil 8,8 (6,0; 13,0) na 1.000 bolnikov-let med bolniki, zdravljenimi z adalimumabom, in 3,2 (1,3; 7,6) na 1.000 bolnikov-let med bolniki v kontrolni skupini. Med temi kožnimi raki je bil delež (95-% interval zaupanja) skvamocelularnega karcinoma 2,7 (1,4; 5,4) na 1000 bolnikov-let med bolniki, ki so prejemali adalimumab, in 0,6 (0,1; 4,5) na 1000 bolnikov-let v kontrolni skupini bolnikov. Delež (95-% interval zaupanja) limfomov je bil 0,7 (0,2; 2,7) na 1.000 bolnikov-let med bolniki, ki so prejemali adalimumab, in 0,6 (0,1; 4,5) na 1.000 bolnikov-let v kontrolni skupini bolnikov.</w:t>
      </w:r>
    </w:p>
    <w:p w14:paraId="683BD228" w14:textId="77777777" w:rsidR="00616315" w:rsidRDefault="00616315" w:rsidP="00616315">
      <w:pPr>
        <w:spacing w:before="13" w:line="240" w:lineRule="exact"/>
        <w:rPr>
          <w:sz w:val="24"/>
          <w:szCs w:val="24"/>
          <w:lang w:val="sl-SI"/>
        </w:rPr>
      </w:pPr>
    </w:p>
    <w:p w14:paraId="59FA4A28" w14:textId="77777777" w:rsidR="00616315" w:rsidRDefault="00616315" w:rsidP="00616315">
      <w:pPr>
        <w:pStyle w:val="a3"/>
        <w:rPr>
          <w:lang w:val="sl-SI"/>
        </w:rPr>
      </w:pPr>
      <w:r>
        <w:rPr>
          <w:rFonts w:eastAsia="Times New Roman"/>
          <w:lang w:val="sl-SI"/>
        </w:rPr>
        <w:t>Pri kombiniranju nadzorovanih delov teh preskušanj in potekajočih ter končanih odprtih nadaljevalnih študij z mediano trajanja približno 3,3 let, ki je vključevala približno 6.427 bolnikov in več kot 26.439 bolnikov-let zdravljenja, je ugotovljeni delež malignomov, razen limfoma in nemelanomskih kožnih rakov, približno 8,5 na 1.000 bolnikov-let. Ugotovljeni delež nemelanomskih kožnih rakov je približno 9,6 na 1.000 bolnikov-let, ugotovljeni delež limfomov pa približno 1,3 na 1.000 bolnikov-let.</w:t>
      </w:r>
    </w:p>
    <w:p w14:paraId="71FBC382" w14:textId="77777777" w:rsidR="00616315" w:rsidRDefault="00616315" w:rsidP="00616315">
      <w:pPr>
        <w:spacing w:before="14" w:line="240" w:lineRule="exact"/>
        <w:rPr>
          <w:sz w:val="24"/>
          <w:szCs w:val="24"/>
          <w:lang w:val="sl-SI"/>
        </w:rPr>
      </w:pPr>
    </w:p>
    <w:p w14:paraId="6D09AD0B" w14:textId="74F82223" w:rsidR="00BA42B8" w:rsidRDefault="00BA42B8" w:rsidP="00BA42B8">
      <w:pPr>
        <w:pStyle w:val="a3"/>
        <w:rPr>
          <w:lang w:val="sl-SI"/>
        </w:rPr>
      </w:pPr>
      <w:r>
        <w:rPr>
          <w:rFonts w:eastAsia="Times New Roman"/>
          <w:lang w:val="sl-SI"/>
        </w:rPr>
        <w:t xml:space="preserve">V obdobju trženja zdravila od januarja 2003 do decembra 2010, pretežno pri bolnikih z revmatoidnim </w:t>
      </w:r>
      <w:r>
        <w:rPr>
          <w:rFonts w:eastAsia="Times New Roman"/>
          <w:lang w:val="sl-SI"/>
        </w:rPr>
        <w:lastRenderedPageBreak/>
        <w:t xml:space="preserve">artritisom, je bil </w:t>
      </w:r>
      <w:r>
        <w:rPr>
          <w:rFonts w:hint="eastAsia"/>
          <w:lang w:val="sl-SI" w:eastAsia="ko-KR"/>
        </w:rPr>
        <w:t xml:space="preserve">spontano </w:t>
      </w:r>
      <w:r>
        <w:rPr>
          <w:rFonts w:eastAsia="Times New Roman"/>
          <w:lang w:val="sl-SI"/>
        </w:rPr>
        <w:t xml:space="preserve">zabeleženi delež malignomov približno 2,7 na 1000 bolnikov-let zdravljenja. </w:t>
      </w:r>
      <w:r>
        <w:rPr>
          <w:rFonts w:hint="eastAsia"/>
          <w:lang w:val="sl-SI" w:eastAsia="ko-KR"/>
        </w:rPr>
        <w:t>Spontano u</w:t>
      </w:r>
      <w:r>
        <w:rPr>
          <w:rFonts w:eastAsia="Times New Roman"/>
          <w:lang w:val="sl-SI"/>
        </w:rPr>
        <w:t>gotovljeni delež nemelanomskih rakov je približno 0,2 na 1000 bolnikov-let zdravljenja, limfomov pa približno 0,3 na 1000 bolnikov-let zdravljenja (glejte poglavje 4.4).</w:t>
      </w:r>
    </w:p>
    <w:p w14:paraId="22817B20" w14:textId="77777777" w:rsidR="00616315" w:rsidRPr="00BA42B8" w:rsidRDefault="00616315" w:rsidP="00616315">
      <w:pPr>
        <w:spacing w:before="17" w:line="240" w:lineRule="exact"/>
        <w:rPr>
          <w:sz w:val="24"/>
          <w:szCs w:val="24"/>
          <w:lang w:val="sl-SI"/>
        </w:rPr>
      </w:pPr>
    </w:p>
    <w:p w14:paraId="5C5D5031" w14:textId="77777777" w:rsidR="00616315" w:rsidRDefault="00616315" w:rsidP="00616315">
      <w:pPr>
        <w:pStyle w:val="a3"/>
        <w:rPr>
          <w:lang w:val="sl-SI"/>
        </w:rPr>
      </w:pPr>
      <w:r>
        <w:rPr>
          <w:rFonts w:eastAsia="Times New Roman"/>
          <w:lang w:val="sl-SI"/>
        </w:rPr>
        <w:t>V redkih primerih med obdobjem trženja so pri bolnikih, zdravljenih z adalimumabom, poročali o hepatospleničnem limfomu celic T (glejte poglavje 4.4).</w:t>
      </w:r>
    </w:p>
    <w:p w14:paraId="02DA5247" w14:textId="77777777" w:rsidR="00616315" w:rsidRDefault="00616315" w:rsidP="00616315">
      <w:pPr>
        <w:pStyle w:val="a3"/>
        <w:rPr>
          <w:sz w:val="24"/>
          <w:szCs w:val="24"/>
          <w:lang w:val="sl-SI"/>
        </w:rPr>
      </w:pPr>
    </w:p>
    <w:p w14:paraId="0C93258B" w14:textId="77777777" w:rsidR="00616315" w:rsidRDefault="00616315" w:rsidP="00616315">
      <w:pPr>
        <w:pStyle w:val="a3"/>
        <w:rPr>
          <w:rFonts w:eastAsia="Times New Roman"/>
          <w:lang w:val="sl-SI"/>
        </w:rPr>
      </w:pPr>
      <w:r>
        <w:rPr>
          <w:rFonts w:eastAsia="Times New Roman"/>
          <w:i/>
          <w:iCs/>
          <w:spacing w:val="-1"/>
          <w:lang w:val="sl-SI"/>
        </w:rPr>
        <w:t>Avtoprotitelesa</w:t>
      </w:r>
    </w:p>
    <w:p w14:paraId="0413FE5F" w14:textId="77777777" w:rsidR="00616315" w:rsidRDefault="00616315" w:rsidP="00616315">
      <w:pPr>
        <w:pStyle w:val="a3"/>
        <w:rPr>
          <w:sz w:val="24"/>
          <w:szCs w:val="24"/>
          <w:lang w:val="sl-SI"/>
        </w:rPr>
      </w:pPr>
    </w:p>
    <w:p w14:paraId="0E1247D0" w14:textId="77777777" w:rsidR="00616315" w:rsidRDefault="00616315" w:rsidP="00616315">
      <w:pPr>
        <w:pStyle w:val="a3"/>
        <w:rPr>
          <w:lang w:val="sl-SI"/>
        </w:rPr>
      </w:pPr>
      <w:r>
        <w:rPr>
          <w:rFonts w:eastAsia="Times New Roman"/>
          <w:lang w:val="sl-SI"/>
        </w:rPr>
        <w:t>V študijah revmatoidnega artritisa I−V so pri bolnikih na več časovnih točkah testirali vzorce avtoprotiteles v serumu. V teh preskušanjih so pozitivne titre protiteles proti jedrnim antigenom po 24 tednih ugotovili pri 11,9 % prejemnikov adalimumaba in 8,1 % prejemnikov placeba in kontrolne učinkovine, ki so imeli ob izhodišču negativne titre teh protiteles. V vseh študijah revmatoidnega artritisa in psoriatičnega artritisa so se klinični znaki, ki so nakazovali novonastali lupusni sindrom, pojavili pri 2 od 3441 bolnikov, zdravljenih z adalimumabom. Stanje bolnikov se je po prekinitvi zdravljenja izboljšalo. Pri nobenem bolniku se niso pojavili lupus nefritis ali simptomi osrednjega živčevja.</w:t>
      </w:r>
    </w:p>
    <w:p w14:paraId="6E59C1D1" w14:textId="481F41B7" w:rsidR="00616315" w:rsidRDefault="00616315" w:rsidP="00616315">
      <w:pPr>
        <w:pStyle w:val="a3"/>
        <w:rPr>
          <w:sz w:val="24"/>
          <w:szCs w:val="24"/>
          <w:lang w:val="sl-SI"/>
        </w:rPr>
      </w:pPr>
    </w:p>
    <w:p w14:paraId="046D5E46" w14:textId="77777777" w:rsidR="00616315" w:rsidRDefault="00616315" w:rsidP="00616315">
      <w:pPr>
        <w:pStyle w:val="a3"/>
        <w:rPr>
          <w:rFonts w:eastAsia="Times New Roman"/>
          <w:lang w:val="sl-SI"/>
        </w:rPr>
      </w:pPr>
      <w:r>
        <w:rPr>
          <w:rFonts w:eastAsia="Times New Roman"/>
          <w:i/>
          <w:iCs/>
          <w:lang w:val="sl-SI"/>
        </w:rPr>
        <w:t>Dogodki na jetrih, žolčniku in žolčevodih</w:t>
      </w:r>
    </w:p>
    <w:p w14:paraId="72C653E8" w14:textId="77777777" w:rsidR="00616315" w:rsidRDefault="00616315" w:rsidP="00616315">
      <w:pPr>
        <w:pStyle w:val="a3"/>
        <w:rPr>
          <w:sz w:val="24"/>
          <w:szCs w:val="24"/>
          <w:lang w:val="sl-SI"/>
        </w:rPr>
      </w:pPr>
    </w:p>
    <w:p w14:paraId="3D8DD920" w14:textId="77777777" w:rsidR="00616315" w:rsidRDefault="00616315" w:rsidP="00616315">
      <w:pPr>
        <w:pStyle w:val="a3"/>
        <w:rPr>
          <w:lang w:val="sl-SI"/>
        </w:rPr>
      </w:pPr>
      <w:r>
        <w:rPr>
          <w:rFonts w:eastAsia="Times New Roman"/>
          <w:lang w:val="sl-SI"/>
        </w:rPr>
        <w:t>V kontroliranih preskušanjih faze 3 z adalimumabom pri bolnikih z revmatoidnim artritisom in psoriatičnim artritisom s trajanjem kontrolnega obdobja od 4 do 104 tedne, se je zvišanje ALT ≥ 3 x ULN (Upper Limits of Normal – zgornja meja normalne vrednosti) pojavilo pri 3,7 % bolnikov, zdravljenih z adalimumabom, in pri 1,6 % bolnikov v kontrolni skupini.</w:t>
      </w:r>
    </w:p>
    <w:p w14:paraId="05CF858F" w14:textId="77777777" w:rsidR="00616315" w:rsidRDefault="00616315" w:rsidP="00616315">
      <w:pPr>
        <w:pStyle w:val="a3"/>
        <w:rPr>
          <w:sz w:val="24"/>
          <w:szCs w:val="24"/>
          <w:lang w:val="sl-SI"/>
        </w:rPr>
      </w:pPr>
    </w:p>
    <w:p w14:paraId="054365C4" w14:textId="77777777" w:rsidR="00616315" w:rsidRDefault="00616315" w:rsidP="00616315">
      <w:pPr>
        <w:pStyle w:val="a3"/>
        <w:rPr>
          <w:lang w:val="sl-SI"/>
        </w:rPr>
      </w:pPr>
      <w:r>
        <w:rPr>
          <w:rFonts w:eastAsia="Times New Roman"/>
          <w:lang w:val="sl-SI"/>
        </w:rPr>
        <w:t>V kontroliranih preskušanjih faze 3 z adalimumabom pri bolnikih s poliartikularnim juvenilnim idiopatskim artritisom, ki so bili stari od 4 do 17 let, in bolnikih z artritisom, povezanim z entezitisom, ki so bili stari od 6 do 17 let, se je zvišanje ALT ≥ 3 x ULN pojavilo pri 6,1 % bolnikov zdravljenih z adalimumabom, in pri 1,3 % bolnikov v kontrolni skupini. Večina zvišanj ALT se je pojavila pri sočasni uporabi metotreksata. Zvišanja ALT ≥ 3 x ULN se niso pojavila v preskušanju 3. faze z adalimumabom pri bolnikih s poliartikularnim juvenilnim idiopatskim artritisom, ki so bili stari od 2 do &lt; 4 let.</w:t>
      </w:r>
    </w:p>
    <w:p w14:paraId="05A3C721" w14:textId="77777777" w:rsidR="00616315" w:rsidRDefault="00616315" w:rsidP="00616315">
      <w:pPr>
        <w:pStyle w:val="a3"/>
        <w:rPr>
          <w:sz w:val="24"/>
          <w:szCs w:val="24"/>
          <w:lang w:val="sl-SI"/>
        </w:rPr>
      </w:pPr>
    </w:p>
    <w:p w14:paraId="771AF5EE" w14:textId="77777777" w:rsidR="00616315" w:rsidRDefault="00616315" w:rsidP="00616315">
      <w:pPr>
        <w:pStyle w:val="a3"/>
        <w:rPr>
          <w:lang w:val="sl-SI"/>
        </w:rPr>
      </w:pPr>
      <w:r>
        <w:rPr>
          <w:rFonts w:eastAsia="Times New Roman"/>
          <w:lang w:val="sl-SI"/>
        </w:rPr>
        <w:t>V kontroliranih preskušanjih faze 3 z adalimumabom pri bolnikih s Crohnovo boleznijo in ulceroznim kolitisom s kontrolnim obdobjem od 4 do 52 tednov, se je zvišanje ALT ≥ 3 x ULN pojavilo pri 0,9 % bolnikov, zdravljenih z adalimumabom, in pri 0,9 % bolnikov v kontrolni skupini.</w:t>
      </w:r>
    </w:p>
    <w:p w14:paraId="6059AD76" w14:textId="77777777" w:rsidR="00616315" w:rsidRDefault="00616315" w:rsidP="00616315">
      <w:pPr>
        <w:spacing w:before="11" w:line="240" w:lineRule="exact"/>
        <w:rPr>
          <w:sz w:val="24"/>
          <w:szCs w:val="24"/>
          <w:lang w:val="sl-SI"/>
        </w:rPr>
      </w:pPr>
    </w:p>
    <w:p w14:paraId="6B606766" w14:textId="77777777" w:rsidR="00616315" w:rsidRDefault="00616315" w:rsidP="00616315">
      <w:pPr>
        <w:pStyle w:val="a3"/>
        <w:rPr>
          <w:lang w:val="sl-SI"/>
        </w:rPr>
      </w:pPr>
      <w:r>
        <w:rPr>
          <w:rFonts w:eastAsia="Times New Roman"/>
          <w:lang w:val="sl-SI"/>
        </w:rPr>
        <w:t>V preskušanju 3. faze z adalimumabom pri bolnikih s pediatrično Crohnovo boleznijo, kjer so ocenjevali učinkovitost in varnost dveh telesni masi prilagojenih vzdrževalnih režimov odmerjanja, ki sta sledila telesni masi prilagojenemu začetnemu zdravljenju do 52 tednov zdravljenja, so se pojavila zvišanja ALT ≥ 3 x ULN pri 2,6 % (5/192) bolnikov, od katerih so 4 sočasno prejemali imunosupresive ob začetku preskušanja.</w:t>
      </w:r>
    </w:p>
    <w:p w14:paraId="6C6BA498" w14:textId="77777777" w:rsidR="00616315" w:rsidRDefault="00616315" w:rsidP="00616315">
      <w:pPr>
        <w:spacing w:before="13" w:line="240" w:lineRule="exact"/>
        <w:rPr>
          <w:sz w:val="24"/>
          <w:szCs w:val="24"/>
          <w:lang w:val="sl-SI"/>
        </w:rPr>
      </w:pPr>
    </w:p>
    <w:p w14:paraId="789654D3" w14:textId="77777777" w:rsidR="00616315" w:rsidRDefault="00616315" w:rsidP="00616315">
      <w:pPr>
        <w:pStyle w:val="a3"/>
        <w:rPr>
          <w:lang w:val="sl-SI"/>
        </w:rPr>
      </w:pPr>
      <w:r>
        <w:rPr>
          <w:rFonts w:eastAsia="Times New Roman"/>
          <w:lang w:val="sl-SI"/>
        </w:rPr>
        <w:t>V nadzorovanih preskušanjih z adalimumabom 3. faze pri bolnikih s psoriazo v plakih, ki so imeli kontrolno obdobje od 12 do 24 tednov, so se povišanja ALT ≥ 3 x ULN pojavila pri 1,8 % bolnikov, zdravljenih z adalimumabom, in pri 1,8 % bolnikov v kontrolni skupini.</w:t>
      </w:r>
    </w:p>
    <w:p w14:paraId="3A411B5D" w14:textId="77777777" w:rsidR="00616315" w:rsidRDefault="00616315" w:rsidP="00616315">
      <w:pPr>
        <w:spacing w:before="17" w:line="240" w:lineRule="exact"/>
        <w:rPr>
          <w:sz w:val="24"/>
          <w:szCs w:val="24"/>
          <w:lang w:val="sl-SI"/>
        </w:rPr>
      </w:pPr>
    </w:p>
    <w:p w14:paraId="6EC38A3C" w14:textId="77777777" w:rsidR="00616315" w:rsidRDefault="00616315" w:rsidP="00616315">
      <w:pPr>
        <w:pStyle w:val="a3"/>
        <w:rPr>
          <w:lang w:val="sl-SI"/>
        </w:rPr>
      </w:pPr>
      <w:r>
        <w:rPr>
          <w:rFonts w:eastAsia="Times New Roman"/>
          <w:lang w:val="sl-SI"/>
        </w:rPr>
        <w:t>V preskušanju 3. faze z adalimumabom pri pediatričnih bolnikih s psoriazo s plaki ni bilo nobenih zvišanj ALT ≥ 3 X ULN.</w:t>
      </w:r>
    </w:p>
    <w:p w14:paraId="5E9B1CA0" w14:textId="77777777" w:rsidR="00616315" w:rsidRDefault="00616315" w:rsidP="00616315">
      <w:pPr>
        <w:spacing w:before="11" w:line="240" w:lineRule="exact"/>
        <w:rPr>
          <w:sz w:val="24"/>
          <w:szCs w:val="24"/>
          <w:lang w:val="sl-SI"/>
        </w:rPr>
      </w:pPr>
    </w:p>
    <w:p w14:paraId="7FA617A3" w14:textId="77777777" w:rsidR="00616315" w:rsidRDefault="00616315" w:rsidP="00616315">
      <w:pPr>
        <w:pStyle w:val="a3"/>
        <w:rPr>
          <w:lang w:val="sl-SI"/>
        </w:rPr>
      </w:pPr>
      <w:r>
        <w:rPr>
          <w:rFonts w:eastAsia="Times New Roman"/>
          <w:lang w:val="sl-SI"/>
        </w:rPr>
        <w:t>V kontroliranih preskušanjih z adalimumabom (v začetnem odmerku 160 mg v 0. tednu, ki mu sledi odmerek 80 mg v 2. tednu in potem 40 mg vsak teden z začetkom v 4. tednu) pri bolnikih s hidradenitis suppurativa in s trajanjem kontrolnega obdobja od 12 do 16 tednov, se je zvišanje ALT ≥ 3 x ULN pojavilo pri 0,3 % bolnikov, zdravljenih z adalimumabom, in pri 0,6 % bolnikov v kontrolni skupini.</w:t>
      </w:r>
    </w:p>
    <w:p w14:paraId="21E5CF8A" w14:textId="77777777" w:rsidR="00616315" w:rsidRDefault="00616315" w:rsidP="00616315">
      <w:pPr>
        <w:spacing w:before="17" w:line="240" w:lineRule="exact"/>
        <w:rPr>
          <w:sz w:val="24"/>
          <w:szCs w:val="24"/>
          <w:lang w:val="sl-SI"/>
        </w:rPr>
      </w:pPr>
    </w:p>
    <w:p w14:paraId="08579669" w14:textId="77777777" w:rsidR="00616315" w:rsidRPr="00982DE1" w:rsidRDefault="00616315" w:rsidP="00616315">
      <w:pPr>
        <w:pStyle w:val="a3"/>
        <w:rPr>
          <w:rFonts w:eastAsia="Times New Roman"/>
          <w:lang w:val="sl-SI"/>
        </w:rPr>
      </w:pPr>
      <w:r>
        <w:rPr>
          <w:rFonts w:eastAsia="Times New Roman"/>
          <w:lang w:val="sl-SI"/>
        </w:rPr>
        <w:t xml:space="preserve">V kontroliranih preskušanjih z adalimumabom (začetni odmerek 80 mg v 0. tednu, ki mu sledi odmerek 40 mg vsak drugi teden z začetkom v 1. tednu) pri odraslih bolnikih z uveitisom, ki so trajala do </w:t>
      </w:r>
      <w:r>
        <w:rPr>
          <w:rFonts w:eastAsia="Times New Roman"/>
          <w:lang w:val="sl-SI"/>
        </w:rPr>
        <w:lastRenderedPageBreak/>
        <w:t xml:space="preserve">80 tednov, z mediano izpostavljenosti 166,5 dneva pri bolnikih zdravljenih z adalimumabom in 105,0 dneva pri bolnikih v kontrolni skupini, se je zvišanje ALT ≥ 3 x ULN pojavilo pri 2,4 % bolnikov, </w:t>
      </w:r>
      <w:r w:rsidRPr="00982DE1">
        <w:rPr>
          <w:rFonts w:eastAsia="Times New Roman"/>
          <w:lang w:val="sl-SI"/>
        </w:rPr>
        <w:t>zdravljenih z adalimumabom, in pri 2,4 % bolnikov v kontrolni skupini.</w:t>
      </w:r>
    </w:p>
    <w:p w14:paraId="2331F33E" w14:textId="77777777" w:rsidR="00616315" w:rsidRPr="00982DE1" w:rsidRDefault="00616315" w:rsidP="00616315">
      <w:pPr>
        <w:pStyle w:val="a3"/>
        <w:rPr>
          <w:lang w:val="sl-SI"/>
        </w:rPr>
      </w:pPr>
    </w:p>
    <w:p w14:paraId="4E4D54BC" w14:textId="77777777" w:rsidR="00616315" w:rsidRPr="00982DE1" w:rsidRDefault="00616315" w:rsidP="00616315">
      <w:pPr>
        <w:rPr>
          <w:rStyle w:val="normaltextrun"/>
          <w:rFonts w:ascii="Times New Roman" w:hAnsi="Times New Roman" w:cs="Times New Roman"/>
          <w:shd w:val="clear" w:color="auto" w:fill="FFFFFF"/>
          <w:lang w:val="sl-SI"/>
        </w:rPr>
      </w:pPr>
      <w:r w:rsidRPr="00982DE1">
        <w:rPr>
          <w:rStyle w:val="normaltextrun"/>
          <w:rFonts w:ascii="Times New Roman" w:hAnsi="Times New Roman" w:cs="Times New Roman"/>
          <w:shd w:val="clear" w:color="auto" w:fill="FFFFFF"/>
          <w:lang w:val="sl-SI"/>
        </w:rPr>
        <w:t xml:space="preserve">V kontroliranem preskušanjuh faze 3 z zdravilom </w:t>
      </w:r>
      <w:r>
        <w:rPr>
          <w:rStyle w:val="normaltextrun"/>
          <w:rFonts w:ascii="Times New Roman" w:hAnsi="Times New Roman" w:cs="Times New Roman"/>
          <w:shd w:val="clear" w:color="auto" w:fill="FFFFFF"/>
          <w:lang w:val="sl-SI"/>
        </w:rPr>
        <w:t>adalimumabom</w:t>
      </w:r>
      <w:r w:rsidRPr="00982DE1">
        <w:rPr>
          <w:rStyle w:val="normaltextrun"/>
          <w:rFonts w:ascii="Times New Roman" w:hAnsi="Times New Roman" w:cs="Times New Roman"/>
          <w:shd w:val="clear" w:color="auto" w:fill="FFFFFF"/>
          <w:lang w:val="sl-SI"/>
        </w:rPr>
        <w:t xml:space="preserve"> pri pediatričnih bolnikih z ulceroznim kolitisom (N = 93), kjer so ocenjevali učinkovitost in varnost vzdrževalnega odmerka 0,6 mg/kg (največ 40 mg) vsak drugi teden (N = 31) in vzdrževalnega odmerka 0,6 mg/kg (največ 40 mg) vsak teden (N = 32), ki sta sledila telesni masi prilagojenemu začetnemu zdravljenju z odmerkom 2,4 mg/kg (največ 160 mg) v 0. tednu in 1. tednu in 1,2 mg/kg (največ 80 mg) v 2. tednu (N = 63) ali z začetnim odmerkom 2,4 mg/kg (največ 160 mg) v 0. tednu, placebom v 1. tednu in 1,2 mg/kg (največ 80 mg) v 2. tednu (N = 30), se je zvišanje ALT ≥ 3 x ULN pojavilo pri 1,1 % (1/93) bolnikov.</w:t>
      </w:r>
    </w:p>
    <w:p w14:paraId="07B88784" w14:textId="77777777" w:rsidR="00616315" w:rsidRPr="00982DE1" w:rsidRDefault="00616315" w:rsidP="00616315">
      <w:pPr>
        <w:spacing w:before="11" w:line="240" w:lineRule="exact"/>
        <w:rPr>
          <w:sz w:val="24"/>
          <w:szCs w:val="24"/>
          <w:lang w:val="sl-SI"/>
        </w:rPr>
      </w:pPr>
    </w:p>
    <w:p w14:paraId="4D3396EA" w14:textId="77777777" w:rsidR="00616315" w:rsidRDefault="00616315" w:rsidP="00616315">
      <w:pPr>
        <w:pStyle w:val="a3"/>
        <w:rPr>
          <w:lang w:val="sl-SI"/>
        </w:rPr>
      </w:pPr>
      <w:r>
        <w:rPr>
          <w:rFonts w:eastAsia="Times New Roman"/>
          <w:lang w:val="sl-SI"/>
        </w:rPr>
        <w:t>Pri vseh indikacijah v kliničnih preskušanjih so bili bolniki z zvišano ALT asimptomatski in v večini primerov so bila zvišanja prehodna ter so izzvenela med nadaljnjim zdravljenjem. Vendar pa so v obdobju trženja poročali tudi o jetrni odpovedi in o manj hudih jetrnih boleznih, ki lahko pri bolnikih, ki prejemajo adalimumab, vodijo v jetrno odpoved, kot je hepatitis, vključno z avtoimunskim hepatitisom.</w:t>
      </w:r>
    </w:p>
    <w:p w14:paraId="4F315F2E" w14:textId="77777777" w:rsidR="00616315" w:rsidRDefault="00616315" w:rsidP="00616315">
      <w:pPr>
        <w:pStyle w:val="a3"/>
        <w:rPr>
          <w:u w:color="000000"/>
          <w:lang w:val="sl-SI"/>
        </w:rPr>
      </w:pPr>
    </w:p>
    <w:p w14:paraId="341D4F30" w14:textId="77777777" w:rsidR="00616315" w:rsidRDefault="00616315" w:rsidP="00616315">
      <w:pPr>
        <w:pStyle w:val="a3"/>
        <w:rPr>
          <w:u w:val="single"/>
          <w:lang w:val="sl-SI"/>
        </w:rPr>
      </w:pPr>
      <w:r>
        <w:rPr>
          <w:rFonts w:eastAsia="Times New Roman"/>
          <w:u w:val="single" w:color="000000"/>
          <w:lang w:val="sl-SI"/>
        </w:rPr>
        <w:t>Sočasna uporaba azatioprina/6-merkaptopurina</w:t>
      </w:r>
    </w:p>
    <w:p w14:paraId="6373B85B" w14:textId="77777777" w:rsidR="00616315" w:rsidRDefault="00616315" w:rsidP="00616315">
      <w:pPr>
        <w:spacing w:before="1" w:line="180" w:lineRule="exact"/>
        <w:rPr>
          <w:sz w:val="18"/>
          <w:szCs w:val="18"/>
          <w:lang w:val="sl-SI"/>
        </w:rPr>
      </w:pPr>
    </w:p>
    <w:p w14:paraId="697465AE" w14:textId="77777777" w:rsidR="00616315" w:rsidRDefault="00616315" w:rsidP="00616315">
      <w:pPr>
        <w:pStyle w:val="a3"/>
        <w:rPr>
          <w:lang w:val="sl-SI"/>
        </w:rPr>
      </w:pPr>
      <w:r>
        <w:rPr>
          <w:rFonts w:eastAsia="Times New Roman"/>
          <w:lang w:val="sl-SI"/>
        </w:rPr>
        <w:t>V študijah Crohnove bolezni pri odraslih so pri kombinaciji adalimumaba in azatioprina/6-merkaptopurina opazili večjo incidenco malignih bolezni in resnih neželenih dogodkov, povezanih z okužbo, kot pri uporabi samo adalimumaba.</w:t>
      </w:r>
    </w:p>
    <w:p w14:paraId="316DB042" w14:textId="77777777" w:rsidR="00616315" w:rsidRDefault="00616315" w:rsidP="00616315">
      <w:pPr>
        <w:spacing w:before="13" w:line="240" w:lineRule="exact"/>
        <w:rPr>
          <w:sz w:val="24"/>
          <w:szCs w:val="24"/>
          <w:lang w:val="sl-SI"/>
        </w:rPr>
      </w:pPr>
    </w:p>
    <w:p w14:paraId="580FAAF8" w14:textId="77777777" w:rsidR="00616315" w:rsidRDefault="00616315" w:rsidP="00616315">
      <w:pPr>
        <w:pStyle w:val="a3"/>
        <w:rPr>
          <w:u w:val="single"/>
          <w:lang w:val="sl-SI"/>
        </w:rPr>
      </w:pPr>
      <w:r>
        <w:rPr>
          <w:rFonts w:eastAsia="Times New Roman"/>
          <w:u w:val="single" w:color="000000"/>
          <w:lang w:val="sl-SI"/>
        </w:rPr>
        <w:t>Poročanje o domnevnih neželenih učinkih</w:t>
      </w:r>
    </w:p>
    <w:p w14:paraId="6C1EC182" w14:textId="77777777" w:rsidR="00616315" w:rsidRDefault="00616315" w:rsidP="00616315">
      <w:pPr>
        <w:spacing w:before="9" w:line="170" w:lineRule="exact"/>
        <w:rPr>
          <w:sz w:val="17"/>
          <w:szCs w:val="17"/>
          <w:lang w:val="sl-SI"/>
        </w:rPr>
      </w:pPr>
    </w:p>
    <w:p w14:paraId="72F29B20" w14:textId="77777777" w:rsidR="00616315" w:rsidRDefault="00616315" w:rsidP="00616315">
      <w:pPr>
        <w:pStyle w:val="a3"/>
        <w:rPr>
          <w:lang w:val="sl-SI"/>
        </w:rPr>
      </w:pPr>
      <w:r>
        <w:rPr>
          <w:rFonts w:eastAsia="Times New Roman"/>
          <w:lang w:val="sl-SI"/>
        </w:rPr>
        <w:t xml:space="preserve">Poročanje o domnevnih neželenih učinkih zdravila po izdaji dovoljenja za promet je pomembno. Omogoča namreč stalno spremljanje razmerja med koristmi in tveganji zdravila. Od zdravstvenih delavcev se zahteva, da poročajo o katerem koli domnevnem neželenem učinku zdravila na </w:t>
      </w:r>
      <w:r w:rsidRPr="008E1817">
        <w:rPr>
          <w:rFonts w:eastAsia="Times New Roman"/>
          <w:highlight w:val="lightGray"/>
          <w:lang w:val="sl-SI"/>
        </w:rPr>
        <w:t xml:space="preserve">nacionalni center za poročanje, ki je naveden v </w:t>
      </w:r>
      <w:hyperlink r:id="rId23" w:history="1">
        <w:r w:rsidRPr="008E1817">
          <w:rPr>
            <w:rFonts w:eastAsia="Times New Roman"/>
            <w:color w:val="0000FF"/>
            <w:highlight w:val="lightGray"/>
            <w:u w:val="single"/>
            <w:lang w:val="sl-SI"/>
          </w:rPr>
          <w:t>Prilogi V</w:t>
        </w:r>
        <w:r w:rsidRPr="008E1817">
          <w:rPr>
            <w:rFonts w:eastAsia="Times New Roman"/>
            <w:color w:val="000000"/>
            <w:highlight w:val="lightGray"/>
            <w:lang w:val="sl-SI"/>
          </w:rPr>
          <w:t>.</w:t>
        </w:r>
      </w:hyperlink>
    </w:p>
    <w:p w14:paraId="6036010D" w14:textId="77777777" w:rsidR="00616315" w:rsidRDefault="00616315" w:rsidP="00616315">
      <w:pPr>
        <w:spacing w:before="6" w:line="180" w:lineRule="exact"/>
        <w:rPr>
          <w:sz w:val="18"/>
          <w:szCs w:val="18"/>
          <w:lang w:val="sl-SI"/>
        </w:rPr>
      </w:pPr>
    </w:p>
    <w:p w14:paraId="12D33541" w14:textId="77777777" w:rsidR="00616315" w:rsidRDefault="00616315" w:rsidP="0030421B">
      <w:pPr>
        <w:widowControl/>
        <w:numPr>
          <w:ilvl w:val="1"/>
          <w:numId w:val="118"/>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Preveliko odmerjanje</w:t>
      </w:r>
    </w:p>
    <w:p w14:paraId="4BAEB6CF" w14:textId="77777777" w:rsidR="00616315" w:rsidRDefault="00616315" w:rsidP="00616315">
      <w:pPr>
        <w:spacing w:before="12" w:line="240" w:lineRule="exact"/>
        <w:rPr>
          <w:sz w:val="24"/>
          <w:szCs w:val="24"/>
          <w:lang w:val="sl-SI"/>
        </w:rPr>
      </w:pPr>
    </w:p>
    <w:p w14:paraId="08A805E2" w14:textId="77777777" w:rsidR="00616315" w:rsidRDefault="00616315" w:rsidP="00616315">
      <w:pPr>
        <w:pStyle w:val="a3"/>
        <w:rPr>
          <w:lang w:val="sl-SI"/>
        </w:rPr>
      </w:pPr>
      <w:r>
        <w:rPr>
          <w:rFonts w:eastAsia="Times New Roman"/>
          <w:lang w:val="sl-SI"/>
        </w:rPr>
        <w:t>Med kliničnimi preskušanji niso opazili toksičnih učinkov, ki bi omejevali odmerek. Največji ocenjeni odmerek je obsegal več intravenskih odmerkov po 10 mg/kg, kar je približno 15-kratni priporočeni odmerek.</w:t>
      </w:r>
    </w:p>
    <w:p w14:paraId="30F66B0C" w14:textId="77777777" w:rsidR="00616315" w:rsidRDefault="00616315" w:rsidP="00616315">
      <w:pPr>
        <w:spacing w:line="200" w:lineRule="exact"/>
        <w:rPr>
          <w:sz w:val="20"/>
          <w:szCs w:val="20"/>
          <w:lang w:val="sl-SI"/>
        </w:rPr>
      </w:pPr>
    </w:p>
    <w:p w14:paraId="78756AD2" w14:textId="77777777" w:rsidR="00616315" w:rsidRDefault="00616315" w:rsidP="00616315">
      <w:pPr>
        <w:widowControl/>
        <w:tabs>
          <w:tab w:val="left" w:pos="567"/>
        </w:tabs>
        <w:spacing w:line="260" w:lineRule="exact"/>
        <w:rPr>
          <w:rFonts w:ascii="Times New Roman" w:eastAsia="Times New Roman" w:hAnsi="Times New Roman" w:cs="Times New Roman"/>
          <w:b/>
          <w:noProof/>
          <w:lang w:val="sl-SI"/>
        </w:rPr>
      </w:pPr>
    </w:p>
    <w:p w14:paraId="4B8FF4B9" w14:textId="77777777" w:rsidR="00616315" w:rsidRDefault="00616315" w:rsidP="0030421B">
      <w:pPr>
        <w:widowControl/>
        <w:numPr>
          <w:ilvl w:val="0"/>
          <w:numId w:val="117"/>
        </w:numPr>
        <w:tabs>
          <w:tab w:val="left" w:pos="567"/>
        </w:tabs>
        <w:spacing w:line="260" w:lineRule="exact"/>
        <w:ind w:left="0"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FARMAKOLOŠKE LASTNOSTI</w:t>
      </w:r>
    </w:p>
    <w:p w14:paraId="6CAC2F8D" w14:textId="77777777" w:rsidR="00616315" w:rsidRDefault="00616315" w:rsidP="00616315">
      <w:pPr>
        <w:spacing w:before="11" w:line="240" w:lineRule="exact"/>
        <w:rPr>
          <w:sz w:val="24"/>
          <w:szCs w:val="24"/>
          <w:lang w:val="sl-SI"/>
        </w:rPr>
      </w:pPr>
    </w:p>
    <w:p w14:paraId="24A925F7" w14:textId="77777777" w:rsidR="00616315" w:rsidRDefault="00616315" w:rsidP="0030421B">
      <w:pPr>
        <w:widowControl/>
        <w:numPr>
          <w:ilvl w:val="1"/>
          <w:numId w:val="119"/>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Farmakodinamične lastnosti</w:t>
      </w:r>
    </w:p>
    <w:p w14:paraId="08224462" w14:textId="77777777" w:rsidR="00616315" w:rsidRDefault="00616315" w:rsidP="00616315">
      <w:pPr>
        <w:spacing w:before="9" w:line="240" w:lineRule="exact"/>
        <w:rPr>
          <w:sz w:val="24"/>
          <w:szCs w:val="24"/>
          <w:lang w:val="sl-SI"/>
        </w:rPr>
      </w:pPr>
    </w:p>
    <w:p w14:paraId="25A61A4D" w14:textId="77777777" w:rsidR="00616315" w:rsidRDefault="00616315" w:rsidP="00616315">
      <w:pPr>
        <w:pStyle w:val="a3"/>
        <w:rPr>
          <w:lang w:val="sl-SI"/>
        </w:rPr>
      </w:pPr>
      <w:r>
        <w:rPr>
          <w:rFonts w:eastAsia="Times New Roman"/>
          <w:lang w:val="sl-SI"/>
        </w:rPr>
        <w:t>Farmakoterapevtska skupina: Zdravila za zaviranje imunske odzivnosti, zaviralci tumorje-nekrotizirajočega faktorja alfa (TNF-α).Oznaka ATC: L04AB04</w:t>
      </w:r>
    </w:p>
    <w:p w14:paraId="704BC660" w14:textId="77777777" w:rsidR="00616315" w:rsidRDefault="00616315" w:rsidP="00616315">
      <w:pPr>
        <w:pStyle w:val="a3"/>
        <w:rPr>
          <w:lang w:val="sl-SI"/>
        </w:rPr>
      </w:pPr>
    </w:p>
    <w:p w14:paraId="260638E1" w14:textId="77777777" w:rsidR="00616315" w:rsidRDefault="00616315" w:rsidP="00616315">
      <w:pPr>
        <w:pStyle w:val="a3"/>
        <w:rPr>
          <w:lang w:val="sl-SI"/>
        </w:rPr>
      </w:pPr>
      <w:r>
        <w:rPr>
          <w:rFonts w:eastAsia="Times New Roman"/>
          <w:lang w:val="sl-SI"/>
        </w:rPr>
        <w:t xml:space="preserve">Zdravilo Yuflyma je podobno biološko zdravilo. Podrobne informacije so objavljene na spletni strani Evropske agencije za zdravila </w:t>
      </w:r>
      <w:hyperlink r:id="rId24" w:history="1">
        <w:r w:rsidRPr="008E1817">
          <w:rPr>
            <w:rStyle w:val="ad"/>
            <w:rFonts w:eastAsia="Times New Roman"/>
            <w:lang w:val="sl-SI"/>
          </w:rPr>
          <w:t>http://www.ema.europa.eu</w:t>
        </w:r>
      </w:hyperlink>
      <w:r>
        <w:rPr>
          <w:rFonts w:eastAsia="Times New Roman"/>
          <w:color w:val="0000FF"/>
          <w:u w:val="single"/>
          <w:lang w:val="sl-SI"/>
        </w:rPr>
        <w:t>.</w:t>
      </w:r>
    </w:p>
    <w:p w14:paraId="57C0C7B5" w14:textId="77777777" w:rsidR="00616315" w:rsidRDefault="00616315" w:rsidP="00616315">
      <w:pPr>
        <w:spacing w:before="10" w:line="240" w:lineRule="exact"/>
        <w:rPr>
          <w:sz w:val="24"/>
          <w:szCs w:val="24"/>
          <w:lang w:val="sl-SI"/>
        </w:rPr>
      </w:pPr>
    </w:p>
    <w:p w14:paraId="19BA5EE5" w14:textId="77777777" w:rsidR="00616315" w:rsidRDefault="00616315" w:rsidP="00616315">
      <w:pPr>
        <w:pStyle w:val="a3"/>
        <w:rPr>
          <w:u w:val="single"/>
          <w:lang w:val="sl-SI"/>
        </w:rPr>
      </w:pPr>
      <w:r>
        <w:rPr>
          <w:rFonts w:eastAsia="Times New Roman"/>
          <w:u w:val="single" w:color="000000"/>
          <w:lang w:val="sl-SI"/>
        </w:rPr>
        <w:t>Mehanizem delovanja</w:t>
      </w:r>
    </w:p>
    <w:p w14:paraId="1DD73F80" w14:textId="77777777" w:rsidR="00616315" w:rsidRDefault="00616315" w:rsidP="00616315">
      <w:pPr>
        <w:spacing w:before="1" w:line="180" w:lineRule="exact"/>
        <w:rPr>
          <w:sz w:val="18"/>
          <w:szCs w:val="18"/>
          <w:lang w:val="sl-SI"/>
        </w:rPr>
      </w:pPr>
    </w:p>
    <w:p w14:paraId="65ABCFD7" w14:textId="77777777" w:rsidR="00616315" w:rsidRDefault="00616315" w:rsidP="00616315">
      <w:pPr>
        <w:pStyle w:val="a3"/>
        <w:rPr>
          <w:lang w:val="sl-SI"/>
        </w:rPr>
      </w:pPr>
      <w:r>
        <w:rPr>
          <w:rFonts w:eastAsia="Times New Roman"/>
          <w:lang w:val="sl-SI"/>
        </w:rPr>
        <w:t>Adalimumab se specifično veže na TNF in nevtralizira njegovo biološko delovanje, tako da blokira njegovo interakcijo z receptorji p55 in p75 za TNF na površini celic.</w:t>
      </w:r>
    </w:p>
    <w:p w14:paraId="0B5149BE" w14:textId="77777777" w:rsidR="00616315" w:rsidRDefault="00616315" w:rsidP="00616315">
      <w:pPr>
        <w:spacing w:before="10" w:line="240" w:lineRule="exact"/>
        <w:rPr>
          <w:sz w:val="24"/>
          <w:szCs w:val="24"/>
          <w:lang w:val="sl-SI"/>
        </w:rPr>
      </w:pPr>
    </w:p>
    <w:p w14:paraId="4886C14F" w14:textId="77777777" w:rsidR="00616315" w:rsidRDefault="00616315" w:rsidP="00616315">
      <w:pPr>
        <w:pStyle w:val="a3"/>
        <w:rPr>
          <w:lang w:val="sl-SI"/>
        </w:rPr>
      </w:pPr>
      <w:r>
        <w:rPr>
          <w:rFonts w:eastAsia="Times New Roman"/>
          <w:lang w:val="sl-SI"/>
        </w:rPr>
        <w:t>Adalimumab prav tako modulira biološke odzive, ki jih sproži ali uravnava TNF, vključno s spremembami koncentracije adhezijskih molekul, odgovornih za migracijo levkocitov (ELAM-1, VCAM-1 in ICAM-1 z IK</w:t>
      </w:r>
      <w:r>
        <w:rPr>
          <w:rFonts w:eastAsia="Times New Roman"/>
          <w:sz w:val="14"/>
          <w:szCs w:val="14"/>
          <w:lang w:val="sl-SI"/>
        </w:rPr>
        <w:t>50</w:t>
      </w:r>
      <w:r>
        <w:rPr>
          <w:rFonts w:eastAsia="Times New Roman"/>
          <w:lang w:val="sl-SI"/>
        </w:rPr>
        <w:t xml:space="preserve"> 0,1–0,2 nM).</w:t>
      </w:r>
    </w:p>
    <w:p w14:paraId="74B2D1E2" w14:textId="77777777" w:rsidR="00616315" w:rsidRDefault="00616315" w:rsidP="00616315">
      <w:pPr>
        <w:spacing w:before="12" w:line="240" w:lineRule="exact"/>
        <w:rPr>
          <w:sz w:val="24"/>
          <w:szCs w:val="24"/>
          <w:lang w:val="sl-SI"/>
        </w:rPr>
      </w:pPr>
    </w:p>
    <w:p w14:paraId="0B2AB14F" w14:textId="77777777" w:rsidR="00616315" w:rsidRDefault="00616315" w:rsidP="00616315">
      <w:pPr>
        <w:pStyle w:val="a3"/>
        <w:rPr>
          <w:u w:val="single"/>
          <w:lang w:val="sl-SI"/>
        </w:rPr>
      </w:pPr>
      <w:r>
        <w:rPr>
          <w:rFonts w:eastAsia="Times New Roman"/>
          <w:u w:val="single" w:color="000000"/>
          <w:lang w:val="sl-SI"/>
        </w:rPr>
        <w:t>Farmakodinamični učinki</w:t>
      </w:r>
    </w:p>
    <w:p w14:paraId="7FE0CDE1" w14:textId="77777777" w:rsidR="00616315" w:rsidRDefault="00616315" w:rsidP="00616315">
      <w:pPr>
        <w:spacing w:before="1" w:line="180" w:lineRule="exact"/>
        <w:rPr>
          <w:sz w:val="18"/>
          <w:szCs w:val="18"/>
          <w:lang w:val="sl-SI"/>
        </w:rPr>
      </w:pPr>
    </w:p>
    <w:p w14:paraId="6E473B0E" w14:textId="77777777" w:rsidR="00616315" w:rsidRDefault="00616315" w:rsidP="00616315">
      <w:pPr>
        <w:pStyle w:val="a3"/>
        <w:rPr>
          <w:lang w:val="sl-SI"/>
        </w:rPr>
      </w:pPr>
      <w:r>
        <w:rPr>
          <w:rFonts w:eastAsia="Times New Roman"/>
          <w:lang w:val="sl-SI"/>
        </w:rPr>
        <w:t>Po zdravljenju z adalimumabom so pri bolnikih z revmatoidnim artritisom opažali hitro znižanje reaktantov akutne faze vnetja</w:t>
      </w:r>
    </w:p>
    <w:p w14:paraId="3DB16DEA" w14:textId="77777777" w:rsidR="00616315" w:rsidRDefault="00616315" w:rsidP="00616315">
      <w:pPr>
        <w:pStyle w:val="a3"/>
        <w:rPr>
          <w:lang w:val="sl-SI"/>
        </w:rPr>
      </w:pPr>
      <w:r>
        <w:rPr>
          <w:rFonts w:eastAsia="Times New Roman"/>
          <w:lang w:val="sl-SI"/>
        </w:rPr>
        <w:t>(C-reaktivnega proteina (CRP) in hitrosti sedimentacije eritrocitov (ESR)) ter serumskih citokinov (IL-6) v primerjavi z izhodiščem. Po uporabi adalimumaba se je zmanjšala tudi raven matriksnih metaloproteinaz v serumu (MMP-1 in MMP-3), ki povzročajo remodeliranje tkiva, odgovorno za uničenje hrustanca. Pri bolnikih, zdravljenih z adalimumabom, so se hematološki znaki kroničnega vnetja običajno izboljšali.</w:t>
      </w:r>
    </w:p>
    <w:p w14:paraId="5AD27E27" w14:textId="77777777" w:rsidR="00616315" w:rsidRDefault="00616315" w:rsidP="00616315">
      <w:pPr>
        <w:spacing w:before="10" w:line="240" w:lineRule="exact"/>
        <w:rPr>
          <w:sz w:val="24"/>
          <w:szCs w:val="24"/>
          <w:lang w:val="sl-SI"/>
        </w:rPr>
      </w:pPr>
    </w:p>
    <w:p w14:paraId="583E7755" w14:textId="77777777" w:rsidR="00616315" w:rsidRDefault="00616315" w:rsidP="00616315">
      <w:pPr>
        <w:pStyle w:val="a3"/>
        <w:rPr>
          <w:lang w:val="sl-SI"/>
        </w:rPr>
      </w:pPr>
      <w:r>
        <w:rPr>
          <w:rFonts w:eastAsia="Times New Roman"/>
          <w:lang w:val="sl-SI"/>
        </w:rPr>
        <w:t>Pri bolnikih s poliartikularnim juvenilnim idiopatskim artritisom, Crohnovo boleznijo, ulceroznim kolitisom in hidradenitis suppurativa so opazili naglo znižanje koncentracij CRP po zdravljenju z adalimumabom. Pri bolnikih s Crohnovo boleznijo so opazili zmanjšanje števila celic, ki izražajo vnetne označevalce v kolonu, vključno z bistvenim zmanjšanjem izražanja TNFα. Endoskopske študije na črevesni sluznici so pokazale znake celjenja sluznice pri bolnikih, zdravljenih z adalimumabom.</w:t>
      </w:r>
    </w:p>
    <w:p w14:paraId="6F74D78F" w14:textId="77777777" w:rsidR="00616315" w:rsidRDefault="00616315" w:rsidP="00616315">
      <w:pPr>
        <w:pStyle w:val="a3"/>
        <w:rPr>
          <w:u w:val="single" w:color="000000"/>
          <w:lang w:val="sl-SI"/>
        </w:rPr>
      </w:pPr>
    </w:p>
    <w:p w14:paraId="707E876D" w14:textId="77777777" w:rsidR="00616315" w:rsidRDefault="00616315" w:rsidP="00616315">
      <w:pPr>
        <w:pStyle w:val="a3"/>
        <w:rPr>
          <w:u w:val="single"/>
          <w:lang w:val="sl-SI"/>
        </w:rPr>
      </w:pPr>
      <w:r>
        <w:rPr>
          <w:rFonts w:eastAsia="Times New Roman"/>
          <w:u w:val="single" w:color="000000"/>
          <w:lang w:val="sl-SI"/>
        </w:rPr>
        <w:t>Klinična učinkovitost in varnost</w:t>
      </w:r>
    </w:p>
    <w:p w14:paraId="411E51D1" w14:textId="77777777" w:rsidR="00616315" w:rsidRDefault="00616315" w:rsidP="00616315">
      <w:pPr>
        <w:spacing w:line="180" w:lineRule="exact"/>
        <w:rPr>
          <w:sz w:val="18"/>
          <w:szCs w:val="18"/>
          <w:lang w:val="sl-SI"/>
        </w:rPr>
      </w:pPr>
    </w:p>
    <w:p w14:paraId="43358416" w14:textId="77777777" w:rsidR="00616315" w:rsidRDefault="00616315" w:rsidP="00616315">
      <w:pPr>
        <w:pStyle w:val="a3"/>
        <w:rPr>
          <w:i/>
          <w:iCs/>
          <w:lang w:val="sl-SI"/>
        </w:rPr>
      </w:pPr>
      <w:r>
        <w:rPr>
          <w:rFonts w:eastAsia="Times New Roman"/>
          <w:i/>
          <w:iCs/>
          <w:lang w:val="sl-SI"/>
        </w:rPr>
        <w:t>Revmatoidni artritis</w:t>
      </w:r>
    </w:p>
    <w:p w14:paraId="77190C91" w14:textId="77777777" w:rsidR="00616315" w:rsidRDefault="00616315" w:rsidP="00616315">
      <w:pPr>
        <w:pStyle w:val="a3"/>
        <w:rPr>
          <w:sz w:val="24"/>
          <w:szCs w:val="24"/>
          <w:lang w:val="sl-SI"/>
        </w:rPr>
      </w:pPr>
    </w:p>
    <w:p w14:paraId="170408F2" w14:textId="77777777" w:rsidR="00616315" w:rsidRDefault="00616315" w:rsidP="00616315">
      <w:pPr>
        <w:pStyle w:val="a3"/>
        <w:rPr>
          <w:lang w:val="sl-SI"/>
        </w:rPr>
      </w:pPr>
      <w:r>
        <w:rPr>
          <w:rFonts w:eastAsia="Times New Roman"/>
          <w:lang w:val="sl-SI"/>
        </w:rPr>
        <w:t>V vseh kliničnih preskušanjih revmatoidnega artritisa so adalimumab ocenili pri več kot 3000 bolnikih. Učinkovitost in varnost adalimumaba so ocenili v petih randomiziranih, dvojno slepih in dobro nadzorovanih študijah. Nekatere bolnike so zdravili do 120 mesecev. Bolečino na mestu injiciranja adalimumaba 40 mg/0,4 ml so ocenjevali v dveh randomiziranih, aktivnih, slepih, dvoobdobnih navzkrižnih študijah.</w:t>
      </w:r>
    </w:p>
    <w:p w14:paraId="10D7DF8B" w14:textId="77777777" w:rsidR="00616315" w:rsidRDefault="00616315" w:rsidP="00616315">
      <w:pPr>
        <w:spacing w:before="13" w:line="240" w:lineRule="exact"/>
        <w:rPr>
          <w:sz w:val="24"/>
          <w:szCs w:val="24"/>
          <w:lang w:val="sl-SI"/>
        </w:rPr>
      </w:pPr>
    </w:p>
    <w:p w14:paraId="44A790BE" w14:textId="77777777" w:rsidR="00616315" w:rsidRDefault="00616315" w:rsidP="00616315">
      <w:pPr>
        <w:pStyle w:val="a3"/>
        <w:rPr>
          <w:lang w:val="sl-SI"/>
        </w:rPr>
      </w:pPr>
      <w:r>
        <w:rPr>
          <w:rFonts w:eastAsia="Times New Roman"/>
          <w:lang w:val="sl-SI"/>
        </w:rPr>
        <w:t xml:space="preserve">V študiji revmatoidnega artritisa I je bilo ocenjeno 271 bolnikov z zmerno do hudo aktivnim revmatoidnim artritisom, starih </w:t>
      </w:r>
    </w:p>
    <w:p w14:paraId="6B689A2B" w14:textId="77777777" w:rsidR="00616315" w:rsidRDefault="00616315" w:rsidP="00616315">
      <w:pPr>
        <w:pStyle w:val="a3"/>
        <w:rPr>
          <w:lang w:val="sl-SI"/>
        </w:rPr>
      </w:pP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 xml:space="preserve">18 let, pri katerih zdravljenje z vsaj enim imunomodulirajočim antirevmatičnim zdravilom ni bilo uspešno, pri katerih metotreksat v odmerkih od 12,5 do 25 mg (10 mg, če so bili intolerantni za metotreksat) vsak teden ni bil dovolj učinkovit in pri katerih je odmerek metotreksata od 10 do 25 mg ostal stalen vsak teden. Bolniki so 24 tednov vsak drugi teden dobivali odmerke 20, 40 ali </w:t>
      </w:r>
    </w:p>
    <w:p w14:paraId="26EF58F6" w14:textId="77777777" w:rsidR="00616315" w:rsidRDefault="00616315" w:rsidP="00616315">
      <w:pPr>
        <w:pStyle w:val="a3"/>
        <w:rPr>
          <w:lang w:val="sl-SI"/>
        </w:rPr>
      </w:pPr>
      <w:r>
        <w:rPr>
          <w:rFonts w:eastAsia="Times New Roman"/>
          <w:lang w:val="sl-SI"/>
        </w:rPr>
        <w:t>80 mg adalimumaba ali placebo.</w:t>
      </w:r>
    </w:p>
    <w:p w14:paraId="47349A3A" w14:textId="77777777" w:rsidR="00616315" w:rsidRDefault="00616315" w:rsidP="00616315">
      <w:pPr>
        <w:spacing w:before="13" w:line="240" w:lineRule="exact"/>
        <w:rPr>
          <w:sz w:val="24"/>
          <w:szCs w:val="24"/>
          <w:lang w:val="sl-SI"/>
        </w:rPr>
      </w:pPr>
    </w:p>
    <w:p w14:paraId="480D7A23" w14:textId="77777777" w:rsidR="00616315" w:rsidRDefault="00616315" w:rsidP="00616315">
      <w:pPr>
        <w:pStyle w:val="a3"/>
        <w:rPr>
          <w:lang w:val="sl-SI"/>
        </w:rPr>
      </w:pPr>
      <w:r>
        <w:rPr>
          <w:rFonts w:eastAsia="Times New Roman"/>
          <w:lang w:val="sl-SI"/>
        </w:rPr>
        <w:t xml:space="preserve">V študiji revmatoidnega artritisa II je bilo ocenjenih 544 bolnikov z zmerno do hudo aktivnim revmatoidnim artritisom, starih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18 let, pri katerih zdravljenje z vsaj enim imunomodulirajočim antirevmatičnim zdravilom ni bilo uspešno. Bolniki so 26 tednov dobivali odmerka 20 ali 40 mg adalimumaba s subkutanim injiciranjem vsak drugi teden, s placebom vsak vmesni teden ali vsak teden; placebo so dobivali vsak teden enako dolgo. Uporaba drugih antirevmatskih imunomodulirajočih zdravil ni bila dovoljena.</w:t>
      </w:r>
    </w:p>
    <w:p w14:paraId="48136D1A" w14:textId="77777777" w:rsidR="00616315" w:rsidRDefault="00616315" w:rsidP="00616315">
      <w:pPr>
        <w:spacing w:before="13" w:line="240" w:lineRule="exact"/>
        <w:rPr>
          <w:sz w:val="24"/>
          <w:szCs w:val="24"/>
          <w:lang w:val="sl-SI"/>
        </w:rPr>
      </w:pPr>
    </w:p>
    <w:p w14:paraId="2C4D56DD" w14:textId="0BDD9C91" w:rsidR="00616315" w:rsidRDefault="00616315" w:rsidP="00616315">
      <w:pPr>
        <w:pStyle w:val="a3"/>
        <w:rPr>
          <w:lang w:val="sl-SI"/>
        </w:rPr>
      </w:pPr>
      <w:r>
        <w:rPr>
          <w:rFonts w:eastAsia="Times New Roman"/>
          <w:lang w:val="sl-SI"/>
        </w:rPr>
        <w:t xml:space="preserve">V študiji revmatoidnega artritisa III je bilo ocenjeno 619 bolnikov z zmerno do zelo aktivnim revmatoidnim artritisom, starih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18 let, ki se niso učinkovito odzvali na odmerke metotreksata od 12,5 do 25 mg ali niso prenašali 10 mg metotreksata vsak teden. V tej študiji so bile tri skupine. Prva je 52 tednov vsak teden dobivala injekcije placeba, druga je 52 tednov vsak teden dobivala 20 mg adalimumaba, tretja pa je vsak drugi teden dobivala 40 mg adalimumaba in injekcije placeba vsak vmesni teden. Po zaključenih prvih 52 tednih so 457 bolnikov vključili v odprto nadaljevalno fazo, med katero so dobivali 40 mg adalimumba/MTX vsak drugi teden v obdobju do 10 let.</w:t>
      </w:r>
    </w:p>
    <w:p w14:paraId="2E0A1CA6" w14:textId="77777777" w:rsidR="00616315" w:rsidRDefault="00616315" w:rsidP="00616315">
      <w:pPr>
        <w:spacing w:before="13" w:line="240" w:lineRule="exact"/>
        <w:rPr>
          <w:sz w:val="24"/>
          <w:szCs w:val="24"/>
          <w:lang w:val="sl-SI"/>
        </w:rPr>
      </w:pPr>
    </w:p>
    <w:p w14:paraId="54F9E744" w14:textId="77777777" w:rsidR="00616315" w:rsidRDefault="00616315" w:rsidP="00616315">
      <w:pPr>
        <w:pStyle w:val="a3"/>
        <w:rPr>
          <w:lang w:val="sl-SI"/>
        </w:rPr>
      </w:pPr>
      <w:r>
        <w:rPr>
          <w:rFonts w:eastAsia="Times New Roman"/>
          <w:lang w:val="sl-SI"/>
        </w:rPr>
        <w:t>V študiji revmatoidnega artritisa IV je bila v prvi vrsti ocenjena varnost pri 636 bolnikih z zmerno do hudo aktivnim revmatoidnim artritisom, starih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18 let. Bolniki lahko pred tem še niso prejemali imunomodulirajočih antirevmatičnih zdravil ali pa so ohranili svojo prejšnjo revmatološko terapijo pod pogojem, da je bila ta terapija stabilna vsaj 28 dni. Terapije so vključevale metotreksat, leflunomid, hidroksiklorokin, sulfasalazin in/ali soli zlata. Bolnike so randomizirali na 40 mg adalimumaba ali placebo vsak drugi teden za 24 tednov.</w:t>
      </w:r>
    </w:p>
    <w:p w14:paraId="122A092D" w14:textId="77777777" w:rsidR="00616315" w:rsidRDefault="00616315" w:rsidP="00616315">
      <w:pPr>
        <w:spacing w:before="11" w:line="240" w:lineRule="exact"/>
        <w:rPr>
          <w:sz w:val="24"/>
          <w:szCs w:val="24"/>
          <w:lang w:val="sl-SI"/>
        </w:rPr>
      </w:pPr>
    </w:p>
    <w:p w14:paraId="71AEC548" w14:textId="4FCC223E" w:rsidR="00616315" w:rsidRDefault="00616315" w:rsidP="00616315">
      <w:pPr>
        <w:pStyle w:val="a3"/>
        <w:rPr>
          <w:lang w:val="sl-SI"/>
        </w:rPr>
      </w:pPr>
      <w:r>
        <w:rPr>
          <w:rFonts w:eastAsia="Times New Roman"/>
          <w:lang w:val="sl-SI"/>
        </w:rPr>
        <w:t xml:space="preserve">Študija revmatoidnega artritisa V je ocenila 799 odraslih bolnikov, ki še niso dobivali metotreksata, in so </w:t>
      </w:r>
      <w:r>
        <w:rPr>
          <w:rFonts w:eastAsia="Times New Roman"/>
          <w:lang w:val="sl-SI"/>
        </w:rPr>
        <w:lastRenderedPageBreak/>
        <w:t>imeli zmerno do zelo aktiven zgoden revmatoidni artritis (povprečno trajanje bolezni manj kot 9 mesecev). Ta študija je ocenila učinkovitost kombiniranega zdravljenja z adalimumabom 40 mg vsak drugi teden/metotreksatom, monoterapija z adalimumabom 40 mg vsak drugi teden in monoterapijo z metotreksatom za zmanjšanje znakov in simptomov ter hitrosti napredovanja sklepne okvare pri revmatoidnem artritisu v obdobju 104 tednov. Po zaključenih prvih 104 tednih so 497 bolnikov vključili v odprto nadaljevalno fazo, med katero so še do 10 let dobivali 40 mg adalimumab vsak drugi teden.</w:t>
      </w:r>
    </w:p>
    <w:p w14:paraId="58D3555D" w14:textId="77777777" w:rsidR="00616315" w:rsidRDefault="00616315" w:rsidP="00616315">
      <w:pPr>
        <w:spacing w:before="13" w:line="240" w:lineRule="exact"/>
        <w:rPr>
          <w:sz w:val="24"/>
          <w:szCs w:val="24"/>
          <w:lang w:val="sl-SI"/>
        </w:rPr>
      </w:pPr>
    </w:p>
    <w:p w14:paraId="3E7EB484" w14:textId="77777777" w:rsidR="00616315" w:rsidRDefault="00616315" w:rsidP="00616315">
      <w:pPr>
        <w:pStyle w:val="a3"/>
        <w:rPr>
          <w:lang w:val="sl-SI"/>
        </w:rPr>
      </w:pPr>
      <w:r>
        <w:rPr>
          <w:rFonts w:eastAsia="Times New Roman"/>
          <w:lang w:val="sl-SI"/>
        </w:rPr>
        <w:t>V študiji revmatoidnega artritisa VI in VII je bilo ocenjenih 60 bolnikov z zmerno do hudo aktivnim revmatoidnim artritisom, starih ≥ 18 let. Vključeni bolniki so bodisi trenutno uporabljali 40 mg adalimumaba/0,8 ml in so povprečno bolečino na mestu injiciranja ocenili kot najmanj 3 cm (merjena z 0–10-centimetrskim VAS) ali pa še niso prejemali biološkega zdravila in so začeli uporabljati adalimumab 40 mg/0,8 ml. Bolniki so bili randomizirani v en odmerek adalimumaba 40 mg/0,8 ml ali adalimumaba 40 mg/0,4 ml, čemur je sledilo enkratno injiciranje nasprotnega zdravila pri naslednjem odmerku.</w:t>
      </w:r>
    </w:p>
    <w:p w14:paraId="1DDFFCBA" w14:textId="77777777" w:rsidR="00616315" w:rsidRDefault="00616315" w:rsidP="00616315">
      <w:pPr>
        <w:spacing w:before="14" w:line="240" w:lineRule="exact"/>
        <w:rPr>
          <w:sz w:val="24"/>
          <w:szCs w:val="24"/>
          <w:lang w:val="sl-SI"/>
        </w:rPr>
      </w:pPr>
    </w:p>
    <w:p w14:paraId="34EF3E11" w14:textId="77777777" w:rsidR="00616315" w:rsidRDefault="00616315" w:rsidP="00616315">
      <w:pPr>
        <w:pStyle w:val="a3"/>
        <w:rPr>
          <w:lang w:val="sl-SI"/>
        </w:rPr>
      </w:pPr>
      <w:r>
        <w:rPr>
          <w:rFonts w:eastAsia="Times New Roman"/>
          <w:lang w:val="sl-SI"/>
        </w:rPr>
        <w:t>Primarni opazovani dogodek v študijah revmatoidnega artritisa I, II in III ter sekundarni opazovani dogodek v študiji revmatoidnega artritisa IV je bil odstotek bolnikov, ki so po 24 oz. 26 tednih dosegli odziv 20 po ACR. Primarni opazovani dogodek študije revmatoidnega artritisa V je bil odstotek bolnikov, ki so do 52. tedna dosegli odziv ACR 50. V študijah III in V je bil dodatni primarni opazovani dogodek po 52 tednih upočasnitev napredovanja bolezni (ugotovljena z izvidi rentgenskega slikanja). Študija revmatoidnega artritisa III je imela kot primarni opazovani dogodek tudi spremembe v kakovosti življenja. Primarni opazovani dogodek v študijah RA VI in VII je bila bolečina na mestu injiciranja takoj po injiciranju, merjena z 0–10-centimetrskim VAS.</w:t>
      </w:r>
    </w:p>
    <w:p w14:paraId="592CEB7D" w14:textId="77777777" w:rsidR="00616315" w:rsidRDefault="00616315" w:rsidP="00616315">
      <w:pPr>
        <w:spacing w:before="13" w:line="240" w:lineRule="exact"/>
        <w:rPr>
          <w:sz w:val="24"/>
          <w:szCs w:val="24"/>
          <w:lang w:val="sl-SI"/>
        </w:rPr>
      </w:pPr>
    </w:p>
    <w:p w14:paraId="2B530808" w14:textId="77777777" w:rsidR="00616315" w:rsidRDefault="00616315" w:rsidP="00616315">
      <w:pPr>
        <w:rPr>
          <w:rFonts w:ascii="Times New Roman" w:eastAsia="Times New Roman" w:hAnsi="Times New Roman" w:cs="Times New Roman"/>
          <w:lang w:val="sl-SI"/>
        </w:rPr>
      </w:pPr>
      <w:r>
        <w:rPr>
          <w:rFonts w:ascii="Times New Roman" w:eastAsia="Times New Roman" w:hAnsi="Times New Roman" w:cs="Times New Roman"/>
          <w:i/>
          <w:iCs/>
          <w:spacing w:val="-1"/>
          <w:u w:val="single" w:color="000000"/>
          <w:lang w:val="sl-SI"/>
        </w:rPr>
        <w:t>Odziv po ACR</w:t>
      </w:r>
    </w:p>
    <w:p w14:paraId="2B67EAC8" w14:textId="77777777" w:rsidR="00616315" w:rsidRDefault="00616315" w:rsidP="00616315">
      <w:pPr>
        <w:spacing w:before="1" w:line="180" w:lineRule="exact"/>
        <w:rPr>
          <w:sz w:val="18"/>
          <w:szCs w:val="18"/>
          <w:lang w:val="sl-SI"/>
        </w:rPr>
      </w:pPr>
    </w:p>
    <w:p w14:paraId="4CA6C642" w14:textId="60A714A2" w:rsidR="00616315" w:rsidRDefault="00616315" w:rsidP="00616315">
      <w:pPr>
        <w:pStyle w:val="a3"/>
        <w:rPr>
          <w:lang w:val="sl-SI"/>
        </w:rPr>
      </w:pPr>
      <w:r>
        <w:rPr>
          <w:rFonts w:eastAsia="Times New Roman"/>
          <w:lang w:val="sl-SI"/>
        </w:rPr>
        <w:t>Odstotek bolnikov, zdravljenih z adalimumabom, ki so dosegli odziv 20, 50 in 70 po ACR, se je v študijah revmatoidnega artritisa I, II in III skladal. Rezultati odmerka 40 mg vsak drugi teden so strnjeni v preglednici </w:t>
      </w:r>
      <w:r w:rsidR="00FC3B95">
        <w:rPr>
          <w:rFonts w:eastAsia="Times New Roman"/>
          <w:lang w:val="sl-SI"/>
        </w:rPr>
        <w:t>5</w:t>
      </w:r>
      <w:r>
        <w:rPr>
          <w:rFonts w:eastAsia="Times New Roman"/>
          <w:lang w:val="sl-SI"/>
        </w:rPr>
        <w:t>.</w:t>
      </w:r>
    </w:p>
    <w:p w14:paraId="3510B662" w14:textId="77777777" w:rsidR="00616315" w:rsidRDefault="00616315" w:rsidP="00616315">
      <w:pPr>
        <w:spacing w:before="15" w:line="240" w:lineRule="exact"/>
        <w:rPr>
          <w:sz w:val="24"/>
          <w:szCs w:val="24"/>
          <w:lang w:val="sl-SI"/>
        </w:rPr>
      </w:pPr>
    </w:p>
    <w:p w14:paraId="5D31905C" w14:textId="04CF72A2" w:rsidR="00616315" w:rsidRDefault="00616315" w:rsidP="00616315">
      <w:pPr>
        <w:pStyle w:val="a3"/>
        <w:jc w:val="center"/>
        <w:rPr>
          <w:b/>
          <w:lang w:val="sl-SI"/>
        </w:rPr>
      </w:pPr>
      <w:r>
        <w:rPr>
          <w:rFonts w:eastAsia="Times New Roman"/>
          <w:b/>
          <w:bCs/>
          <w:lang w:val="sl-SI"/>
        </w:rPr>
        <w:t xml:space="preserve">Preglednica </w:t>
      </w:r>
      <w:r w:rsidR="00FC3B95">
        <w:rPr>
          <w:rFonts w:eastAsia="Times New Roman"/>
          <w:b/>
          <w:bCs/>
          <w:lang w:val="sl-SI"/>
        </w:rPr>
        <w:t>5</w:t>
      </w:r>
      <w:r>
        <w:rPr>
          <w:rFonts w:eastAsia="Times New Roman"/>
          <w:b/>
          <w:bCs/>
          <w:lang w:val="sl-SI"/>
        </w:rPr>
        <w:t>.</w:t>
      </w:r>
    </w:p>
    <w:p w14:paraId="517C138E" w14:textId="77777777" w:rsidR="00616315" w:rsidRDefault="00616315" w:rsidP="00616315">
      <w:pPr>
        <w:pStyle w:val="a3"/>
        <w:jc w:val="center"/>
        <w:rPr>
          <w:b/>
          <w:lang w:val="sl-SI"/>
        </w:rPr>
      </w:pPr>
      <w:r>
        <w:rPr>
          <w:rFonts w:eastAsia="Times New Roman"/>
          <w:b/>
          <w:bCs/>
          <w:lang w:val="sl-SI"/>
        </w:rPr>
        <w:t xml:space="preserve">Odziv po ACR v študijah, kontroliranih s placebom </w:t>
      </w:r>
      <w:r>
        <w:rPr>
          <w:rFonts w:eastAsia="Times New Roman"/>
          <w:b/>
          <w:bCs/>
          <w:lang w:val="sl-SI"/>
        </w:rPr>
        <w:br/>
        <w:t>(odstotek bolnikov)</w:t>
      </w:r>
    </w:p>
    <w:p w14:paraId="20070B46" w14:textId="77777777" w:rsidR="00616315" w:rsidRDefault="00616315" w:rsidP="00616315">
      <w:pPr>
        <w:spacing w:before="11" w:line="240" w:lineRule="exact"/>
        <w:rPr>
          <w:sz w:val="24"/>
          <w:szCs w:val="24"/>
          <w:lang w:val="sl-SI"/>
        </w:rPr>
      </w:pPr>
    </w:p>
    <w:tbl>
      <w:tblPr>
        <w:tblStyle w:val="TableNormal1"/>
        <w:tblW w:w="0" w:type="auto"/>
        <w:tblInd w:w="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12"/>
        <w:gridCol w:w="1276"/>
        <w:gridCol w:w="1381"/>
        <w:gridCol w:w="1273"/>
        <w:gridCol w:w="1288"/>
        <w:gridCol w:w="1151"/>
        <w:gridCol w:w="1544"/>
      </w:tblGrid>
      <w:tr w:rsidR="00616315" w:rsidRPr="00652F18" w14:paraId="54587C1A" w14:textId="77777777" w:rsidTr="00433A4B">
        <w:tc>
          <w:tcPr>
            <w:tcW w:w="1212" w:type="dxa"/>
            <w:vMerge w:val="restart"/>
          </w:tcPr>
          <w:p w14:paraId="49484A5B" w14:textId="77777777" w:rsidR="00616315" w:rsidRDefault="00616315" w:rsidP="00433A4B">
            <w:pPr>
              <w:rPr>
                <w:rFonts w:ascii="Times New Roman" w:eastAsia="Times New Roman" w:hAnsi="Times New Roman" w:cs="Times New Roman"/>
                <w:lang w:val="sl-SI"/>
              </w:rPr>
            </w:pPr>
            <w:r>
              <w:rPr>
                <w:rFonts w:ascii="Times New Roman" w:eastAsia="Times New Roman" w:hAnsi="Times New Roman" w:cs="Times New Roman"/>
                <w:lang w:val="sl-SI"/>
              </w:rPr>
              <w:t>Odziv</w:t>
            </w:r>
          </w:p>
        </w:tc>
        <w:tc>
          <w:tcPr>
            <w:tcW w:w="2657" w:type="dxa"/>
            <w:gridSpan w:val="2"/>
            <w:tcBorders>
              <w:bottom w:val="single" w:sz="4" w:space="0" w:color="auto"/>
            </w:tcBorders>
            <w:vAlign w:val="center"/>
          </w:tcPr>
          <w:p w14:paraId="75595B4C"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Študija revmatoidnega artritisa I</w:t>
            </w:r>
            <w:r>
              <w:rPr>
                <w:rFonts w:ascii="Times New Roman" w:eastAsia="Times New Roman" w:hAnsi="Times New Roman" w:cs="Times New Roman"/>
                <w:spacing w:val="-1"/>
                <w:vertAlign w:val="superscript"/>
                <w:lang w:val="sl-SI"/>
              </w:rPr>
              <w:t>a</w:t>
            </w:r>
            <w:r>
              <w:rPr>
                <w:rFonts w:ascii="Times New Roman" w:eastAsia="Times New Roman" w:hAnsi="Times New Roman" w:cs="Times New Roman"/>
                <w:spacing w:val="-1"/>
                <w:lang w:val="sl-SI"/>
              </w:rPr>
              <w:t>**</w:t>
            </w:r>
          </w:p>
        </w:tc>
        <w:tc>
          <w:tcPr>
            <w:tcW w:w="2561" w:type="dxa"/>
            <w:gridSpan w:val="2"/>
            <w:tcBorders>
              <w:bottom w:val="single" w:sz="4" w:space="0" w:color="auto"/>
            </w:tcBorders>
            <w:vAlign w:val="center"/>
          </w:tcPr>
          <w:p w14:paraId="00107570"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Študija revmatoidnega artritisa II</w:t>
            </w:r>
            <w:r>
              <w:rPr>
                <w:rFonts w:ascii="Times New Roman" w:eastAsia="Times New Roman" w:hAnsi="Times New Roman" w:cs="Times New Roman"/>
                <w:spacing w:val="-1"/>
                <w:vertAlign w:val="superscript"/>
                <w:lang w:val="sl-SI"/>
              </w:rPr>
              <w:t>a</w:t>
            </w:r>
            <w:r>
              <w:rPr>
                <w:rFonts w:ascii="Times New Roman" w:eastAsia="Times New Roman" w:hAnsi="Times New Roman" w:cs="Times New Roman"/>
                <w:spacing w:val="-1"/>
                <w:lang w:val="sl-SI"/>
              </w:rPr>
              <w:t>**</w:t>
            </w:r>
          </w:p>
        </w:tc>
        <w:tc>
          <w:tcPr>
            <w:tcW w:w="2695" w:type="dxa"/>
            <w:gridSpan w:val="2"/>
            <w:tcBorders>
              <w:bottom w:val="single" w:sz="4" w:space="0" w:color="auto"/>
            </w:tcBorders>
            <w:vAlign w:val="center"/>
          </w:tcPr>
          <w:p w14:paraId="127602DC"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Študija revmatoidnega artritisa III</w:t>
            </w:r>
            <w:r>
              <w:rPr>
                <w:rFonts w:ascii="Times New Roman" w:eastAsia="Times New Roman" w:hAnsi="Times New Roman" w:cs="Times New Roman"/>
                <w:spacing w:val="-1"/>
                <w:vertAlign w:val="superscript"/>
                <w:lang w:val="sl-SI"/>
              </w:rPr>
              <w:t>a</w:t>
            </w:r>
            <w:r>
              <w:rPr>
                <w:rFonts w:ascii="Times New Roman" w:eastAsia="Times New Roman" w:hAnsi="Times New Roman" w:cs="Times New Roman"/>
                <w:spacing w:val="-1"/>
                <w:lang w:val="sl-SI"/>
              </w:rPr>
              <w:t>**</w:t>
            </w:r>
          </w:p>
        </w:tc>
      </w:tr>
      <w:tr w:rsidR="00616315" w14:paraId="66DE36D7" w14:textId="77777777" w:rsidTr="00433A4B">
        <w:tc>
          <w:tcPr>
            <w:tcW w:w="1212" w:type="dxa"/>
            <w:vMerge/>
            <w:tcBorders>
              <w:bottom w:val="single" w:sz="4" w:space="0" w:color="auto"/>
            </w:tcBorders>
          </w:tcPr>
          <w:p w14:paraId="619DD232" w14:textId="77777777" w:rsidR="00616315" w:rsidRDefault="00616315" w:rsidP="00433A4B">
            <w:pPr>
              <w:rPr>
                <w:lang w:val="sl-SI"/>
              </w:rPr>
            </w:pPr>
          </w:p>
        </w:tc>
        <w:tc>
          <w:tcPr>
            <w:tcW w:w="1276" w:type="dxa"/>
            <w:tcBorders>
              <w:bottom w:val="single" w:sz="4" w:space="0" w:color="auto"/>
              <w:right w:val="nil"/>
            </w:tcBorders>
          </w:tcPr>
          <w:p w14:paraId="7E95AD3D"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Placebo/</w:t>
            </w:r>
          </w:p>
          <w:p w14:paraId="4F23FEA3" w14:textId="77777777" w:rsidR="00616315" w:rsidRDefault="00616315" w:rsidP="00433A4B">
            <w:pPr>
              <w:pStyle w:val="TableParagraph"/>
              <w:spacing w:before="5" w:line="252" w:lineRule="exact"/>
              <w:ind w:right="226"/>
              <w:jc w:val="center"/>
              <w:rPr>
                <w:rFonts w:ascii="Times New Roman" w:eastAsia="Times New Roman" w:hAnsi="Times New Roman" w:cs="Times New Roman"/>
                <w:lang w:val="sl-SI"/>
              </w:rPr>
            </w:pPr>
            <w:r>
              <w:rPr>
                <w:rFonts w:ascii="Times New Roman" w:eastAsia="Times New Roman" w:hAnsi="Times New Roman" w:cs="Times New Roman"/>
                <w:lang w:val="sl-SI"/>
              </w:rPr>
              <w:t>MTX</w:t>
            </w:r>
            <w:r>
              <w:rPr>
                <w:rFonts w:ascii="Times New Roman" w:eastAsia="Times New Roman" w:hAnsi="Times New Roman" w:cs="Times New Roman"/>
                <w:vertAlign w:val="superscript"/>
                <w:lang w:val="sl-SI"/>
              </w:rPr>
              <w:t>c</w:t>
            </w:r>
            <w:r>
              <w:rPr>
                <w:rFonts w:ascii="Times New Roman" w:eastAsia="Times New Roman" w:hAnsi="Times New Roman" w:cs="Times New Roman"/>
                <w:lang w:val="sl-SI"/>
              </w:rPr>
              <w:t xml:space="preserve"> </w:t>
            </w:r>
          </w:p>
          <w:p w14:paraId="32EC8842" w14:textId="77777777" w:rsidR="00616315" w:rsidRDefault="00616315" w:rsidP="00433A4B">
            <w:pPr>
              <w:pStyle w:val="TableParagraph"/>
              <w:spacing w:before="5" w:line="252" w:lineRule="exact"/>
              <w:ind w:right="226"/>
              <w:jc w:val="center"/>
              <w:rPr>
                <w:rFonts w:ascii="Times New Roman" w:eastAsia="Times New Roman" w:hAnsi="Times New Roman" w:cs="Times New Roman"/>
                <w:lang w:val="sl-SI"/>
              </w:rPr>
            </w:pPr>
            <w:r>
              <w:rPr>
                <w:rFonts w:ascii="Times New Roman" w:eastAsia="Times New Roman" w:hAnsi="Times New Roman" w:cs="Times New Roman"/>
                <w:lang w:val="sl-SI"/>
              </w:rPr>
              <w:t>n = 60</w:t>
            </w:r>
          </w:p>
        </w:tc>
        <w:tc>
          <w:tcPr>
            <w:tcW w:w="1381" w:type="dxa"/>
            <w:tcBorders>
              <w:left w:val="nil"/>
              <w:bottom w:val="single" w:sz="4" w:space="0" w:color="auto"/>
            </w:tcBorders>
          </w:tcPr>
          <w:p w14:paraId="37342C09" w14:textId="77777777" w:rsidR="00616315" w:rsidRDefault="00616315" w:rsidP="00433A4B">
            <w:pPr>
              <w:pStyle w:val="TableParagraph"/>
              <w:spacing w:line="246" w:lineRule="exact"/>
              <w:ind w:right="50"/>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Adalimumab</w:t>
            </w:r>
            <w:r>
              <w:rPr>
                <w:rFonts w:ascii="Times New Roman" w:eastAsia="Times New Roman" w:hAnsi="Times New Roman" w:cs="Times New Roman"/>
                <w:spacing w:val="-1"/>
                <w:vertAlign w:val="superscript"/>
                <w:lang w:val="sl-SI"/>
              </w:rPr>
              <w:t>b</w:t>
            </w:r>
            <w:r>
              <w:rPr>
                <w:rFonts w:ascii="Times New Roman" w:eastAsia="Times New Roman" w:hAnsi="Times New Roman" w:cs="Times New Roman"/>
                <w:spacing w:val="-1"/>
                <w:lang w:val="sl-SI"/>
              </w:rPr>
              <w:t>/</w:t>
            </w:r>
          </w:p>
          <w:p w14:paraId="678A29DD" w14:textId="77777777" w:rsidR="00616315" w:rsidRDefault="00616315" w:rsidP="00433A4B">
            <w:pPr>
              <w:pStyle w:val="TableParagraph"/>
              <w:spacing w:line="246" w:lineRule="exact"/>
              <w:ind w:right="50"/>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MTX</w:t>
            </w:r>
            <w:r>
              <w:rPr>
                <w:rFonts w:ascii="Times New Roman" w:eastAsia="Times New Roman" w:hAnsi="Times New Roman" w:cs="Times New Roman"/>
                <w:spacing w:val="-1"/>
                <w:vertAlign w:val="superscript"/>
                <w:lang w:val="sl-SI"/>
              </w:rPr>
              <w:t>c</w:t>
            </w:r>
          </w:p>
          <w:p w14:paraId="3A74DFE6"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n = 63</w:t>
            </w:r>
          </w:p>
        </w:tc>
        <w:tc>
          <w:tcPr>
            <w:tcW w:w="1273" w:type="dxa"/>
            <w:tcBorders>
              <w:bottom w:val="single" w:sz="4" w:space="0" w:color="auto"/>
              <w:right w:val="nil"/>
            </w:tcBorders>
          </w:tcPr>
          <w:p w14:paraId="30BE4183"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placebo</w:t>
            </w:r>
          </w:p>
          <w:p w14:paraId="0DE418F5"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n = 110</w:t>
            </w:r>
          </w:p>
        </w:tc>
        <w:tc>
          <w:tcPr>
            <w:tcW w:w="1288" w:type="dxa"/>
            <w:tcBorders>
              <w:left w:val="nil"/>
              <w:bottom w:val="single" w:sz="4" w:space="0" w:color="auto"/>
            </w:tcBorders>
          </w:tcPr>
          <w:p w14:paraId="029E24BB"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Adalimumab</w:t>
            </w:r>
            <w:r>
              <w:rPr>
                <w:rFonts w:ascii="Times New Roman" w:eastAsia="Times New Roman" w:hAnsi="Times New Roman" w:cs="Times New Roman"/>
                <w:spacing w:val="-1"/>
                <w:vertAlign w:val="superscript"/>
                <w:lang w:val="sl-SI"/>
              </w:rPr>
              <w:t>b</w:t>
            </w:r>
          </w:p>
          <w:p w14:paraId="07F3D67B"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n = 113</w:t>
            </w:r>
          </w:p>
        </w:tc>
        <w:tc>
          <w:tcPr>
            <w:tcW w:w="1151" w:type="dxa"/>
            <w:tcBorders>
              <w:bottom w:val="single" w:sz="4" w:space="0" w:color="auto"/>
              <w:right w:val="nil"/>
            </w:tcBorders>
          </w:tcPr>
          <w:p w14:paraId="3077D72C"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Placebo/</w:t>
            </w:r>
          </w:p>
          <w:p w14:paraId="00867D15" w14:textId="77777777" w:rsidR="00616315" w:rsidRDefault="00616315" w:rsidP="00433A4B">
            <w:pPr>
              <w:pStyle w:val="TableParagraph"/>
              <w:spacing w:line="252" w:lineRule="exact"/>
              <w:ind w:hanging="4"/>
              <w:jc w:val="center"/>
              <w:rPr>
                <w:rFonts w:ascii="Times New Roman" w:eastAsia="Times New Roman" w:hAnsi="Times New Roman" w:cs="Times New Roman"/>
                <w:lang w:val="sl-SI"/>
              </w:rPr>
            </w:pPr>
            <w:r>
              <w:rPr>
                <w:rFonts w:ascii="Times New Roman" w:eastAsia="Times New Roman" w:hAnsi="Times New Roman" w:cs="Times New Roman"/>
                <w:lang w:val="sl-SI"/>
              </w:rPr>
              <w:t>MTX</w:t>
            </w:r>
            <w:r>
              <w:rPr>
                <w:rFonts w:ascii="Times New Roman" w:eastAsia="Times New Roman" w:hAnsi="Times New Roman" w:cs="Times New Roman"/>
                <w:vertAlign w:val="superscript"/>
                <w:lang w:val="sl-SI"/>
              </w:rPr>
              <w:t>c</w:t>
            </w:r>
            <w:r>
              <w:rPr>
                <w:rFonts w:ascii="Times New Roman" w:eastAsia="Times New Roman" w:hAnsi="Times New Roman" w:cs="Times New Roman"/>
                <w:lang w:val="sl-SI"/>
              </w:rPr>
              <w:t xml:space="preserve"> </w:t>
            </w:r>
          </w:p>
          <w:p w14:paraId="42794B82" w14:textId="77777777" w:rsidR="00616315" w:rsidRDefault="00616315" w:rsidP="00433A4B">
            <w:pPr>
              <w:pStyle w:val="TableParagraph"/>
              <w:spacing w:line="252" w:lineRule="exact"/>
              <w:ind w:hanging="4"/>
              <w:jc w:val="center"/>
              <w:rPr>
                <w:rFonts w:ascii="Times New Roman" w:eastAsia="Times New Roman" w:hAnsi="Times New Roman" w:cs="Times New Roman"/>
                <w:lang w:val="sl-SI"/>
              </w:rPr>
            </w:pPr>
            <w:r>
              <w:rPr>
                <w:rFonts w:ascii="Times New Roman" w:eastAsia="Times New Roman" w:hAnsi="Times New Roman" w:cs="Times New Roman"/>
                <w:lang w:val="sl-SI"/>
              </w:rPr>
              <w:t>n = 200</w:t>
            </w:r>
          </w:p>
        </w:tc>
        <w:tc>
          <w:tcPr>
            <w:tcW w:w="1544" w:type="dxa"/>
            <w:tcBorders>
              <w:left w:val="nil"/>
              <w:bottom w:val="single" w:sz="4" w:space="0" w:color="auto"/>
            </w:tcBorders>
          </w:tcPr>
          <w:p w14:paraId="42529740" w14:textId="77777777" w:rsidR="00616315" w:rsidRDefault="00616315" w:rsidP="00433A4B">
            <w:pPr>
              <w:pStyle w:val="TableParagraph"/>
              <w:spacing w:line="246"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Adalimumab</w:t>
            </w:r>
            <w:r>
              <w:rPr>
                <w:rFonts w:ascii="Times New Roman" w:eastAsia="Times New Roman" w:hAnsi="Times New Roman" w:cs="Times New Roman"/>
                <w:spacing w:val="-1"/>
                <w:vertAlign w:val="superscript"/>
                <w:lang w:val="sl-SI"/>
              </w:rPr>
              <w:t>b</w:t>
            </w:r>
            <w:r>
              <w:rPr>
                <w:rFonts w:ascii="Times New Roman" w:eastAsia="Times New Roman" w:hAnsi="Times New Roman" w:cs="Times New Roman"/>
                <w:spacing w:val="-1"/>
                <w:lang w:val="sl-SI"/>
              </w:rPr>
              <w:t>/</w:t>
            </w:r>
          </w:p>
          <w:p w14:paraId="758157DA"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MTX</w:t>
            </w:r>
            <w:r>
              <w:rPr>
                <w:rFonts w:ascii="Times New Roman" w:eastAsia="Times New Roman" w:hAnsi="Times New Roman" w:cs="Times New Roman"/>
                <w:spacing w:val="-1"/>
                <w:vertAlign w:val="superscript"/>
                <w:lang w:val="sl-SI"/>
              </w:rPr>
              <w:t>c</w:t>
            </w:r>
          </w:p>
          <w:p w14:paraId="7E142BB8"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n = 207</w:t>
            </w:r>
          </w:p>
        </w:tc>
      </w:tr>
      <w:tr w:rsidR="00616315" w14:paraId="2A3586A1" w14:textId="77777777" w:rsidTr="00433A4B">
        <w:tc>
          <w:tcPr>
            <w:tcW w:w="1212" w:type="dxa"/>
            <w:tcBorders>
              <w:bottom w:val="nil"/>
            </w:tcBorders>
          </w:tcPr>
          <w:p w14:paraId="75EABFD4" w14:textId="77777777" w:rsidR="00616315" w:rsidRDefault="00616315" w:rsidP="00433A4B">
            <w:pPr>
              <w:pStyle w:val="TableParagraph"/>
              <w:spacing w:line="248"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ACR 20</w:t>
            </w:r>
          </w:p>
        </w:tc>
        <w:tc>
          <w:tcPr>
            <w:tcW w:w="1276" w:type="dxa"/>
            <w:vMerge w:val="restart"/>
            <w:tcBorders>
              <w:bottom w:val="nil"/>
              <w:right w:val="nil"/>
            </w:tcBorders>
          </w:tcPr>
          <w:p w14:paraId="49CE0D2B"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p w14:paraId="00DC0CDB"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13,3 %</w:t>
            </w:r>
          </w:p>
        </w:tc>
        <w:tc>
          <w:tcPr>
            <w:tcW w:w="1381" w:type="dxa"/>
            <w:vMerge w:val="restart"/>
            <w:tcBorders>
              <w:left w:val="nil"/>
              <w:bottom w:val="nil"/>
            </w:tcBorders>
          </w:tcPr>
          <w:p w14:paraId="14E5E60F"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p w14:paraId="52B77F47"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65,1 %</w:t>
            </w:r>
          </w:p>
        </w:tc>
        <w:tc>
          <w:tcPr>
            <w:tcW w:w="1273" w:type="dxa"/>
            <w:vMerge w:val="restart"/>
            <w:tcBorders>
              <w:bottom w:val="nil"/>
              <w:right w:val="nil"/>
            </w:tcBorders>
          </w:tcPr>
          <w:p w14:paraId="649AA41D"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p w14:paraId="1B96E27A"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19,1 %</w:t>
            </w:r>
          </w:p>
        </w:tc>
        <w:tc>
          <w:tcPr>
            <w:tcW w:w="1288" w:type="dxa"/>
            <w:vMerge w:val="restart"/>
            <w:tcBorders>
              <w:left w:val="nil"/>
              <w:bottom w:val="nil"/>
            </w:tcBorders>
          </w:tcPr>
          <w:p w14:paraId="067B120E"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p w14:paraId="3A704B40"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46,0 %</w:t>
            </w:r>
          </w:p>
        </w:tc>
        <w:tc>
          <w:tcPr>
            <w:tcW w:w="1151" w:type="dxa"/>
            <w:vMerge w:val="restart"/>
            <w:tcBorders>
              <w:bottom w:val="nil"/>
              <w:right w:val="nil"/>
            </w:tcBorders>
          </w:tcPr>
          <w:p w14:paraId="01039784"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p w14:paraId="01D85E73"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29,5 %</w:t>
            </w:r>
          </w:p>
        </w:tc>
        <w:tc>
          <w:tcPr>
            <w:tcW w:w="1544" w:type="dxa"/>
            <w:vMerge w:val="restart"/>
            <w:tcBorders>
              <w:left w:val="nil"/>
              <w:bottom w:val="nil"/>
            </w:tcBorders>
          </w:tcPr>
          <w:p w14:paraId="64AC1DCB"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p w14:paraId="39FFED0B"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63,3 %</w:t>
            </w:r>
          </w:p>
        </w:tc>
      </w:tr>
      <w:tr w:rsidR="00616315" w14:paraId="0D32BC2F" w14:textId="77777777" w:rsidTr="00433A4B">
        <w:tc>
          <w:tcPr>
            <w:tcW w:w="1212" w:type="dxa"/>
            <w:tcBorders>
              <w:top w:val="nil"/>
              <w:bottom w:val="nil"/>
            </w:tcBorders>
          </w:tcPr>
          <w:p w14:paraId="627A9AD7" w14:textId="77777777" w:rsidR="00616315" w:rsidRDefault="00616315" w:rsidP="00433A4B">
            <w:pPr>
              <w:pStyle w:val="TableParagraph"/>
              <w:spacing w:line="241" w:lineRule="exact"/>
              <w:ind w:left="144"/>
              <w:rPr>
                <w:rFonts w:ascii="Times New Roman" w:eastAsia="Times New Roman" w:hAnsi="Times New Roman" w:cs="Times New Roman"/>
                <w:lang w:val="sl-SI"/>
              </w:rPr>
            </w:pPr>
            <w:r>
              <w:rPr>
                <w:rFonts w:ascii="Times New Roman" w:eastAsia="Times New Roman" w:hAnsi="Times New Roman" w:cs="Times New Roman"/>
                <w:lang w:val="sl-SI"/>
              </w:rPr>
              <w:t>6 mesecev</w:t>
            </w:r>
          </w:p>
        </w:tc>
        <w:tc>
          <w:tcPr>
            <w:tcW w:w="1276" w:type="dxa"/>
            <w:vMerge/>
            <w:tcBorders>
              <w:top w:val="nil"/>
              <w:bottom w:val="nil"/>
              <w:right w:val="nil"/>
            </w:tcBorders>
          </w:tcPr>
          <w:p w14:paraId="14930778"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tc>
        <w:tc>
          <w:tcPr>
            <w:tcW w:w="1381" w:type="dxa"/>
            <w:vMerge/>
            <w:tcBorders>
              <w:top w:val="nil"/>
              <w:left w:val="nil"/>
              <w:bottom w:val="nil"/>
            </w:tcBorders>
          </w:tcPr>
          <w:p w14:paraId="67924681"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tc>
        <w:tc>
          <w:tcPr>
            <w:tcW w:w="1273" w:type="dxa"/>
            <w:vMerge/>
            <w:tcBorders>
              <w:top w:val="nil"/>
              <w:bottom w:val="nil"/>
              <w:right w:val="nil"/>
            </w:tcBorders>
          </w:tcPr>
          <w:p w14:paraId="71A7C0BD"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tc>
        <w:tc>
          <w:tcPr>
            <w:tcW w:w="1288" w:type="dxa"/>
            <w:vMerge/>
            <w:tcBorders>
              <w:top w:val="nil"/>
              <w:left w:val="nil"/>
              <w:bottom w:val="nil"/>
            </w:tcBorders>
          </w:tcPr>
          <w:p w14:paraId="4B9A18DB"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tc>
        <w:tc>
          <w:tcPr>
            <w:tcW w:w="1151" w:type="dxa"/>
            <w:vMerge/>
            <w:tcBorders>
              <w:top w:val="nil"/>
              <w:bottom w:val="nil"/>
              <w:right w:val="nil"/>
            </w:tcBorders>
          </w:tcPr>
          <w:p w14:paraId="71B86FAF"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tc>
        <w:tc>
          <w:tcPr>
            <w:tcW w:w="1544" w:type="dxa"/>
            <w:vMerge/>
            <w:tcBorders>
              <w:top w:val="nil"/>
              <w:left w:val="nil"/>
              <w:bottom w:val="nil"/>
            </w:tcBorders>
          </w:tcPr>
          <w:p w14:paraId="4BA17C84"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tc>
      </w:tr>
      <w:tr w:rsidR="00616315" w14:paraId="16201CD5" w14:textId="77777777" w:rsidTr="00433A4B">
        <w:tc>
          <w:tcPr>
            <w:tcW w:w="1212" w:type="dxa"/>
            <w:tcBorders>
              <w:top w:val="nil"/>
              <w:bottom w:val="nil"/>
            </w:tcBorders>
          </w:tcPr>
          <w:p w14:paraId="6E69FD96" w14:textId="77777777" w:rsidR="00616315" w:rsidRDefault="00616315" w:rsidP="00433A4B">
            <w:pPr>
              <w:pStyle w:val="TableParagraph"/>
              <w:spacing w:line="241" w:lineRule="exact"/>
              <w:ind w:left="144"/>
              <w:rPr>
                <w:rFonts w:ascii="Times New Roman" w:eastAsia="Times New Roman" w:hAnsi="Times New Roman" w:cs="Times New Roman"/>
                <w:lang w:val="sl-SI"/>
              </w:rPr>
            </w:pPr>
            <w:r>
              <w:rPr>
                <w:rFonts w:ascii="Times New Roman" w:eastAsia="Times New Roman" w:hAnsi="Times New Roman" w:cs="Times New Roman"/>
                <w:lang w:val="sl-SI"/>
              </w:rPr>
              <w:t>12 mesecev</w:t>
            </w:r>
          </w:p>
        </w:tc>
        <w:tc>
          <w:tcPr>
            <w:tcW w:w="1276" w:type="dxa"/>
            <w:tcBorders>
              <w:top w:val="nil"/>
              <w:bottom w:val="nil"/>
              <w:right w:val="nil"/>
            </w:tcBorders>
          </w:tcPr>
          <w:p w14:paraId="73324B44"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381" w:type="dxa"/>
            <w:tcBorders>
              <w:top w:val="nil"/>
              <w:left w:val="nil"/>
              <w:bottom w:val="nil"/>
            </w:tcBorders>
          </w:tcPr>
          <w:p w14:paraId="6B7E5F92"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273" w:type="dxa"/>
            <w:tcBorders>
              <w:top w:val="nil"/>
              <w:bottom w:val="nil"/>
              <w:right w:val="nil"/>
            </w:tcBorders>
          </w:tcPr>
          <w:p w14:paraId="6A254538"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288" w:type="dxa"/>
            <w:tcBorders>
              <w:top w:val="nil"/>
              <w:left w:val="nil"/>
              <w:bottom w:val="nil"/>
            </w:tcBorders>
          </w:tcPr>
          <w:p w14:paraId="32DD65D0"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151" w:type="dxa"/>
            <w:tcBorders>
              <w:top w:val="nil"/>
              <w:bottom w:val="nil"/>
              <w:right w:val="nil"/>
            </w:tcBorders>
          </w:tcPr>
          <w:p w14:paraId="7297A8B0" w14:textId="77777777" w:rsidR="00616315" w:rsidRDefault="00616315" w:rsidP="00433A4B">
            <w:pPr>
              <w:pStyle w:val="TableParagraph"/>
              <w:spacing w:line="241" w:lineRule="exact"/>
              <w:ind w:left="344" w:right="103"/>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24,0 %</w:t>
            </w:r>
          </w:p>
        </w:tc>
        <w:tc>
          <w:tcPr>
            <w:tcW w:w="1544" w:type="dxa"/>
            <w:tcBorders>
              <w:top w:val="nil"/>
              <w:left w:val="nil"/>
              <w:bottom w:val="nil"/>
            </w:tcBorders>
          </w:tcPr>
          <w:p w14:paraId="3F2F56C2" w14:textId="77777777" w:rsidR="00616315" w:rsidRDefault="00616315" w:rsidP="00433A4B">
            <w:pPr>
              <w:pStyle w:val="TableParagraph"/>
              <w:spacing w:line="241" w:lineRule="exact"/>
              <w:ind w:left="567" w:right="103"/>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58,9 %</w:t>
            </w:r>
          </w:p>
        </w:tc>
      </w:tr>
      <w:tr w:rsidR="00616315" w14:paraId="63439E20" w14:textId="77777777" w:rsidTr="00433A4B">
        <w:tc>
          <w:tcPr>
            <w:tcW w:w="1212" w:type="dxa"/>
            <w:tcBorders>
              <w:top w:val="nil"/>
              <w:bottom w:val="nil"/>
            </w:tcBorders>
          </w:tcPr>
          <w:p w14:paraId="68FECE60" w14:textId="77777777" w:rsidR="00616315" w:rsidRDefault="00616315" w:rsidP="00433A4B">
            <w:pPr>
              <w:pStyle w:val="TableParagraph"/>
              <w:spacing w:line="242"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ACR 50</w:t>
            </w:r>
          </w:p>
        </w:tc>
        <w:tc>
          <w:tcPr>
            <w:tcW w:w="1276" w:type="dxa"/>
            <w:tcBorders>
              <w:top w:val="nil"/>
              <w:bottom w:val="nil"/>
              <w:right w:val="nil"/>
            </w:tcBorders>
          </w:tcPr>
          <w:p w14:paraId="12401F28"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tc>
        <w:tc>
          <w:tcPr>
            <w:tcW w:w="1381" w:type="dxa"/>
            <w:tcBorders>
              <w:top w:val="nil"/>
              <w:left w:val="nil"/>
              <w:bottom w:val="nil"/>
            </w:tcBorders>
          </w:tcPr>
          <w:p w14:paraId="40F7F2AF"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tc>
        <w:tc>
          <w:tcPr>
            <w:tcW w:w="1273" w:type="dxa"/>
            <w:tcBorders>
              <w:top w:val="nil"/>
              <w:bottom w:val="nil"/>
              <w:right w:val="nil"/>
            </w:tcBorders>
          </w:tcPr>
          <w:p w14:paraId="03260369"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tc>
        <w:tc>
          <w:tcPr>
            <w:tcW w:w="1288" w:type="dxa"/>
            <w:tcBorders>
              <w:top w:val="nil"/>
              <w:left w:val="nil"/>
              <w:bottom w:val="nil"/>
            </w:tcBorders>
          </w:tcPr>
          <w:p w14:paraId="645D92D5"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tc>
        <w:tc>
          <w:tcPr>
            <w:tcW w:w="1151" w:type="dxa"/>
            <w:tcBorders>
              <w:top w:val="nil"/>
              <w:bottom w:val="nil"/>
              <w:right w:val="nil"/>
            </w:tcBorders>
          </w:tcPr>
          <w:p w14:paraId="74D6DE5A"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tc>
        <w:tc>
          <w:tcPr>
            <w:tcW w:w="1544" w:type="dxa"/>
            <w:tcBorders>
              <w:top w:val="nil"/>
              <w:left w:val="nil"/>
              <w:bottom w:val="nil"/>
            </w:tcBorders>
          </w:tcPr>
          <w:p w14:paraId="721D25E4"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tc>
      </w:tr>
      <w:tr w:rsidR="00616315" w14:paraId="133D348A" w14:textId="77777777" w:rsidTr="00433A4B">
        <w:tc>
          <w:tcPr>
            <w:tcW w:w="1212" w:type="dxa"/>
            <w:tcBorders>
              <w:top w:val="nil"/>
              <w:bottom w:val="nil"/>
            </w:tcBorders>
          </w:tcPr>
          <w:p w14:paraId="34162D08" w14:textId="77777777" w:rsidR="00616315" w:rsidRDefault="00616315" w:rsidP="00433A4B">
            <w:pPr>
              <w:pStyle w:val="TableParagraph"/>
              <w:spacing w:line="241" w:lineRule="exact"/>
              <w:ind w:left="144"/>
              <w:rPr>
                <w:rFonts w:ascii="Times New Roman" w:eastAsia="Times New Roman" w:hAnsi="Times New Roman" w:cs="Times New Roman"/>
                <w:lang w:val="sl-SI"/>
              </w:rPr>
            </w:pPr>
            <w:r>
              <w:rPr>
                <w:rFonts w:ascii="Times New Roman" w:eastAsia="Times New Roman" w:hAnsi="Times New Roman" w:cs="Times New Roman"/>
                <w:lang w:val="sl-SI"/>
              </w:rPr>
              <w:t>6 mesecev</w:t>
            </w:r>
          </w:p>
        </w:tc>
        <w:tc>
          <w:tcPr>
            <w:tcW w:w="1276" w:type="dxa"/>
            <w:tcBorders>
              <w:top w:val="nil"/>
              <w:bottom w:val="nil"/>
              <w:right w:val="nil"/>
            </w:tcBorders>
          </w:tcPr>
          <w:p w14:paraId="51CA6BF7"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6,7 %</w:t>
            </w:r>
          </w:p>
        </w:tc>
        <w:tc>
          <w:tcPr>
            <w:tcW w:w="1381" w:type="dxa"/>
            <w:tcBorders>
              <w:top w:val="nil"/>
              <w:left w:val="nil"/>
              <w:bottom w:val="nil"/>
            </w:tcBorders>
          </w:tcPr>
          <w:p w14:paraId="5D9CB753"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52,4 %</w:t>
            </w:r>
          </w:p>
        </w:tc>
        <w:tc>
          <w:tcPr>
            <w:tcW w:w="1273" w:type="dxa"/>
            <w:tcBorders>
              <w:top w:val="nil"/>
              <w:bottom w:val="nil"/>
              <w:right w:val="nil"/>
            </w:tcBorders>
          </w:tcPr>
          <w:p w14:paraId="6031C7C3"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8,2 %</w:t>
            </w:r>
          </w:p>
        </w:tc>
        <w:tc>
          <w:tcPr>
            <w:tcW w:w="1288" w:type="dxa"/>
            <w:tcBorders>
              <w:top w:val="nil"/>
              <w:left w:val="nil"/>
              <w:bottom w:val="nil"/>
            </w:tcBorders>
          </w:tcPr>
          <w:p w14:paraId="70C97128"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22,1 %</w:t>
            </w:r>
          </w:p>
        </w:tc>
        <w:tc>
          <w:tcPr>
            <w:tcW w:w="1151" w:type="dxa"/>
            <w:tcBorders>
              <w:top w:val="nil"/>
              <w:bottom w:val="nil"/>
              <w:right w:val="nil"/>
            </w:tcBorders>
          </w:tcPr>
          <w:p w14:paraId="7B070C41"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9,5 %</w:t>
            </w:r>
          </w:p>
        </w:tc>
        <w:tc>
          <w:tcPr>
            <w:tcW w:w="1544" w:type="dxa"/>
            <w:tcBorders>
              <w:top w:val="nil"/>
              <w:left w:val="nil"/>
              <w:bottom w:val="nil"/>
            </w:tcBorders>
          </w:tcPr>
          <w:p w14:paraId="586E1C36"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39,1 %</w:t>
            </w:r>
          </w:p>
        </w:tc>
      </w:tr>
      <w:tr w:rsidR="00616315" w14:paraId="50C67CBD" w14:textId="77777777" w:rsidTr="00433A4B">
        <w:tc>
          <w:tcPr>
            <w:tcW w:w="1212" w:type="dxa"/>
            <w:tcBorders>
              <w:top w:val="nil"/>
              <w:bottom w:val="nil"/>
            </w:tcBorders>
          </w:tcPr>
          <w:p w14:paraId="2E153B58" w14:textId="77777777" w:rsidR="00616315" w:rsidRDefault="00616315" w:rsidP="00433A4B">
            <w:pPr>
              <w:pStyle w:val="TableParagraph"/>
              <w:spacing w:line="242" w:lineRule="exact"/>
              <w:ind w:left="144"/>
              <w:rPr>
                <w:rFonts w:ascii="Times New Roman" w:eastAsia="Times New Roman" w:hAnsi="Times New Roman" w:cs="Times New Roman"/>
                <w:lang w:val="sl-SI"/>
              </w:rPr>
            </w:pPr>
            <w:r>
              <w:rPr>
                <w:rFonts w:ascii="Times New Roman" w:eastAsia="Times New Roman" w:hAnsi="Times New Roman" w:cs="Times New Roman"/>
                <w:lang w:val="sl-SI"/>
              </w:rPr>
              <w:t>12 mesecev</w:t>
            </w:r>
          </w:p>
        </w:tc>
        <w:tc>
          <w:tcPr>
            <w:tcW w:w="1276" w:type="dxa"/>
            <w:tcBorders>
              <w:top w:val="nil"/>
              <w:bottom w:val="nil"/>
              <w:right w:val="nil"/>
            </w:tcBorders>
          </w:tcPr>
          <w:p w14:paraId="7F92750F"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381" w:type="dxa"/>
            <w:tcBorders>
              <w:top w:val="nil"/>
              <w:left w:val="nil"/>
              <w:bottom w:val="nil"/>
            </w:tcBorders>
          </w:tcPr>
          <w:p w14:paraId="30A1B557"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273" w:type="dxa"/>
            <w:tcBorders>
              <w:top w:val="nil"/>
              <w:bottom w:val="nil"/>
              <w:right w:val="nil"/>
            </w:tcBorders>
          </w:tcPr>
          <w:p w14:paraId="46B68BDE"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288" w:type="dxa"/>
            <w:tcBorders>
              <w:top w:val="nil"/>
              <w:left w:val="nil"/>
              <w:bottom w:val="nil"/>
            </w:tcBorders>
          </w:tcPr>
          <w:p w14:paraId="6420A581"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151" w:type="dxa"/>
            <w:tcBorders>
              <w:top w:val="nil"/>
              <w:bottom w:val="nil"/>
              <w:right w:val="nil"/>
            </w:tcBorders>
          </w:tcPr>
          <w:p w14:paraId="537A283E"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9,5 %</w:t>
            </w:r>
          </w:p>
        </w:tc>
        <w:tc>
          <w:tcPr>
            <w:tcW w:w="1544" w:type="dxa"/>
            <w:tcBorders>
              <w:top w:val="nil"/>
              <w:left w:val="nil"/>
              <w:bottom w:val="nil"/>
            </w:tcBorders>
          </w:tcPr>
          <w:p w14:paraId="1066BF53"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41,5 %</w:t>
            </w:r>
          </w:p>
        </w:tc>
      </w:tr>
      <w:tr w:rsidR="00616315" w14:paraId="7992AA3B" w14:textId="77777777" w:rsidTr="00433A4B">
        <w:tc>
          <w:tcPr>
            <w:tcW w:w="1212" w:type="dxa"/>
            <w:tcBorders>
              <w:top w:val="nil"/>
              <w:bottom w:val="nil"/>
            </w:tcBorders>
          </w:tcPr>
          <w:p w14:paraId="69AC313B" w14:textId="77777777" w:rsidR="00616315" w:rsidRDefault="00616315" w:rsidP="00433A4B">
            <w:pPr>
              <w:pStyle w:val="TableParagraph"/>
              <w:spacing w:line="241"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ACR 70</w:t>
            </w:r>
          </w:p>
        </w:tc>
        <w:tc>
          <w:tcPr>
            <w:tcW w:w="1276" w:type="dxa"/>
            <w:tcBorders>
              <w:top w:val="nil"/>
              <w:bottom w:val="nil"/>
              <w:right w:val="nil"/>
            </w:tcBorders>
          </w:tcPr>
          <w:p w14:paraId="0DE984B8"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tc>
        <w:tc>
          <w:tcPr>
            <w:tcW w:w="1381" w:type="dxa"/>
            <w:tcBorders>
              <w:top w:val="nil"/>
              <w:left w:val="nil"/>
              <w:bottom w:val="nil"/>
            </w:tcBorders>
          </w:tcPr>
          <w:p w14:paraId="529549FB"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tc>
        <w:tc>
          <w:tcPr>
            <w:tcW w:w="1273" w:type="dxa"/>
            <w:tcBorders>
              <w:top w:val="nil"/>
              <w:bottom w:val="nil"/>
              <w:right w:val="nil"/>
            </w:tcBorders>
          </w:tcPr>
          <w:p w14:paraId="4443F26F"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tc>
        <w:tc>
          <w:tcPr>
            <w:tcW w:w="1288" w:type="dxa"/>
            <w:tcBorders>
              <w:top w:val="nil"/>
              <w:left w:val="nil"/>
              <w:bottom w:val="nil"/>
            </w:tcBorders>
          </w:tcPr>
          <w:p w14:paraId="7DB85467"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tc>
        <w:tc>
          <w:tcPr>
            <w:tcW w:w="1151" w:type="dxa"/>
            <w:tcBorders>
              <w:top w:val="nil"/>
              <w:bottom w:val="nil"/>
              <w:right w:val="nil"/>
            </w:tcBorders>
          </w:tcPr>
          <w:p w14:paraId="238AE995"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tc>
        <w:tc>
          <w:tcPr>
            <w:tcW w:w="1544" w:type="dxa"/>
            <w:tcBorders>
              <w:top w:val="nil"/>
              <w:left w:val="nil"/>
              <w:bottom w:val="nil"/>
            </w:tcBorders>
          </w:tcPr>
          <w:p w14:paraId="232FBDD7"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p>
        </w:tc>
      </w:tr>
      <w:tr w:rsidR="00616315" w14:paraId="3F5919DC" w14:textId="77777777" w:rsidTr="00433A4B">
        <w:tc>
          <w:tcPr>
            <w:tcW w:w="1212" w:type="dxa"/>
            <w:tcBorders>
              <w:top w:val="nil"/>
              <w:bottom w:val="nil"/>
            </w:tcBorders>
          </w:tcPr>
          <w:p w14:paraId="0A99A46E" w14:textId="77777777" w:rsidR="00616315" w:rsidRDefault="00616315" w:rsidP="00433A4B">
            <w:pPr>
              <w:pStyle w:val="TableParagraph"/>
              <w:spacing w:line="242" w:lineRule="exact"/>
              <w:ind w:left="144"/>
              <w:rPr>
                <w:rFonts w:ascii="Times New Roman" w:eastAsia="Times New Roman" w:hAnsi="Times New Roman" w:cs="Times New Roman"/>
                <w:lang w:val="sl-SI"/>
              </w:rPr>
            </w:pPr>
            <w:r>
              <w:rPr>
                <w:rFonts w:ascii="Times New Roman" w:eastAsia="Times New Roman" w:hAnsi="Times New Roman" w:cs="Times New Roman"/>
                <w:lang w:val="sl-SI"/>
              </w:rPr>
              <w:t>6 mesecev</w:t>
            </w:r>
          </w:p>
        </w:tc>
        <w:tc>
          <w:tcPr>
            <w:tcW w:w="1276" w:type="dxa"/>
            <w:tcBorders>
              <w:top w:val="nil"/>
              <w:bottom w:val="nil"/>
              <w:right w:val="nil"/>
            </w:tcBorders>
          </w:tcPr>
          <w:p w14:paraId="4345C157"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3,3 %</w:t>
            </w:r>
          </w:p>
        </w:tc>
        <w:tc>
          <w:tcPr>
            <w:tcW w:w="1381" w:type="dxa"/>
            <w:tcBorders>
              <w:top w:val="nil"/>
              <w:left w:val="nil"/>
              <w:bottom w:val="nil"/>
            </w:tcBorders>
          </w:tcPr>
          <w:p w14:paraId="6616F4FA"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23,8 %</w:t>
            </w:r>
          </w:p>
        </w:tc>
        <w:tc>
          <w:tcPr>
            <w:tcW w:w="1273" w:type="dxa"/>
            <w:tcBorders>
              <w:top w:val="nil"/>
              <w:bottom w:val="nil"/>
              <w:right w:val="nil"/>
            </w:tcBorders>
          </w:tcPr>
          <w:p w14:paraId="19C11AE0"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1,8 %</w:t>
            </w:r>
          </w:p>
        </w:tc>
        <w:tc>
          <w:tcPr>
            <w:tcW w:w="1288" w:type="dxa"/>
            <w:tcBorders>
              <w:top w:val="nil"/>
              <w:left w:val="nil"/>
              <w:bottom w:val="nil"/>
            </w:tcBorders>
          </w:tcPr>
          <w:p w14:paraId="2030C71D"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12,4 %</w:t>
            </w:r>
          </w:p>
        </w:tc>
        <w:tc>
          <w:tcPr>
            <w:tcW w:w="1151" w:type="dxa"/>
            <w:tcBorders>
              <w:top w:val="nil"/>
              <w:bottom w:val="nil"/>
              <w:right w:val="nil"/>
            </w:tcBorders>
          </w:tcPr>
          <w:p w14:paraId="0A535ECF"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2,5 %</w:t>
            </w:r>
          </w:p>
        </w:tc>
        <w:tc>
          <w:tcPr>
            <w:tcW w:w="1544" w:type="dxa"/>
            <w:tcBorders>
              <w:top w:val="nil"/>
              <w:left w:val="nil"/>
              <w:bottom w:val="nil"/>
            </w:tcBorders>
          </w:tcPr>
          <w:p w14:paraId="3B68D250"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20,8 %</w:t>
            </w:r>
          </w:p>
        </w:tc>
      </w:tr>
      <w:tr w:rsidR="00616315" w14:paraId="6EE26589" w14:textId="77777777" w:rsidTr="00433A4B">
        <w:tc>
          <w:tcPr>
            <w:tcW w:w="1212" w:type="dxa"/>
            <w:tcBorders>
              <w:top w:val="nil"/>
            </w:tcBorders>
          </w:tcPr>
          <w:p w14:paraId="5841DBBF" w14:textId="77777777" w:rsidR="00616315" w:rsidRDefault="00616315" w:rsidP="00433A4B">
            <w:pPr>
              <w:pStyle w:val="TableParagraph"/>
              <w:spacing w:line="241" w:lineRule="exact"/>
              <w:ind w:left="144"/>
              <w:rPr>
                <w:rFonts w:ascii="Times New Roman" w:eastAsia="Times New Roman" w:hAnsi="Times New Roman" w:cs="Times New Roman"/>
                <w:lang w:val="sl-SI"/>
              </w:rPr>
            </w:pPr>
            <w:r>
              <w:rPr>
                <w:rFonts w:ascii="Times New Roman" w:eastAsia="Times New Roman" w:hAnsi="Times New Roman" w:cs="Times New Roman"/>
                <w:lang w:val="sl-SI"/>
              </w:rPr>
              <w:t>12 mesecev</w:t>
            </w:r>
          </w:p>
        </w:tc>
        <w:tc>
          <w:tcPr>
            <w:tcW w:w="1276" w:type="dxa"/>
            <w:tcBorders>
              <w:top w:val="nil"/>
              <w:right w:val="nil"/>
            </w:tcBorders>
          </w:tcPr>
          <w:p w14:paraId="71980B85"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381" w:type="dxa"/>
            <w:tcBorders>
              <w:top w:val="nil"/>
              <w:left w:val="nil"/>
            </w:tcBorders>
          </w:tcPr>
          <w:p w14:paraId="70FEE50D"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273" w:type="dxa"/>
            <w:tcBorders>
              <w:top w:val="nil"/>
              <w:right w:val="nil"/>
            </w:tcBorders>
          </w:tcPr>
          <w:p w14:paraId="7DA607C0"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288" w:type="dxa"/>
            <w:tcBorders>
              <w:top w:val="nil"/>
              <w:left w:val="nil"/>
            </w:tcBorders>
          </w:tcPr>
          <w:p w14:paraId="65843D78"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151" w:type="dxa"/>
            <w:tcBorders>
              <w:top w:val="nil"/>
              <w:right w:val="nil"/>
            </w:tcBorders>
          </w:tcPr>
          <w:p w14:paraId="1D371404"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4,5 %</w:t>
            </w:r>
          </w:p>
        </w:tc>
        <w:tc>
          <w:tcPr>
            <w:tcW w:w="1544" w:type="dxa"/>
            <w:tcBorders>
              <w:top w:val="nil"/>
              <w:left w:val="nil"/>
            </w:tcBorders>
          </w:tcPr>
          <w:p w14:paraId="650794C0" w14:textId="77777777" w:rsidR="00616315" w:rsidRDefault="00616315" w:rsidP="00433A4B">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23,2 %</w:t>
            </w:r>
          </w:p>
        </w:tc>
      </w:tr>
    </w:tbl>
    <w:p w14:paraId="7E5E2629" w14:textId="77777777" w:rsidR="00616315" w:rsidRDefault="00616315" w:rsidP="00721C46">
      <w:pPr>
        <w:pStyle w:val="a3"/>
        <w:numPr>
          <w:ilvl w:val="0"/>
          <w:numId w:val="0"/>
        </w:numPr>
        <w:ind w:leftChars="100" w:left="220"/>
        <w:rPr>
          <w:lang w:val="sl-SI"/>
        </w:rPr>
      </w:pPr>
      <w:r>
        <w:rPr>
          <w:rFonts w:eastAsia="Times New Roman"/>
          <w:position w:val="8"/>
          <w:vertAlign w:val="superscript"/>
          <w:lang w:val="sl-SI"/>
        </w:rPr>
        <w:t>a</w:t>
      </w:r>
      <w:r>
        <w:rPr>
          <w:rFonts w:eastAsia="Times New Roman"/>
          <w:position w:val="8"/>
          <w:lang w:val="sl-SI"/>
        </w:rPr>
        <w:t xml:space="preserve"> Študija revmatoidnega artritisa I po 24 tednih, študija revmatoidnega artritisa II po 26 tednih ter študija revmatoidnega artritisa III po 24 in 52 tednih</w:t>
      </w:r>
    </w:p>
    <w:p w14:paraId="7CEAFA96" w14:textId="77777777" w:rsidR="00616315" w:rsidRDefault="00616315" w:rsidP="00721C46">
      <w:pPr>
        <w:pStyle w:val="a3"/>
        <w:numPr>
          <w:ilvl w:val="0"/>
          <w:numId w:val="0"/>
        </w:numPr>
        <w:ind w:leftChars="100" w:left="220"/>
        <w:rPr>
          <w:lang w:val="sl-SI"/>
        </w:rPr>
      </w:pPr>
      <w:r>
        <w:rPr>
          <w:rFonts w:eastAsia="Times New Roman"/>
          <w:position w:val="8"/>
          <w:vertAlign w:val="superscript"/>
          <w:lang w:val="sl-SI"/>
        </w:rPr>
        <w:t>b</w:t>
      </w:r>
      <w:r>
        <w:rPr>
          <w:rFonts w:eastAsia="Times New Roman"/>
          <w:position w:val="8"/>
          <w:lang w:val="sl-SI"/>
        </w:rPr>
        <w:t xml:space="preserve"> 40 mg adalimumaba vsak drugi teden</w:t>
      </w:r>
    </w:p>
    <w:p w14:paraId="5D9C4AE5" w14:textId="77777777" w:rsidR="00616315" w:rsidRDefault="00616315" w:rsidP="00721C46">
      <w:pPr>
        <w:pStyle w:val="a3"/>
        <w:ind w:leftChars="100" w:left="220"/>
        <w:rPr>
          <w:lang w:val="sl-SI"/>
        </w:rPr>
      </w:pPr>
      <w:r>
        <w:rPr>
          <w:rFonts w:eastAsia="Times New Roman"/>
          <w:position w:val="8"/>
          <w:vertAlign w:val="superscript"/>
          <w:lang w:val="sl-SI"/>
        </w:rPr>
        <w:t>c</w:t>
      </w:r>
      <w:r>
        <w:rPr>
          <w:rFonts w:eastAsia="Times New Roman"/>
          <w:position w:val="8"/>
          <w:lang w:val="sl-SI"/>
        </w:rPr>
        <w:t xml:space="preserve"> MTX = metotreksat</w:t>
      </w:r>
    </w:p>
    <w:p w14:paraId="4FF21D84" w14:textId="77777777" w:rsidR="00616315" w:rsidRDefault="00616315" w:rsidP="00721C46">
      <w:pPr>
        <w:spacing w:before="1"/>
        <w:ind w:leftChars="100" w:left="220"/>
        <w:rPr>
          <w:rFonts w:ascii="Times New Roman" w:eastAsia="Times New Roman" w:hAnsi="Times New Roman" w:cs="Times New Roman"/>
          <w:lang w:val="sl-SI"/>
        </w:rPr>
      </w:pPr>
      <w:r>
        <w:rPr>
          <w:rFonts w:ascii="Times New Roman" w:eastAsia="Times New Roman" w:hAnsi="Times New Roman" w:cs="Times New Roman"/>
          <w:lang w:val="sl-SI"/>
        </w:rPr>
        <w:t>**p &lt; 0,01, adalimumab v primerjavi s</w:t>
      </w:r>
      <w:r>
        <w:rPr>
          <w:rFonts w:ascii="Times New Roman" w:eastAsia="Times New Roman" w:hAnsi="Times New Roman" w:cs="Times New Roman"/>
          <w:i/>
          <w:iCs/>
          <w:lang w:val="sl-SI"/>
        </w:rPr>
        <w:t xml:space="preserve"> </w:t>
      </w:r>
      <w:r>
        <w:rPr>
          <w:rFonts w:ascii="Times New Roman" w:eastAsia="Times New Roman" w:hAnsi="Times New Roman" w:cs="Times New Roman"/>
          <w:lang w:val="sl-SI"/>
        </w:rPr>
        <w:t>placebom</w:t>
      </w:r>
    </w:p>
    <w:p w14:paraId="16632121" w14:textId="77777777" w:rsidR="00616315" w:rsidRDefault="00616315" w:rsidP="00616315">
      <w:pPr>
        <w:spacing w:before="1" w:line="180" w:lineRule="exact"/>
        <w:rPr>
          <w:sz w:val="18"/>
          <w:szCs w:val="18"/>
          <w:lang w:val="sl-SI"/>
        </w:rPr>
      </w:pPr>
    </w:p>
    <w:p w14:paraId="73FAB019" w14:textId="77777777" w:rsidR="00616315" w:rsidRDefault="00616315" w:rsidP="00616315">
      <w:pPr>
        <w:pStyle w:val="a3"/>
        <w:rPr>
          <w:lang w:val="sl-SI"/>
        </w:rPr>
      </w:pPr>
      <w:r>
        <w:rPr>
          <w:rFonts w:eastAsia="Times New Roman"/>
          <w:lang w:val="sl-SI"/>
        </w:rPr>
        <w:t xml:space="preserve">V študijah revmatoidnega artritisa I–IV so se v primerjavi s placebom po 24 oz. 26 tednih izboljšali vsi posamezni elementi meril odziva po ACR (število bolečih in oteklih sklepov, zdravnikova in bolnikova </w:t>
      </w:r>
      <w:r>
        <w:rPr>
          <w:rFonts w:eastAsia="Times New Roman"/>
          <w:lang w:val="sl-SI"/>
        </w:rPr>
        <w:lastRenderedPageBreak/>
        <w:t>ocena aktivnosti bolezni in bolečin, vrednost indeksa invalidnosti (HAQ) in vrednost CRP (mg/dl)). V študiji revmatoidnega artritisa III so se ta izboljšanja ohranila 52 tednov.</w:t>
      </w:r>
    </w:p>
    <w:p w14:paraId="7342A95D" w14:textId="77777777" w:rsidR="00616315" w:rsidRDefault="00616315" w:rsidP="00616315">
      <w:pPr>
        <w:spacing w:before="13" w:line="240" w:lineRule="exact"/>
        <w:rPr>
          <w:sz w:val="24"/>
          <w:szCs w:val="24"/>
          <w:lang w:val="sl-SI"/>
        </w:rPr>
      </w:pPr>
    </w:p>
    <w:p w14:paraId="5F683F68" w14:textId="77777777" w:rsidR="00616315" w:rsidRDefault="00616315" w:rsidP="00616315">
      <w:pPr>
        <w:pStyle w:val="a3"/>
        <w:rPr>
          <w:lang w:val="sl-SI"/>
        </w:rPr>
      </w:pPr>
      <w:r>
        <w:rPr>
          <w:rFonts w:eastAsia="Times New Roman"/>
          <w:lang w:val="sl-SI"/>
        </w:rPr>
        <w:t>V odprtem podaljšanju študije revmatoidnega artritisa III se je večina bolnikov, ki so se odzvali na ACR, odzivala še naprej v času sledenja do 10 let. Od 207 bolnikov, ki so bili randomizirani na adalimumab 40 mg vsak drugi teden, jih je 114 nadaljevalo zdravljenje z adalimumabom 40 mg vsak drugi teden še 5 let. Med temi je 86 bolnikov (75,4 %) imelo odziv 20 po ACR; 72 bolnikov (63,2 %) je imelo odziv 50 po ACR; in 41 bolnikov (36 %) je imelo odziv 70 po ACR. Od 207 bolnikov jih je 81 nadaljevalo zdravljenje z adalimumabom 40 mg vsak drugi teden še 10 let. Med temi je 64 bolnikov (79,0 %) imelo odziv 20 po ACR; 56 bolnikov (69,1 %) je imelo odziv 50 po ACR; in 43 bolnikov (53,1 %) je imelo odziv 70 po ACR.</w:t>
      </w:r>
    </w:p>
    <w:p w14:paraId="3D5564E7" w14:textId="77777777" w:rsidR="00616315" w:rsidRDefault="00616315" w:rsidP="00616315">
      <w:pPr>
        <w:spacing w:before="17" w:line="240" w:lineRule="exact"/>
        <w:rPr>
          <w:sz w:val="24"/>
          <w:szCs w:val="24"/>
          <w:lang w:val="sl-SI"/>
        </w:rPr>
      </w:pPr>
    </w:p>
    <w:p w14:paraId="100CCFE2" w14:textId="77777777" w:rsidR="00616315" w:rsidRDefault="00616315" w:rsidP="00616315">
      <w:pPr>
        <w:pStyle w:val="a3"/>
        <w:rPr>
          <w:lang w:val="sl-SI"/>
        </w:rPr>
      </w:pPr>
      <w:r>
        <w:rPr>
          <w:rFonts w:eastAsia="Times New Roman"/>
          <w:lang w:val="sl-SI"/>
        </w:rPr>
        <w:t>V študiji revmatoidnega artritisa IV je bil odziv 20 po ACR pri bolnikih, zdravljenih z adalimumabom in standardno oskrbo, statistično značilno boljši kot pri bolnikih, zdravljenih s placebom in standardno oskrbo (p &lt; 0,001).</w:t>
      </w:r>
    </w:p>
    <w:p w14:paraId="568FBC09" w14:textId="77777777" w:rsidR="00616315" w:rsidRDefault="00616315" w:rsidP="00616315">
      <w:pPr>
        <w:spacing w:before="11" w:line="240" w:lineRule="exact"/>
        <w:rPr>
          <w:sz w:val="24"/>
          <w:szCs w:val="24"/>
          <w:lang w:val="sl-SI"/>
        </w:rPr>
      </w:pPr>
    </w:p>
    <w:p w14:paraId="632D822E" w14:textId="77777777" w:rsidR="00616315" w:rsidRDefault="00616315" w:rsidP="00616315">
      <w:pPr>
        <w:pStyle w:val="a3"/>
        <w:rPr>
          <w:lang w:val="sl-SI"/>
        </w:rPr>
      </w:pPr>
      <w:r>
        <w:rPr>
          <w:rFonts w:eastAsia="Times New Roman"/>
          <w:lang w:val="sl-SI"/>
        </w:rPr>
        <w:t>V študijah revmatoidnega artritisa I-IV so bolniki, zdravljeni z adalimumabom, v primerjavi z bolniki, ki so prejemali placebo, dosegli statistično značilen odziv 20 in 50 po ACR že en do dva tedna po začetku zdravljenja.</w:t>
      </w:r>
    </w:p>
    <w:p w14:paraId="63E8018A" w14:textId="77777777" w:rsidR="00616315" w:rsidRDefault="00616315" w:rsidP="00616315">
      <w:pPr>
        <w:pStyle w:val="a3"/>
        <w:rPr>
          <w:lang w:val="sl-SI"/>
        </w:rPr>
      </w:pPr>
    </w:p>
    <w:p w14:paraId="568FFB60" w14:textId="256D53EC" w:rsidR="00616315" w:rsidRDefault="00616315" w:rsidP="00616315">
      <w:pPr>
        <w:pStyle w:val="a3"/>
        <w:rPr>
          <w:lang w:val="sl-SI"/>
        </w:rPr>
      </w:pPr>
      <w:r>
        <w:rPr>
          <w:rFonts w:eastAsia="Times New Roman"/>
          <w:lang w:val="sl-SI"/>
        </w:rPr>
        <w:t>V študiji revmatoidnega artritisa V pri bolnikih z zgodnjim revmatoidnim artritisom, ki še niso dobivali metotreksata, je kombinirana terapija z adalimumabom in metotreksatom po 52 tednih prinesla hitrejše in značilno večje odzive ACR kakor monoterapija z metotreksatom ali monoterapija z adalimumabom odzivi pa so se ohranili do 104. tedna (glejte preglednico </w:t>
      </w:r>
      <w:r w:rsidR="00FC3B95">
        <w:rPr>
          <w:rFonts w:eastAsia="Times New Roman"/>
          <w:lang w:val="sl-SI"/>
        </w:rPr>
        <w:t>6</w:t>
      </w:r>
      <w:r>
        <w:rPr>
          <w:rFonts w:eastAsia="Times New Roman"/>
          <w:lang w:val="sl-SI"/>
        </w:rPr>
        <w:t>).</w:t>
      </w:r>
    </w:p>
    <w:p w14:paraId="6CAB6F75" w14:textId="77777777" w:rsidR="00616315" w:rsidRDefault="00616315" w:rsidP="00616315">
      <w:pPr>
        <w:pStyle w:val="a3"/>
        <w:jc w:val="center"/>
        <w:rPr>
          <w:b/>
          <w:lang w:val="sl-SI"/>
        </w:rPr>
      </w:pPr>
    </w:p>
    <w:p w14:paraId="07DFD6B1" w14:textId="6E393882" w:rsidR="00616315" w:rsidRDefault="00616315" w:rsidP="00616315">
      <w:pPr>
        <w:pStyle w:val="a3"/>
        <w:jc w:val="center"/>
        <w:rPr>
          <w:b/>
          <w:lang w:val="sl-SI"/>
        </w:rPr>
      </w:pPr>
      <w:r>
        <w:rPr>
          <w:rFonts w:eastAsia="Times New Roman"/>
          <w:b/>
          <w:bCs/>
          <w:lang w:val="sl-SI"/>
        </w:rPr>
        <w:t>Preglednica </w:t>
      </w:r>
      <w:r w:rsidR="00FC3B95">
        <w:rPr>
          <w:rFonts w:eastAsia="Times New Roman"/>
          <w:b/>
          <w:bCs/>
          <w:lang w:val="sl-SI"/>
        </w:rPr>
        <w:t>6</w:t>
      </w:r>
      <w:r>
        <w:rPr>
          <w:rFonts w:eastAsia="Times New Roman"/>
          <w:b/>
          <w:bCs/>
          <w:lang w:val="sl-SI"/>
        </w:rPr>
        <w:t>.</w:t>
      </w:r>
    </w:p>
    <w:p w14:paraId="313BE918" w14:textId="77777777" w:rsidR="00616315" w:rsidRDefault="00616315" w:rsidP="00616315">
      <w:pPr>
        <w:pStyle w:val="a3"/>
        <w:jc w:val="center"/>
        <w:rPr>
          <w:b/>
          <w:lang w:val="sl-SI"/>
        </w:rPr>
      </w:pPr>
      <w:r>
        <w:rPr>
          <w:rFonts w:eastAsia="Times New Roman"/>
          <w:b/>
          <w:bCs/>
          <w:lang w:val="sl-SI"/>
        </w:rPr>
        <w:t>Odzivi ACR v študiji revmatoidnega artritisa V</w:t>
      </w:r>
    </w:p>
    <w:p w14:paraId="6269F850" w14:textId="77777777" w:rsidR="00616315" w:rsidRDefault="00616315" w:rsidP="00616315">
      <w:pPr>
        <w:pStyle w:val="a3"/>
        <w:jc w:val="center"/>
        <w:rPr>
          <w:b/>
          <w:lang w:val="sl-SI"/>
        </w:rPr>
      </w:pPr>
      <w:r>
        <w:rPr>
          <w:rFonts w:eastAsia="Times New Roman"/>
          <w:b/>
          <w:bCs/>
          <w:lang w:val="sl-SI"/>
        </w:rPr>
        <w:t>Odstotek bolnikov</w:t>
      </w:r>
    </w:p>
    <w:p w14:paraId="1667F08E" w14:textId="77777777" w:rsidR="00616315" w:rsidRDefault="00616315" w:rsidP="00616315">
      <w:pPr>
        <w:pStyle w:val="a3"/>
        <w:jc w:val="center"/>
        <w:rPr>
          <w:b/>
          <w:lang w:val="sl-SI"/>
        </w:rPr>
      </w:pPr>
    </w:p>
    <w:tbl>
      <w:tblPr>
        <w:tblStyle w:val="TableNormal1"/>
        <w:tblW w:w="0" w:type="auto"/>
        <w:tblInd w:w="1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29"/>
        <w:gridCol w:w="992"/>
        <w:gridCol w:w="1418"/>
        <w:gridCol w:w="1984"/>
        <w:gridCol w:w="1236"/>
        <w:gridCol w:w="1174"/>
        <w:gridCol w:w="1216"/>
      </w:tblGrid>
      <w:tr w:rsidR="00616315" w14:paraId="50688D4C" w14:textId="77777777" w:rsidTr="00433A4B">
        <w:tc>
          <w:tcPr>
            <w:tcW w:w="1229" w:type="dxa"/>
            <w:vAlign w:val="center"/>
          </w:tcPr>
          <w:p w14:paraId="2C8422BF"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Odziv</w:t>
            </w:r>
          </w:p>
        </w:tc>
        <w:tc>
          <w:tcPr>
            <w:tcW w:w="992" w:type="dxa"/>
            <w:vAlign w:val="center"/>
          </w:tcPr>
          <w:p w14:paraId="6435C4D6" w14:textId="77777777" w:rsidR="00616315" w:rsidRDefault="00616315" w:rsidP="00433A4B">
            <w:pPr>
              <w:pStyle w:val="TableParagraph"/>
              <w:spacing w:line="252" w:lineRule="exact"/>
              <w:ind w:firstLine="33"/>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MTX n = 257</w:t>
            </w:r>
          </w:p>
        </w:tc>
        <w:tc>
          <w:tcPr>
            <w:tcW w:w="1418" w:type="dxa"/>
            <w:vAlign w:val="center"/>
          </w:tcPr>
          <w:p w14:paraId="7DCD4292" w14:textId="77777777" w:rsidR="00616315" w:rsidRDefault="00616315" w:rsidP="00433A4B">
            <w:pPr>
              <w:pStyle w:val="TableParagraph"/>
              <w:spacing w:line="252" w:lineRule="exact"/>
              <w:ind w:firstLine="5"/>
              <w:jc w:val="center"/>
              <w:rPr>
                <w:rFonts w:ascii="Times New Roman" w:eastAsia="Times New Roman" w:hAnsi="Times New Roman" w:cs="Times New Roman"/>
                <w:lang w:val="sl-SI"/>
              </w:rPr>
            </w:pPr>
            <w:r>
              <w:rPr>
                <w:rFonts w:ascii="Times New Roman" w:eastAsia="Times New Roman" w:hAnsi="Times New Roman" w:cs="Times New Roman"/>
                <w:b/>
                <w:bCs/>
                <w:lang w:val="sl-SI"/>
              </w:rPr>
              <w:t>Adalimumab n = 274</w:t>
            </w:r>
          </w:p>
        </w:tc>
        <w:tc>
          <w:tcPr>
            <w:tcW w:w="1984" w:type="dxa"/>
            <w:vAlign w:val="center"/>
          </w:tcPr>
          <w:p w14:paraId="467FCC68" w14:textId="77777777" w:rsidR="00616315" w:rsidRDefault="00616315" w:rsidP="00433A4B">
            <w:pPr>
              <w:pStyle w:val="TableParagraph"/>
              <w:spacing w:line="252" w:lineRule="exact"/>
              <w:jc w:val="center"/>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Adalimumab/MTX</w:t>
            </w:r>
          </w:p>
          <w:p w14:paraId="2FD184E1" w14:textId="77777777" w:rsidR="00616315" w:rsidRDefault="00616315" w:rsidP="00433A4B">
            <w:pPr>
              <w:pStyle w:val="TableParagraph"/>
              <w:spacing w:line="252" w:lineRule="exact"/>
              <w:ind w:hanging="372"/>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268</w:t>
            </w:r>
          </w:p>
        </w:tc>
        <w:tc>
          <w:tcPr>
            <w:tcW w:w="1236" w:type="dxa"/>
            <w:vAlign w:val="center"/>
          </w:tcPr>
          <w:p w14:paraId="13E37013"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Vrednost p</w:t>
            </w:r>
            <w:r>
              <w:rPr>
                <w:rFonts w:ascii="Times New Roman" w:eastAsia="Times New Roman" w:hAnsi="Times New Roman" w:cs="Times New Roman"/>
                <w:b/>
                <w:bCs/>
                <w:spacing w:val="-1"/>
                <w:vertAlign w:val="superscript"/>
                <w:lang w:val="sl-SI"/>
              </w:rPr>
              <w:t>a</w:t>
            </w:r>
          </w:p>
        </w:tc>
        <w:tc>
          <w:tcPr>
            <w:tcW w:w="1174" w:type="dxa"/>
            <w:vAlign w:val="center"/>
          </w:tcPr>
          <w:p w14:paraId="174F558F"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Vrednost p</w:t>
            </w:r>
            <w:r>
              <w:rPr>
                <w:rFonts w:ascii="Times New Roman" w:eastAsia="Times New Roman" w:hAnsi="Times New Roman" w:cs="Times New Roman"/>
                <w:b/>
                <w:bCs/>
                <w:spacing w:val="-1"/>
                <w:vertAlign w:val="superscript"/>
                <w:lang w:val="sl-SI"/>
              </w:rPr>
              <w:t>b</w:t>
            </w:r>
          </w:p>
        </w:tc>
        <w:tc>
          <w:tcPr>
            <w:tcW w:w="1216" w:type="dxa"/>
            <w:vAlign w:val="center"/>
          </w:tcPr>
          <w:p w14:paraId="5991FB75"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Vrednost p</w:t>
            </w:r>
            <w:r>
              <w:rPr>
                <w:rFonts w:ascii="Times New Roman" w:eastAsia="Times New Roman" w:hAnsi="Times New Roman" w:cs="Times New Roman"/>
                <w:b/>
                <w:bCs/>
                <w:spacing w:val="-1"/>
                <w:vertAlign w:val="superscript"/>
                <w:lang w:val="sl-SI"/>
              </w:rPr>
              <w:t>c</w:t>
            </w:r>
          </w:p>
        </w:tc>
      </w:tr>
      <w:tr w:rsidR="00616315" w14:paraId="110A4CE0" w14:textId="77777777" w:rsidTr="00433A4B">
        <w:tc>
          <w:tcPr>
            <w:tcW w:w="9249" w:type="dxa"/>
            <w:gridSpan w:val="7"/>
          </w:tcPr>
          <w:p w14:paraId="560175A0" w14:textId="77777777" w:rsidR="00616315" w:rsidRDefault="00616315" w:rsidP="00433A4B">
            <w:pPr>
              <w:rPr>
                <w:lang w:val="sl-SI"/>
              </w:rPr>
            </w:pPr>
            <w:r>
              <w:rPr>
                <w:rFonts w:ascii="Times New Roman" w:eastAsia="Times New Roman" w:hAnsi="Times New Roman" w:cs="Times New Roman"/>
                <w:spacing w:val="-1"/>
                <w:lang w:val="sl-SI"/>
              </w:rPr>
              <w:t>ACR 20</w:t>
            </w:r>
          </w:p>
        </w:tc>
      </w:tr>
      <w:tr w:rsidR="00616315" w14:paraId="0C34F9CE" w14:textId="77777777" w:rsidTr="00433A4B">
        <w:tc>
          <w:tcPr>
            <w:tcW w:w="1229" w:type="dxa"/>
          </w:tcPr>
          <w:p w14:paraId="5333E75E" w14:textId="77777777" w:rsidR="00616315" w:rsidRDefault="00616315" w:rsidP="00433A4B">
            <w:pPr>
              <w:pStyle w:val="TableParagraph"/>
              <w:spacing w:line="248"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52. teden</w:t>
            </w:r>
          </w:p>
        </w:tc>
        <w:tc>
          <w:tcPr>
            <w:tcW w:w="992" w:type="dxa"/>
            <w:vAlign w:val="center"/>
          </w:tcPr>
          <w:p w14:paraId="093FF19F"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62,6 %</w:t>
            </w:r>
          </w:p>
        </w:tc>
        <w:tc>
          <w:tcPr>
            <w:tcW w:w="1418" w:type="dxa"/>
            <w:vAlign w:val="center"/>
          </w:tcPr>
          <w:p w14:paraId="75250686"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54,4 %</w:t>
            </w:r>
          </w:p>
        </w:tc>
        <w:tc>
          <w:tcPr>
            <w:tcW w:w="1984" w:type="dxa"/>
            <w:vAlign w:val="center"/>
          </w:tcPr>
          <w:p w14:paraId="28783180"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72,8 %</w:t>
            </w:r>
          </w:p>
        </w:tc>
        <w:tc>
          <w:tcPr>
            <w:tcW w:w="1236" w:type="dxa"/>
            <w:vAlign w:val="center"/>
          </w:tcPr>
          <w:p w14:paraId="260FC7DB"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0,013</w:t>
            </w:r>
          </w:p>
        </w:tc>
        <w:tc>
          <w:tcPr>
            <w:tcW w:w="1174" w:type="dxa"/>
            <w:vAlign w:val="center"/>
          </w:tcPr>
          <w:p w14:paraId="4672D38E"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216" w:type="dxa"/>
            <w:vAlign w:val="center"/>
          </w:tcPr>
          <w:p w14:paraId="3E2AD4DD"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0,043</w:t>
            </w:r>
          </w:p>
        </w:tc>
      </w:tr>
      <w:tr w:rsidR="00616315" w14:paraId="6A995855" w14:textId="77777777" w:rsidTr="00433A4B">
        <w:tc>
          <w:tcPr>
            <w:tcW w:w="1229" w:type="dxa"/>
          </w:tcPr>
          <w:p w14:paraId="67600D4E" w14:textId="77777777" w:rsidR="00616315" w:rsidRDefault="00616315" w:rsidP="00433A4B">
            <w:pPr>
              <w:pStyle w:val="TableParagraph"/>
              <w:spacing w:line="248"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104. teden</w:t>
            </w:r>
          </w:p>
        </w:tc>
        <w:tc>
          <w:tcPr>
            <w:tcW w:w="992" w:type="dxa"/>
            <w:vAlign w:val="center"/>
          </w:tcPr>
          <w:p w14:paraId="6AEB4F63"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56,0 %</w:t>
            </w:r>
          </w:p>
        </w:tc>
        <w:tc>
          <w:tcPr>
            <w:tcW w:w="1418" w:type="dxa"/>
            <w:vAlign w:val="center"/>
          </w:tcPr>
          <w:p w14:paraId="605171F0"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49,3 %</w:t>
            </w:r>
          </w:p>
        </w:tc>
        <w:tc>
          <w:tcPr>
            <w:tcW w:w="1984" w:type="dxa"/>
            <w:vAlign w:val="center"/>
          </w:tcPr>
          <w:p w14:paraId="2F8CF076"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69,4 %</w:t>
            </w:r>
          </w:p>
        </w:tc>
        <w:tc>
          <w:tcPr>
            <w:tcW w:w="1236" w:type="dxa"/>
            <w:vAlign w:val="center"/>
          </w:tcPr>
          <w:p w14:paraId="4CF1A466"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0,002</w:t>
            </w:r>
          </w:p>
        </w:tc>
        <w:tc>
          <w:tcPr>
            <w:tcW w:w="1174" w:type="dxa"/>
            <w:vAlign w:val="center"/>
          </w:tcPr>
          <w:p w14:paraId="6D3CCC78"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216" w:type="dxa"/>
            <w:vAlign w:val="center"/>
          </w:tcPr>
          <w:p w14:paraId="507D1B9E"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0,140</w:t>
            </w:r>
          </w:p>
        </w:tc>
      </w:tr>
      <w:tr w:rsidR="00616315" w14:paraId="551AE0B5" w14:textId="77777777" w:rsidTr="00433A4B">
        <w:tc>
          <w:tcPr>
            <w:tcW w:w="9249" w:type="dxa"/>
            <w:gridSpan w:val="7"/>
          </w:tcPr>
          <w:p w14:paraId="17DEB037" w14:textId="77777777" w:rsidR="00616315" w:rsidRDefault="00616315" w:rsidP="00433A4B">
            <w:pPr>
              <w:rPr>
                <w:lang w:val="sl-SI"/>
              </w:rPr>
            </w:pPr>
            <w:r>
              <w:rPr>
                <w:rFonts w:ascii="Times New Roman" w:eastAsia="Times New Roman" w:hAnsi="Times New Roman" w:cs="Times New Roman"/>
                <w:spacing w:val="-1"/>
                <w:lang w:val="sl-SI"/>
              </w:rPr>
              <w:t>ACR 50</w:t>
            </w:r>
          </w:p>
        </w:tc>
      </w:tr>
      <w:tr w:rsidR="00616315" w14:paraId="2E1B9350" w14:textId="77777777" w:rsidTr="00433A4B">
        <w:tc>
          <w:tcPr>
            <w:tcW w:w="1229" w:type="dxa"/>
          </w:tcPr>
          <w:p w14:paraId="032B5879" w14:textId="77777777" w:rsidR="00616315" w:rsidRDefault="00616315" w:rsidP="00433A4B">
            <w:pPr>
              <w:pStyle w:val="TableParagraph"/>
              <w:spacing w:line="246"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52. teden</w:t>
            </w:r>
          </w:p>
        </w:tc>
        <w:tc>
          <w:tcPr>
            <w:tcW w:w="992" w:type="dxa"/>
            <w:vAlign w:val="center"/>
          </w:tcPr>
          <w:p w14:paraId="30EDCFD5"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45,9 %</w:t>
            </w:r>
          </w:p>
        </w:tc>
        <w:tc>
          <w:tcPr>
            <w:tcW w:w="1418" w:type="dxa"/>
            <w:vAlign w:val="center"/>
          </w:tcPr>
          <w:p w14:paraId="2E4AE8DD"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41,2 %</w:t>
            </w:r>
          </w:p>
        </w:tc>
        <w:tc>
          <w:tcPr>
            <w:tcW w:w="1984" w:type="dxa"/>
            <w:vAlign w:val="center"/>
          </w:tcPr>
          <w:p w14:paraId="0AD41F89"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61,6 %</w:t>
            </w:r>
          </w:p>
        </w:tc>
        <w:tc>
          <w:tcPr>
            <w:tcW w:w="1236" w:type="dxa"/>
            <w:vAlign w:val="center"/>
          </w:tcPr>
          <w:p w14:paraId="06CA758F"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174" w:type="dxa"/>
            <w:vAlign w:val="center"/>
          </w:tcPr>
          <w:p w14:paraId="200C9790"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216" w:type="dxa"/>
            <w:vAlign w:val="center"/>
          </w:tcPr>
          <w:p w14:paraId="1E1F3406"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0,317</w:t>
            </w:r>
          </w:p>
        </w:tc>
      </w:tr>
      <w:tr w:rsidR="00616315" w14:paraId="386E7C77" w14:textId="77777777" w:rsidTr="00433A4B">
        <w:tc>
          <w:tcPr>
            <w:tcW w:w="1229" w:type="dxa"/>
          </w:tcPr>
          <w:p w14:paraId="72EF2253" w14:textId="77777777" w:rsidR="00616315" w:rsidRDefault="00616315" w:rsidP="00433A4B">
            <w:pPr>
              <w:pStyle w:val="TableParagraph"/>
              <w:spacing w:line="246"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104. teden</w:t>
            </w:r>
          </w:p>
        </w:tc>
        <w:tc>
          <w:tcPr>
            <w:tcW w:w="992" w:type="dxa"/>
            <w:vAlign w:val="center"/>
          </w:tcPr>
          <w:p w14:paraId="5B04C82E"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42,8 %</w:t>
            </w:r>
          </w:p>
        </w:tc>
        <w:tc>
          <w:tcPr>
            <w:tcW w:w="1418" w:type="dxa"/>
            <w:vAlign w:val="center"/>
          </w:tcPr>
          <w:p w14:paraId="61807AA1"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36,9 %</w:t>
            </w:r>
          </w:p>
        </w:tc>
        <w:tc>
          <w:tcPr>
            <w:tcW w:w="1984" w:type="dxa"/>
            <w:vAlign w:val="center"/>
          </w:tcPr>
          <w:p w14:paraId="18ED5E3D"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59,0 %</w:t>
            </w:r>
          </w:p>
        </w:tc>
        <w:tc>
          <w:tcPr>
            <w:tcW w:w="1236" w:type="dxa"/>
            <w:vAlign w:val="center"/>
          </w:tcPr>
          <w:p w14:paraId="65450547"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174" w:type="dxa"/>
            <w:vAlign w:val="center"/>
          </w:tcPr>
          <w:p w14:paraId="23E85AB3"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216" w:type="dxa"/>
            <w:vAlign w:val="center"/>
          </w:tcPr>
          <w:p w14:paraId="23EC39B4"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0,162</w:t>
            </w:r>
          </w:p>
        </w:tc>
      </w:tr>
      <w:tr w:rsidR="00616315" w14:paraId="6907215D" w14:textId="77777777" w:rsidTr="00433A4B">
        <w:tc>
          <w:tcPr>
            <w:tcW w:w="9249" w:type="dxa"/>
            <w:gridSpan w:val="7"/>
          </w:tcPr>
          <w:p w14:paraId="01A9C56A" w14:textId="77777777" w:rsidR="00616315" w:rsidRDefault="00616315" w:rsidP="00433A4B">
            <w:pPr>
              <w:rPr>
                <w:lang w:val="sl-SI"/>
              </w:rPr>
            </w:pPr>
            <w:r>
              <w:rPr>
                <w:rFonts w:ascii="Times New Roman" w:eastAsia="Times New Roman" w:hAnsi="Times New Roman" w:cs="Times New Roman"/>
                <w:spacing w:val="-1"/>
                <w:lang w:val="sl-SI"/>
              </w:rPr>
              <w:t>ACR 70</w:t>
            </w:r>
          </w:p>
        </w:tc>
      </w:tr>
      <w:tr w:rsidR="00616315" w14:paraId="0586BDE9" w14:textId="77777777" w:rsidTr="00433A4B">
        <w:tc>
          <w:tcPr>
            <w:tcW w:w="1229" w:type="dxa"/>
          </w:tcPr>
          <w:p w14:paraId="5197CCEB" w14:textId="77777777" w:rsidR="00616315" w:rsidRDefault="00616315" w:rsidP="00433A4B">
            <w:pPr>
              <w:pStyle w:val="TableParagraph"/>
              <w:spacing w:line="248"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52. teden</w:t>
            </w:r>
          </w:p>
        </w:tc>
        <w:tc>
          <w:tcPr>
            <w:tcW w:w="992" w:type="dxa"/>
            <w:vAlign w:val="center"/>
          </w:tcPr>
          <w:p w14:paraId="479D3A66"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27,2 %</w:t>
            </w:r>
          </w:p>
        </w:tc>
        <w:tc>
          <w:tcPr>
            <w:tcW w:w="1418" w:type="dxa"/>
            <w:vAlign w:val="center"/>
          </w:tcPr>
          <w:p w14:paraId="75D62B86"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25,9 %</w:t>
            </w:r>
          </w:p>
        </w:tc>
        <w:tc>
          <w:tcPr>
            <w:tcW w:w="1984" w:type="dxa"/>
            <w:vAlign w:val="center"/>
          </w:tcPr>
          <w:p w14:paraId="3450B708"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45,5 %</w:t>
            </w:r>
          </w:p>
        </w:tc>
        <w:tc>
          <w:tcPr>
            <w:tcW w:w="1236" w:type="dxa"/>
            <w:vAlign w:val="center"/>
          </w:tcPr>
          <w:p w14:paraId="178A716B"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174" w:type="dxa"/>
            <w:vAlign w:val="center"/>
          </w:tcPr>
          <w:p w14:paraId="352DE299"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216" w:type="dxa"/>
            <w:vAlign w:val="center"/>
          </w:tcPr>
          <w:p w14:paraId="3C5AE16C"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0,656</w:t>
            </w:r>
          </w:p>
        </w:tc>
      </w:tr>
      <w:tr w:rsidR="00616315" w14:paraId="6F9326D0" w14:textId="77777777" w:rsidTr="00433A4B">
        <w:tc>
          <w:tcPr>
            <w:tcW w:w="1229" w:type="dxa"/>
          </w:tcPr>
          <w:p w14:paraId="1D3046AC" w14:textId="77777777" w:rsidR="00616315" w:rsidRDefault="00616315" w:rsidP="00433A4B">
            <w:pPr>
              <w:pStyle w:val="TableParagraph"/>
              <w:spacing w:line="248"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104. teden</w:t>
            </w:r>
          </w:p>
        </w:tc>
        <w:tc>
          <w:tcPr>
            <w:tcW w:w="992" w:type="dxa"/>
            <w:vAlign w:val="center"/>
          </w:tcPr>
          <w:p w14:paraId="601402B5"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28,4 %</w:t>
            </w:r>
          </w:p>
        </w:tc>
        <w:tc>
          <w:tcPr>
            <w:tcW w:w="1418" w:type="dxa"/>
            <w:vAlign w:val="center"/>
          </w:tcPr>
          <w:p w14:paraId="7AB8CBDE"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28,1 %</w:t>
            </w:r>
          </w:p>
        </w:tc>
        <w:tc>
          <w:tcPr>
            <w:tcW w:w="1984" w:type="dxa"/>
            <w:vAlign w:val="center"/>
          </w:tcPr>
          <w:p w14:paraId="1E71F5FE"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46,6 %</w:t>
            </w:r>
          </w:p>
        </w:tc>
        <w:tc>
          <w:tcPr>
            <w:tcW w:w="1236" w:type="dxa"/>
            <w:vAlign w:val="center"/>
          </w:tcPr>
          <w:p w14:paraId="14F6CBF2"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174" w:type="dxa"/>
            <w:vAlign w:val="center"/>
          </w:tcPr>
          <w:p w14:paraId="5AFABF01"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216" w:type="dxa"/>
            <w:vAlign w:val="center"/>
          </w:tcPr>
          <w:p w14:paraId="607E7D20" w14:textId="77777777" w:rsidR="00616315" w:rsidRDefault="00616315" w:rsidP="00433A4B">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0,864</w:t>
            </w:r>
          </w:p>
        </w:tc>
      </w:tr>
    </w:tbl>
    <w:p w14:paraId="7B44F2DE" w14:textId="77777777" w:rsidR="00616315" w:rsidRDefault="00616315" w:rsidP="00721C46">
      <w:pPr>
        <w:tabs>
          <w:tab w:val="left" w:pos="433"/>
        </w:tabs>
        <w:ind w:leftChars="100" w:left="220"/>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 xml:space="preserve">a </w:t>
      </w:r>
      <w:r>
        <w:rPr>
          <w:rFonts w:ascii="Times New Roman" w:eastAsia="Times New Roman" w:hAnsi="Times New Roman" w:cs="Times New Roman"/>
          <w:position w:val="8"/>
          <w:lang w:val="sl-SI"/>
        </w:rPr>
        <w:t>Vrednost p se nanaša na parno primerjavo monoterapije z metotreksatom in kombinirane terapije z adalimumabom/metotreksatom z Mann-Whitneyevim testom U.</w:t>
      </w:r>
    </w:p>
    <w:p w14:paraId="1F2631DA" w14:textId="77777777" w:rsidR="00616315" w:rsidRDefault="00616315" w:rsidP="00721C46">
      <w:pPr>
        <w:tabs>
          <w:tab w:val="left" w:pos="433"/>
        </w:tabs>
        <w:ind w:leftChars="100" w:left="220"/>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b</w:t>
      </w:r>
      <w:r>
        <w:rPr>
          <w:rFonts w:ascii="Times New Roman" w:eastAsia="Times New Roman" w:hAnsi="Times New Roman" w:cs="Times New Roman"/>
          <w:position w:val="8"/>
          <w:lang w:val="sl-SI"/>
        </w:rPr>
        <w:t xml:space="preserve"> Vrednost p se nanaša na parno primerjavo monoterapije z adalimumabom in kombinirane terapije z adalimumabom/metotreksatom z Mann-Whitneyevim testom U.</w:t>
      </w:r>
    </w:p>
    <w:p w14:paraId="17532DC6" w14:textId="77777777" w:rsidR="00616315" w:rsidRDefault="00616315" w:rsidP="00721C46">
      <w:pPr>
        <w:tabs>
          <w:tab w:val="left" w:pos="421"/>
        </w:tabs>
        <w:ind w:leftChars="100" w:left="220"/>
        <w:rPr>
          <w:lang w:val="sl-SI"/>
        </w:rPr>
      </w:pPr>
      <w:r>
        <w:rPr>
          <w:rFonts w:ascii="Times New Roman" w:eastAsia="Times New Roman" w:hAnsi="Times New Roman" w:cs="Times New Roman"/>
          <w:position w:val="8"/>
          <w:vertAlign w:val="superscript"/>
          <w:lang w:val="sl-SI"/>
        </w:rPr>
        <w:t>c</w:t>
      </w:r>
      <w:r>
        <w:rPr>
          <w:rFonts w:ascii="Times New Roman" w:eastAsia="Times New Roman" w:hAnsi="Times New Roman" w:cs="Times New Roman"/>
          <w:position w:val="8"/>
          <w:lang w:val="sl-SI"/>
        </w:rPr>
        <w:t xml:space="preserve"> Vrednost p se nanaša na parno primerjavo monoterapije z adalimumabom in monoterapije z metotreksatom z Mann-Whitneyevim testom U.</w:t>
      </w:r>
    </w:p>
    <w:p w14:paraId="6D0FB388" w14:textId="77777777" w:rsidR="00616315" w:rsidRDefault="00616315" w:rsidP="00616315">
      <w:pPr>
        <w:spacing w:before="5"/>
        <w:rPr>
          <w:lang w:val="sl-SI"/>
        </w:rPr>
      </w:pPr>
    </w:p>
    <w:p w14:paraId="0E6767DD" w14:textId="77777777" w:rsidR="00616315" w:rsidRDefault="00616315" w:rsidP="00616315">
      <w:pPr>
        <w:pStyle w:val="a3"/>
        <w:rPr>
          <w:lang w:val="sl-SI"/>
        </w:rPr>
      </w:pPr>
      <w:r>
        <w:rPr>
          <w:rFonts w:eastAsia="Times New Roman"/>
          <w:lang w:val="sl-SI"/>
        </w:rPr>
        <w:t>V odprtem podaljšanju študije revmatoidnega artritisa V so se stopnje odzivov po ACR ohranile tudi do 10 let. Od 542 bolnikov, ki so bili randomizirani na adalimumab 40 mg vsak drugi teden, jih je 170 nadaljevalo zdravljenje z adalimumabom 40 mg vsak drugi teden še 10 let. Med temi je 154 bolnikov (90,6 %) imelo odziv 20 po ACR; 127 bolnikov (74,7 %) je imelo odziv 50 po ACR; 102 bolnika (60,0 %) pa sta imela odziv 70 po ACR.</w:t>
      </w:r>
    </w:p>
    <w:p w14:paraId="30083BB7" w14:textId="77777777" w:rsidR="00616315" w:rsidRDefault="00616315" w:rsidP="00616315">
      <w:pPr>
        <w:spacing w:before="13" w:line="240" w:lineRule="exact"/>
        <w:rPr>
          <w:sz w:val="24"/>
          <w:szCs w:val="24"/>
          <w:lang w:val="sl-SI"/>
        </w:rPr>
      </w:pPr>
    </w:p>
    <w:p w14:paraId="46E79852" w14:textId="654A8DDF" w:rsidR="00616315" w:rsidRDefault="00616315" w:rsidP="00616315">
      <w:pPr>
        <w:pStyle w:val="a3"/>
        <w:rPr>
          <w:lang w:val="sl-SI"/>
        </w:rPr>
      </w:pPr>
      <w:r>
        <w:rPr>
          <w:rFonts w:eastAsia="Times New Roman"/>
          <w:lang w:val="sl-SI"/>
        </w:rPr>
        <w:lastRenderedPageBreak/>
        <w:t>Po 52. tednih je klinično remisijo (DAS28 (CRP) &lt; 2,6) doseglo 42,9 % bolnikov, ki so dobivali kombinirano terapijo z adalimumabom/metotreksatom, 20,6 % bolnikov, ki so dobivali metotreksat v monoterapiji, in 23,4 % bolnikov, ki so dobivali adalimumab v monoterapiji. Za doseganje nizkega stanja bolezni pri bolnikih z nedavno diagnosticiranim zmernim do hudim revmatoidnim artritisom je bila kombinirana terapija z adalimumabom in metotreksatom klinično in statistično boljša od monoterapije z metotreksatom (p &lt; 0,001) in monoterapije z adalimumabom (p &lt; 0,001). V obeh krakih z monoterapijo je bil odziv podoben (p = 0,447). Od 342 oseb, ki so bile od začetka randomizirane na monoterapijo z adalimumabom ali kombinirano zdravljenje z adalimumabom/metotreksat in so bile vključene v odprto podaljšanje študije, je 171 bolnikov zaključilo 10-letno zdravljenje z adalimumabom. Med temi je bilo 109 oseb (63,7 %) po 10 letih v stanju remisije.</w:t>
      </w:r>
    </w:p>
    <w:p w14:paraId="3DCB6E83" w14:textId="77777777" w:rsidR="00616315" w:rsidRDefault="00616315" w:rsidP="00616315">
      <w:pPr>
        <w:pStyle w:val="a3"/>
        <w:rPr>
          <w:lang w:val="sl-SI"/>
        </w:rPr>
      </w:pPr>
    </w:p>
    <w:p w14:paraId="405B6092" w14:textId="77777777" w:rsidR="00616315" w:rsidRDefault="00616315" w:rsidP="00616315">
      <w:pPr>
        <w:pStyle w:val="a3"/>
        <w:rPr>
          <w:rFonts w:eastAsia="Times New Roman"/>
          <w:lang w:val="sl-SI"/>
        </w:rPr>
      </w:pPr>
      <w:r>
        <w:rPr>
          <w:rFonts w:eastAsia="Times New Roman"/>
          <w:i/>
          <w:iCs/>
          <w:spacing w:val="-1"/>
          <w:u w:val="single" w:color="000000"/>
          <w:lang w:val="sl-SI"/>
        </w:rPr>
        <w:t>Rentgenografski odziv</w:t>
      </w:r>
    </w:p>
    <w:p w14:paraId="0C9497BC" w14:textId="77777777" w:rsidR="00616315" w:rsidRDefault="00616315" w:rsidP="00616315">
      <w:pPr>
        <w:pStyle w:val="a3"/>
        <w:rPr>
          <w:sz w:val="18"/>
          <w:szCs w:val="18"/>
          <w:lang w:val="sl-SI"/>
        </w:rPr>
      </w:pPr>
    </w:p>
    <w:p w14:paraId="3B8DC0D8" w14:textId="2439C0C6" w:rsidR="00616315" w:rsidRDefault="00616315" w:rsidP="00616315">
      <w:pPr>
        <w:pStyle w:val="a3"/>
        <w:rPr>
          <w:lang w:val="sl-SI"/>
        </w:rPr>
      </w:pPr>
      <w:r>
        <w:rPr>
          <w:rFonts w:eastAsia="Times New Roman"/>
          <w:lang w:val="sl-SI"/>
        </w:rPr>
        <w:t>Bolniki, ki so v študiji revmatoidnega artritisa III dobivali adalimumab, so imeli revmatoidni artritis v povprečju približno 11 let. V študiji so strukturno prizadetost sklepov ocenjevali rentgenografsko. Okvaro so izrazili kot spremembo modificirane celotne Sharpove ocene (TSS – Total Sharp Score) in njenih komponent, ocene erozij in ocene zožitve sklepne špranje. Pri bolnikih, ki so dobivali adalimumab in metotreksat, je bilo po 6 in 12 mesecih (glejte preglednico </w:t>
      </w:r>
      <w:r w:rsidR="000E386D">
        <w:rPr>
          <w:rFonts w:eastAsia="Times New Roman"/>
          <w:lang w:val="sl-SI"/>
        </w:rPr>
        <w:t>7</w:t>
      </w:r>
      <w:r>
        <w:rPr>
          <w:rFonts w:eastAsia="Times New Roman"/>
          <w:lang w:val="sl-SI"/>
        </w:rPr>
        <w:t>) statistično značilno manj rentgenografskih znakov napredovanja kot pri bolnikih, ki so dobivali samo metotreksat.</w:t>
      </w:r>
    </w:p>
    <w:p w14:paraId="482BE520" w14:textId="77777777" w:rsidR="00616315" w:rsidRDefault="00616315" w:rsidP="00616315">
      <w:pPr>
        <w:pStyle w:val="a3"/>
        <w:rPr>
          <w:lang w:val="sl-SI"/>
        </w:rPr>
      </w:pPr>
    </w:p>
    <w:p w14:paraId="5701E17A" w14:textId="77777777" w:rsidR="00616315" w:rsidRDefault="00616315" w:rsidP="00616315">
      <w:pPr>
        <w:pStyle w:val="a3"/>
        <w:rPr>
          <w:lang w:val="sl-SI"/>
        </w:rPr>
      </w:pPr>
      <w:r>
        <w:rPr>
          <w:rFonts w:eastAsia="Times New Roman"/>
          <w:lang w:val="sl-SI"/>
        </w:rPr>
        <w:t>V odprtem podaljšanju študije revmatoidnega artritisa III se upočasnitev napredovanja strukturne prizadetosti sklepov ohrani vseskozi 8 in 10 let v tej podskupini bolnikov. 81 od 207 bolnikov, ki so bili zdravljeni s 40 mg adalimumaba vsak drugi teden, so rentgenografsko ocenili po 8 letih. Med temi bolniki jih 48 ni kazalo napredovanja strukturne prizadetosti izražene s spremembo srednje celotne Sharpove ocene 0,5 ali manj od začetka študije. Po 10 letih so rentgenografsko ocenili 79 od 207 bolnikov, ki so bili od začetka zdravljeni s 40 mg adalimumaba vsak drugi teden. Med njimi 40 bolnikov ni pokazalo napredovanja strukturne prizadetosti izražene s spremembo srednje Sharpove ocene 0,5 ali manj od začetka študije.</w:t>
      </w:r>
    </w:p>
    <w:p w14:paraId="7E33F1E3" w14:textId="77777777" w:rsidR="00616315" w:rsidRDefault="00616315" w:rsidP="00616315">
      <w:pPr>
        <w:spacing w:before="18" w:line="240" w:lineRule="exact"/>
        <w:rPr>
          <w:sz w:val="24"/>
          <w:szCs w:val="24"/>
          <w:lang w:val="sl-SI"/>
        </w:rPr>
      </w:pPr>
    </w:p>
    <w:p w14:paraId="29D3993D" w14:textId="56A534FC" w:rsidR="00616315" w:rsidRDefault="00616315" w:rsidP="00616315">
      <w:pPr>
        <w:pStyle w:val="a3"/>
        <w:jc w:val="center"/>
        <w:rPr>
          <w:b/>
          <w:lang w:val="sl-SI"/>
        </w:rPr>
      </w:pPr>
      <w:r>
        <w:rPr>
          <w:rFonts w:eastAsia="Times New Roman"/>
          <w:b/>
          <w:bCs/>
          <w:lang w:val="sl-SI"/>
        </w:rPr>
        <w:t>Preglednica </w:t>
      </w:r>
      <w:r w:rsidR="000E386D">
        <w:rPr>
          <w:rFonts w:eastAsia="Times New Roman"/>
          <w:b/>
          <w:bCs/>
          <w:lang w:val="sl-SI"/>
        </w:rPr>
        <w:t>7</w:t>
      </w:r>
      <w:r>
        <w:rPr>
          <w:rFonts w:eastAsia="Times New Roman"/>
          <w:b/>
          <w:bCs/>
          <w:lang w:val="sl-SI"/>
        </w:rPr>
        <w:t>.</w:t>
      </w:r>
    </w:p>
    <w:p w14:paraId="35AA71BB" w14:textId="77777777" w:rsidR="00616315" w:rsidRDefault="00616315" w:rsidP="00616315">
      <w:pPr>
        <w:pStyle w:val="a3"/>
        <w:jc w:val="center"/>
        <w:rPr>
          <w:b/>
          <w:lang w:val="sl-SI"/>
        </w:rPr>
      </w:pPr>
      <w:r>
        <w:rPr>
          <w:rFonts w:eastAsia="Times New Roman"/>
          <w:b/>
          <w:bCs/>
          <w:lang w:val="sl-SI"/>
        </w:rPr>
        <w:t>Povprečne rentgenografske spremembe v 12 mesecih študije revmatoidnega artritisa III</w:t>
      </w:r>
    </w:p>
    <w:p w14:paraId="66D9F217" w14:textId="77777777" w:rsidR="00616315" w:rsidRDefault="00616315" w:rsidP="00616315">
      <w:pPr>
        <w:spacing w:before="14" w:line="240" w:lineRule="exact"/>
        <w:rPr>
          <w:sz w:val="24"/>
          <w:szCs w:val="24"/>
          <w:lang w:val="sl-SI"/>
        </w:rPr>
      </w:pPr>
    </w:p>
    <w:tbl>
      <w:tblPr>
        <w:tblStyle w:val="TableNormal1"/>
        <w:tblW w:w="0" w:type="auto"/>
        <w:jc w:val="center"/>
        <w:tblLayout w:type="fixed"/>
        <w:tblLook w:val="01E0" w:firstRow="1" w:lastRow="1" w:firstColumn="1" w:lastColumn="1" w:noHBand="0" w:noVBand="0"/>
      </w:tblPr>
      <w:tblGrid>
        <w:gridCol w:w="2688"/>
        <w:gridCol w:w="992"/>
        <w:gridCol w:w="1843"/>
        <w:gridCol w:w="2080"/>
        <w:gridCol w:w="1548"/>
      </w:tblGrid>
      <w:tr w:rsidR="00616315" w14:paraId="775F8F4B" w14:textId="77777777" w:rsidTr="00721C46">
        <w:trPr>
          <w:jc w:val="center"/>
        </w:trPr>
        <w:tc>
          <w:tcPr>
            <w:tcW w:w="2688" w:type="dxa"/>
            <w:tcBorders>
              <w:top w:val="single" w:sz="5" w:space="0" w:color="000000"/>
              <w:left w:val="single" w:sz="5" w:space="0" w:color="000000"/>
              <w:bottom w:val="single" w:sz="5" w:space="0" w:color="000000"/>
              <w:right w:val="single" w:sz="5" w:space="0" w:color="000000"/>
            </w:tcBorders>
            <w:vAlign w:val="center"/>
          </w:tcPr>
          <w:p w14:paraId="5229506B" w14:textId="77777777" w:rsidR="00616315" w:rsidRDefault="00616315" w:rsidP="00433A4B">
            <w:pPr>
              <w:jc w:val="center"/>
              <w:rPr>
                <w:lang w:val="sl-SI"/>
              </w:rPr>
            </w:pPr>
          </w:p>
        </w:tc>
        <w:tc>
          <w:tcPr>
            <w:tcW w:w="992" w:type="dxa"/>
            <w:tcBorders>
              <w:top w:val="single" w:sz="5" w:space="0" w:color="000000"/>
              <w:left w:val="single" w:sz="5" w:space="0" w:color="000000"/>
              <w:bottom w:val="single" w:sz="5" w:space="0" w:color="000000"/>
              <w:right w:val="single" w:sz="5" w:space="0" w:color="000000"/>
            </w:tcBorders>
            <w:vAlign w:val="center"/>
          </w:tcPr>
          <w:p w14:paraId="15FF0093"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Placebo/</w:t>
            </w:r>
          </w:p>
          <w:p w14:paraId="72C5C9DC" w14:textId="77777777" w:rsidR="00616315" w:rsidRDefault="00616315" w:rsidP="00433A4B">
            <w:pPr>
              <w:pStyle w:val="TableParagraph"/>
              <w:spacing w:line="254"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MTX</w:t>
            </w:r>
            <w:r>
              <w:rPr>
                <w:rFonts w:ascii="Times New Roman" w:eastAsia="Times New Roman" w:hAnsi="Times New Roman" w:cs="Times New Roman"/>
                <w:vertAlign w:val="superscript"/>
                <w:lang w:val="sl-SI"/>
              </w:rPr>
              <w:t>a</w:t>
            </w:r>
          </w:p>
        </w:tc>
        <w:tc>
          <w:tcPr>
            <w:tcW w:w="1843" w:type="dxa"/>
            <w:tcBorders>
              <w:top w:val="single" w:sz="5" w:space="0" w:color="000000"/>
              <w:left w:val="single" w:sz="5" w:space="0" w:color="000000"/>
              <w:bottom w:val="single" w:sz="5" w:space="0" w:color="000000"/>
              <w:right w:val="single" w:sz="5" w:space="0" w:color="000000"/>
            </w:tcBorders>
            <w:vAlign w:val="center"/>
          </w:tcPr>
          <w:p w14:paraId="28DE018C"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Adalimumab/MTX</w:t>
            </w:r>
          </w:p>
          <w:p w14:paraId="67EE1ED0" w14:textId="77777777" w:rsidR="00616315" w:rsidRDefault="00616315" w:rsidP="00433A4B">
            <w:pPr>
              <w:pStyle w:val="TableParagraph"/>
              <w:spacing w:line="252" w:lineRule="exact"/>
              <w:ind w:hanging="63"/>
              <w:jc w:val="center"/>
              <w:rPr>
                <w:rFonts w:ascii="Times New Roman" w:eastAsia="Times New Roman" w:hAnsi="Times New Roman" w:cs="Times New Roman"/>
                <w:lang w:val="sl-SI"/>
              </w:rPr>
            </w:pPr>
            <w:r>
              <w:rPr>
                <w:rFonts w:ascii="Times New Roman" w:eastAsia="Times New Roman" w:hAnsi="Times New Roman" w:cs="Times New Roman"/>
                <w:lang w:val="sl-SI"/>
              </w:rPr>
              <w:t>40 mg vsak drugi teden</w:t>
            </w:r>
          </w:p>
        </w:tc>
        <w:tc>
          <w:tcPr>
            <w:tcW w:w="2080" w:type="dxa"/>
            <w:tcBorders>
              <w:top w:val="single" w:sz="5" w:space="0" w:color="000000"/>
              <w:left w:val="single" w:sz="5" w:space="0" w:color="000000"/>
              <w:bottom w:val="single" w:sz="5" w:space="0" w:color="000000"/>
              <w:right w:val="single" w:sz="5" w:space="0" w:color="000000"/>
            </w:tcBorders>
            <w:vAlign w:val="center"/>
          </w:tcPr>
          <w:p w14:paraId="3521124A"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Placebo/MTX-</w:t>
            </w:r>
          </w:p>
          <w:p w14:paraId="50C77CF8" w14:textId="77777777" w:rsidR="00616315" w:rsidRDefault="00616315" w:rsidP="00433A4B">
            <w:pPr>
              <w:pStyle w:val="TableParagraph"/>
              <w:spacing w:line="237" w:lineRule="auto"/>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adalimumab/MTX </w:t>
            </w:r>
          </w:p>
          <w:p w14:paraId="10121901" w14:textId="77777777" w:rsidR="00616315" w:rsidRDefault="00616315" w:rsidP="00433A4B">
            <w:pPr>
              <w:pStyle w:val="TableParagraph"/>
              <w:spacing w:line="237" w:lineRule="auto"/>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(95-% interval zaupanja</w:t>
            </w:r>
            <w:r>
              <w:rPr>
                <w:rFonts w:ascii="Times New Roman" w:eastAsia="Times New Roman" w:hAnsi="Times New Roman" w:cs="Times New Roman"/>
                <w:spacing w:val="-1"/>
                <w:vertAlign w:val="superscript"/>
                <w:lang w:val="sl-SI"/>
              </w:rPr>
              <w:t>b</w:t>
            </w:r>
            <w:r>
              <w:rPr>
                <w:rFonts w:ascii="Times New Roman" w:eastAsia="Times New Roman" w:hAnsi="Times New Roman" w:cs="Times New Roman"/>
                <w:spacing w:val="-1"/>
                <w:lang w:val="sl-SI"/>
              </w:rPr>
              <w:t>)</w:t>
            </w:r>
          </w:p>
        </w:tc>
        <w:tc>
          <w:tcPr>
            <w:tcW w:w="1548" w:type="dxa"/>
            <w:tcBorders>
              <w:top w:val="single" w:sz="5" w:space="0" w:color="000000"/>
              <w:left w:val="single" w:sz="5" w:space="0" w:color="000000"/>
              <w:bottom w:val="single" w:sz="5" w:space="0" w:color="000000"/>
              <w:right w:val="single" w:sz="5" w:space="0" w:color="000000"/>
            </w:tcBorders>
            <w:vAlign w:val="center"/>
          </w:tcPr>
          <w:p w14:paraId="2155E5DA"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Vrednost p</w:t>
            </w:r>
          </w:p>
        </w:tc>
      </w:tr>
      <w:tr w:rsidR="00616315" w14:paraId="4FEB5EEF" w14:textId="77777777" w:rsidTr="00721C46">
        <w:trPr>
          <w:jc w:val="center"/>
        </w:trPr>
        <w:tc>
          <w:tcPr>
            <w:tcW w:w="2688" w:type="dxa"/>
            <w:tcBorders>
              <w:top w:val="single" w:sz="5" w:space="0" w:color="000000"/>
              <w:left w:val="single" w:sz="5" w:space="0" w:color="000000"/>
              <w:bottom w:val="single" w:sz="5" w:space="0" w:color="000000"/>
              <w:right w:val="single" w:sz="5" w:space="0" w:color="000000"/>
            </w:tcBorders>
          </w:tcPr>
          <w:p w14:paraId="28092BCE" w14:textId="77777777" w:rsidR="00616315" w:rsidRDefault="00616315" w:rsidP="00433A4B">
            <w:pPr>
              <w:pStyle w:val="TableParagraph"/>
              <w:spacing w:line="246" w:lineRule="exact"/>
              <w:ind w:left="243"/>
              <w:rPr>
                <w:rFonts w:ascii="Times New Roman" w:eastAsia="Times New Roman" w:hAnsi="Times New Roman" w:cs="Times New Roman"/>
                <w:lang w:val="sl-SI"/>
              </w:rPr>
            </w:pPr>
            <w:r>
              <w:rPr>
                <w:rFonts w:ascii="Times New Roman" w:eastAsia="Times New Roman" w:hAnsi="Times New Roman" w:cs="Times New Roman"/>
                <w:spacing w:val="-1"/>
                <w:lang w:val="sl-SI"/>
              </w:rPr>
              <w:t>Celotna Sharpova ocena</w:t>
            </w:r>
          </w:p>
        </w:tc>
        <w:tc>
          <w:tcPr>
            <w:tcW w:w="992" w:type="dxa"/>
            <w:tcBorders>
              <w:top w:val="single" w:sz="5" w:space="0" w:color="000000"/>
              <w:left w:val="single" w:sz="5" w:space="0" w:color="000000"/>
              <w:bottom w:val="single" w:sz="5" w:space="0" w:color="000000"/>
              <w:right w:val="single" w:sz="5" w:space="0" w:color="000000"/>
            </w:tcBorders>
          </w:tcPr>
          <w:p w14:paraId="02E2458C" w14:textId="540D2063" w:rsidR="00616315" w:rsidRDefault="00616315" w:rsidP="00433A4B">
            <w:pPr>
              <w:jc w:val="center"/>
              <w:rPr>
                <w:rFonts w:asciiTheme="majorBidi" w:hAnsiTheme="majorBidi" w:cstheme="majorBidi"/>
              </w:rPr>
            </w:pPr>
            <w:r>
              <w:rPr>
                <w:rFonts w:asciiTheme="majorBidi" w:hAnsiTheme="majorBidi" w:cstheme="majorBidi"/>
              </w:rPr>
              <w:t>2,7</w:t>
            </w:r>
          </w:p>
        </w:tc>
        <w:tc>
          <w:tcPr>
            <w:tcW w:w="1843" w:type="dxa"/>
            <w:tcBorders>
              <w:top w:val="single" w:sz="5" w:space="0" w:color="000000"/>
              <w:left w:val="single" w:sz="5" w:space="0" w:color="000000"/>
              <w:bottom w:val="single" w:sz="5" w:space="0" w:color="000000"/>
              <w:right w:val="single" w:sz="5" w:space="0" w:color="000000"/>
            </w:tcBorders>
          </w:tcPr>
          <w:p w14:paraId="3D92B8D1" w14:textId="21EB4370" w:rsidR="00616315" w:rsidRDefault="00616315" w:rsidP="00433A4B">
            <w:pPr>
              <w:pStyle w:val="TableParagraph"/>
              <w:spacing w:line="246" w:lineRule="exact"/>
              <w:ind w:left="731" w:right="733"/>
              <w:jc w:val="center"/>
              <w:rPr>
                <w:rFonts w:ascii="Times New Roman" w:eastAsia="Times New Roman" w:hAnsi="Times New Roman" w:cs="Times New Roman"/>
                <w:lang w:val="sl-SI"/>
              </w:rPr>
            </w:pPr>
            <w:r>
              <w:rPr>
                <w:rFonts w:ascii="Times New Roman" w:eastAsia="Times New Roman" w:hAnsi="Times New Roman" w:cs="Times New Roman"/>
                <w:lang w:val="sl-SI"/>
              </w:rPr>
              <w:t>0,1</w:t>
            </w:r>
          </w:p>
        </w:tc>
        <w:tc>
          <w:tcPr>
            <w:tcW w:w="2080" w:type="dxa"/>
            <w:tcBorders>
              <w:top w:val="single" w:sz="5" w:space="0" w:color="000000"/>
              <w:left w:val="single" w:sz="5" w:space="0" w:color="000000"/>
              <w:bottom w:val="single" w:sz="5" w:space="0" w:color="000000"/>
              <w:right w:val="single" w:sz="5" w:space="0" w:color="000000"/>
            </w:tcBorders>
          </w:tcPr>
          <w:p w14:paraId="40C9032B" w14:textId="77777777" w:rsidR="00616315" w:rsidRDefault="00616315" w:rsidP="00433A4B">
            <w:pPr>
              <w:pStyle w:val="TableParagraph"/>
              <w:spacing w:line="246" w:lineRule="exact"/>
              <w:ind w:left="423"/>
              <w:rPr>
                <w:rFonts w:ascii="Times New Roman" w:eastAsia="Times New Roman" w:hAnsi="Times New Roman" w:cs="Times New Roman"/>
                <w:lang w:val="sl-SI"/>
              </w:rPr>
            </w:pPr>
            <w:r>
              <w:rPr>
                <w:rFonts w:ascii="Times New Roman" w:eastAsia="Times New Roman" w:hAnsi="Times New Roman" w:cs="Times New Roman"/>
                <w:spacing w:val="-1"/>
                <w:lang w:val="sl-SI"/>
              </w:rPr>
              <w:t>2,6 (1,4; 3,8)</w:t>
            </w:r>
          </w:p>
        </w:tc>
        <w:tc>
          <w:tcPr>
            <w:tcW w:w="1548" w:type="dxa"/>
            <w:tcBorders>
              <w:top w:val="single" w:sz="5" w:space="0" w:color="000000"/>
              <w:left w:val="single" w:sz="5" w:space="0" w:color="000000"/>
              <w:bottom w:val="single" w:sz="5" w:space="0" w:color="000000"/>
              <w:right w:val="single" w:sz="5" w:space="0" w:color="000000"/>
            </w:tcBorders>
          </w:tcPr>
          <w:p w14:paraId="7A8B5FE9" w14:textId="77777777" w:rsidR="00616315" w:rsidRDefault="00616315" w:rsidP="00433A4B">
            <w:pPr>
              <w:pStyle w:val="TableParagraph"/>
              <w:spacing w:line="246" w:lineRule="exact"/>
              <w:ind w:left="399"/>
              <w:rPr>
                <w:rFonts w:ascii="Times New Roman" w:eastAsia="Times New Roman" w:hAnsi="Times New Roman" w:cs="Times New Roman"/>
                <w:lang w:val="sl-SI"/>
              </w:rPr>
            </w:pPr>
            <w:r>
              <w:rPr>
                <w:rFonts w:ascii="Times New Roman" w:eastAsia="Times New Roman" w:hAnsi="Times New Roman" w:cs="Times New Roman"/>
                <w:lang w:val="sl-SI"/>
              </w:rPr>
              <w:t>&lt; 0,001</w:t>
            </w:r>
            <w:r>
              <w:rPr>
                <w:rFonts w:ascii="Times New Roman" w:eastAsia="Times New Roman" w:hAnsi="Times New Roman" w:cs="Times New Roman"/>
                <w:vertAlign w:val="superscript"/>
                <w:lang w:val="sl-SI"/>
              </w:rPr>
              <w:t>c</w:t>
            </w:r>
          </w:p>
        </w:tc>
      </w:tr>
      <w:tr w:rsidR="00616315" w14:paraId="13ACB3C7" w14:textId="77777777" w:rsidTr="00721C46">
        <w:trPr>
          <w:jc w:val="center"/>
        </w:trPr>
        <w:tc>
          <w:tcPr>
            <w:tcW w:w="2688" w:type="dxa"/>
            <w:tcBorders>
              <w:top w:val="single" w:sz="5" w:space="0" w:color="000000"/>
              <w:left w:val="single" w:sz="5" w:space="0" w:color="000000"/>
              <w:bottom w:val="single" w:sz="5" w:space="0" w:color="000000"/>
              <w:right w:val="single" w:sz="5" w:space="0" w:color="000000"/>
            </w:tcBorders>
          </w:tcPr>
          <w:p w14:paraId="13A5E93E" w14:textId="77777777" w:rsidR="00616315" w:rsidRDefault="00616315" w:rsidP="00433A4B">
            <w:pPr>
              <w:pStyle w:val="TableParagraph"/>
              <w:spacing w:line="246" w:lineRule="exact"/>
              <w:ind w:left="435"/>
              <w:rPr>
                <w:rFonts w:ascii="Times New Roman" w:eastAsia="Times New Roman" w:hAnsi="Times New Roman" w:cs="Times New Roman"/>
                <w:lang w:val="sl-SI"/>
              </w:rPr>
            </w:pPr>
            <w:r>
              <w:rPr>
                <w:rFonts w:ascii="Times New Roman" w:eastAsia="Times New Roman" w:hAnsi="Times New Roman" w:cs="Times New Roman"/>
                <w:spacing w:val="-1"/>
                <w:lang w:val="sl-SI"/>
              </w:rPr>
              <w:t>Ocena erozij</w:t>
            </w:r>
          </w:p>
        </w:tc>
        <w:tc>
          <w:tcPr>
            <w:tcW w:w="992" w:type="dxa"/>
            <w:tcBorders>
              <w:top w:val="single" w:sz="5" w:space="0" w:color="000000"/>
              <w:left w:val="single" w:sz="5" w:space="0" w:color="000000"/>
              <w:bottom w:val="single" w:sz="5" w:space="0" w:color="000000"/>
              <w:right w:val="single" w:sz="5" w:space="0" w:color="000000"/>
            </w:tcBorders>
          </w:tcPr>
          <w:p w14:paraId="5EF1B102" w14:textId="16A06264" w:rsidR="00616315" w:rsidRDefault="00616315" w:rsidP="00433A4B">
            <w:pPr>
              <w:jc w:val="center"/>
              <w:rPr>
                <w:rFonts w:asciiTheme="majorBidi" w:hAnsiTheme="majorBidi" w:cstheme="majorBidi"/>
              </w:rPr>
            </w:pPr>
            <w:r>
              <w:rPr>
                <w:rFonts w:asciiTheme="majorBidi" w:hAnsiTheme="majorBidi" w:cstheme="majorBidi"/>
              </w:rPr>
              <w:t>1,6</w:t>
            </w:r>
          </w:p>
        </w:tc>
        <w:tc>
          <w:tcPr>
            <w:tcW w:w="1843" w:type="dxa"/>
            <w:tcBorders>
              <w:top w:val="single" w:sz="5" w:space="0" w:color="000000"/>
              <w:left w:val="single" w:sz="5" w:space="0" w:color="000000"/>
              <w:bottom w:val="single" w:sz="5" w:space="0" w:color="000000"/>
              <w:right w:val="single" w:sz="5" w:space="0" w:color="000000"/>
            </w:tcBorders>
          </w:tcPr>
          <w:p w14:paraId="7920907C" w14:textId="77777777" w:rsidR="00616315" w:rsidRDefault="00616315" w:rsidP="00433A4B">
            <w:pPr>
              <w:pStyle w:val="TableParagraph"/>
              <w:spacing w:line="246" w:lineRule="exact"/>
              <w:ind w:left="731" w:right="733"/>
              <w:jc w:val="center"/>
              <w:rPr>
                <w:rFonts w:ascii="Times New Roman" w:eastAsia="Times New Roman" w:hAnsi="Times New Roman" w:cs="Times New Roman"/>
                <w:lang w:val="sl-SI"/>
              </w:rPr>
            </w:pPr>
            <w:r>
              <w:rPr>
                <w:rFonts w:ascii="Times New Roman" w:eastAsia="Times New Roman" w:hAnsi="Times New Roman" w:cs="Times New Roman"/>
                <w:lang w:val="sl-SI"/>
              </w:rPr>
              <w:t>0,0</w:t>
            </w:r>
          </w:p>
        </w:tc>
        <w:tc>
          <w:tcPr>
            <w:tcW w:w="2080" w:type="dxa"/>
            <w:tcBorders>
              <w:top w:val="single" w:sz="5" w:space="0" w:color="000000"/>
              <w:left w:val="single" w:sz="5" w:space="0" w:color="000000"/>
              <w:bottom w:val="single" w:sz="5" w:space="0" w:color="000000"/>
              <w:right w:val="single" w:sz="5" w:space="0" w:color="000000"/>
            </w:tcBorders>
          </w:tcPr>
          <w:p w14:paraId="7153E16D" w14:textId="77777777" w:rsidR="00616315" w:rsidRDefault="00616315" w:rsidP="00433A4B">
            <w:pPr>
              <w:pStyle w:val="TableParagraph"/>
              <w:spacing w:line="246" w:lineRule="exact"/>
              <w:ind w:left="423"/>
              <w:rPr>
                <w:rFonts w:ascii="Times New Roman" w:eastAsia="Times New Roman" w:hAnsi="Times New Roman" w:cs="Times New Roman"/>
                <w:lang w:val="sl-SI"/>
              </w:rPr>
            </w:pPr>
            <w:r>
              <w:rPr>
                <w:rFonts w:ascii="Times New Roman" w:eastAsia="Times New Roman" w:hAnsi="Times New Roman" w:cs="Times New Roman"/>
                <w:spacing w:val="-1"/>
                <w:lang w:val="sl-SI"/>
              </w:rPr>
              <w:t>1,6 (0,9; 2,2)</w:t>
            </w:r>
          </w:p>
        </w:tc>
        <w:tc>
          <w:tcPr>
            <w:tcW w:w="1548" w:type="dxa"/>
            <w:tcBorders>
              <w:top w:val="single" w:sz="5" w:space="0" w:color="000000"/>
              <w:left w:val="single" w:sz="5" w:space="0" w:color="000000"/>
              <w:bottom w:val="single" w:sz="5" w:space="0" w:color="000000"/>
              <w:right w:val="single" w:sz="5" w:space="0" w:color="000000"/>
            </w:tcBorders>
          </w:tcPr>
          <w:p w14:paraId="39FC0085" w14:textId="77777777" w:rsidR="00616315" w:rsidRDefault="00616315" w:rsidP="00433A4B">
            <w:pPr>
              <w:pStyle w:val="TableParagraph"/>
              <w:spacing w:line="246" w:lineRule="exact"/>
              <w:ind w:left="431"/>
              <w:rPr>
                <w:rFonts w:ascii="Times New Roman" w:eastAsia="Times New Roman" w:hAnsi="Times New Roman" w:cs="Times New Roman"/>
                <w:lang w:val="sl-SI"/>
              </w:rPr>
            </w:pPr>
            <w:r>
              <w:rPr>
                <w:rFonts w:ascii="Times New Roman" w:eastAsia="Times New Roman" w:hAnsi="Times New Roman" w:cs="Times New Roman"/>
                <w:lang w:val="sl-SI"/>
              </w:rPr>
              <w:t>&lt; 0,001</w:t>
            </w:r>
          </w:p>
        </w:tc>
      </w:tr>
      <w:tr w:rsidR="00616315" w14:paraId="110EEA25" w14:textId="77777777" w:rsidTr="00721C46">
        <w:trPr>
          <w:jc w:val="center"/>
        </w:trPr>
        <w:tc>
          <w:tcPr>
            <w:tcW w:w="2688" w:type="dxa"/>
            <w:tcBorders>
              <w:top w:val="single" w:sz="5" w:space="0" w:color="000000"/>
              <w:left w:val="single" w:sz="5" w:space="0" w:color="000000"/>
              <w:bottom w:val="single" w:sz="5" w:space="0" w:color="000000"/>
              <w:right w:val="single" w:sz="5" w:space="0" w:color="000000"/>
            </w:tcBorders>
          </w:tcPr>
          <w:p w14:paraId="63799B61" w14:textId="77777777" w:rsidR="00616315" w:rsidRDefault="00616315" w:rsidP="00433A4B">
            <w:pPr>
              <w:pStyle w:val="TableParagraph"/>
              <w:spacing w:line="246" w:lineRule="exact"/>
              <w:ind w:left="560"/>
              <w:rPr>
                <w:rFonts w:ascii="Times New Roman" w:eastAsia="Times New Roman" w:hAnsi="Times New Roman" w:cs="Times New Roman"/>
                <w:lang w:val="sl-SI"/>
              </w:rPr>
            </w:pPr>
            <w:r>
              <w:rPr>
                <w:rFonts w:ascii="Times New Roman" w:eastAsia="Times New Roman" w:hAnsi="Times New Roman" w:cs="Times New Roman"/>
                <w:spacing w:val="1"/>
                <w:lang w:val="sl-SI"/>
              </w:rPr>
              <w:t>Seštevek JSN</w:t>
            </w:r>
            <w:r>
              <w:rPr>
                <w:rFonts w:ascii="Times New Roman" w:eastAsia="Times New Roman" w:hAnsi="Times New Roman" w:cs="Times New Roman"/>
                <w:spacing w:val="1"/>
                <w:vertAlign w:val="superscript"/>
                <w:lang w:val="sl-SI"/>
              </w:rPr>
              <w:t>d</w:t>
            </w:r>
          </w:p>
        </w:tc>
        <w:tc>
          <w:tcPr>
            <w:tcW w:w="992" w:type="dxa"/>
            <w:tcBorders>
              <w:top w:val="single" w:sz="5" w:space="0" w:color="000000"/>
              <w:left w:val="single" w:sz="5" w:space="0" w:color="000000"/>
              <w:bottom w:val="single" w:sz="5" w:space="0" w:color="000000"/>
              <w:right w:val="single" w:sz="5" w:space="0" w:color="000000"/>
            </w:tcBorders>
          </w:tcPr>
          <w:p w14:paraId="4B4ABA05" w14:textId="77777777" w:rsidR="00616315" w:rsidRDefault="00616315" w:rsidP="00433A4B">
            <w:pPr>
              <w:jc w:val="center"/>
              <w:rPr>
                <w:rFonts w:asciiTheme="majorBidi" w:hAnsiTheme="majorBidi" w:cstheme="majorBidi"/>
              </w:rPr>
            </w:pPr>
            <w:r>
              <w:rPr>
                <w:rFonts w:asciiTheme="majorBidi" w:hAnsiTheme="majorBidi" w:cstheme="majorBidi"/>
              </w:rPr>
              <w:t>1,0</w:t>
            </w:r>
          </w:p>
        </w:tc>
        <w:tc>
          <w:tcPr>
            <w:tcW w:w="1843" w:type="dxa"/>
            <w:tcBorders>
              <w:top w:val="single" w:sz="5" w:space="0" w:color="000000"/>
              <w:left w:val="single" w:sz="5" w:space="0" w:color="000000"/>
              <w:bottom w:val="single" w:sz="5" w:space="0" w:color="000000"/>
              <w:right w:val="single" w:sz="5" w:space="0" w:color="000000"/>
            </w:tcBorders>
          </w:tcPr>
          <w:p w14:paraId="0CCF2D3B" w14:textId="5986E080" w:rsidR="00616315" w:rsidRDefault="00616315" w:rsidP="00433A4B">
            <w:pPr>
              <w:pStyle w:val="TableParagraph"/>
              <w:spacing w:line="246" w:lineRule="exact"/>
              <w:ind w:left="731" w:right="733"/>
              <w:jc w:val="center"/>
              <w:rPr>
                <w:rFonts w:ascii="Times New Roman" w:eastAsia="Times New Roman" w:hAnsi="Times New Roman" w:cs="Times New Roman"/>
                <w:lang w:val="sl-SI"/>
              </w:rPr>
            </w:pPr>
            <w:r>
              <w:rPr>
                <w:rFonts w:ascii="Times New Roman" w:eastAsia="Times New Roman" w:hAnsi="Times New Roman" w:cs="Times New Roman"/>
                <w:lang w:val="sl-SI"/>
              </w:rPr>
              <w:t>0,1</w:t>
            </w:r>
          </w:p>
        </w:tc>
        <w:tc>
          <w:tcPr>
            <w:tcW w:w="2080" w:type="dxa"/>
            <w:tcBorders>
              <w:top w:val="single" w:sz="5" w:space="0" w:color="000000"/>
              <w:left w:val="single" w:sz="5" w:space="0" w:color="000000"/>
              <w:bottom w:val="single" w:sz="5" w:space="0" w:color="000000"/>
              <w:right w:val="single" w:sz="5" w:space="0" w:color="000000"/>
            </w:tcBorders>
          </w:tcPr>
          <w:p w14:paraId="0306FAFE" w14:textId="77777777" w:rsidR="00616315" w:rsidRDefault="00616315" w:rsidP="00433A4B">
            <w:pPr>
              <w:pStyle w:val="TableParagraph"/>
              <w:spacing w:line="246" w:lineRule="exact"/>
              <w:ind w:left="423"/>
              <w:rPr>
                <w:rFonts w:ascii="Times New Roman" w:eastAsia="Times New Roman" w:hAnsi="Times New Roman" w:cs="Times New Roman"/>
                <w:lang w:val="sl-SI"/>
              </w:rPr>
            </w:pPr>
            <w:r>
              <w:rPr>
                <w:rFonts w:ascii="Times New Roman" w:eastAsia="Times New Roman" w:hAnsi="Times New Roman" w:cs="Times New Roman"/>
                <w:spacing w:val="-1"/>
                <w:lang w:val="sl-SI"/>
              </w:rPr>
              <w:t>0,9 (0,3; 1,4)</w:t>
            </w:r>
          </w:p>
        </w:tc>
        <w:tc>
          <w:tcPr>
            <w:tcW w:w="1548" w:type="dxa"/>
            <w:tcBorders>
              <w:top w:val="single" w:sz="5" w:space="0" w:color="000000"/>
              <w:left w:val="single" w:sz="5" w:space="0" w:color="000000"/>
              <w:bottom w:val="single" w:sz="5" w:space="0" w:color="000000"/>
              <w:right w:val="single" w:sz="5" w:space="0" w:color="000000"/>
            </w:tcBorders>
          </w:tcPr>
          <w:p w14:paraId="3DD78B7C" w14:textId="77777777" w:rsidR="00616315" w:rsidRDefault="00616315" w:rsidP="00433A4B">
            <w:pPr>
              <w:pStyle w:val="TableParagraph"/>
              <w:spacing w:line="246" w:lineRule="exact"/>
              <w:ind w:left="575"/>
              <w:rPr>
                <w:rFonts w:ascii="Times New Roman" w:eastAsia="Times New Roman" w:hAnsi="Times New Roman" w:cs="Times New Roman"/>
                <w:lang w:val="sl-SI"/>
              </w:rPr>
            </w:pPr>
            <w:r>
              <w:rPr>
                <w:rFonts w:ascii="Times New Roman" w:eastAsia="Times New Roman" w:hAnsi="Times New Roman" w:cs="Times New Roman"/>
                <w:lang w:val="sl-SI"/>
              </w:rPr>
              <w:t>0,002</w:t>
            </w:r>
          </w:p>
        </w:tc>
      </w:tr>
    </w:tbl>
    <w:p w14:paraId="04394C9C" w14:textId="77777777" w:rsidR="00616315" w:rsidRDefault="00616315" w:rsidP="00721C46">
      <w:pPr>
        <w:pStyle w:val="a3"/>
        <w:ind w:leftChars="100" w:left="220"/>
        <w:rPr>
          <w:lang w:val="sl-SI"/>
        </w:rPr>
      </w:pPr>
      <w:r>
        <w:rPr>
          <w:rFonts w:eastAsia="Times New Roman"/>
          <w:position w:val="8"/>
          <w:vertAlign w:val="superscript"/>
          <w:lang w:val="sl-SI"/>
        </w:rPr>
        <w:t xml:space="preserve">a </w:t>
      </w:r>
      <w:r>
        <w:rPr>
          <w:rFonts w:eastAsia="Times New Roman"/>
          <w:position w:val="8"/>
          <w:lang w:val="sl-SI"/>
        </w:rPr>
        <w:t>metotreksat</w:t>
      </w:r>
    </w:p>
    <w:p w14:paraId="253CB4DF" w14:textId="77777777" w:rsidR="00616315" w:rsidRDefault="00616315" w:rsidP="00721C46">
      <w:pPr>
        <w:pStyle w:val="a3"/>
        <w:ind w:leftChars="100" w:left="220"/>
        <w:rPr>
          <w:lang w:val="sl-SI"/>
        </w:rPr>
      </w:pPr>
      <w:r>
        <w:rPr>
          <w:rFonts w:eastAsia="Times New Roman"/>
          <w:position w:val="8"/>
          <w:vertAlign w:val="superscript"/>
          <w:lang w:val="sl-SI"/>
        </w:rPr>
        <w:t>b</w:t>
      </w:r>
      <w:r>
        <w:rPr>
          <w:rFonts w:eastAsia="Times New Roman"/>
          <w:position w:val="8"/>
          <w:lang w:val="sl-SI"/>
        </w:rPr>
        <w:t xml:space="preserve"> 95-% intervali zaupanja za razlike v spremembi ocen med metotreksatom in adalimumabom.</w:t>
      </w:r>
    </w:p>
    <w:p w14:paraId="24F38B55" w14:textId="77777777" w:rsidR="00616315" w:rsidRDefault="00616315" w:rsidP="00721C46">
      <w:pPr>
        <w:pStyle w:val="a3"/>
        <w:ind w:leftChars="100" w:left="220"/>
        <w:rPr>
          <w:lang w:val="sl-SI"/>
        </w:rPr>
      </w:pPr>
      <w:r>
        <w:rPr>
          <w:rFonts w:eastAsia="Times New Roman"/>
          <w:position w:val="8"/>
          <w:vertAlign w:val="superscript"/>
          <w:lang w:val="sl-SI"/>
        </w:rPr>
        <w:t>c</w:t>
      </w:r>
      <w:r>
        <w:rPr>
          <w:rFonts w:eastAsia="Times New Roman"/>
          <w:position w:val="8"/>
          <w:lang w:val="sl-SI"/>
        </w:rPr>
        <w:t xml:space="preserve"> na podlagi analize rangov</w:t>
      </w:r>
    </w:p>
    <w:p w14:paraId="2E34F7D3" w14:textId="77777777" w:rsidR="00616315" w:rsidRDefault="00616315" w:rsidP="00721C46">
      <w:pPr>
        <w:pStyle w:val="a3"/>
        <w:ind w:leftChars="100" w:left="220"/>
        <w:rPr>
          <w:lang w:val="sl-SI"/>
        </w:rPr>
      </w:pPr>
      <w:r>
        <w:rPr>
          <w:rFonts w:eastAsia="Times New Roman"/>
          <w:position w:val="8"/>
          <w:vertAlign w:val="superscript"/>
          <w:lang w:val="sl-SI"/>
        </w:rPr>
        <w:t>d</w:t>
      </w:r>
      <w:r>
        <w:rPr>
          <w:rFonts w:eastAsia="Times New Roman"/>
          <w:position w:val="8"/>
          <w:lang w:val="sl-SI"/>
        </w:rPr>
        <w:t xml:space="preserve"> zožitev sklepne špranje</w:t>
      </w:r>
    </w:p>
    <w:p w14:paraId="4114191E" w14:textId="77777777" w:rsidR="00616315" w:rsidRDefault="00616315" w:rsidP="00616315">
      <w:pPr>
        <w:spacing w:before="17" w:line="240" w:lineRule="exact"/>
        <w:rPr>
          <w:sz w:val="24"/>
          <w:szCs w:val="24"/>
          <w:lang w:val="sl-SI"/>
        </w:rPr>
      </w:pPr>
    </w:p>
    <w:p w14:paraId="3B1467F8" w14:textId="1AEE8536" w:rsidR="00616315" w:rsidRDefault="00616315" w:rsidP="00616315">
      <w:pPr>
        <w:pStyle w:val="a3"/>
        <w:rPr>
          <w:lang w:val="sl-SI"/>
        </w:rPr>
      </w:pPr>
      <w:r>
        <w:rPr>
          <w:rFonts w:eastAsia="Times New Roman"/>
          <w:lang w:val="sl-SI"/>
        </w:rPr>
        <w:t>V študiji revmatoidnega artritisa V so strukturno okvaro sklepov ocenili rentgenografsko in jo izrazili kot razliko v modificirani celotni Sharpovi oceni (glejte preglednico </w:t>
      </w:r>
      <w:r w:rsidR="000E386D">
        <w:rPr>
          <w:rFonts w:eastAsia="Times New Roman"/>
          <w:lang w:val="sl-SI"/>
        </w:rPr>
        <w:t>8</w:t>
      </w:r>
      <w:r>
        <w:rPr>
          <w:rFonts w:eastAsia="Times New Roman"/>
          <w:lang w:val="sl-SI"/>
        </w:rPr>
        <w:t>).</w:t>
      </w:r>
    </w:p>
    <w:p w14:paraId="18E5674B" w14:textId="77777777" w:rsidR="00616315" w:rsidRDefault="00616315" w:rsidP="00616315">
      <w:pPr>
        <w:spacing w:before="15" w:line="240" w:lineRule="exact"/>
        <w:rPr>
          <w:sz w:val="24"/>
          <w:szCs w:val="24"/>
          <w:lang w:val="sl-SI"/>
        </w:rPr>
      </w:pPr>
    </w:p>
    <w:p w14:paraId="33B865B0" w14:textId="4B791E0A" w:rsidR="00616315" w:rsidRDefault="00616315" w:rsidP="00616315">
      <w:pPr>
        <w:pStyle w:val="a3"/>
        <w:jc w:val="center"/>
        <w:rPr>
          <w:b/>
          <w:lang w:val="sl-SI"/>
        </w:rPr>
      </w:pPr>
      <w:r>
        <w:rPr>
          <w:rFonts w:eastAsia="Times New Roman"/>
          <w:b/>
          <w:bCs/>
          <w:lang w:val="sl-SI"/>
        </w:rPr>
        <w:t>Preglednica </w:t>
      </w:r>
      <w:r w:rsidR="000E386D">
        <w:rPr>
          <w:rFonts w:eastAsia="Times New Roman"/>
          <w:b/>
          <w:bCs/>
          <w:lang w:val="sl-SI"/>
        </w:rPr>
        <w:t>8</w:t>
      </w:r>
      <w:r>
        <w:rPr>
          <w:rFonts w:eastAsia="Times New Roman"/>
          <w:b/>
          <w:bCs/>
          <w:lang w:val="sl-SI"/>
        </w:rPr>
        <w:t>.</w:t>
      </w:r>
    </w:p>
    <w:p w14:paraId="4421E8AE" w14:textId="77777777" w:rsidR="00616315" w:rsidRDefault="00616315" w:rsidP="00616315">
      <w:pPr>
        <w:pStyle w:val="a3"/>
        <w:jc w:val="center"/>
        <w:rPr>
          <w:b/>
          <w:lang w:val="sl-SI"/>
        </w:rPr>
      </w:pPr>
      <w:r>
        <w:rPr>
          <w:rFonts w:eastAsia="Times New Roman"/>
          <w:b/>
          <w:bCs/>
          <w:lang w:val="sl-SI"/>
        </w:rPr>
        <w:t>Povprečne rentgenografske spremembe po 52 tednih študije revmatoidnega artritisa V</w:t>
      </w:r>
    </w:p>
    <w:p w14:paraId="63E82996" w14:textId="77777777" w:rsidR="00616315" w:rsidRDefault="00616315" w:rsidP="00616315">
      <w:pPr>
        <w:spacing w:before="11" w:line="240" w:lineRule="exact"/>
        <w:rPr>
          <w:sz w:val="24"/>
          <w:szCs w:val="24"/>
          <w:lang w:val="sl-SI"/>
        </w:rPr>
      </w:pPr>
    </w:p>
    <w:tbl>
      <w:tblPr>
        <w:tblStyle w:val="TableNormal1"/>
        <w:tblW w:w="0" w:type="auto"/>
        <w:tblLayout w:type="fixed"/>
        <w:tblLook w:val="01E0" w:firstRow="1" w:lastRow="1" w:firstColumn="1" w:lastColumn="1" w:noHBand="0" w:noVBand="0"/>
      </w:tblPr>
      <w:tblGrid>
        <w:gridCol w:w="1587"/>
        <w:gridCol w:w="1560"/>
        <w:gridCol w:w="1417"/>
        <w:gridCol w:w="1544"/>
        <w:gridCol w:w="1028"/>
        <w:gridCol w:w="1026"/>
        <w:gridCol w:w="1028"/>
      </w:tblGrid>
      <w:tr w:rsidR="00616315" w14:paraId="14BAE43B" w14:textId="77777777" w:rsidTr="00433A4B">
        <w:trPr>
          <w:trHeight w:val="1036"/>
        </w:trPr>
        <w:tc>
          <w:tcPr>
            <w:tcW w:w="1587" w:type="dxa"/>
            <w:tcBorders>
              <w:top w:val="single" w:sz="5" w:space="0" w:color="000000"/>
              <w:left w:val="single" w:sz="5" w:space="0" w:color="000000"/>
              <w:bottom w:val="single" w:sz="5" w:space="0" w:color="000000"/>
              <w:right w:val="single" w:sz="5" w:space="0" w:color="000000"/>
            </w:tcBorders>
          </w:tcPr>
          <w:p w14:paraId="5C90392E" w14:textId="77777777" w:rsidR="00616315" w:rsidRDefault="00616315" w:rsidP="00433A4B">
            <w:pPr>
              <w:rPr>
                <w:lang w:val="sl-SI"/>
              </w:rPr>
            </w:pPr>
          </w:p>
        </w:tc>
        <w:tc>
          <w:tcPr>
            <w:tcW w:w="1560" w:type="dxa"/>
            <w:tcBorders>
              <w:top w:val="single" w:sz="5" w:space="0" w:color="000000"/>
              <w:left w:val="single" w:sz="5" w:space="0" w:color="000000"/>
              <w:bottom w:val="single" w:sz="5" w:space="0" w:color="000000"/>
              <w:right w:val="single" w:sz="5" w:space="0" w:color="000000"/>
            </w:tcBorders>
          </w:tcPr>
          <w:p w14:paraId="23EE83D0" w14:textId="77777777" w:rsidR="00616315" w:rsidRDefault="00616315" w:rsidP="00433A4B">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Metotreksat </w:t>
            </w:r>
          </w:p>
          <w:p w14:paraId="10437DD6" w14:textId="77777777" w:rsidR="00616315" w:rsidRDefault="00616315" w:rsidP="00433A4B">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n = 257 </w:t>
            </w:r>
          </w:p>
          <w:p w14:paraId="083F21DC" w14:textId="77777777" w:rsidR="00616315" w:rsidRDefault="00616315" w:rsidP="00433A4B">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(95-% </w:t>
            </w:r>
            <w:r>
              <w:rPr>
                <w:rFonts w:ascii="Times New Roman" w:eastAsia="Times New Roman" w:hAnsi="Times New Roman" w:cs="Times New Roman"/>
                <w:spacing w:val="-1"/>
                <w:lang w:val="sl-SI"/>
              </w:rPr>
              <w:t>interval zaupanja)</w:t>
            </w:r>
          </w:p>
        </w:tc>
        <w:tc>
          <w:tcPr>
            <w:tcW w:w="1417" w:type="dxa"/>
            <w:tcBorders>
              <w:top w:val="single" w:sz="5" w:space="0" w:color="000000"/>
              <w:left w:val="single" w:sz="5" w:space="0" w:color="000000"/>
              <w:bottom w:val="single" w:sz="5" w:space="0" w:color="000000"/>
              <w:right w:val="single" w:sz="5" w:space="0" w:color="000000"/>
            </w:tcBorders>
          </w:tcPr>
          <w:p w14:paraId="7902A15A" w14:textId="77777777" w:rsidR="00616315" w:rsidRDefault="00616315" w:rsidP="00433A4B">
            <w:pPr>
              <w:pStyle w:val="TableParagraph"/>
              <w:ind w:left="113" w:right="113"/>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Adalimumab </w:t>
            </w:r>
          </w:p>
          <w:p w14:paraId="74F4EEE1" w14:textId="77777777" w:rsidR="00616315" w:rsidRDefault="00616315" w:rsidP="00433A4B">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n = 274 </w:t>
            </w:r>
          </w:p>
          <w:p w14:paraId="737D313C" w14:textId="77777777" w:rsidR="00616315" w:rsidRDefault="00616315" w:rsidP="00433A4B">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(95-% </w:t>
            </w:r>
            <w:r>
              <w:rPr>
                <w:rFonts w:ascii="Times New Roman" w:eastAsia="Times New Roman" w:hAnsi="Times New Roman" w:cs="Times New Roman"/>
                <w:spacing w:val="-1"/>
                <w:lang w:val="sl-SI"/>
              </w:rPr>
              <w:t>interval zaupanja)</w:t>
            </w:r>
          </w:p>
        </w:tc>
        <w:tc>
          <w:tcPr>
            <w:tcW w:w="1544" w:type="dxa"/>
            <w:tcBorders>
              <w:top w:val="single" w:sz="5" w:space="0" w:color="000000"/>
              <w:left w:val="single" w:sz="5" w:space="0" w:color="000000"/>
              <w:bottom w:val="single" w:sz="5" w:space="0" w:color="000000"/>
              <w:right w:val="single" w:sz="5" w:space="0" w:color="000000"/>
            </w:tcBorders>
          </w:tcPr>
          <w:p w14:paraId="24D6C29C" w14:textId="77777777" w:rsidR="00616315" w:rsidRDefault="00616315" w:rsidP="00433A4B">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Adalimumab/MTX</w:t>
            </w:r>
          </w:p>
          <w:p w14:paraId="5DF49F3B" w14:textId="77777777" w:rsidR="00616315" w:rsidRDefault="00616315" w:rsidP="00433A4B">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n = 268 </w:t>
            </w:r>
          </w:p>
          <w:p w14:paraId="0C8D7BFE" w14:textId="77777777" w:rsidR="00616315" w:rsidRDefault="00616315" w:rsidP="00433A4B">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(95-% </w:t>
            </w:r>
            <w:r>
              <w:rPr>
                <w:rFonts w:ascii="Times New Roman" w:eastAsia="Times New Roman" w:hAnsi="Times New Roman" w:cs="Times New Roman"/>
                <w:spacing w:val="-1"/>
                <w:lang w:val="sl-SI"/>
              </w:rPr>
              <w:t>interval zaupanja)</w:t>
            </w:r>
          </w:p>
        </w:tc>
        <w:tc>
          <w:tcPr>
            <w:tcW w:w="1028" w:type="dxa"/>
            <w:tcBorders>
              <w:top w:val="single" w:sz="5" w:space="0" w:color="000000"/>
              <w:left w:val="single" w:sz="5" w:space="0" w:color="000000"/>
              <w:bottom w:val="single" w:sz="5" w:space="0" w:color="000000"/>
              <w:right w:val="single" w:sz="5" w:space="0" w:color="000000"/>
            </w:tcBorders>
          </w:tcPr>
          <w:p w14:paraId="2ADA85C8" w14:textId="77777777" w:rsidR="00616315" w:rsidRDefault="00616315" w:rsidP="00433A4B">
            <w:pPr>
              <w:pStyle w:val="TableParagraph"/>
              <w:spacing w:line="200" w:lineRule="exact"/>
              <w:rPr>
                <w:lang w:val="sl-SI"/>
              </w:rPr>
            </w:pPr>
          </w:p>
          <w:p w14:paraId="1C4B2093" w14:textId="77777777" w:rsidR="00616315" w:rsidRDefault="00616315" w:rsidP="00433A4B">
            <w:pPr>
              <w:pStyle w:val="TableParagraph"/>
              <w:ind w:left="126"/>
              <w:rPr>
                <w:rFonts w:ascii="Times New Roman" w:eastAsia="Times New Roman" w:hAnsi="Times New Roman" w:cs="Times New Roman"/>
                <w:lang w:val="sl-SI"/>
              </w:rPr>
            </w:pPr>
            <w:r>
              <w:rPr>
                <w:rFonts w:ascii="Times New Roman" w:eastAsia="Times New Roman" w:hAnsi="Times New Roman" w:cs="Times New Roman"/>
                <w:lang w:val="sl-SI"/>
              </w:rPr>
              <w:t>Vrednost p</w:t>
            </w:r>
            <w:r>
              <w:rPr>
                <w:rFonts w:ascii="Times New Roman" w:eastAsia="Times New Roman" w:hAnsi="Times New Roman" w:cs="Times New Roman"/>
                <w:vertAlign w:val="superscript"/>
                <w:lang w:val="sl-SI"/>
              </w:rPr>
              <w:t>a</w:t>
            </w:r>
          </w:p>
        </w:tc>
        <w:tc>
          <w:tcPr>
            <w:tcW w:w="1026" w:type="dxa"/>
            <w:tcBorders>
              <w:top w:val="single" w:sz="5" w:space="0" w:color="000000"/>
              <w:left w:val="single" w:sz="5" w:space="0" w:color="000000"/>
              <w:bottom w:val="single" w:sz="5" w:space="0" w:color="000000"/>
              <w:right w:val="single" w:sz="5" w:space="0" w:color="000000"/>
            </w:tcBorders>
          </w:tcPr>
          <w:p w14:paraId="092D75DB" w14:textId="77777777" w:rsidR="00616315" w:rsidRDefault="00616315" w:rsidP="00433A4B">
            <w:pPr>
              <w:pStyle w:val="TableParagraph"/>
              <w:spacing w:line="200" w:lineRule="exact"/>
              <w:rPr>
                <w:lang w:val="sl-SI"/>
              </w:rPr>
            </w:pPr>
          </w:p>
          <w:p w14:paraId="300F0CDB" w14:textId="77777777" w:rsidR="00616315" w:rsidRDefault="00616315" w:rsidP="00433A4B">
            <w:pPr>
              <w:pStyle w:val="TableParagraph"/>
              <w:ind w:left="121"/>
              <w:rPr>
                <w:rFonts w:ascii="Times New Roman" w:eastAsia="Times New Roman" w:hAnsi="Times New Roman" w:cs="Times New Roman"/>
                <w:lang w:val="sl-SI"/>
              </w:rPr>
            </w:pPr>
            <w:r>
              <w:rPr>
                <w:rFonts w:ascii="Times New Roman" w:eastAsia="Times New Roman" w:hAnsi="Times New Roman" w:cs="Times New Roman"/>
                <w:lang w:val="sl-SI"/>
              </w:rPr>
              <w:t>Vrednost p</w:t>
            </w:r>
            <w:r>
              <w:rPr>
                <w:rFonts w:ascii="Times New Roman" w:eastAsia="Times New Roman" w:hAnsi="Times New Roman" w:cs="Times New Roman"/>
                <w:vertAlign w:val="superscript"/>
                <w:lang w:val="sl-SI"/>
              </w:rPr>
              <w:t>b</w:t>
            </w:r>
          </w:p>
        </w:tc>
        <w:tc>
          <w:tcPr>
            <w:tcW w:w="1028" w:type="dxa"/>
            <w:tcBorders>
              <w:top w:val="single" w:sz="5" w:space="0" w:color="000000"/>
              <w:left w:val="single" w:sz="5" w:space="0" w:color="000000"/>
              <w:bottom w:val="single" w:sz="5" w:space="0" w:color="000000"/>
              <w:right w:val="single" w:sz="5" w:space="0" w:color="000000"/>
            </w:tcBorders>
          </w:tcPr>
          <w:p w14:paraId="4C6CED2C" w14:textId="77777777" w:rsidR="00616315" w:rsidRDefault="00616315" w:rsidP="00433A4B">
            <w:pPr>
              <w:pStyle w:val="TableParagraph"/>
              <w:spacing w:line="200" w:lineRule="exact"/>
              <w:rPr>
                <w:lang w:val="sl-SI"/>
              </w:rPr>
            </w:pPr>
          </w:p>
          <w:p w14:paraId="09D392FF" w14:textId="77777777" w:rsidR="00616315" w:rsidRDefault="00616315" w:rsidP="00433A4B">
            <w:pPr>
              <w:pStyle w:val="TableParagraph"/>
              <w:ind w:left="126"/>
              <w:rPr>
                <w:rFonts w:ascii="Times New Roman" w:eastAsia="Times New Roman" w:hAnsi="Times New Roman" w:cs="Times New Roman"/>
                <w:lang w:val="sl-SI"/>
              </w:rPr>
            </w:pPr>
            <w:r>
              <w:rPr>
                <w:rFonts w:ascii="Times New Roman" w:eastAsia="Times New Roman" w:hAnsi="Times New Roman" w:cs="Times New Roman"/>
                <w:lang w:val="sl-SI"/>
              </w:rPr>
              <w:t>Vrednost p</w:t>
            </w:r>
            <w:r>
              <w:rPr>
                <w:rFonts w:ascii="Times New Roman" w:eastAsia="Times New Roman" w:hAnsi="Times New Roman" w:cs="Times New Roman"/>
                <w:vertAlign w:val="superscript"/>
                <w:lang w:val="sl-SI"/>
              </w:rPr>
              <w:t>c</w:t>
            </w:r>
          </w:p>
        </w:tc>
      </w:tr>
      <w:tr w:rsidR="00616315" w14:paraId="5E41A3C5" w14:textId="77777777" w:rsidTr="00433A4B">
        <w:trPr>
          <w:trHeight w:val="341"/>
        </w:trPr>
        <w:tc>
          <w:tcPr>
            <w:tcW w:w="1587" w:type="dxa"/>
            <w:tcBorders>
              <w:top w:val="single" w:sz="5" w:space="0" w:color="000000"/>
              <w:left w:val="single" w:sz="5" w:space="0" w:color="000000"/>
              <w:bottom w:val="single" w:sz="5" w:space="0" w:color="000000"/>
              <w:right w:val="single" w:sz="5" w:space="0" w:color="000000"/>
            </w:tcBorders>
          </w:tcPr>
          <w:p w14:paraId="60D2699F" w14:textId="77777777" w:rsidR="00616315" w:rsidRDefault="00616315" w:rsidP="00433A4B">
            <w:pPr>
              <w:pStyle w:val="TableParagraph"/>
              <w:spacing w:line="246" w:lineRule="exact"/>
              <w:ind w:right="179"/>
              <w:rPr>
                <w:rFonts w:ascii="Times New Roman" w:eastAsia="Times New Roman" w:hAnsi="Times New Roman" w:cs="Times New Roman"/>
                <w:lang w:val="sl-SI"/>
              </w:rPr>
            </w:pPr>
            <w:r>
              <w:rPr>
                <w:rFonts w:ascii="Times New Roman" w:eastAsia="Times New Roman" w:hAnsi="Times New Roman" w:cs="Times New Roman"/>
                <w:spacing w:val="-1"/>
                <w:lang w:val="sl-SI"/>
              </w:rPr>
              <w:t>Celotna Sharpova</w:t>
            </w:r>
            <w:r>
              <w:rPr>
                <w:rFonts w:ascii="Times New Roman" w:hAnsi="Times New Roman" w:cs="Times New Roman" w:hint="eastAsia"/>
                <w:lang w:val="sl-SI" w:eastAsia="ko-KR"/>
              </w:rPr>
              <w:t xml:space="preserve"> </w:t>
            </w:r>
            <w:r>
              <w:rPr>
                <w:rFonts w:ascii="Times New Roman" w:eastAsia="Times New Roman" w:hAnsi="Times New Roman" w:cs="Times New Roman"/>
                <w:lang w:val="sl-SI"/>
              </w:rPr>
              <w:t>ocena</w:t>
            </w:r>
          </w:p>
        </w:tc>
        <w:tc>
          <w:tcPr>
            <w:tcW w:w="1560" w:type="dxa"/>
            <w:tcBorders>
              <w:top w:val="single" w:sz="5" w:space="0" w:color="000000"/>
              <w:left w:val="single" w:sz="5" w:space="0" w:color="000000"/>
              <w:bottom w:val="single" w:sz="5" w:space="0" w:color="000000"/>
              <w:right w:val="single" w:sz="5" w:space="0" w:color="000000"/>
            </w:tcBorders>
          </w:tcPr>
          <w:p w14:paraId="032AEFD4"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5,7 (4,2-7,3)</w:t>
            </w:r>
          </w:p>
        </w:tc>
        <w:tc>
          <w:tcPr>
            <w:tcW w:w="1417" w:type="dxa"/>
            <w:tcBorders>
              <w:top w:val="single" w:sz="5" w:space="0" w:color="000000"/>
              <w:left w:val="single" w:sz="5" w:space="0" w:color="000000"/>
              <w:bottom w:val="single" w:sz="5" w:space="0" w:color="000000"/>
              <w:right w:val="single" w:sz="5" w:space="0" w:color="000000"/>
            </w:tcBorders>
          </w:tcPr>
          <w:p w14:paraId="213F3D2F"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3,0 (1,7-4,3)</w:t>
            </w:r>
          </w:p>
        </w:tc>
        <w:tc>
          <w:tcPr>
            <w:tcW w:w="1544" w:type="dxa"/>
            <w:tcBorders>
              <w:top w:val="single" w:sz="5" w:space="0" w:color="000000"/>
              <w:left w:val="single" w:sz="5" w:space="0" w:color="000000"/>
              <w:bottom w:val="single" w:sz="5" w:space="0" w:color="000000"/>
              <w:right w:val="single" w:sz="5" w:space="0" w:color="000000"/>
            </w:tcBorders>
          </w:tcPr>
          <w:p w14:paraId="121AEB27"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1,3 (0,5-2,1)</w:t>
            </w:r>
          </w:p>
        </w:tc>
        <w:tc>
          <w:tcPr>
            <w:tcW w:w="1028" w:type="dxa"/>
            <w:tcBorders>
              <w:top w:val="single" w:sz="5" w:space="0" w:color="000000"/>
              <w:left w:val="single" w:sz="5" w:space="0" w:color="000000"/>
              <w:bottom w:val="single" w:sz="5" w:space="0" w:color="000000"/>
              <w:right w:val="single" w:sz="5" w:space="0" w:color="000000"/>
            </w:tcBorders>
          </w:tcPr>
          <w:p w14:paraId="2DBBEEB1"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026" w:type="dxa"/>
            <w:tcBorders>
              <w:top w:val="single" w:sz="5" w:space="0" w:color="000000"/>
              <w:left w:val="single" w:sz="5" w:space="0" w:color="000000"/>
              <w:bottom w:val="single" w:sz="5" w:space="0" w:color="000000"/>
              <w:right w:val="single" w:sz="5" w:space="0" w:color="000000"/>
            </w:tcBorders>
          </w:tcPr>
          <w:p w14:paraId="1DC0C6A2"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0,0020</w:t>
            </w:r>
          </w:p>
        </w:tc>
        <w:tc>
          <w:tcPr>
            <w:tcW w:w="1028" w:type="dxa"/>
            <w:tcBorders>
              <w:top w:val="single" w:sz="5" w:space="0" w:color="000000"/>
              <w:left w:val="single" w:sz="5" w:space="0" w:color="000000"/>
              <w:bottom w:val="single" w:sz="5" w:space="0" w:color="000000"/>
              <w:right w:val="single" w:sz="5" w:space="0" w:color="000000"/>
            </w:tcBorders>
          </w:tcPr>
          <w:p w14:paraId="0790EF86"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r>
      <w:tr w:rsidR="00616315" w14:paraId="4ADA5368" w14:textId="77777777" w:rsidTr="00433A4B">
        <w:trPr>
          <w:trHeight w:val="334"/>
        </w:trPr>
        <w:tc>
          <w:tcPr>
            <w:tcW w:w="1587" w:type="dxa"/>
            <w:tcBorders>
              <w:top w:val="single" w:sz="5" w:space="0" w:color="000000"/>
              <w:left w:val="single" w:sz="5" w:space="0" w:color="000000"/>
              <w:bottom w:val="single" w:sz="5" w:space="0" w:color="000000"/>
              <w:right w:val="single" w:sz="5" w:space="0" w:color="000000"/>
            </w:tcBorders>
          </w:tcPr>
          <w:p w14:paraId="1734B055" w14:textId="77777777" w:rsidR="00616315" w:rsidRDefault="00616315" w:rsidP="00433A4B">
            <w:pPr>
              <w:pStyle w:val="TableParagraph"/>
              <w:spacing w:line="246"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Ocena erozij</w:t>
            </w:r>
          </w:p>
        </w:tc>
        <w:tc>
          <w:tcPr>
            <w:tcW w:w="1560" w:type="dxa"/>
            <w:tcBorders>
              <w:top w:val="single" w:sz="5" w:space="0" w:color="000000"/>
              <w:left w:val="single" w:sz="5" w:space="0" w:color="000000"/>
              <w:bottom w:val="single" w:sz="5" w:space="0" w:color="000000"/>
              <w:right w:val="single" w:sz="5" w:space="0" w:color="000000"/>
            </w:tcBorders>
          </w:tcPr>
          <w:p w14:paraId="5B5D78B4"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3,7 (2,7-4,7)</w:t>
            </w:r>
          </w:p>
        </w:tc>
        <w:tc>
          <w:tcPr>
            <w:tcW w:w="1417" w:type="dxa"/>
            <w:tcBorders>
              <w:top w:val="single" w:sz="5" w:space="0" w:color="000000"/>
              <w:left w:val="single" w:sz="5" w:space="0" w:color="000000"/>
              <w:bottom w:val="single" w:sz="5" w:space="0" w:color="000000"/>
              <w:right w:val="single" w:sz="5" w:space="0" w:color="000000"/>
            </w:tcBorders>
          </w:tcPr>
          <w:p w14:paraId="2BEC8AB3"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1,7 (1,0-2,4)</w:t>
            </w:r>
          </w:p>
        </w:tc>
        <w:tc>
          <w:tcPr>
            <w:tcW w:w="1544" w:type="dxa"/>
            <w:tcBorders>
              <w:top w:val="single" w:sz="5" w:space="0" w:color="000000"/>
              <w:left w:val="single" w:sz="5" w:space="0" w:color="000000"/>
              <w:bottom w:val="single" w:sz="5" w:space="0" w:color="000000"/>
              <w:right w:val="single" w:sz="5" w:space="0" w:color="000000"/>
            </w:tcBorders>
          </w:tcPr>
          <w:p w14:paraId="2C91D1CA"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0,8 (0,4-1,2)</w:t>
            </w:r>
          </w:p>
        </w:tc>
        <w:tc>
          <w:tcPr>
            <w:tcW w:w="1028" w:type="dxa"/>
            <w:tcBorders>
              <w:top w:val="single" w:sz="5" w:space="0" w:color="000000"/>
              <w:left w:val="single" w:sz="5" w:space="0" w:color="000000"/>
              <w:bottom w:val="single" w:sz="5" w:space="0" w:color="000000"/>
              <w:right w:val="single" w:sz="5" w:space="0" w:color="000000"/>
            </w:tcBorders>
          </w:tcPr>
          <w:p w14:paraId="712A0746"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026" w:type="dxa"/>
            <w:tcBorders>
              <w:top w:val="single" w:sz="5" w:space="0" w:color="000000"/>
              <w:left w:val="single" w:sz="5" w:space="0" w:color="000000"/>
              <w:bottom w:val="single" w:sz="5" w:space="0" w:color="000000"/>
              <w:right w:val="single" w:sz="5" w:space="0" w:color="000000"/>
            </w:tcBorders>
          </w:tcPr>
          <w:p w14:paraId="746600E9"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0,0082</w:t>
            </w:r>
          </w:p>
        </w:tc>
        <w:tc>
          <w:tcPr>
            <w:tcW w:w="1028" w:type="dxa"/>
            <w:tcBorders>
              <w:top w:val="single" w:sz="5" w:space="0" w:color="000000"/>
              <w:left w:val="single" w:sz="5" w:space="0" w:color="000000"/>
              <w:bottom w:val="single" w:sz="5" w:space="0" w:color="000000"/>
              <w:right w:val="single" w:sz="5" w:space="0" w:color="000000"/>
            </w:tcBorders>
          </w:tcPr>
          <w:p w14:paraId="083DEDD9"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r>
      <w:tr w:rsidR="00616315" w14:paraId="38DF01A7" w14:textId="77777777" w:rsidTr="00433A4B">
        <w:trPr>
          <w:trHeight w:val="341"/>
        </w:trPr>
        <w:tc>
          <w:tcPr>
            <w:tcW w:w="1587" w:type="dxa"/>
            <w:tcBorders>
              <w:top w:val="single" w:sz="5" w:space="0" w:color="000000"/>
              <w:left w:val="single" w:sz="5" w:space="0" w:color="000000"/>
              <w:bottom w:val="single" w:sz="5" w:space="0" w:color="000000"/>
              <w:right w:val="single" w:sz="5" w:space="0" w:color="000000"/>
            </w:tcBorders>
          </w:tcPr>
          <w:p w14:paraId="34BE91C0" w14:textId="77777777" w:rsidR="00616315" w:rsidRDefault="00616315" w:rsidP="00433A4B">
            <w:pPr>
              <w:pStyle w:val="TableParagraph"/>
              <w:spacing w:line="246"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Seštevek JSN</w:t>
            </w:r>
          </w:p>
        </w:tc>
        <w:tc>
          <w:tcPr>
            <w:tcW w:w="1560" w:type="dxa"/>
            <w:tcBorders>
              <w:top w:val="single" w:sz="5" w:space="0" w:color="000000"/>
              <w:left w:val="single" w:sz="5" w:space="0" w:color="000000"/>
              <w:bottom w:val="single" w:sz="5" w:space="0" w:color="000000"/>
              <w:right w:val="single" w:sz="5" w:space="0" w:color="000000"/>
            </w:tcBorders>
          </w:tcPr>
          <w:p w14:paraId="0DEA4BD8"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2,0 (1,2-2,8)</w:t>
            </w:r>
          </w:p>
        </w:tc>
        <w:tc>
          <w:tcPr>
            <w:tcW w:w="1417" w:type="dxa"/>
            <w:tcBorders>
              <w:top w:val="single" w:sz="5" w:space="0" w:color="000000"/>
              <w:left w:val="single" w:sz="5" w:space="0" w:color="000000"/>
              <w:bottom w:val="single" w:sz="5" w:space="0" w:color="000000"/>
              <w:right w:val="single" w:sz="5" w:space="0" w:color="000000"/>
            </w:tcBorders>
          </w:tcPr>
          <w:p w14:paraId="706C4FD1"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1,3 (0,5-2,1)</w:t>
            </w:r>
          </w:p>
        </w:tc>
        <w:tc>
          <w:tcPr>
            <w:tcW w:w="1544" w:type="dxa"/>
            <w:tcBorders>
              <w:top w:val="single" w:sz="5" w:space="0" w:color="000000"/>
              <w:left w:val="single" w:sz="5" w:space="0" w:color="000000"/>
              <w:bottom w:val="single" w:sz="5" w:space="0" w:color="000000"/>
              <w:right w:val="single" w:sz="5" w:space="0" w:color="000000"/>
            </w:tcBorders>
          </w:tcPr>
          <w:p w14:paraId="063F0788"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0,5 (0-1,0)</w:t>
            </w:r>
          </w:p>
        </w:tc>
        <w:tc>
          <w:tcPr>
            <w:tcW w:w="1028" w:type="dxa"/>
            <w:tcBorders>
              <w:top w:val="single" w:sz="5" w:space="0" w:color="000000"/>
              <w:left w:val="single" w:sz="5" w:space="0" w:color="000000"/>
              <w:bottom w:val="single" w:sz="5" w:space="0" w:color="000000"/>
              <w:right w:val="single" w:sz="5" w:space="0" w:color="000000"/>
            </w:tcBorders>
          </w:tcPr>
          <w:p w14:paraId="3B109099"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026" w:type="dxa"/>
            <w:tcBorders>
              <w:top w:val="single" w:sz="5" w:space="0" w:color="000000"/>
              <w:left w:val="single" w:sz="5" w:space="0" w:color="000000"/>
              <w:bottom w:val="single" w:sz="5" w:space="0" w:color="000000"/>
              <w:right w:val="single" w:sz="5" w:space="0" w:color="000000"/>
            </w:tcBorders>
          </w:tcPr>
          <w:p w14:paraId="05880D29"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0,0037</w:t>
            </w:r>
          </w:p>
        </w:tc>
        <w:tc>
          <w:tcPr>
            <w:tcW w:w="1028" w:type="dxa"/>
            <w:tcBorders>
              <w:top w:val="single" w:sz="5" w:space="0" w:color="000000"/>
              <w:left w:val="single" w:sz="5" w:space="0" w:color="000000"/>
              <w:bottom w:val="single" w:sz="5" w:space="0" w:color="000000"/>
              <w:right w:val="single" w:sz="5" w:space="0" w:color="000000"/>
            </w:tcBorders>
          </w:tcPr>
          <w:p w14:paraId="4F6D8DA0" w14:textId="77777777" w:rsidR="00616315" w:rsidRDefault="00616315" w:rsidP="00433A4B">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0,151</w:t>
            </w:r>
          </w:p>
        </w:tc>
      </w:tr>
    </w:tbl>
    <w:p w14:paraId="5E4F24EE" w14:textId="77777777" w:rsidR="00616315" w:rsidRDefault="00616315" w:rsidP="00616315">
      <w:pPr>
        <w:pStyle w:val="a3"/>
        <w:rPr>
          <w:lang w:val="sl-SI"/>
        </w:rPr>
      </w:pPr>
      <w:r>
        <w:rPr>
          <w:rFonts w:eastAsia="Times New Roman"/>
          <w:position w:val="8"/>
          <w:vertAlign w:val="superscript"/>
          <w:lang w:val="sl-SI"/>
        </w:rPr>
        <w:t>a</w:t>
      </w:r>
      <w:r>
        <w:rPr>
          <w:rFonts w:eastAsia="Times New Roman"/>
          <w:position w:val="8"/>
          <w:lang w:val="sl-SI"/>
        </w:rPr>
        <w:t xml:space="preserve"> Vrednost p se nanaša na parno primerjavo monoterapije z metotreksatom in kombinirane terapije z adalimumabom/metotreksatom z Mann-Whitneyevim testom U.</w:t>
      </w:r>
    </w:p>
    <w:p w14:paraId="1D48A052" w14:textId="77777777" w:rsidR="00616315" w:rsidRDefault="00616315" w:rsidP="00616315">
      <w:pPr>
        <w:pStyle w:val="a3"/>
        <w:rPr>
          <w:lang w:val="sl-SI"/>
        </w:rPr>
      </w:pPr>
      <w:r>
        <w:rPr>
          <w:rFonts w:eastAsia="Times New Roman"/>
          <w:position w:val="8"/>
          <w:vertAlign w:val="superscript"/>
          <w:lang w:val="sl-SI"/>
        </w:rPr>
        <w:t>b</w:t>
      </w:r>
      <w:r>
        <w:rPr>
          <w:rFonts w:eastAsia="Times New Roman"/>
          <w:position w:val="8"/>
          <w:lang w:val="sl-SI"/>
        </w:rPr>
        <w:t xml:space="preserve"> Vrednost p se nanaša na parno primerjavo monoterapije z adalimumabom in kombinirane terapije z adalimumabom/metotreksatom z Mann-Whitneyevim testom U.</w:t>
      </w:r>
    </w:p>
    <w:p w14:paraId="063B25CF" w14:textId="77777777" w:rsidR="00616315" w:rsidRDefault="00616315" w:rsidP="00616315">
      <w:pPr>
        <w:pStyle w:val="a3"/>
        <w:rPr>
          <w:lang w:val="sl-SI"/>
        </w:rPr>
      </w:pPr>
      <w:r>
        <w:rPr>
          <w:rFonts w:eastAsia="Times New Roman"/>
          <w:position w:val="8"/>
          <w:vertAlign w:val="superscript"/>
          <w:lang w:val="sl-SI"/>
        </w:rPr>
        <w:t>c</w:t>
      </w:r>
      <w:r>
        <w:rPr>
          <w:rFonts w:eastAsia="Times New Roman"/>
          <w:position w:val="8"/>
          <w:lang w:val="sl-SI"/>
        </w:rPr>
        <w:t xml:space="preserve"> Vrednost p se nanaša na parno primerjavo monoterapije z adalimumabom in monoterapije z metotreksatom z Mann-Whitneyevim testom U.</w:t>
      </w:r>
    </w:p>
    <w:p w14:paraId="26263CA2" w14:textId="77777777" w:rsidR="00616315" w:rsidRDefault="00616315" w:rsidP="00616315">
      <w:pPr>
        <w:spacing w:before="8" w:line="170" w:lineRule="exact"/>
        <w:rPr>
          <w:sz w:val="17"/>
          <w:szCs w:val="17"/>
          <w:lang w:val="sl-SI"/>
        </w:rPr>
      </w:pPr>
    </w:p>
    <w:p w14:paraId="23F0E2CD" w14:textId="77777777" w:rsidR="00616315" w:rsidRDefault="00616315" w:rsidP="00616315">
      <w:pPr>
        <w:pStyle w:val="a3"/>
        <w:rPr>
          <w:lang w:val="sl-SI"/>
        </w:rPr>
      </w:pPr>
      <w:r>
        <w:rPr>
          <w:rFonts w:eastAsia="Times New Roman"/>
          <w:lang w:val="sl-SI"/>
        </w:rPr>
        <w:t xml:space="preserve">Po 52 oz. 104 tednih zdravljenja je bil v skupini s kombinirano terapijo z adalimumabom in metotreksatom odstotek bolnikov brez napredovanja bolezni (sprememba prilagojene Sharpove ocene od izhodišča </w:t>
      </w:r>
      <w:r>
        <w:rPr>
          <w:rFonts w:ascii="Symbol" w:eastAsia="Symbol" w:hAnsi="Symbol" w:cs="Symbol"/>
          <w:lang w:val="sl-SI"/>
        </w:rPr>
        <w:sym w:font="Symbol" w:char="F0A3"/>
      </w:r>
      <w:r>
        <w:rPr>
          <w:rFonts w:ascii="Symbol" w:eastAsia="Symbol" w:hAnsi="Symbol" w:cs="Symbol"/>
          <w:lang w:val="sl-SI"/>
        </w:rPr>
        <w:sym w:font="Symbol" w:char="F020"/>
      </w:r>
      <w:r>
        <w:rPr>
          <w:rFonts w:eastAsia="Times New Roman"/>
          <w:lang w:val="sl-SI"/>
        </w:rPr>
        <w:t> 0,5) značilno večji (63,8 % oz. 61,2 %) kot v skupinah, ki sta prejemali monoterapijo z metotreksatom (37,4 % in 33,5 %, p &lt; 0,001) ali monoterapijo z adalimumabom (50,7 %, p &lt; 0,002, oz. 44,5 %, p &lt; 0,001).</w:t>
      </w:r>
    </w:p>
    <w:p w14:paraId="6B39A50B" w14:textId="77777777" w:rsidR="00616315" w:rsidRDefault="00616315" w:rsidP="00616315">
      <w:pPr>
        <w:spacing w:before="10" w:line="240" w:lineRule="exact"/>
        <w:rPr>
          <w:sz w:val="24"/>
          <w:szCs w:val="24"/>
          <w:lang w:val="sl-SI"/>
        </w:rPr>
      </w:pPr>
    </w:p>
    <w:p w14:paraId="1D7D7748" w14:textId="77777777" w:rsidR="00616315" w:rsidRDefault="00616315" w:rsidP="00616315">
      <w:pPr>
        <w:pStyle w:val="a3"/>
        <w:rPr>
          <w:lang w:val="sl-SI"/>
        </w:rPr>
      </w:pPr>
      <w:r>
        <w:rPr>
          <w:rFonts w:eastAsia="Times New Roman"/>
          <w:lang w:val="sl-SI"/>
        </w:rPr>
        <w:t>V odprtem podaljšanju študije revmatoidnega artritisa V je bila povprečna sprememba celotne Sharpove ocene v 10. letu pri bolnikih, ki so jih na začetku randomizirali na monoterapijo z metotreksatom, monoterapijo z adalimumabom in kombinacijo adalimumab/metotreksat, glede na izhodišče 10,8, 9,2 oz. 3,9. Ustrezni deleži bolnikov, ki niso imeli rentgenografskih znakov napredovanja, so bili 31,3 %, 23,7 % oz. 36,7 %.</w:t>
      </w:r>
    </w:p>
    <w:p w14:paraId="7155C85D" w14:textId="77777777" w:rsidR="00616315" w:rsidRDefault="00616315" w:rsidP="00616315">
      <w:pPr>
        <w:pStyle w:val="a3"/>
        <w:rPr>
          <w:sz w:val="24"/>
          <w:szCs w:val="24"/>
          <w:lang w:val="sl-SI"/>
        </w:rPr>
      </w:pPr>
    </w:p>
    <w:p w14:paraId="02F4955E" w14:textId="77777777" w:rsidR="00616315" w:rsidRDefault="00616315" w:rsidP="00616315">
      <w:pPr>
        <w:pStyle w:val="a3"/>
        <w:rPr>
          <w:rFonts w:eastAsia="Times New Roman"/>
          <w:lang w:val="sl-SI"/>
        </w:rPr>
      </w:pPr>
      <w:r>
        <w:rPr>
          <w:rFonts w:eastAsia="Times New Roman"/>
          <w:i/>
          <w:iCs/>
          <w:spacing w:val="-1"/>
          <w:u w:val="single" w:color="000000"/>
          <w:lang w:val="sl-SI"/>
        </w:rPr>
        <w:t>Kakovost življenja in telesna funkcija</w:t>
      </w:r>
    </w:p>
    <w:p w14:paraId="7C12FB1B" w14:textId="77777777" w:rsidR="00616315" w:rsidRDefault="00616315" w:rsidP="00616315">
      <w:pPr>
        <w:pStyle w:val="a3"/>
        <w:rPr>
          <w:sz w:val="18"/>
          <w:szCs w:val="18"/>
          <w:lang w:val="sl-SI"/>
        </w:rPr>
      </w:pPr>
    </w:p>
    <w:p w14:paraId="7F383158" w14:textId="77777777" w:rsidR="00616315" w:rsidRDefault="00616315" w:rsidP="00616315">
      <w:pPr>
        <w:pStyle w:val="a3"/>
        <w:rPr>
          <w:lang w:val="sl-SI"/>
        </w:rPr>
      </w:pPr>
      <w:r>
        <w:rPr>
          <w:rFonts w:eastAsia="Times New Roman"/>
          <w:lang w:val="sl-SI"/>
        </w:rPr>
        <w:t xml:space="preserve">Z zdravjem povezano kakovost življenja in telesno funkcijo so v štirih originalnih ustreznih in dobro kontroliranih študijah ocenjevali z indeksom invalidnosti z vprašalnikom HAQ (Health Assessment Questionnaire) in je bila v študiji revmatoidnega artritisa III vnaprej določen primarni opazovani dogodek po 52 tednih. V vseh štirih študijah se je indeks invalidnosti po vprašalniku HAQ od izhodišča do 6. meseca z vsemi odmerki/shemami adalimumaba izboljšal statistično značilno bolj kot s placebom; v </w:t>
      </w:r>
    </w:p>
    <w:p w14:paraId="29C9FB86" w14:textId="77777777" w:rsidR="00616315" w:rsidRDefault="00616315" w:rsidP="00616315">
      <w:pPr>
        <w:pStyle w:val="a3"/>
        <w:rPr>
          <w:lang w:val="sl-SI"/>
        </w:rPr>
      </w:pPr>
      <w:r>
        <w:rPr>
          <w:rFonts w:eastAsia="Times New Roman"/>
          <w:lang w:val="sl-SI"/>
        </w:rPr>
        <w:t>študiji revmatoidnega artritisa III so isto ugotovili po 52 tednih. Te izsledke podpirajo rezultati SF 36 (Short Form Health Survey) za vse odmerke/sheme adalimumaba v vseh štirih študijah, s statistično značilnim seštevkom PCS (Physical Component Summary) in statistično značilnima seštevkoma za področje bolečin in vitalnosti za odmerek 40 mg vsak drugi teden. V vseh treh študijah (študije revmatoidnega artritisa I, III in IV), v katerih so ocenjevali utrujenost s funkcijsko oceno terapije kronične bolezni (functional assessment of chronic illness therapy (FACIT)), so ugotovili statistično značilno zmanjšanje utrujenosti.</w:t>
      </w:r>
    </w:p>
    <w:p w14:paraId="44C31594" w14:textId="77777777" w:rsidR="00616315" w:rsidRDefault="00616315" w:rsidP="00616315">
      <w:pPr>
        <w:pStyle w:val="a3"/>
        <w:rPr>
          <w:sz w:val="24"/>
          <w:szCs w:val="24"/>
          <w:lang w:val="sl-SI"/>
        </w:rPr>
      </w:pPr>
    </w:p>
    <w:p w14:paraId="0B1F96B3" w14:textId="77777777" w:rsidR="00616315" w:rsidRDefault="00616315" w:rsidP="00616315">
      <w:pPr>
        <w:pStyle w:val="a3"/>
        <w:rPr>
          <w:lang w:val="sl-SI"/>
        </w:rPr>
      </w:pPr>
      <w:r>
        <w:rPr>
          <w:rFonts w:eastAsia="Times New Roman"/>
          <w:lang w:val="sl-SI"/>
        </w:rPr>
        <w:t>V študiji revmatoidnega artritisa III se je pri večini bolnikov, ki so dosegli izboljšanje telesne funkcije in so nadaljevali zdravljenje, to izboljšanje ohranilo vseskozi do 520. tedna (120. meseca) odprte faze zdravljenja. Izboljšanje kvalitete življenja se je ocenjevalo do 156. tedna (36. meseca). V tem času se je izboljšanje tudi ohranjalo.</w:t>
      </w:r>
    </w:p>
    <w:p w14:paraId="55E512E3" w14:textId="77777777" w:rsidR="00616315" w:rsidRDefault="00616315" w:rsidP="00616315">
      <w:pPr>
        <w:pStyle w:val="a3"/>
        <w:rPr>
          <w:sz w:val="24"/>
          <w:szCs w:val="24"/>
          <w:lang w:val="sl-SI"/>
        </w:rPr>
      </w:pPr>
    </w:p>
    <w:p w14:paraId="501281B4" w14:textId="77777777" w:rsidR="00616315" w:rsidRDefault="00616315" w:rsidP="00616315">
      <w:pPr>
        <w:pStyle w:val="a3"/>
        <w:rPr>
          <w:lang w:val="sl-SI"/>
        </w:rPr>
      </w:pPr>
      <w:r>
        <w:rPr>
          <w:rFonts w:eastAsia="Times New Roman"/>
          <w:lang w:val="sl-SI"/>
        </w:rPr>
        <w:t xml:space="preserve">V študiji revmatoidnega artritisa V sta se indeks invalidnosti HAQ in telesna komponenta SF 36 ob kombinirani terapiji z adalimumabom in metotreksatom po 52 tednih izboljšala bolj (p &lt; 0,001) </w:t>
      </w:r>
      <w:r>
        <w:rPr>
          <w:rFonts w:eastAsia="Times New Roman"/>
          <w:i/>
          <w:iCs/>
          <w:lang w:val="sl-SI"/>
        </w:rPr>
        <w:t>kot ob</w:t>
      </w:r>
      <w:r>
        <w:rPr>
          <w:rFonts w:eastAsia="Times New Roman"/>
          <w:lang w:val="sl-SI"/>
        </w:rPr>
        <w:t xml:space="preserve"> monoterapiji z metotreksatom ali ob monoterapiji z adalimumabom; to se je ohranilo do 104. tedna. Med 250 osebami, ki so zaključile podaljšano odprto študijo, se je izboljšanje telesne funkcije ohranilo skozi 10 let zdravljenja.</w:t>
      </w:r>
    </w:p>
    <w:p w14:paraId="7106BE2A" w14:textId="77777777" w:rsidR="00616315" w:rsidRDefault="00616315" w:rsidP="00616315">
      <w:pPr>
        <w:pStyle w:val="a3"/>
        <w:rPr>
          <w:sz w:val="24"/>
          <w:szCs w:val="24"/>
          <w:lang w:val="sl-SI"/>
        </w:rPr>
      </w:pPr>
    </w:p>
    <w:p w14:paraId="2ABA410D" w14:textId="77777777" w:rsidR="00616315" w:rsidRDefault="00616315" w:rsidP="00616315">
      <w:pPr>
        <w:pStyle w:val="a3"/>
        <w:rPr>
          <w:rFonts w:eastAsia="Times New Roman"/>
          <w:lang w:val="sl-SI"/>
        </w:rPr>
      </w:pPr>
      <w:r>
        <w:rPr>
          <w:rFonts w:eastAsia="Times New Roman"/>
          <w:i/>
          <w:iCs/>
          <w:spacing w:val="-1"/>
          <w:u w:val="single" w:color="000000"/>
          <w:lang w:val="sl-SI"/>
        </w:rPr>
        <w:lastRenderedPageBreak/>
        <w:t>Bolečina na mestu injiciranja</w:t>
      </w:r>
    </w:p>
    <w:p w14:paraId="465E69DD" w14:textId="77777777" w:rsidR="00616315" w:rsidRDefault="00616315" w:rsidP="00616315">
      <w:pPr>
        <w:pStyle w:val="a3"/>
        <w:rPr>
          <w:sz w:val="18"/>
          <w:szCs w:val="18"/>
          <w:lang w:val="sl-SI"/>
        </w:rPr>
      </w:pPr>
    </w:p>
    <w:p w14:paraId="2F100A78" w14:textId="77777777" w:rsidR="00616315" w:rsidRDefault="00616315" w:rsidP="00616315">
      <w:pPr>
        <w:pStyle w:val="a3"/>
        <w:rPr>
          <w:lang w:val="sl-SI"/>
        </w:rPr>
      </w:pPr>
      <w:r>
        <w:rPr>
          <w:rFonts w:eastAsia="Times New Roman"/>
          <w:lang w:val="sl-SI"/>
        </w:rPr>
        <w:t>Pri združeni navzkrižni študiji RA VI in VII so takoj po odmerjanju opazili statistično pomembno razliko za bolečino na mestu injiciranja med adalimumabom 40 mg/0,8 ml in 40 mg/0,4 ml (povprečni VAS 3,7 cm v primerjavi z 1,2 cm, P &lt; 0,001). To predstavlja 84-odstotno zmanjšanje mediane bolečine na mestu injiciranja.</w:t>
      </w:r>
    </w:p>
    <w:p w14:paraId="156E6680" w14:textId="77777777" w:rsidR="00616315" w:rsidRDefault="00616315" w:rsidP="00616315">
      <w:pPr>
        <w:pStyle w:val="a3"/>
        <w:rPr>
          <w:sz w:val="24"/>
          <w:szCs w:val="24"/>
          <w:lang w:val="sl-SI"/>
        </w:rPr>
      </w:pPr>
    </w:p>
    <w:p w14:paraId="45C7706C" w14:textId="77777777" w:rsidR="00616315" w:rsidRDefault="00616315" w:rsidP="00616315">
      <w:pPr>
        <w:pStyle w:val="a3"/>
        <w:rPr>
          <w:rFonts w:eastAsia="Times New Roman"/>
          <w:lang w:val="sl-SI"/>
        </w:rPr>
      </w:pPr>
      <w:r>
        <w:rPr>
          <w:rFonts w:eastAsia="Times New Roman"/>
          <w:i/>
          <w:iCs/>
          <w:spacing w:val="-1"/>
          <w:lang w:val="sl-SI"/>
        </w:rPr>
        <w:t>Psoriaza</w:t>
      </w:r>
    </w:p>
    <w:p w14:paraId="0F30BA47" w14:textId="77777777" w:rsidR="00616315" w:rsidRDefault="00616315" w:rsidP="00616315">
      <w:pPr>
        <w:pStyle w:val="a3"/>
        <w:rPr>
          <w:sz w:val="24"/>
          <w:szCs w:val="24"/>
          <w:lang w:val="sl-SI"/>
        </w:rPr>
      </w:pPr>
    </w:p>
    <w:p w14:paraId="5B66DD81" w14:textId="78318CAF" w:rsidR="00616315" w:rsidRDefault="00616315" w:rsidP="00616315">
      <w:pPr>
        <w:pStyle w:val="a3"/>
        <w:rPr>
          <w:lang w:val="sl-SI"/>
        </w:rPr>
      </w:pPr>
      <w:r>
        <w:rPr>
          <w:rFonts w:eastAsia="Times New Roman"/>
          <w:lang w:val="sl-SI"/>
        </w:rPr>
        <w:t xml:space="preserve">Varnost in učinkovitost adalimumaba so v randomiziranih, dvojno slepih študijah raziskali pri odraslih bolnikih s kronično psoriazo v plakih (zajete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 xml:space="preserve"> 10 % telesne površine ter indeksom obsežnosti in izrazitosti psoriaze (PASI – Psoriasis Area and Severity Index)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 xml:space="preserve"> 12 ali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 10), ki so bili kandidati za sistemsko zdravljenje ali fototerapijo. 73 % bolnikov, vključenih v študiji pri psoriazi I in II, je predhodno dobivalo sistemsko zdravljenje ali fototerapijo. Varnost in učinkovitost adalimumaba so raziskali tudi v randomizirani dvojno slepi študiji pri odraslih bolnikih z zmerno do hudo kronično psoriazo v plakih s sočasno psoriazo na dlaneh in/ali stopalih, ki so bili kandidati za sistemsko zdravljenje (Študija pri psoriazi III).</w:t>
      </w:r>
    </w:p>
    <w:p w14:paraId="144C820C" w14:textId="77777777" w:rsidR="00616315" w:rsidRDefault="00616315" w:rsidP="00616315">
      <w:pPr>
        <w:pStyle w:val="a3"/>
        <w:rPr>
          <w:lang w:val="sl-SI"/>
        </w:rPr>
      </w:pPr>
    </w:p>
    <w:p w14:paraId="5625B437" w14:textId="1FEF0C43" w:rsidR="00616315" w:rsidRDefault="00616315" w:rsidP="00616315">
      <w:pPr>
        <w:pStyle w:val="a3"/>
        <w:rPr>
          <w:lang w:val="sl-SI"/>
        </w:rPr>
      </w:pPr>
      <w:r>
        <w:rPr>
          <w:rFonts w:eastAsia="Times New Roman"/>
          <w:lang w:val="sl-SI"/>
        </w:rPr>
        <w:t xml:space="preserve">Študija pri psoriazi I (REVEAL) je ocenila 1212 bolnikov v treh obdobjih zdravljenja. V obdobju A so bolniki dobivali placebo ali adalimumab v začetnem odmerku 80 mg in potem 40 mg vsak drugi teden, začenši en teden po začetnem odmerku. Po 16 tednih zdravljenja so bolniki, ki so dosegli odziv PASI vsaj 75 (izboljšanje ocene PASI za vsaj 75 % glede na izhodišče), vstopili v obdobje B, med katerim so v odprti študiji dobivali 40 mg adalimumaba vsak drugi teden. Bolnike, ki so imeli 33. teden ohranjen odziv </w:t>
      </w:r>
      <w:r>
        <w:rPr>
          <w:rFonts w:ascii="Symbol" w:eastAsia="Symbol" w:hAnsi="Symbol" w:cs="Symbol"/>
          <w:lang w:val="sl-SI"/>
        </w:rPr>
        <w:sym w:font="Symbol" w:char="F0B3"/>
      </w:r>
      <w:r>
        <w:rPr>
          <w:rFonts w:eastAsia="Times New Roman"/>
          <w:lang w:val="sl-SI"/>
        </w:rPr>
        <w:t>PASI 75 in so bili v obdobju A randomizirani na aktivno terapijo, so med obdobjem C ponovno randomizirali tako, da so dodatnih 19 tednov dobivali 40 mg adalimumaba ali placebo vsak drugi teden . V vseh terapevtskih skupinah je bila povprečna izhodiščna ocena PASI 18,9, izhodiščna zdravnikova globalna ocena (PGA – Physician's Global Assessment) pa je segala od "zmerne" (53 % vključenih preiskovancev) do "hude" (41 %) in "zelo hude" (6 %).</w:t>
      </w:r>
    </w:p>
    <w:p w14:paraId="7F7F821C" w14:textId="77777777" w:rsidR="00616315" w:rsidRDefault="00616315" w:rsidP="00616315">
      <w:pPr>
        <w:spacing w:before="14" w:line="240" w:lineRule="exact"/>
        <w:rPr>
          <w:sz w:val="24"/>
          <w:szCs w:val="24"/>
          <w:lang w:val="sl-SI"/>
        </w:rPr>
      </w:pPr>
    </w:p>
    <w:p w14:paraId="59AF6E19" w14:textId="77777777" w:rsidR="00616315" w:rsidRDefault="00616315" w:rsidP="00616315">
      <w:pPr>
        <w:pStyle w:val="a3"/>
        <w:rPr>
          <w:lang w:val="sl-SI"/>
        </w:rPr>
      </w:pPr>
      <w:r>
        <w:rPr>
          <w:rFonts w:eastAsia="Times New Roman"/>
          <w:lang w:val="sl-SI"/>
        </w:rPr>
        <w:t xml:space="preserve">Študija pri psoriazi II (CHAMPION) je primerjala učinkovitost in varnost adalimumaba z metotreksatom in placebom pri 271 bolnikih. Bolniki so dobivali placebo, začetni odmerek 7,5 mg metotreksata z nadaljnjim povečevanjem odmerka do 12. tedna; do največjega odmerka 25 mg, ali začetni odmerek 80 mg adalimumaba in potem 40 mg vsak drugi teden (začenši en teden po začetnem odmerku) 16 tednov. Podatkov za primerjavo adalimumaba in metotreksata med več kot 16-tedenskim zdravljenjem ni. Bolnikom, ki so dobivali metotreksat in so 8. in/ali 12. teden dosegli odziv </w:t>
      </w:r>
      <w:r>
        <w:rPr>
          <w:rFonts w:ascii="Symbol" w:eastAsia="Symbol" w:hAnsi="Symbol" w:cs="Symbol"/>
          <w:lang w:val="sl-SI"/>
        </w:rPr>
        <w:sym w:font="Symbol" w:char="F0B3"/>
      </w:r>
      <w:r>
        <w:rPr>
          <w:rFonts w:eastAsia="Times New Roman"/>
          <w:lang w:val="sl-SI"/>
        </w:rPr>
        <w:t>PASI 50, odmerka niso več povečevali. V vseh terapevtskih skupinah je bila povprečna izhodiščna ocena PASI 19,7, izhodiščna PGA pa je segala od "blage" (&lt; 1 %), "zmerne" (48 %) in "hude" (46 %) do "zelo hude" (6 %).</w:t>
      </w:r>
    </w:p>
    <w:p w14:paraId="3A1F8DB9" w14:textId="77777777" w:rsidR="00616315" w:rsidRDefault="00616315" w:rsidP="00616315">
      <w:pPr>
        <w:spacing w:before="17" w:line="240" w:lineRule="exact"/>
        <w:rPr>
          <w:sz w:val="24"/>
          <w:szCs w:val="24"/>
          <w:lang w:val="sl-SI"/>
        </w:rPr>
      </w:pPr>
    </w:p>
    <w:p w14:paraId="678CC779" w14:textId="77777777" w:rsidR="00616315" w:rsidRDefault="00616315" w:rsidP="00616315">
      <w:pPr>
        <w:pStyle w:val="a3"/>
        <w:rPr>
          <w:lang w:val="sl-SI"/>
        </w:rPr>
      </w:pPr>
      <w:r>
        <w:rPr>
          <w:rFonts w:eastAsia="Times New Roman"/>
          <w:lang w:val="sl-SI"/>
        </w:rPr>
        <w:t>Bolniki, ki so sodelovali v študijah psoriaze 2. in 3. faze, so bili lahko vključeni v odprto podaljšano preskušanje, v katerem so adalimumab prejemali vsaj še dodatnih 108 tednov.</w:t>
      </w:r>
    </w:p>
    <w:p w14:paraId="1ECD61EC" w14:textId="77777777" w:rsidR="00616315" w:rsidRDefault="00616315" w:rsidP="00616315">
      <w:pPr>
        <w:spacing w:before="14" w:line="240" w:lineRule="exact"/>
        <w:rPr>
          <w:sz w:val="24"/>
          <w:szCs w:val="24"/>
          <w:lang w:val="sl-SI"/>
        </w:rPr>
      </w:pPr>
    </w:p>
    <w:p w14:paraId="483262F7" w14:textId="0B05AD58" w:rsidR="00616315" w:rsidRDefault="00616315" w:rsidP="00616315">
      <w:pPr>
        <w:pStyle w:val="a3"/>
        <w:rPr>
          <w:lang w:val="sl-SI"/>
        </w:rPr>
      </w:pPr>
      <w:r>
        <w:rPr>
          <w:rFonts w:eastAsia="Times New Roman"/>
          <w:lang w:val="sl-SI"/>
        </w:rPr>
        <w:t>V študijah pri psoriazi I in II je bil primarni opazovani dogodek delež bolnikov, ki so od izhodišča do 16. tedna dosegli PASI 75 (glejte preglednici </w:t>
      </w:r>
      <w:r w:rsidR="000E386D">
        <w:rPr>
          <w:rFonts w:eastAsia="Times New Roman"/>
          <w:lang w:val="sl-SI"/>
        </w:rPr>
        <w:t xml:space="preserve">9 </w:t>
      </w:r>
      <w:r>
        <w:rPr>
          <w:rFonts w:eastAsia="Times New Roman"/>
          <w:lang w:val="sl-SI"/>
        </w:rPr>
        <w:t>in </w:t>
      </w:r>
      <w:r w:rsidR="000E386D">
        <w:rPr>
          <w:rFonts w:eastAsia="Times New Roman"/>
          <w:lang w:val="sl-SI"/>
        </w:rPr>
        <w:t>10</w:t>
      </w:r>
      <w:r>
        <w:rPr>
          <w:rFonts w:eastAsia="Times New Roman"/>
          <w:lang w:val="sl-SI"/>
        </w:rPr>
        <w:t>).</w:t>
      </w:r>
    </w:p>
    <w:p w14:paraId="500B7B77" w14:textId="77777777" w:rsidR="00616315" w:rsidRDefault="00616315" w:rsidP="00616315">
      <w:pPr>
        <w:pStyle w:val="a3"/>
        <w:jc w:val="center"/>
        <w:rPr>
          <w:rFonts w:eastAsia="Times New Roman"/>
          <w:b/>
          <w:bCs/>
          <w:lang w:val="sl-SI"/>
        </w:rPr>
      </w:pPr>
    </w:p>
    <w:p w14:paraId="638C66FC" w14:textId="73D7D162" w:rsidR="00616315" w:rsidRDefault="00616315" w:rsidP="00616315">
      <w:pPr>
        <w:pStyle w:val="a3"/>
        <w:jc w:val="center"/>
        <w:rPr>
          <w:b/>
          <w:lang w:val="sl-SI"/>
        </w:rPr>
      </w:pPr>
      <w:r>
        <w:rPr>
          <w:rFonts w:eastAsia="Times New Roman"/>
          <w:b/>
          <w:bCs/>
          <w:lang w:val="sl-SI"/>
        </w:rPr>
        <w:t>Preglednica </w:t>
      </w:r>
      <w:r w:rsidR="000E386D">
        <w:rPr>
          <w:rFonts w:eastAsia="Times New Roman"/>
          <w:b/>
          <w:bCs/>
          <w:lang w:val="sl-SI"/>
        </w:rPr>
        <w:t>9</w:t>
      </w:r>
    </w:p>
    <w:p w14:paraId="1C57BAD3" w14:textId="4DE7ACE0" w:rsidR="00616315" w:rsidRDefault="00616315" w:rsidP="00616315">
      <w:pPr>
        <w:pStyle w:val="a3"/>
        <w:jc w:val="center"/>
        <w:rPr>
          <w:rFonts w:eastAsia="Times New Roman"/>
          <w:b/>
          <w:bCs/>
          <w:lang w:val="sl-SI"/>
        </w:rPr>
      </w:pPr>
      <w:r>
        <w:rPr>
          <w:rFonts w:eastAsia="Times New Roman"/>
          <w:b/>
          <w:bCs/>
          <w:lang w:val="sl-SI"/>
        </w:rPr>
        <w:t>Študija pri psoriazi I (REVEAL) Rezultati učinkovitosti po 16 tednih</w:t>
      </w:r>
    </w:p>
    <w:p w14:paraId="4BDFE4BE" w14:textId="77777777" w:rsidR="0029566D" w:rsidRDefault="0029566D" w:rsidP="00616315">
      <w:pPr>
        <w:pStyle w:val="a3"/>
        <w:jc w:val="center"/>
        <w:rPr>
          <w:b/>
          <w:lang w:val="sl-SI"/>
        </w:rPr>
      </w:pPr>
    </w:p>
    <w:tbl>
      <w:tblPr>
        <w:tblStyle w:val="TableNormal1"/>
        <w:tblW w:w="9066" w:type="dxa"/>
        <w:jc w:val="center"/>
        <w:tblLayout w:type="fixed"/>
        <w:tblLook w:val="01E0" w:firstRow="1" w:lastRow="1" w:firstColumn="1" w:lastColumn="1" w:noHBand="0" w:noVBand="0"/>
      </w:tblPr>
      <w:tblGrid>
        <w:gridCol w:w="2688"/>
        <w:gridCol w:w="2618"/>
        <w:gridCol w:w="3760"/>
      </w:tblGrid>
      <w:tr w:rsidR="00616315" w14:paraId="114F9AD7" w14:textId="77777777" w:rsidTr="006F3477">
        <w:trPr>
          <w:jc w:val="center"/>
        </w:trPr>
        <w:tc>
          <w:tcPr>
            <w:tcW w:w="2688" w:type="dxa"/>
            <w:tcBorders>
              <w:top w:val="single" w:sz="5" w:space="0" w:color="000000"/>
              <w:left w:val="single" w:sz="5" w:space="0" w:color="000000"/>
              <w:bottom w:val="single" w:sz="5" w:space="0" w:color="000000"/>
              <w:right w:val="single" w:sz="5" w:space="0" w:color="000000"/>
            </w:tcBorders>
          </w:tcPr>
          <w:p w14:paraId="6CA6EBFE" w14:textId="77777777" w:rsidR="00616315" w:rsidRDefault="00616315" w:rsidP="00433A4B">
            <w:pPr>
              <w:rPr>
                <w:lang w:val="sl-SI"/>
              </w:rPr>
            </w:pPr>
          </w:p>
        </w:tc>
        <w:tc>
          <w:tcPr>
            <w:tcW w:w="2618" w:type="dxa"/>
            <w:tcBorders>
              <w:top w:val="single" w:sz="5" w:space="0" w:color="000000"/>
              <w:left w:val="single" w:sz="5" w:space="0" w:color="000000"/>
              <w:bottom w:val="single" w:sz="5" w:space="0" w:color="000000"/>
              <w:right w:val="single" w:sz="5" w:space="0" w:color="000000"/>
            </w:tcBorders>
          </w:tcPr>
          <w:p w14:paraId="5AB86A14" w14:textId="77777777" w:rsidR="00616315" w:rsidRDefault="00616315" w:rsidP="00433A4B">
            <w:pPr>
              <w:pStyle w:val="TableParagraph"/>
              <w:spacing w:before="3"/>
              <w:ind w:leftChars="14" w:left="31" w:rightChars="29" w:right="64"/>
              <w:jc w:val="center"/>
              <w:rPr>
                <w:rFonts w:ascii="Times New Roman" w:eastAsia="Times New Roman" w:hAnsi="Times New Roman" w:cs="Times New Roman"/>
                <w:b/>
                <w:bCs/>
                <w:spacing w:val="-1"/>
                <w:lang w:val="sl-SI"/>
              </w:rPr>
            </w:pPr>
            <w:r>
              <w:rPr>
                <w:rFonts w:ascii="Times New Roman" w:eastAsia="Times New Roman" w:hAnsi="Times New Roman" w:cs="Times New Roman"/>
                <w:b/>
                <w:bCs/>
                <w:lang w:val="sl-SI"/>
              </w:rPr>
              <w:t>Placebo N = 398</w:t>
            </w:r>
          </w:p>
          <w:p w14:paraId="6FCA7660" w14:textId="77777777" w:rsidR="00616315" w:rsidRDefault="00616315" w:rsidP="00433A4B">
            <w:pPr>
              <w:pStyle w:val="TableParagraph"/>
              <w:spacing w:before="3"/>
              <w:ind w:leftChars="14" w:left="91" w:rightChars="29" w:right="64" w:hanging="60"/>
              <w:jc w:val="center"/>
              <w:rPr>
                <w:rFonts w:ascii="Times New Roman" w:eastAsia="Times New Roman" w:hAnsi="Times New Roman" w:cs="Times New Roman"/>
                <w:lang w:val="sl-SI"/>
              </w:rPr>
            </w:pPr>
            <w:r>
              <w:rPr>
                <w:rFonts w:ascii="Times New Roman" w:eastAsia="Times New Roman" w:hAnsi="Times New Roman" w:cs="Times New Roman"/>
                <w:b/>
                <w:bCs/>
                <w:lang w:val="sl-SI"/>
              </w:rPr>
              <w:t>n (%)</w:t>
            </w:r>
          </w:p>
        </w:tc>
        <w:tc>
          <w:tcPr>
            <w:tcW w:w="3760" w:type="dxa"/>
            <w:tcBorders>
              <w:top w:val="single" w:sz="5" w:space="0" w:color="000000"/>
              <w:left w:val="single" w:sz="5" w:space="0" w:color="000000"/>
              <w:bottom w:val="single" w:sz="5" w:space="0" w:color="000000"/>
              <w:right w:val="single" w:sz="5" w:space="0" w:color="000000"/>
            </w:tcBorders>
          </w:tcPr>
          <w:p w14:paraId="452C3D68" w14:textId="77777777" w:rsidR="00616315" w:rsidRDefault="00616315" w:rsidP="00433A4B">
            <w:pPr>
              <w:pStyle w:val="TableParagraph"/>
              <w:ind w:leftChars="51" w:left="112" w:rightChars="51" w:right="112"/>
              <w:jc w:val="center"/>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Adalimumab 40 mg vsak 2. teden</w:t>
            </w:r>
          </w:p>
          <w:p w14:paraId="4D3C946C" w14:textId="77777777" w:rsidR="00616315" w:rsidRDefault="00616315" w:rsidP="00433A4B">
            <w:pPr>
              <w:pStyle w:val="TableParagraph"/>
              <w:spacing w:before="3"/>
              <w:ind w:leftChars="51" w:left="112" w:rightChars="51" w:right="112"/>
              <w:jc w:val="center"/>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N = 814</w:t>
            </w:r>
          </w:p>
          <w:p w14:paraId="2816E4AD" w14:textId="77777777" w:rsidR="00616315" w:rsidRDefault="00616315" w:rsidP="00433A4B">
            <w:pPr>
              <w:pStyle w:val="TableParagraph"/>
              <w:spacing w:before="3"/>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b/>
                <w:bCs/>
                <w:lang w:val="sl-SI"/>
              </w:rPr>
              <w:t>n (%)</w:t>
            </w:r>
          </w:p>
        </w:tc>
      </w:tr>
      <w:tr w:rsidR="00616315" w14:paraId="04D01721" w14:textId="77777777" w:rsidTr="006F3477">
        <w:trPr>
          <w:jc w:val="center"/>
        </w:trPr>
        <w:tc>
          <w:tcPr>
            <w:tcW w:w="2688" w:type="dxa"/>
            <w:tcBorders>
              <w:top w:val="single" w:sz="5" w:space="0" w:color="000000"/>
              <w:left w:val="single" w:sz="5" w:space="0" w:color="000000"/>
              <w:bottom w:val="single" w:sz="5" w:space="0" w:color="000000"/>
              <w:right w:val="single" w:sz="5" w:space="0" w:color="000000"/>
            </w:tcBorders>
          </w:tcPr>
          <w:p w14:paraId="35F3E35A" w14:textId="77777777" w:rsidR="00616315" w:rsidRDefault="00616315" w:rsidP="00433A4B">
            <w:pPr>
              <w:pStyle w:val="TableParagraph"/>
              <w:ind w:left="320"/>
              <w:rPr>
                <w:rFonts w:ascii="Times New Roman" w:eastAsia="Times New Roman" w:hAnsi="Times New Roman" w:cs="Times New Roman"/>
                <w:lang w:val="sl-SI"/>
              </w:rPr>
            </w:pPr>
            <w:r>
              <w:rPr>
                <w:rFonts w:ascii="Symbol" w:eastAsia="Symbol" w:hAnsi="Symbol" w:cs="Symbol"/>
                <w:b/>
                <w:bCs/>
                <w:lang w:val="sl-SI"/>
              </w:rPr>
              <w:sym w:font="Symbol" w:char="F0B3"/>
            </w:r>
            <w:r>
              <w:rPr>
                <w:rFonts w:ascii="Symbol" w:eastAsia="Symbol" w:hAnsi="Symbol" w:cs="Symbol"/>
                <w:b/>
                <w:bCs/>
                <w:lang w:val="sl-SI"/>
              </w:rPr>
              <w:sym w:font="Symbol" w:char="F020"/>
            </w:r>
            <w:r>
              <w:rPr>
                <w:rFonts w:ascii="Times New Roman" w:eastAsia="Times New Roman" w:hAnsi="Times New Roman" w:cs="Times New Roman"/>
                <w:b/>
                <w:bCs/>
                <w:lang w:val="sl-SI"/>
              </w:rPr>
              <w:t>PASI 75</w:t>
            </w:r>
            <w:r>
              <w:rPr>
                <w:rFonts w:ascii="Times New Roman" w:eastAsia="Times New Roman" w:hAnsi="Times New Roman" w:cs="Times New Roman"/>
                <w:b/>
                <w:bCs/>
                <w:vertAlign w:val="superscript"/>
                <w:lang w:val="sl-SI"/>
              </w:rPr>
              <w:t>a</w:t>
            </w:r>
          </w:p>
        </w:tc>
        <w:tc>
          <w:tcPr>
            <w:tcW w:w="2618" w:type="dxa"/>
            <w:tcBorders>
              <w:top w:val="single" w:sz="5" w:space="0" w:color="000000"/>
              <w:left w:val="single" w:sz="5" w:space="0" w:color="000000"/>
              <w:bottom w:val="single" w:sz="5" w:space="0" w:color="000000"/>
              <w:right w:val="single" w:sz="5" w:space="0" w:color="000000"/>
            </w:tcBorders>
          </w:tcPr>
          <w:p w14:paraId="6865C4D7" w14:textId="77777777" w:rsidR="00616315" w:rsidRDefault="00616315" w:rsidP="00433A4B">
            <w:pPr>
              <w:pStyle w:val="TableParagraph"/>
              <w:ind w:leftChars="14" w:left="31" w:rightChars="29" w:right="64"/>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26 (6,5)</w:t>
            </w:r>
          </w:p>
        </w:tc>
        <w:tc>
          <w:tcPr>
            <w:tcW w:w="3760" w:type="dxa"/>
            <w:tcBorders>
              <w:top w:val="single" w:sz="5" w:space="0" w:color="000000"/>
              <w:left w:val="single" w:sz="5" w:space="0" w:color="000000"/>
              <w:bottom w:val="single" w:sz="5" w:space="0" w:color="000000"/>
              <w:right w:val="single" w:sz="5" w:space="0" w:color="000000"/>
            </w:tcBorders>
          </w:tcPr>
          <w:p w14:paraId="233D6172" w14:textId="77777777" w:rsidR="00616315" w:rsidRDefault="00616315" w:rsidP="00433A4B">
            <w:pPr>
              <w:pStyle w:val="TableParagraph"/>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578 (70.9)</w:t>
            </w:r>
            <w:r>
              <w:rPr>
                <w:rFonts w:ascii="Times New Roman" w:eastAsia="Times New Roman" w:hAnsi="Times New Roman" w:cs="Times New Roman"/>
                <w:spacing w:val="-1"/>
                <w:vertAlign w:val="superscript"/>
                <w:lang w:val="sl-SI"/>
              </w:rPr>
              <w:t>b</w:t>
            </w:r>
          </w:p>
        </w:tc>
      </w:tr>
      <w:tr w:rsidR="00616315" w14:paraId="438958B5" w14:textId="77777777" w:rsidTr="006F3477">
        <w:trPr>
          <w:jc w:val="center"/>
        </w:trPr>
        <w:tc>
          <w:tcPr>
            <w:tcW w:w="2688" w:type="dxa"/>
            <w:tcBorders>
              <w:top w:val="single" w:sz="5" w:space="0" w:color="000000"/>
              <w:left w:val="single" w:sz="5" w:space="0" w:color="000000"/>
              <w:bottom w:val="single" w:sz="5" w:space="0" w:color="000000"/>
              <w:right w:val="single" w:sz="5" w:space="0" w:color="000000"/>
            </w:tcBorders>
          </w:tcPr>
          <w:p w14:paraId="3E13EFC1" w14:textId="77777777" w:rsidR="00616315" w:rsidRDefault="00616315" w:rsidP="00433A4B">
            <w:pPr>
              <w:pStyle w:val="TableParagraph"/>
              <w:ind w:left="323"/>
              <w:rPr>
                <w:rFonts w:ascii="Times New Roman" w:eastAsia="Times New Roman" w:hAnsi="Times New Roman" w:cs="Times New Roman"/>
                <w:lang w:val="sl-SI"/>
              </w:rPr>
            </w:pPr>
            <w:r>
              <w:rPr>
                <w:rFonts w:ascii="Times New Roman" w:eastAsia="Times New Roman" w:hAnsi="Times New Roman" w:cs="Times New Roman"/>
                <w:b/>
                <w:bCs/>
                <w:spacing w:val="-1"/>
                <w:lang w:val="sl-SI"/>
              </w:rPr>
              <w:t>PASI 100</w:t>
            </w:r>
          </w:p>
        </w:tc>
        <w:tc>
          <w:tcPr>
            <w:tcW w:w="2618" w:type="dxa"/>
            <w:tcBorders>
              <w:top w:val="single" w:sz="5" w:space="0" w:color="000000"/>
              <w:left w:val="single" w:sz="5" w:space="0" w:color="000000"/>
              <w:bottom w:val="single" w:sz="5" w:space="0" w:color="000000"/>
              <w:right w:val="single" w:sz="5" w:space="0" w:color="000000"/>
            </w:tcBorders>
          </w:tcPr>
          <w:p w14:paraId="1DE1A3BF" w14:textId="77777777" w:rsidR="00616315" w:rsidRDefault="00616315" w:rsidP="00433A4B">
            <w:pPr>
              <w:pStyle w:val="TableParagraph"/>
              <w:ind w:leftChars="14" w:left="31" w:rightChars="29" w:right="64"/>
              <w:jc w:val="center"/>
              <w:rPr>
                <w:rFonts w:ascii="Times New Roman" w:eastAsia="Times New Roman" w:hAnsi="Times New Roman" w:cs="Times New Roman"/>
                <w:lang w:val="sl-SI"/>
              </w:rPr>
            </w:pPr>
            <w:r>
              <w:rPr>
                <w:rFonts w:ascii="Times New Roman" w:eastAsia="Times New Roman" w:hAnsi="Times New Roman" w:cs="Times New Roman"/>
                <w:lang w:val="sl-SI"/>
              </w:rPr>
              <w:t>3 (0,8)</w:t>
            </w:r>
          </w:p>
        </w:tc>
        <w:tc>
          <w:tcPr>
            <w:tcW w:w="3760" w:type="dxa"/>
            <w:tcBorders>
              <w:top w:val="single" w:sz="5" w:space="0" w:color="000000"/>
              <w:left w:val="single" w:sz="5" w:space="0" w:color="000000"/>
              <w:bottom w:val="single" w:sz="5" w:space="0" w:color="000000"/>
              <w:right w:val="single" w:sz="5" w:space="0" w:color="000000"/>
            </w:tcBorders>
          </w:tcPr>
          <w:p w14:paraId="745387B0" w14:textId="77777777" w:rsidR="00616315" w:rsidRDefault="00616315" w:rsidP="00433A4B">
            <w:pPr>
              <w:pStyle w:val="TableParagraph"/>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163 (20,0)</w:t>
            </w:r>
            <w:r>
              <w:rPr>
                <w:rFonts w:ascii="Times New Roman" w:eastAsia="Times New Roman" w:hAnsi="Times New Roman" w:cs="Times New Roman"/>
                <w:spacing w:val="-1"/>
                <w:vertAlign w:val="superscript"/>
                <w:lang w:val="sl-SI"/>
              </w:rPr>
              <w:t>b</w:t>
            </w:r>
          </w:p>
        </w:tc>
      </w:tr>
      <w:tr w:rsidR="00616315" w14:paraId="08DD9E99" w14:textId="77777777" w:rsidTr="006F3477">
        <w:trPr>
          <w:jc w:val="center"/>
        </w:trPr>
        <w:tc>
          <w:tcPr>
            <w:tcW w:w="2688" w:type="dxa"/>
            <w:tcBorders>
              <w:top w:val="single" w:sz="5" w:space="0" w:color="000000"/>
              <w:left w:val="single" w:sz="5" w:space="0" w:color="000000"/>
              <w:bottom w:val="single" w:sz="5" w:space="0" w:color="000000"/>
              <w:right w:val="single" w:sz="5" w:space="0" w:color="000000"/>
            </w:tcBorders>
          </w:tcPr>
          <w:p w14:paraId="071CF5A5" w14:textId="77777777" w:rsidR="00616315" w:rsidRDefault="00616315" w:rsidP="00433A4B">
            <w:pPr>
              <w:pStyle w:val="TableParagraph"/>
              <w:ind w:left="323"/>
              <w:rPr>
                <w:rFonts w:ascii="Times New Roman" w:eastAsia="Times New Roman" w:hAnsi="Times New Roman" w:cs="Times New Roman"/>
                <w:lang w:val="sl-SI"/>
              </w:rPr>
            </w:pPr>
            <w:r>
              <w:rPr>
                <w:rFonts w:ascii="Times New Roman" w:eastAsia="Times New Roman" w:hAnsi="Times New Roman" w:cs="Times New Roman"/>
                <w:b/>
                <w:bCs/>
                <w:spacing w:val="-1"/>
                <w:lang w:val="sl-SI"/>
              </w:rPr>
              <w:t>PGA: čisto/minimalno</w:t>
            </w:r>
          </w:p>
        </w:tc>
        <w:tc>
          <w:tcPr>
            <w:tcW w:w="2618" w:type="dxa"/>
            <w:tcBorders>
              <w:top w:val="single" w:sz="5" w:space="0" w:color="000000"/>
              <w:left w:val="single" w:sz="5" w:space="0" w:color="000000"/>
              <w:bottom w:val="single" w:sz="5" w:space="0" w:color="000000"/>
              <w:right w:val="single" w:sz="5" w:space="0" w:color="000000"/>
            </w:tcBorders>
          </w:tcPr>
          <w:p w14:paraId="7D085EE7" w14:textId="77777777" w:rsidR="00616315" w:rsidRDefault="00616315" w:rsidP="00433A4B">
            <w:pPr>
              <w:pStyle w:val="TableParagraph"/>
              <w:ind w:leftChars="14" w:left="31" w:rightChars="29" w:right="64"/>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17 (4,3)</w:t>
            </w:r>
          </w:p>
        </w:tc>
        <w:tc>
          <w:tcPr>
            <w:tcW w:w="3760" w:type="dxa"/>
            <w:tcBorders>
              <w:top w:val="single" w:sz="5" w:space="0" w:color="000000"/>
              <w:left w:val="single" w:sz="5" w:space="0" w:color="000000"/>
              <w:bottom w:val="single" w:sz="5" w:space="0" w:color="000000"/>
              <w:right w:val="single" w:sz="5" w:space="0" w:color="000000"/>
            </w:tcBorders>
          </w:tcPr>
          <w:p w14:paraId="452DCB50" w14:textId="77777777" w:rsidR="00616315" w:rsidRDefault="00616315" w:rsidP="00433A4B">
            <w:pPr>
              <w:pStyle w:val="TableParagraph"/>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506 (62,2)</w:t>
            </w:r>
            <w:r>
              <w:rPr>
                <w:rFonts w:ascii="Times New Roman" w:eastAsia="Times New Roman" w:hAnsi="Times New Roman" w:cs="Times New Roman"/>
                <w:spacing w:val="-1"/>
                <w:vertAlign w:val="superscript"/>
                <w:lang w:val="sl-SI"/>
              </w:rPr>
              <w:t>b</w:t>
            </w:r>
          </w:p>
        </w:tc>
      </w:tr>
      <w:tr w:rsidR="00616315" w14:paraId="7F96F8A1" w14:textId="77777777" w:rsidTr="006F3477">
        <w:trPr>
          <w:jc w:val="center"/>
        </w:trPr>
        <w:tc>
          <w:tcPr>
            <w:tcW w:w="9066" w:type="dxa"/>
            <w:gridSpan w:val="3"/>
            <w:tcBorders>
              <w:top w:val="single" w:sz="5" w:space="0" w:color="000000"/>
              <w:left w:val="single" w:sz="5" w:space="0" w:color="000000"/>
              <w:bottom w:val="single" w:sz="5" w:space="0" w:color="000000"/>
              <w:right w:val="single" w:sz="5" w:space="0" w:color="000000"/>
            </w:tcBorders>
          </w:tcPr>
          <w:p w14:paraId="391A0197" w14:textId="77777777" w:rsidR="00616315" w:rsidRDefault="00616315" w:rsidP="00433A4B">
            <w:pPr>
              <w:pStyle w:val="TableParagraph"/>
              <w:ind w:left="102"/>
              <w:rPr>
                <w:rFonts w:ascii="Times New Roman" w:eastAsia="Times New Roman" w:hAnsi="Times New Roman" w:cs="Times New Roman"/>
                <w:lang w:val="sl-SI"/>
              </w:rPr>
            </w:pPr>
            <w:r w:rsidRPr="001452D7">
              <w:rPr>
                <w:rFonts w:ascii="Times New Roman" w:eastAsia="Times New Roman" w:hAnsi="Times New Roman" w:cs="Times New Roman"/>
                <w:vertAlign w:val="superscript"/>
                <w:lang w:val="sl-SI"/>
              </w:rPr>
              <w:t>a</w:t>
            </w:r>
            <w:r w:rsidRPr="001452D7">
              <w:rPr>
                <w:rFonts w:ascii="Times New Roman" w:eastAsia="Times New Roman" w:hAnsi="Times New Roman" w:cs="Times New Roman"/>
                <w:lang w:val="sl-SI"/>
              </w:rPr>
              <w:t xml:space="preserve"> Odstotek bolnikov, ki so dosegli odziv PASI 75, je bil izračunan kot delež, korigiran za center.</w:t>
            </w:r>
          </w:p>
          <w:p w14:paraId="35BBC590" w14:textId="77777777" w:rsidR="00616315" w:rsidRDefault="00616315" w:rsidP="00433A4B">
            <w:pPr>
              <w:pStyle w:val="TableParagraph"/>
              <w:ind w:left="102"/>
              <w:rPr>
                <w:rFonts w:ascii="Times New Roman" w:eastAsia="Times New Roman" w:hAnsi="Times New Roman" w:cs="Times New Roman"/>
                <w:lang w:val="sl-SI"/>
              </w:rPr>
            </w:pPr>
            <w:r w:rsidRPr="001452D7">
              <w:rPr>
                <w:rFonts w:ascii="Times New Roman" w:eastAsia="Times New Roman" w:hAnsi="Times New Roman" w:cs="Times New Roman"/>
                <w:vertAlign w:val="superscript"/>
                <w:lang w:val="sl-SI"/>
              </w:rPr>
              <w:t>b</w:t>
            </w:r>
            <w:r w:rsidRPr="001452D7">
              <w:rPr>
                <w:rFonts w:ascii="Times New Roman" w:eastAsia="Times New Roman" w:hAnsi="Times New Roman" w:cs="Times New Roman"/>
                <w:lang w:val="sl-SI"/>
              </w:rPr>
              <w:t xml:space="preserve"> p &lt; 0,001, adalimumab v primerjavi s placebom</w:t>
            </w:r>
          </w:p>
        </w:tc>
      </w:tr>
    </w:tbl>
    <w:p w14:paraId="5DCD3817" w14:textId="77777777" w:rsidR="00616315" w:rsidRDefault="00616315" w:rsidP="00616315">
      <w:pPr>
        <w:spacing w:line="110" w:lineRule="exact"/>
        <w:rPr>
          <w:sz w:val="11"/>
          <w:szCs w:val="11"/>
          <w:lang w:val="sl-SI"/>
        </w:rPr>
      </w:pPr>
    </w:p>
    <w:p w14:paraId="24EDB116" w14:textId="77777777" w:rsidR="00616315" w:rsidRDefault="00616315" w:rsidP="00616315">
      <w:pPr>
        <w:spacing w:before="3" w:line="170" w:lineRule="exact"/>
        <w:rPr>
          <w:sz w:val="17"/>
          <w:szCs w:val="17"/>
          <w:lang w:val="sl-SI"/>
        </w:rPr>
      </w:pPr>
    </w:p>
    <w:p w14:paraId="4DAF4D97" w14:textId="494648DC" w:rsidR="00616315" w:rsidRDefault="00616315" w:rsidP="00616315">
      <w:pPr>
        <w:pStyle w:val="a3"/>
        <w:keepNext/>
        <w:keepLines/>
        <w:jc w:val="center"/>
        <w:rPr>
          <w:b/>
          <w:lang w:val="sl-SI"/>
        </w:rPr>
      </w:pPr>
      <w:r>
        <w:rPr>
          <w:rFonts w:eastAsia="Times New Roman"/>
          <w:b/>
          <w:bCs/>
          <w:lang w:val="sl-SI"/>
        </w:rPr>
        <w:t>Preglednica </w:t>
      </w:r>
      <w:r w:rsidR="000E386D">
        <w:rPr>
          <w:rFonts w:eastAsia="Times New Roman"/>
          <w:b/>
          <w:bCs/>
          <w:lang w:val="sl-SI"/>
        </w:rPr>
        <w:t>10</w:t>
      </w:r>
    </w:p>
    <w:p w14:paraId="59408753" w14:textId="77777777" w:rsidR="00616315" w:rsidRDefault="00616315" w:rsidP="00616315">
      <w:pPr>
        <w:pStyle w:val="a3"/>
        <w:jc w:val="center"/>
        <w:rPr>
          <w:b/>
          <w:lang w:val="sl-SI"/>
        </w:rPr>
      </w:pPr>
      <w:r>
        <w:rPr>
          <w:rFonts w:eastAsia="Times New Roman"/>
          <w:b/>
          <w:bCs/>
          <w:lang w:val="sl-SI"/>
        </w:rPr>
        <w:t>Študija pri psoriazi II (CHAMPION) Rezultati učinkovitosti po 16 tednih</w:t>
      </w:r>
    </w:p>
    <w:tbl>
      <w:tblPr>
        <w:tblStyle w:val="ac"/>
        <w:tblW w:w="9072" w:type="dxa"/>
        <w:tblInd w:w="279" w:type="dxa"/>
        <w:tblLayout w:type="fixed"/>
        <w:tblLook w:val="04A0" w:firstRow="1" w:lastRow="0" w:firstColumn="1" w:lastColumn="0" w:noHBand="0" w:noVBand="1"/>
      </w:tblPr>
      <w:tblGrid>
        <w:gridCol w:w="2551"/>
        <w:gridCol w:w="1985"/>
        <w:gridCol w:w="1984"/>
        <w:gridCol w:w="2552"/>
      </w:tblGrid>
      <w:tr w:rsidR="00616315" w14:paraId="270412BD" w14:textId="77777777" w:rsidTr="006F3477">
        <w:tc>
          <w:tcPr>
            <w:tcW w:w="2551" w:type="dxa"/>
            <w:vAlign w:val="center"/>
          </w:tcPr>
          <w:p w14:paraId="1B946374" w14:textId="77777777" w:rsidR="00616315" w:rsidRDefault="00616315" w:rsidP="00433A4B">
            <w:pPr>
              <w:pStyle w:val="a3"/>
              <w:rPr>
                <w:lang w:val="sl-SI"/>
              </w:rPr>
            </w:pPr>
          </w:p>
        </w:tc>
        <w:tc>
          <w:tcPr>
            <w:tcW w:w="1985" w:type="dxa"/>
            <w:vAlign w:val="center"/>
          </w:tcPr>
          <w:p w14:paraId="26B82CFD" w14:textId="77777777" w:rsidR="00616315" w:rsidRDefault="00616315" w:rsidP="00433A4B">
            <w:pPr>
              <w:pStyle w:val="TableParagraph"/>
              <w:spacing w:before="4"/>
              <w:ind w:left="459" w:right="459"/>
              <w:jc w:val="center"/>
              <w:rPr>
                <w:rFonts w:ascii="Times New Roman" w:eastAsia="Times New Roman" w:hAnsi="Times New Roman" w:cs="Times New Roman"/>
                <w:b/>
                <w:bCs/>
                <w:spacing w:val="-1"/>
                <w:lang w:val="sl-SI"/>
              </w:rPr>
            </w:pPr>
            <w:r>
              <w:rPr>
                <w:rFonts w:ascii="Times New Roman" w:eastAsia="Times New Roman" w:hAnsi="Times New Roman" w:cs="Times New Roman"/>
                <w:b/>
                <w:bCs/>
                <w:lang w:val="sl-SI"/>
              </w:rPr>
              <w:t>Placebo N = 53</w:t>
            </w:r>
          </w:p>
          <w:p w14:paraId="02A2A335" w14:textId="77777777" w:rsidR="00616315" w:rsidRDefault="00616315" w:rsidP="00433A4B">
            <w:pPr>
              <w:pStyle w:val="TableParagraph"/>
              <w:spacing w:before="4"/>
              <w:ind w:left="459" w:right="459"/>
              <w:jc w:val="center"/>
              <w:rPr>
                <w:b/>
                <w:lang w:val="sl-SI"/>
              </w:rPr>
            </w:pPr>
            <w:r>
              <w:rPr>
                <w:rFonts w:ascii="Times New Roman" w:eastAsia="Times New Roman" w:hAnsi="Times New Roman" w:cs="Times New Roman"/>
                <w:b/>
                <w:bCs/>
                <w:lang w:val="sl-SI"/>
              </w:rPr>
              <w:t>n (%)</w:t>
            </w:r>
          </w:p>
        </w:tc>
        <w:tc>
          <w:tcPr>
            <w:tcW w:w="1984" w:type="dxa"/>
            <w:vAlign w:val="center"/>
          </w:tcPr>
          <w:p w14:paraId="345BCBB2" w14:textId="77777777" w:rsidR="00616315" w:rsidRDefault="00616315" w:rsidP="00433A4B">
            <w:pPr>
              <w:pStyle w:val="a3"/>
              <w:jc w:val="center"/>
              <w:rPr>
                <w:b/>
                <w:lang w:val="sl-SI"/>
              </w:rPr>
            </w:pPr>
            <w:r>
              <w:rPr>
                <w:rFonts w:eastAsia="Times New Roman"/>
                <w:b/>
                <w:bCs/>
                <w:lang w:val="sl-SI"/>
              </w:rPr>
              <w:t>Metotreksat</w:t>
            </w:r>
          </w:p>
          <w:p w14:paraId="40A24249" w14:textId="77777777" w:rsidR="00616315" w:rsidRDefault="00616315" w:rsidP="00433A4B">
            <w:pPr>
              <w:pStyle w:val="a3"/>
              <w:jc w:val="center"/>
              <w:rPr>
                <w:b/>
                <w:lang w:val="sl-SI"/>
              </w:rPr>
            </w:pPr>
            <w:r>
              <w:rPr>
                <w:rFonts w:eastAsia="Times New Roman"/>
                <w:b/>
                <w:bCs/>
                <w:lang w:val="sl-SI"/>
              </w:rPr>
              <w:t>N = 110</w:t>
            </w:r>
          </w:p>
          <w:p w14:paraId="2BD5B41A" w14:textId="77777777" w:rsidR="00616315" w:rsidRDefault="00616315" w:rsidP="00433A4B">
            <w:pPr>
              <w:pStyle w:val="a3"/>
              <w:jc w:val="center"/>
              <w:rPr>
                <w:lang w:val="sl-SI"/>
              </w:rPr>
            </w:pPr>
            <w:r>
              <w:rPr>
                <w:rFonts w:eastAsia="Times New Roman"/>
                <w:b/>
                <w:bCs/>
                <w:lang w:val="sl-SI"/>
              </w:rPr>
              <w:t>n (%)</w:t>
            </w:r>
          </w:p>
        </w:tc>
        <w:tc>
          <w:tcPr>
            <w:tcW w:w="2552" w:type="dxa"/>
            <w:vAlign w:val="center"/>
          </w:tcPr>
          <w:p w14:paraId="406B0B28" w14:textId="77777777" w:rsidR="00616315" w:rsidRDefault="00616315" w:rsidP="00433A4B">
            <w:pPr>
              <w:pStyle w:val="TableParagraph"/>
              <w:spacing w:before="4"/>
              <w:ind w:left="113" w:right="113"/>
              <w:jc w:val="center"/>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Adalimumab 40 mg vsak 2. teden</w:t>
            </w:r>
          </w:p>
          <w:p w14:paraId="6597E2D5" w14:textId="77777777" w:rsidR="00616315" w:rsidRDefault="00616315" w:rsidP="00433A4B">
            <w:pPr>
              <w:pStyle w:val="TableParagraph"/>
              <w:spacing w:before="4"/>
              <w:ind w:left="113" w:right="113"/>
              <w:jc w:val="center"/>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N = 108</w:t>
            </w:r>
          </w:p>
          <w:p w14:paraId="0EE5F566" w14:textId="77777777" w:rsidR="00616315" w:rsidRDefault="00616315" w:rsidP="00433A4B">
            <w:pPr>
              <w:pStyle w:val="TableParagraph"/>
              <w:spacing w:before="4"/>
              <w:ind w:left="113" w:right="113"/>
              <w:jc w:val="center"/>
              <w:rPr>
                <w:rFonts w:ascii="Times New Roman" w:eastAsia="Times New Roman" w:hAnsi="Times New Roman" w:cs="Times New Roman"/>
                <w:lang w:val="sl-SI"/>
              </w:rPr>
            </w:pPr>
            <w:r>
              <w:rPr>
                <w:rFonts w:ascii="Times New Roman" w:eastAsia="Times New Roman" w:hAnsi="Times New Roman" w:cs="Times New Roman"/>
                <w:b/>
                <w:bCs/>
                <w:lang w:val="sl-SI"/>
              </w:rPr>
              <w:t>n (%)</w:t>
            </w:r>
          </w:p>
        </w:tc>
      </w:tr>
      <w:tr w:rsidR="00616315" w14:paraId="4DB9826F" w14:textId="77777777" w:rsidTr="006F3477">
        <w:tc>
          <w:tcPr>
            <w:tcW w:w="2551" w:type="dxa"/>
          </w:tcPr>
          <w:p w14:paraId="624F977A" w14:textId="77777777" w:rsidR="00616315" w:rsidRPr="001452D7" w:rsidRDefault="00616315" w:rsidP="00433A4B">
            <w:pPr>
              <w:pStyle w:val="a3"/>
              <w:rPr>
                <w:b/>
                <w:lang w:val="sl-SI"/>
              </w:rPr>
            </w:pPr>
            <w:r w:rsidRPr="001452D7">
              <w:rPr>
                <w:rFonts w:ascii="Symbol" w:eastAsia="Symbol" w:hAnsi="Symbol" w:cs="Symbol"/>
                <w:b/>
                <w:lang w:val="sl-SI"/>
              </w:rPr>
              <w:sym w:font="Symbol" w:char="F0B3"/>
            </w:r>
            <w:r w:rsidRPr="001452D7">
              <w:rPr>
                <w:rFonts w:ascii="Symbol" w:eastAsia="Symbol" w:hAnsi="Symbol" w:cs="Symbol"/>
                <w:b/>
                <w:lang w:val="sl-SI"/>
              </w:rPr>
              <w:sym w:font="Symbol" w:char="F020"/>
            </w:r>
            <w:r w:rsidRPr="001452D7">
              <w:rPr>
                <w:rFonts w:eastAsia="Times New Roman"/>
                <w:b/>
                <w:lang w:val="sl-SI"/>
              </w:rPr>
              <w:t>PASI 75</w:t>
            </w:r>
          </w:p>
        </w:tc>
        <w:tc>
          <w:tcPr>
            <w:tcW w:w="1985" w:type="dxa"/>
          </w:tcPr>
          <w:p w14:paraId="227313B7" w14:textId="77777777" w:rsidR="00616315" w:rsidRDefault="00616315" w:rsidP="00433A4B">
            <w:pPr>
              <w:pStyle w:val="a3"/>
              <w:jc w:val="center"/>
              <w:rPr>
                <w:b/>
                <w:lang w:val="sl-SI"/>
              </w:rPr>
            </w:pPr>
            <w:r>
              <w:rPr>
                <w:rFonts w:eastAsia="Times New Roman"/>
                <w:lang w:val="sl-SI"/>
              </w:rPr>
              <w:t>10 (18,9)</w:t>
            </w:r>
          </w:p>
        </w:tc>
        <w:tc>
          <w:tcPr>
            <w:tcW w:w="1984" w:type="dxa"/>
          </w:tcPr>
          <w:p w14:paraId="33C818A4" w14:textId="77777777" w:rsidR="00616315" w:rsidRDefault="00616315" w:rsidP="00433A4B">
            <w:pPr>
              <w:pStyle w:val="a3"/>
              <w:jc w:val="center"/>
              <w:rPr>
                <w:b/>
                <w:lang w:val="sl-SI"/>
              </w:rPr>
            </w:pPr>
            <w:r>
              <w:rPr>
                <w:rFonts w:eastAsia="Times New Roman"/>
                <w:lang w:val="sl-SI"/>
              </w:rPr>
              <w:t>39 (35,5)</w:t>
            </w:r>
          </w:p>
        </w:tc>
        <w:tc>
          <w:tcPr>
            <w:tcW w:w="2552" w:type="dxa"/>
          </w:tcPr>
          <w:p w14:paraId="1E661828" w14:textId="77777777" w:rsidR="00616315" w:rsidRDefault="00616315" w:rsidP="00433A4B">
            <w:pPr>
              <w:pStyle w:val="a3"/>
              <w:jc w:val="center"/>
              <w:rPr>
                <w:b/>
                <w:lang w:val="sl-SI"/>
              </w:rPr>
            </w:pPr>
            <w:r>
              <w:rPr>
                <w:rFonts w:eastAsia="Times New Roman"/>
                <w:spacing w:val="-1"/>
                <w:lang w:val="sl-SI"/>
              </w:rPr>
              <w:t xml:space="preserve">86 (79,6) </w:t>
            </w:r>
            <w:r>
              <w:rPr>
                <w:rFonts w:eastAsia="Times New Roman"/>
                <w:spacing w:val="-1"/>
                <w:vertAlign w:val="superscript"/>
                <w:lang w:val="sl-SI"/>
              </w:rPr>
              <w:t>a, b</w:t>
            </w:r>
          </w:p>
        </w:tc>
      </w:tr>
      <w:tr w:rsidR="00616315" w14:paraId="3D71C45B" w14:textId="77777777" w:rsidTr="006F3477">
        <w:tc>
          <w:tcPr>
            <w:tcW w:w="2551" w:type="dxa"/>
          </w:tcPr>
          <w:p w14:paraId="60CDB63D" w14:textId="77777777" w:rsidR="00616315" w:rsidRPr="001452D7" w:rsidRDefault="00616315" w:rsidP="00433A4B">
            <w:pPr>
              <w:pStyle w:val="a3"/>
              <w:rPr>
                <w:b/>
                <w:lang w:val="sl-SI"/>
              </w:rPr>
            </w:pPr>
            <w:r w:rsidRPr="001452D7">
              <w:rPr>
                <w:rFonts w:eastAsia="Times New Roman"/>
                <w:b/>
                <w:lang w:val="sl-SI"/>
              </w:rPr>
              <w:t>PASI 100</w:t>
            </w:r>
          </w:p>
        </w:tc>
        <w:tc>
          <w:tcPr>
            <w:tcW w:w="1985" w:type="dxa"/>
          </w:tcPr>
          <w:p w14:paraId="4ED51ACD" w14:textId="77777777" w:rsidR="00616315" w:rsidRDefault="00616315" w:rsidP="00433A4B">
            <w:pPr>
              <w:pStyle w:val="a3"/>
              <w:jc w:val="center"/>
              <w:rPr>
                <w:b/>
                <w:lang w:val="sl-SI"/>
              </w:rPr>
            </w:pPr>
            <w:r>
              <w:rPr>
                <w:rFonts w:eastAsia="Times New Roman"/>
                <w:lang w:val="sl-SI"/>
              </w:rPr>
              <w:t>1 (1,9)</w:t>
            </w:r>
          </w:p>
        </w:tc>
        <w:tc>
          <w:tcPr>
            <w:tcW w:w="1984" w:type="dxa"/>
          </w:tcPr>
          <w:p w14:paraId="6071FFBD" w14:textId="77777777" w:rsidR="00616315" w:rsidRDefault="00616315" w:rsidP="00433A4B">
            <w:pPr>
              <w:pStyle w:val="a3"/>
              <w:jc w:val="center"/>
              <w:rPr>
                <w:b/>
                <w:lang w:val="sl-SI"/>
              </w:rPr>
            </w:pPr>
            <w:r>
              <w:rPr>
                <w:rFonts w:eastAsia="Times New Roman"/>
                <w:lang w:val="sl-SI"/>
              </w:rPr>
              <w:t>8 (7,3)</w:t>
            </w:r>
          </w:p>
        </w:tc>
        <w:tc>
          <w:tcPr>
            <w:tcW w:w="2552" w:type="dxa"/>
          </w:tcPr>
          <w:p w14:paraId="106CEAA0" w14:textId="77777777" w:rsidR="00616315" w:rsidRDefault="00616315" w:rsidP="00433A4B">
            <w:pPr>
              <w:pStyle w:val="a3"/>
              <w:jc w:val="center"/>
              <w:rPr>
                <w:b/>
                <w:lang w:val="sl-SI"/>
              </w:rPr>
            </w:pPr>
            <w:r>
              <w:rPr>
                <w:rFonts w:eastAsia="Times New Roman"/>
                <w:spacing w:val="-1"/>
                <w:lang w:val="sl-SI"/>
              </w:rPr>
              <w:t xml:space="preserve">18 (16.7) </w:t>
            </w:r>
            <w:r>
              <w:rPr>
                <w:rFonts w:eastAsia="Times New Roman"/>
                <w:spacing w:val="-1"/>
                <w:vertAlign w:val="superscript"/>
                <w:lang w:val="sl-SI"/>
              </w:rPr>
              <w:t>c, d</w:t>
            </w:r>
          </w:p>
        </w:tc>
      </w:tr>
      <w:tr w:rsidR="00616315" w14:paraId="07E303AA" w14:textId="77777777" w:rsidTr="006F3477">
        <w:tc>
          <w:tcPr>
            <w:tcW w:w="2551" w:type="dxa"/>
          </w:tcPr>
          <w:p w14:paraId="5086B4CB" w14:textId="77777777" w:rsidR="00616315" w:rsidRDefault="00616315" w:rsidP="00433A4B">
            <w:pPr>
              <w:pStyle w:val="TableParagraph"/>
              <w:rPr>
                <w:b/>
                <w:lang w:val="sl-SI"/>
              </w:rPr>
            </w:pPr>
            <w:r>
              <w:rPr>
                <w:rFonts w:ascii="Times New Roman" w:eastAsia="Times New Roman" w:hAnsi="Times New Roman" w:cs="Times New Roman"/>
                <w:b/>
                <w:bCs/>
                <w:lang w:val="sl-SI"/>
              </w:rPr>
              <w:t>PGA: čisto/minimalno</w:t>
            </w:r>
          </w:p>
        </w:tc>
        <w:tc>
          <w:tcPr>
            <w:tcW w:w="1985" w:type="dxa"/>
          </w:tcPr>
          <w:p w14:paraId="5AD2B280" w14:textId="77777777" w:rsidR="00616315" w:rsidRDefault="00616315" w:rsidP="00433A4B">
            <w:pPr>
              <w:pStyle w:val="a3"/>
              <w:jc w:val="center"/>
              <w:rPr>
                <w:b/>
                <w:lang w:val="sl-SI"/>
              </w:rPr>
            </w:pPr>
            <w:r>
              <w:rPr>
                <w:rFonts w:eastAsia="Times New Roman"/>
                <w:lang w:val="sl-SI"/>
              </w:rPr>
              <w:t>6 (11.3)</w:t>
            </w:r>
          </w:p>
        </w:tc>
        <w:tc>
          <w:tcPr>
            <w:tcW w:w="1984" w:type="dxa"/>
          </w:tcPr>
          <w:p w14:paraId="6016C1C6" w14:textId="77777777" w:rsidR="00616315" w:rsidRDefault="00616315" w:rsidP="00433A4B">
            <w:pPr>
              <w:pStyle w:val="a3"/>
              <w:jc w:val="center"/>
              <w:rPr>
                <w:b/>
                <w:lang w:val="sl-SI"/>
              </w:rPr>
            </w:pPr>
            <w:r>
              <w:rPr>
                <w:rFonts w:eastAsia="Times New Roman"/>
                <w:lang w:val="sl-SI"/>
              </w:rPr>
              <w:t>33 (30,0)</w:t>
            </w:r>
          </w:p>
        </w:tc>
        <w:tc>
          <w:tcPr>
            <w:tcW w:w="2552" w:type="dxa"/>
          </w:tcPr>
          <w:p w14:paraId="6414AAA2" w14:textId="77777777" w:rsidR="00616315" w:rsidRDefault="00616315" w:rsidP="00433A4B">
            <w:pPr>
              <w:pStyle w:val="a3"/>
              <w:jc w:val="center"/>
              <w:rPr>
                <w:b/>
                <w:lang w:val="sl-SI"/>
              </w:rPr>
            </w:pPr>
            <w:r>
              <w:rPr>
                <w:rFonts w:eastAsia="Times New Roman"/>
                <w:spacing w:val="-1"/>
                <w:lang w:val="sl-SI"/>
              </w:rPr>
              <w:t xml:space="preserve">79 (73,1) </w:t>
            </w:r>
            <w:r>
              <w:rPr>
                <w:rFonts w:eastAsia="Times New Roman"/>
                <w:spacing w:val="-1"/>
                <w:vertAlign w:val="superscript"/>
                <w:lang w:val="sl-SI"/>
              </w:rPr>
              <w:t>a, b</w:t>
            </w:r>
          </w:p>
        </w:tc>
      </w:tr>
      <w:tr w:rsidR="00616315" w:rsidRPr="00652F18" w14:paraId="3DF2CDB4" w14:textId="77777777" w:rsidTr="006F3477">
        <w:tc>
          <w:tcPr>
            <w:tcW w:w="9072" w:type="dxa"/>
            <w:gridSpan w:val="4"/>
          </w:tcPr>
          <w:p w14:paraId="2B103912" w14:textId="77777777" w:rsidR="00616315" w:rsidRDefault="00616315" w:rsidP="00433A4B">
            <w:pPr>
              <w:pStyle w:val="TableParagraph"/>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a</w:t>
            </w:r>
            <w:r>
              <w:rPr>
                <w:rFonts w:ascii="Times New Roman" w:eastAsia="Times New Roman" w:hAnsi="Times New Roman" w:cs="Times New Roman"/>
                <w:position w:val="8"/>
                <w:lang w:val="sl-SI"/>
              </w:rPr>
              <w:t xml:space="preserve"> p &lt; 0,001 adalimumab v primerjavi s placebom</w:t>
            </w:r>
          </w:p>
          <w:p w14:paraId="286A36BD" w14:textId="77777777" w:rsidR="00616315" w:rsidRDefault="00616315" w:rsidP="00433A4B">
            <w:pPr>
              <w:pStyle w:val="TableParagraph"/>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b</w:t>
            </w:r>
            <w:r>
              <w:rPr>
                <w:rFonts w:ascii="Times New Roman" w:eastAsia="Times New Roman" w:hAnsi="Times New Roman" w:cs="Times New Roman"/>
                <w:position w:val="8"/>
                <w:lang w:val="sl-SI"/>
              </w:rPr>
              <w:t xml:space="preserve"> p &lt; 0,001 adalimumab v primerjavi z metotreksatom</w:t>
            </w:r>
          </w:p>
          <w:p w14:paraId="0DC2CA47" w14:textId="77777777" w:rsidR="00616315" w:rsidRDefault="00616315" w:rsidP="00433A4B">
            <w:pPr>
              <w:pStyle w:val="TableParagraph"/>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 xml:space="preserve">c </w:t>
            </w:r>
            <w:r>
              <w:rPr>
                <w:rFonts w:ascii="Times New Roman" w:eastAsia="Times New Roman" w:hAnsi="Times New Roman" w:cs="Times New Roman"/>
                <w:position w:val="8"/>
                <w:lang w:val="sl-SI"/>
              </w:rPr>
              <w:t>p &lt; 0,01, adalimumab v primerjavi s placebom</w:t>
            </w:r>
          </w:p>
          <w:p w14:paraId="04D6C290" w14:textId="77777777" w:rsidR="00616315" w:rsidRDefault="00616315" w:rsidP="00433A4B">
            <w:pPr>
              <w:pStyle w:val="a3"/>
              <w:rPr>
                <w:b/>
                <w:lang w:val="sl-SI"/>
              </w:rPr>
            </w:pPr>
            <w:r>
              <w:rPr>
                <w:rFonts w:eastAsia="Times New Roman"/>
                <w:position w:val="8"/>
                <w:vertAlign w:val="superscript"/>
                <w:lang w:val="sl-SI"/>
              </w:rPr>
              <w:t>d</w:t>
            </w:r>
            <w:r>
              <w:rPr>
                <w:rFonts w:eastAsia="Times New Roman"/>
                <w:position w:val="8"/>
                <w:lang w:val="sl-SI"/>
              </w:rPr>
              <w:t xml:space="preserve"> p &lt; 0,05 adalimumab v primerjavi z metotreksatom</w:t>
            </w:r>
          </w:p>
        </w:tc>
      </w:tr>
    </w:tbl>
    <w:p w14:paraId="26CA3F7E" w14:textId="77777777" w:rsidR="00616315" w:rsidRDefault="00616315" w:rsidP="00616315">
      <w:pPr>
        <w:pStyle w:val="a3"/>
        <w:rPr>
          <w:lang w:val="sl-SI"/>
        </w:rPr>
      </w:pPr>
    </w:p>
    <w:p w14:paraId="37F29B17" w14:textId="77777777" w:rsidR="00616315" w:rsidRDefault="00616315" w:rsidP="00616315">
      <w:pPr>
        <w:pStyle w:val="a3"/>
        <w:rPr>
          <w:lang w:val="sl-SI"/>
        </w:rPr>
      </w:pPr>
      <w:r>
        <w:rPr>
          <w:rFonts w:eastAsia="Times New Roman"/>
          <w:spacing w:val="-2"/>
          <w:lang w:val="sl-SI"/>
        </w:rPr>
        <w:t>V študiji pri psoriazi I so 33. teden "izgubo ustreznega odziva" zabeležili pri 28 % bolnikov, ki so dosegli odziv PASI 75 in so bili ob ponovni randomizaciji razvrščeni na placebo, in pri 5% bolnikov, ki so še naprej dobivali adalimumab (p &lt; 0,001). "Izguba ustreznega odziva" je bila opredeljena kot takšna ocena PASI po 33. tednu in v 52. tednu ali pred njim, da je bil odziv PASI &lt; 50 glede na izhodišče, s porastom PASI vsaj 6 točk v primerjavi s 33. tednom. Med bolniki, ki so izgubili ustrezen odziv ob ponovni randomizaciji na placebo med podaljšanim odprtim preskušanjem, je po 12 tednih ponovne terapije PASI 75 znova doseglo 38 % (25/66), po 24 tednih pa 55 % (36/66) bolnikov.</w:t>
      </w:r>
    </w:p>
    <w:p w14:paraId="7134A4C8" w14:textId="77777777" w:rsidR="00616315" w:rsidRDefault="00616315" w:rsidP="00616315">
      <w:pPr>
        <w:spacing w:before="11" w:line="240" w:lineRule="exact"/>
        <w:rPr>
          <w:sz w:val="24"/>
          <w:szCs w:val="24"/>
          <w:lang w:val="sl-SI"/>
        </w:rPr>
      </w:pPr>
    </w:p>
    <w:p w14:paraId="0BA28E49" w14:textId="30B63564" w:rsidR="00616315" w:rsidRDefault="00616315" w:rsidP="00616315">
      <w:pPr>
        <w:pStyle w:val="a3"/>
        <w:rPr>
          <w:lang w:val="sl-SI"/>
        </w:rPr>
      </w:pPr>
      <w:r>
        <w:rPr>
          <w:rFonts w:eastAsia="Times New Roman"/>
          <w:lang w:val="sl-SI"/>
        </w:rPr>
        <w:t xml:space="preserve">Skupno je 233 bolnikov, ki so imeli 16. in 33. teden odziv PASI 75, v študiji psoriaze I prejemalo stalno zdravljenje z adalimumabom 52 tednov ter so zdravljenje z adalimumabom nadaljevali v odprtem podaljšanem preskušanju. Po dodatnih 108 tednih </w:t>
      </w:r>
      <w:r>
        <w:rPr>
          <w:bCs/>
          <w:lang w:val="sl-SI"/>
        </w:rPr>
        <w:t>nezaslepljenega</w:t>
      </w:r>
      <w:r w:rsidRPr="0046564D">
        <w:rPr>
          <w:bCs/>
          <w:lang w:val="sl-SI"/>
        </w:rPr>
        <w:t xml:space="preserve"> </w:t>
      </w:r>
      <w:r>
        <w:rPr>
          <w:rFonts w:eastAsia="Times New Roman"/>
          <w:lang w:val="sl-SI"/>
        </w:rPr>
        <w:t xml:space="preserve">zdravljenja (skupaj 160 tednov) sta bila pri teh bolnikih delež odziva PASI 75 74,7 %, delež odziva PGA "čisto" ali "minimalno" pa 59,0 %. Opravljena je bila analiza, v kateri so vse bolnike, ki so izpadli iz študije zaradi neželenih učinkov ali nezadostne učinkovitosti, ali jim je bil povečan odmerek, obravnavali kot neodzivne; pri teh bolnikih sta bila po dodatnih 108 tednih </w:t>
      </w:r>
      <w:r>
        <w:rPr>
          <w:bCs/>
          <w:lang w:val="sl-SI"/>
        </w:rPr>
        <w:t>nezaslepljenega</w:t>
      </w:r>
      <w:r w:rsidRPr="0046564D">
        <w:rPr>
          <w:bCs/>
          <w:lang w:val="sl-SI"/>
        </w:rPr>
        <w:t xml:space="preserve"> </w:t>
      </w:r>
      <w:r>
        <w:rPr>
          <w:rFonts w:eastAsia="Times New Roman"/>
          <w:lang w:val="sl-SI"/>
        </w:rPr>
        <w:t>zdravljenja (skupaj 160 tednov) delež odziva PASI 75 69,6 % in delež odziva PGA "čisto" ali "minimalno" 55,7 %.</w:t>
      </w:r>
    </w:p>
    <w:p w14:paraId="76394349" w14:textId="77777777" w:rsidR="00616315" w:rsidRDefault="00616315" w:rsidP="00616315">
      <w:pPr>
        <w:spacing w:before="13" w:line="240" w:lineRule="exact"/>
        <w:rPr>
          <w:sz w:val="24"/>
          <w:szCs w:val="24"/>
          <w:lang w:val="sl-SI"/>
        </w:rPr>
      </w:pPr>
    </w:p>
    <w:p w14:paraId="0DD72D47" w14:textId="77777777" w:rsidR="00616315" w:rsidRDefault="00616315" w:rsidP="00616315">
      <w:pPr>
        <w:pStyle w:val="a3"/>
        <w:rPr>
          <w:lang w:val="sl-SI"/>
        </w:rPr>
      </w:pPr>
      <w:r>
        <w:rPr>
          <w:rFonts w:eastAsia="Times New Roman"/>
          <w:lang w:val="sl-SI"/>
        </w:rPr>
        <w:t>V odprti podaljšani študiji je v oceni prenehanja uporabe in ponovnega zdravljenja sodelovalo skupno 347 stabilnih odzivnih bolnikov. Med obdobjem prenehanja uporabe so se simptomi psoriaze sčasoma znova pojavili; mediani čas do ponovitve simptomov psoriaze (relapsa) (poslabšanje na PGA "zmerno" ali slabše) je bil približno 5 mesecev. Pri nobenemu od teh bolnikov se med obdobjem prenehanja uporabe ni pojavil povratni odziv. Od bolnikov, deležnih ponovnega zdravljenja, jih je skupno 76,5 % (218/285) po 16 tednih ponovnega zdravljenja imelo odziv PGA "čisto" ali "minimalno", ne glede na to, ali je med prenehanjem uporabe prišlo do relapsa (69,1 % [123/178] bolnikov, pri katerih je med prenehanjem uporabe prišlo do relapsa, in 88,8 % [95/107] tistih, pri katerih ni prišlo do relapsa). Varnostne značilnosti so bile po ponovnem zdravljenju podobne kot pred prenehanjem uporabe.</w:t>
      </w:r>
    </w:p>
    <w:p w14:paraId="12F0A3AF" w14:textId="77777777" w:rsidR="00616315" w:rsidRDefault="00616315" w:rsidP="00616315">
      <w:pPr>
        <w:pStyle w:val="a3"/>
        <w:rPr>
          <w:lang w:val="sl-SI"/>
        </w:rPr>
      </w:pPr>
    </w:p>
    <w:p w14:paraId="34C42E77" w14:textId="77777777" w:rsidR="00616315" w:rsidRDefault="00616315" w:rsidP="00616315">
      <w:pPr>
        <w:pStyle w:val="a3"/>
        <w:rPr>
          <w:lang w:val="sl-SI"/>
        </w:rPr>
      </w:pPr>
      <w:r>
        <w:rPr>
          <w:rFonts w:eastAsia="Times New Roman"/>
          <w:lang w:val="sl-SI"/>
        </w:rPr>
        <w:t>Značilno izboljšanje od izhodišča do 16. tedna se je v primerjavi s placebom (študiji I in II) in metotreksatom (študija II) izkazalo v dermatološkem indeksu kakovosti življenja (DLQI – Dermatology Life Quality Index). V študiji I so v primerjavi s placebom ugotovili tudi značilno izboljšanje telesne in duševne komponente ocene SF-36.</w:t>
      </w:r>
    </w:p>
    <w:p w14:paraId="6537666B" w14:textId="77777777" w:rsidR="00616315" w:rsidRDefault="00616315" w:rsidP="00616315">
      <w:pPr>
        <w:spacing w:before="13" w:line="240" w:lineRule="exact"/>
        <w:rPr>
          <w:sz w:val="24"/>
          <w:szCs w:val="24"/>
          <w:lang w:val="sl-SI"/>
        </w:rPr>
      </w:pPr>
    </w:p>
    <w:p w14:paraId="1960F2E3" w14:textId="77777777" w:rsidR="00616315" w:rsidRDefault="00616315" w:rsidP="00616315">
      <w:pPr>
        <w:pStyle w:val="a3"/>
        <w:rPr>
          <w:lang w:val="sl-SI"/>
        </w:rPr>
      </w:pPr>
      <w:r>
        <w:rPr>
          <w:rFonts w:eastAsia="Times New Roman"/>
          <w:lang w:val="sl-SI"/>
        </w:rPr>
        <w:t>V odprti podaljšani študiji je odziv PASI 75 v 12. oziroma 2 . tednu doseglo 26,4 % (92/349) oziroma 37,8 % (132/349) bolnikov, ki so jim zaradi odziva PASI pod 50 % odmerek povečali s 40 mg vsak drugi teden na 40 mg vsak teden.</w:t>
      </w:r>
    </w:p>
    <w:p w14:paraId="3752A40A" w14:textId="77777777" w:rsidR="00616315" w:rsidRDefault="00616315" w:rsidP="00616315">
      <w:pPr>
        <w:spacing w:before="17" w:line="240" w:lineRule="exact"/>
        <w:rPr>
          <w:sz w:val="24"/>
          <w:szCs w:val="24"/>
          <w:lang w:val="sl-SI"/>
        </w:rPr>
      </w:pPr>
    </w:p>
    <w:p w14:paraId="786BE899" w14:textId="592B0901" w:rsidR="00616315" w:rsidRDefault="00616315" w:rsidP="00616315">
      <w:pPr>
        <w:pStyle w:val="a3"/>
        <w:rPr>
          <w:lang w:val="sl-SI"/>
        </w:rPr>
      </w:pPr>
      <w:r>
        <w:rPr>
          <w:rFonts w:eastAsia="Times New Roman"/>
          <w:lang w:val="sl-SI"/>
        </w:rPr>
        <w:t xml:space="preserve">Študija pri psoriazi III (REACH) je primerjala učinkovitost in varnost adalimumaba v primerjavi s placebom pri 72 bolnikih z zmerno do hudo kronično psoriazo v plakih in psoriazo na dlaneh in/ali stopalih. Bolniki so </w:t>
      </w:r>
      <w:r>
        <w:rPr>
          <w:rFonts w:eastAsia="Times New Roman"/>
          <w:lang w:val="sl-SI"/>
        </w:rPr>
        <w:lastRenderedPageBreak/>
        <w:t>prejeli začetni odmerek 80 mg adalimumaba, ki mu je sledil 40 mg odmerek ali placebo vsak drugi teden (z začetkom en teden po začetnem odmerku) naslednjih 16 tednov. V 16. tednu je statistično pomembno večji delež bolnikov, ki so prejemali adalimumab, doseglo PGA ‘’čisto” ali ‘’skoraj čisto” za dlani in/ali stopala, v primerjavi z bolniki, ki so prejemali placebo (30,6 % proti 4,3 %, v tem zaporedju [P = 0,014]).</w:t>
      </w:r>
    </w:p>
    <w:p w14:paraId="5EC73509" w14:textId="77777777" w:rsidR="00616315" w:rsidRDefault="00616315" w:rsidP="00616315">
      <w:pPr>
        <w:spacing w:before="13" w:line="240" w:lineRule="exact"/>
        <w:rPr>
          <w:sz w:val="24"/>
          <w:szCs w:val="24"/>
          <w:lang w:val="sl-SI"/>
        </w:rPr>
      </w:pPr>
    </w:p>
    <w:p w14:paraId="1B4A7310" w14:textId="6B455E58" w:rsidR="00616315" w:rsidRDefault="00616315" w:rsidP="00616315">
      <w:pPr>
        <w:pStyle w:val="a3"/>
        <w:rPr>
          <w:lang w:val="sl-SI"/>
        </w:rPr>
      </w:pPr>
      <w:r>
        <w:rPr>
          <w:rFonts w:eastAsia="Times New Roman"/>
          <w:lang w:val="sl-SI"/>
        </w:rPr>
        <w:t>Študija pri psoriazi IV je primerjala učinkovitost in varnost adalimumaba v primerjavi s placebom pri 217 odraslih bolnikih z zmerno do hudo psoriazo nohtov. Bolniki so prejeli začetni odmerek 80 mg adalimumaba, ki mu je sledil 40 mg odmerek vsak drugi teden (z začetkom en teden po začetnem odmerku) ali placebo naslednjih 26 tednov, čemur je sledilo odprto zdravljenje z adalimumabom dodatnih 26 tednov. Ocena psoriaze nohtov je vključevala prilagojeni indeks izrazitosti psoriaze nohtov (mNAPSI – Modified Nail Psoriasis Severity Index), zdravnikovo globalno oceno psoriaze nohtov (PGA-F – Physician’s Global Assessment of Fingernail Psoriasis) in indeks izrazitosti psoriaze nohtov (NAPSI – Nail Psoriasis Severity Index) (glejte preglednico </w:t>
      </w:r>
      <w:r w:rsidR="000E386D">
        <w:rPr>
          <w:rFonts w:eastAsia="Times New Roman"/>
          <w:lang w:val="sl-SI"/>
        </w:rPr>
        <w:t>11</w:t>
      </w:r>
      <w:r>
        <w:rPr>
          <w:rFonts w:eastAsia="Times New Roman"/>
          <w:lang w:val="sl-SI"/>
        </w:rPr>
        <w:t>). Adalimumab je pokazal terapevtsko korist pri bolnikih s psoriazo nohtov z različnim obsegom prizadetosti kože (telesna površina ≥ 10 % (60 % bolnikov) in telesna površina &lt; 10 % in ≥ 5 % (40 % bolnikov)).</w:t>
      </w:r>
    </w:p>
    <w:p w14:paraId="122CE9A8" w14:textId="68B34662" w:rsidR="00616315" w:rsidRDefault="00616315" w:rsidP="00616315">
      <w:pPr>
        <w:pStyle w:val="a3"/>
        <w:jc w:val="center"/>
        <w:rPr>
          <w:b/>
          <w:lang w:val="sl-SI"/>
        </w:rPr>
      </w:pPr>
      <w:r>
        <w:rPr>
          <w:rFonts w:eastAsia="Times New Roman"/>
          <w:b/>
          <w:bCs/>
          <w:lang w:val="sl-SI"/>
        </w:rPr>
        <w:t>Preglednica </w:t>
      </w:r>
      <w:r w:rsidR="000E386D">
        <w:rPr>
          <w:rFonts w:eastAsia="Times New Roman"/>
          <w:b/>
          <w:bCs/>
          <w:lang w:val="sl-SI"/>
        </w:rPr>
        <w:t>11</w:t>
      </w:r>
    </w:p>
    <w:p w14:paraId="600C9863" w14:textId="55E65508" w:rsidR="00616315" w:rsidRDefault="00616315" w:rsidP="00616315">
      <w:pPr>
        <w:pStyle w:val="a3"/>
        <w:jc w:val="center"/>
        <w:rPr>
          <w:rFonts w:eastAsia="Times New Roman"/>
          <w:b/>
          <w:bCs/>
          <w:lang w:val="sl-SI"/>
        </w:rPr>
      </w:pPr>
      <w:r>
        <w:rPr>
          <w:rFonts w:eastAsia="Times New Roman"/>
          <w:b/>
          <w:bCs/>
          <w:lang w:val="sl-SI"/>
        </w:rPr>
        <w:t>Študija pri psoriazi IV Rezultati učinkovitosti po 16, 26 in 52 tednih</w:t>
      </w:r>
    </w:p>
    <w:p w14:paraId="0058F338" w14:textId="77777777" w:rsidR="0029566D" w:rsidRDefault="0029566D" w:rsidP="00616315">
      <w:pPr>
        <w:pStyle w:val="a3"/>
        <w:jc w:val="center"/>
        <w:rPr>
          <w:b/>
          <w:lang w:val="sl-SI"/>
        </w:rPr>
      </w:pPr>
    </w:p>
    <w:tbl>
      <w:tblPr>
        <w:tblStyle w:val="TableNormal1"/>
        <w:tblW w:w="9576" w:type="dxa"/>
        <w:tblInd w:w="110" w:type="dxa"/>
        <w:tblLayout w:type="fixed"/>
        <w:tblLook w:val="01E0" w:firstRow="1" w:lastRow="1" w:firstColumn="1" w:lastColumn="1" w:noHBand="0" w:noVBand="0"/>
      </w:tblPr>
      <w:tblGrid>
        <w:gridCol w:w="2719"/>
        <w:gridCol w:w="993"/>
        <w:gridCol w:w="1347"/>
        <w:gridCol w:w="921"/>
        <w:gridCol w:w="1328"/>
        <w:gridCol w:w="2268"/>
      </w:tblGrid>
      <w:tr w:rsidR="00616315" w14:paraId="0A34AE1A" w14:textId="77777777" w:rsidTr="00433A4B">
        <w:tc>
          <w:tcPr>
            <w:tcW w:w="2719" w:type="dxa"/>
            <w:vMerge w:val="restart"/>
            <w:tcBorders>
              <w:top w:val="single" w:sz="5" w:space="0" w:color="000000"/>
              <w:left w:val="single" w:sz="5" w:space="0" w:color="000000"/>
              <w:right w:val="single" w:sz="5" w:space="0" w:color="000000"/>
            </w:tcBorders>
          </w:tcPr>
          <w:p w14:paraId="5E3EFD4F" w14:textId="77777777" w:rsidR="00616315" w:rsidRDefault="00616315" w:rsidP="00433A4B">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Opazovani dogodek</w:t>
            </w:r>
          </w:p>
        </w:tc>
        <w:tc>
          <w:tcPr>
            <w:tcW w:w="2340" w:type="dxa"/>
            <w:gridSpan w:val="2"/>
            <w:tcBorders>
              <w:top w:val="single" w:sz="5" w:space="0" w:color="000000"/>
              <w:left w:val="single" w:sz="5" w:space="0" w:color="000000"/>
              <w:bottom w:val="single" w:sz="5" w:space="0" w:color="000000"/>
              <w:right w:val="single" w:sz="5" w:space="0" w:color="000000"/>
            </w:tcBorders>
          </w:tcPr>
          <w:p w14:paraId="31889664" w14:textId="77777777" w:rsidR="00616315" w:rsidRDefault="00616315" w:rsidP="00433A4B">
            <w:pPr>
              <w:pStyle w:val="TableParagraph"/>
              <w:spacing w:line="246" w:lineRule="exact"/>
              <w:ind w:right="4"/>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16. teden</w:t>
            </w:r>
          </w:p>
          <w:p w14:paraId="5FFE5A3C" w14:textId="77777777" w:rsidR="00616315" w:rsidRDefault="00616315" w:rsidP="00433A4B">
            <w:pPr>
              <w:pStyle w:val="TableParagraph"/>
              <w:spacing w:line="252" w:lineRule="exact"/>
              <w:ind w:left="293" w:right="295"/>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Kontrolirana s placebom</w:t>
            </w:r>
          </w:p>
        </w:tc>
        <w:tc>
          <w:tcPr>
            <w:tcW w:w="2249" w:type="dxa"/>
            <w:gridSpan w:val="2"/>
            <w:tcBorders>
              <w:top w:val="single" w:sz="5" w:space="0" w:color="000000"/>
              <w:left w:val="single" w:sz="5" w:space="0" w:color="000000"/>
              <w:bottom w:val="single" w:sz="5" w:space="0" w:color="000000"/>
              <w:right w:val="single" w:sz="5" w:space="0" w:color="000000"/>
            </w:tcBorders>
          </w:tcPr>
          <w:p w14:paraId="3BD89CD1" w14:textId="77777777" w:rsidR="00616315" w:rsidRDefault="00616315" w:rsidP="00433A4B">
            <w:pPr>
              <w:pStyle w:val="TableParagraph"/>
              <w:spacing w:line="246" w:lineRule="exact"/>
              <w:ind w:left="705" w:right="710"/>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26. teden</w:t>
            </w:r>
          </w:p>
          <w:p w14:paraId="0004E2C9" w14:textId="77777777" w:rsidR="00616315" w:rsidRDefault="00616315" w:rsidP="00433A4B">
            <w:pPr>
              <w:pStyle w:val="TableParagraph"/>
              <w:spacing w:line="252" w:lineRule="exact"/>
              <w:ind w:left="247" w:right="249"/>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Kontrolirana s placebom</w:t>
            </w:r>
          </w:p>
        </w:tc>
        <w:tc>
          <w:tcPr>
            <w:tcW w:w="2268" w:type="dxa"/>
            <w:tcBorders>
              <w:top w:val="single" w:sz="5" w:space="0" w:color="000000"/>
              <w:left w:val="single" w:sz="5" w:space="0" w:color="000000"/>
              <w:bottom w:val="single" w:sz="5" w:space="0" w:color="000000"/>
              <w:right w:val="single" w:sz="5" w:space="0" w:color="000000"/>
            </w:tcBorders>
          </w:tcPr>
          <w:p w14:paraId="567CD8DD" w14:textId="77777777" w:rsidR="00616315" w:rsidRDefault="00616315" w:rsidP="00433A4B">
            <w:pPr>
              <w:pStyle w:val="TableParagraph"/>
              <w:spacing w:line="246" w:lineRule="exact"/>
              <w:ind w:left="733"/>
              <w:rPr>
                <w:rFonts w:ascii="Times New Roman" w:eastAsia="Times New Roman" w:hAnsi="Times New Roman" w:cs="Times New Roman"/>
                <w:lang w:val="sl-SI"/>
              </w:rPr>
            </w:pPr>
            <w:r>
              <w:rPr>
                <w:rFonts w:ascii="Times New Roman" w:eastAsia="Times New Roman" w:hAnsi="Times New Roman" w:cs="Times New Roman"/>
                <w:spacing w:val="-1"/>
                <w:lang w:val="sl-SI"/>
              </w:rPr>
              <w:t>52. teden</w:t>
            </w:r>
          </w:p>
          <w:p w14:paraId="0E9877B2" w14:textId="77777777" w:rsidR="00616315" w:rsidRDefault="00616315" w:rsidP="00433A4B">
            <w:pPr>
              <w:pStyle w:val="TableParagraph"/>
              <w:spacing w:line="252" w:lineRule="exact"/>
              <w:ind w:left="639"/>
              <w:rPr>
                <w:rFonts w:ascii="Times New Roman" w:eastAsia="Times New Roman" w:hAnsi="Times New Roman" w:cs="Times New Roman"/>
                <w:lang w:val="sl-SI"/>
              </w:rPr>
            </w:pPr>
            <w:r>
              <w:rPr>
                <w:rFonts w:ascii="Times New Roman" w:eastAsia="Times New Roman" w:hAnsi="Times New Roman" w:cs="Times New Roman"/>
                <w:spacing w:val="-1"/>
                <w:lang w:val="sl-SI"/>
              </w:rPr>
              <w:t>Odprta</w:t>
            </w:r>
          </w:p>
        </w:tc>
      </w:tr>
      <w:tr w:rsidR="00616315" w:rsidRPr="00AC7013" w14:paraId="60F0E7DC" w14:textId="77777777" w:rsidTr="00433A4B">
        <w:tc>
          <w:tcPr>
            <w:tcW w:w="2719" w:type="dxa"/>
            <w:vMerge/>
            <w:tcBorders>
              <w:left w:val="single" w:sz="5" w:space="0" w:color="000000"/>
              <w:bottom w:val="single" w:sz="5" w:space="0" w:color="000000"/>
              <w:right w:val="single" w:sz="5" w:space="0" w:color="000000"/>
            </w:tcBorders>
          </w:tcPr>
          <w:p w14:paraId="2207C508" w14:textId="77777777" w:rsidR="00616315" w:rsidRDefault="00616315" w:rsidP="00433A4B">
            <w:pPr>
              <w:rPr>
                <w:lang w:val="sl-SI"/>
              </w:rPr>
            </w:pPr>
          </w:p>
        </w:tc>
        <w:tc>
          <w:tcPr>
            <w:tcW w:w="993" w:type="dxa"/>
            <w:tcBorders>
              <w:top w:val="single" w:sz="5" w:space="0" w:color="000000"/>
              <w:left w:val="single" w:sz="5" w:space="0" w:color="000000"/>
              <w:bottom w:val="single" w:sz="5" w:space="0" w:color="000000"/>
              <w:right w:val="single" w:sz="5" w:space="0" w:color="000000"/>
            </w:tcBorders>
          </w:tcPr>
          <w:p w14:paraId="1F1E967B" w14:textId="77777777" w:rsidR="00616315" w:rsidRDefault="00616315" w:rsidP="00433A4B">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Placebo</w:t>
            </w:r>
          </w:p>
          <w:p w14:paraId="737FA69A" w14:textId="77777777" w:rsidR="00616315" w:rsidRDefault="00616315" w:rsidP="00433A4B">
            <w:pPr>
              <w:pStyle w:val="TableParagraph"/>
              <w:spacing w:line="252"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N = 108</w:t>
            </w:r>
          </w:p>
        </w:tc>
        <w:tc>
          <w:tcPr>
            <w:tcW w:w="1347" w:type="dxa"/>
            <w:tcBorders>
              <w:top w:val="single" w:sz="5" w:space="0" w:color="000000"/>
              <w:left w:val="single" w:sz="5" w:space="0" w:color="000000"/>
              <w:bottom w:val="single" w:sz="5" w:space="0" w:color="000000"/>
              <w:right w:val="single" w:sz="5" w:space="0" w:color="000000"/>
            </w:tcBorders>
          </w:tcPr>
          <w:p w14:paraId="03274B73" w14:textId="77777777" w:rsidR="00616315" w:rsidRDefault="00616315" w:rsidP="00433A4B">
            <w:pPr>
              <w:pStyle w:val="TableParagraph"/>
              <w:spacing w:line="246" w:lineRule="exact"/>
              <w:ind w:leftChars="25" w:left="55" w:rightChars="25" w:right="55"/>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Adalimumab 40 mg vsak drugi teden </w:t>
            </w:r>
          </w:p>
          <w:p w14:paraId="158624AA" w14:textId="77777777" w:rsidR="00616315" w:rsidRDefault="00616315" w:rsidP="00433A4B">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N = 109</w:t>
            </w:r>
          </w:p>
        </w:tc>
        <w:tc>
          <w:tcPr>
            <w:tcW w:w="921" w:type="dxa"/>
            <w:tcBorders>
              <w:top w:val="single" w:sz="5" w:space="0" w:color="000000"/>
              <w:left w:val="single" w:sz="5" w:space="0" w:color="000000"/>
              <w:bottom w:val="single" w:sz="5" w:space="0" w:color="000000"/>
              <w:right w:val="single" w:sz="5" w:space="0" w:color="000000"/>
            </w:tcBorders>
          </w:tcPr>
          <w:p w14:paraId="563955D7" w14:textId="77777777" w:rsidR="00616315" w:rsidRDefault="00616315" w:rsidP="00433A4B">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Placebo</w:t>
            </w:r>
          </w:p>
          <w:p w14:paraId="709EFFE8" w14:textId="77777777" w:rsidR="00616315" w:rsidRDefault="00616315" w:rsidP="00433A4B">
            <w:pPr>
              <w:pStyle w:val="TableParagraph"/>
              <w:spacing w:line="252"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N = 108</w:t>
            </w:r>
          </w:p>
        </w:tc>
        <w:tc>
          <w:tcPr>
            <w:tcW w:w="1328" w:type="dxa"/>
            <w:tcBorders>
              <w:top w:val="single" w:sz="5" w:space="0" w:color="000000"/>
              <w:left w:val="single" w:sz="5" w:space="0" w:color="000000"/>
              <w:bottom w:val="single" w:sz="5" w:space="0" w:color="000000"/>
              <w:right w:val="single" w:sz="5" w:space="0" w:color="000000"/>
            </w:tcBorders>
          </w:tcPr>
          <w:p w14:paraId="1ECC4937" w14:textId="77777777" w:rsidR="00616315" w:rsidRDefault="00616315" w:rsidP="00433A4B">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Adalimumab</w:t>
            </w:r>
          </w:p>
          <w:p w14:paraId="1E21860B" w14:textId="77777777" w:rsidR="00616315" w:rsidRDefault="00616315" w:rsidP="00433A4B">
            <w:pPr>
              <w:pStyle w:val="TableParagraph"/>
              <w:spacing w:before="1" w:line="254"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40 mg vsak drugi teden </w:t>
            </w:r>
          </w:p>
          <w:p w14:paraId="07201D48" w14:textId="77777777" w:rsidR="00616315" w:rsidRDefault="00616315" w:rsidP="00433A4B">
            <w:pPr>
              <w:pStyle w:val="TableParagraph"/>
              <w:spacing w:before="1" w:line="254"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N = 109</w:t>
            </w:r>
          </w:p>
        </w:tc>
        <w:tc>
          <w:tcPr>
            <w:tcW w:w="2268" w:type="dxa"/>
            <w:tcBorders>
              <w:top w:val="single" w:sz="5" w:space="0" w:color="000000"/>
              <w:left w:val="single" w:sz="5" w:space="0" w:color="000000"/>
              <w:bottom w:val="single" w:sz="5" w:space="0" w:color="000000"/>
              <w:right w:val="single" w:sz="5" w:space="0" w:color="000000"/>
            </w:tcBorders>
          </w:tcPr>
          <w:p w14:paraId="760FF8FE" w14:textId="77777777" w:rsidR="00616315" w:rsidRDefault="00616315" w:rsidP="00433A4B">
            <w:pPr>
              <w:pStyle w:val="TableParagraph"/>
              <w:spacing w:line="246" w:lineRule="exact"/>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Adalimumab</w:t>
            </w:r>
          </w:p>
          <w:p w14:paraId="5DD01E0F" w14:textId="77777777" w:rsidR="00616315" w:rsidRDefault="00616315" w:rsidP="00433A4B">
            <w:pPr>
              <w:pStyle w:val="TableParagraph"/>
              <w:spacing w:before="1" w:line="254" w:lineRule="exact"/>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40 mg vsak drugi teden </w:t>
            </w:r>
          </w:p>
          <w:p w14:paraId="141E13F9" w14:textId="77777777" w:rsidR="00616315" w:rsidRDefault="00616315" w:rsidP="00433A4B">
            <w:pPr>
              <w:pStyle w:val="TableParagraph"/>
              <w:spacing w:before="1" w:line="254" w:lineRule="exact"/>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lang w:val="sl-SI"/>
              </w:rPr>
              <w:t>N = 80</w:t>
            </w:r>
          </w:p>
        </w:tc>
      </w:tr>
      <w:tr w:rsidR="00616315" w14:paraId="5F30822A" w14:textId="77777777" w:rsidTr="00433A4B">
        <w:tc>
          <w:tcPr>
            <w:tcW w:w="2719" w:type="dxa"/>
            <w:tcBorders>
              <w:top w:val="single" w:sz="5" w:space="0" w:color="000000"/>
              <w:left w:val="single" w:sz="5" w:space="0" w:color="000000"/>
              <w:bottom w:val="single" w:sz="5" w:space="0" w:color="000000"/>
              <w:right w:val="single" w:sz="5" w:space="0" w:color="000000"/>
            </w:tcBorders>
          </w:tcPr>
          <w:p w14:paraId="14FBC9CD" w14:textId="77777777" w:rsidR="00616315" w:rsidRDefault="00616315" w:rsidP="00433A4B">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 mNAPSI 75 (%)</w:t>
            </w:r>
          </w:p>
        </w:tc>
        <w:tc>
          <w:tcPr>
            <w:tcW w:w="993" w:type="dxa"/>
            <w:tcBorders>
              <w:top w:val="single" w:sz="5" w:space="0" w:color="000000"/>
              <w:left w:val="single" w:sz="5" w:space="0" w:color="000000"/>
              <w:bottom w:val="single" w:sz="5" w:space="0" w:color="000000"/>
              <w:right w:val="single" w:sz="5" w:space="0" w:color="000000"/>
            </w:tcBorders>
          </w:tcPr>
          <w:p w14:paraId="1A798003" w14:textId="77777777" w:rsidR="00616315" w:rsidRDefault="00616315" w:rsidP="00433A4B">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2,9</w:t>
            </w:r>
          </w:p>
        </w:tc>
        <w:tc>
          <w:tcPr>
            <w:tcW w:w="1347" w:type="dxa"/>
            <w:tcBorders>
              <w:top w:val="single" w:sz="5" w:space="0" w:color="000000"/>
              <w:left w:val="single" w:sz="5" w:space="0" w:color="000000"/>
              <w:bottom w:val="single" w:sz="5" w:space="0" w:color="000000"/>
              <w:right w:val="single" w:sz="5" w:space="0" w:color="000000"/>
            </w:tcBorders>
          </w:tcPr>
          <w:p w14:paraId="4230B1F4" w14:textId="77777777" w:rsidR="00616315" w:rsidRDefault="00616315" w:rsidP="00433A4B">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26,0</w:t>
            </w:r>
            <w:r>
              <w:rPr>
                <w:rFonts w:ascii="Times New Roman" w:eastAsia="Times New Roman" w:hAnsi="Times New Roman" w:cs="Times New Roman"/>
                <w:vertAlign w:val="superscript"/>
                <w:lang w:val="sl-SI"/>
              </w:rPr>
              <w:t>a</w:t>
            </w:r>
          </w:p>
        </w:tc>
        <w:tc>
          <w:tcPr>
            <w:tcW w:w="921" w:type="dxa"/>
            <w:tcBorders>
              <w:top w:val="single" w:sz="5" w:space="0" w:color="000000"/>
              <w:left w:val="single" w:sz="5" w:space="0" w:color="000000"/>
              <w:bottom w:val="single" w:sz="5" w:space="0" w:color="000000"/>
              <w:right w:val="single" w:sz="5" w:space="0" w:color="000000"/>
            </w:tcBorders>
          </w:tcPr>
          <w:p w14:paraId="6127C6B0" w14:textId="77777777" w:rsidR="00616315" w:rsidRDefault="00616315" w:rsidP="00433A4B">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3,4</w:t>
            </w:r>
          </w:p>
        </w:tc>
        <w:tc>
          <w:tcPr>
            <w:tcW w:w="1328" w:type="dxa"/>
            <w:tcBorders>
              <w:top w:val="single" w:sz="5" w:space="0" w:color="000000"/>
              <w:left w:val="single" w:sz="5" w:space="0" w:color="000000"/>
              <w:bottom w:val="single" w:sz="5" w:space="0" w:color="000000"/>
              <w:right w:val="single" w:sz="5" w:space="0" w:color="000000"/>
            </w:tcBorders>
          </w:tcPr>
          <w:p w14:paraId="4DFE411A" w14:textId="77777777" w:rsidR="00616315" w:rsidRDefault="00616315" w:rsidP="00433A4B">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46,6</w:t>
            </w:r>
            <w:r>
              <w:rPr>
                <w:rFonts w:ascii="Times New Roman" w:eastAsia="Times New Roman" w:hAnsi="Times New Roman" w:cs="Times New Roman"/>
                <w:vertAlign w:val="superscript"/>
                <w:lang w:val="sl-SI"/>
              </w:rPr>
              <w:t>a</w:t>
            </w:r>
          </w:p>
        </w:tc>
        <w:tc>
          <w:tcPr>
            <w:tcW w:w="2268" w:type="dxa"/>
            <w:tcBorders>
              <w:top w:val="single" w:sz="5" w:space="0" w:color="000000"/>
              <w:left w:val="single" w:sz="5" w:space="0" w:color="000000"/>
              <w:bottom w:val="single" w:sz="5" w:space="0" w:color="000000"/>
              <w:right w:val="single" w:sz="5" w:space="0" w:color="000000"/>
            </w:tcBorders>
          </w:tcPr>
          <w:p w14:paraId="2E146341" w14:textId="77777777" w:rsidR="00616315" w:rsidRDefault="00616315" w:rsidP="00433A4B">
            <w:pPr>
              <w:pStyle w:val="TableParagraph"/>
              <w:spacing w:line="246" w:lineRule="exact"/>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lang w:val="sl-SI"/>
              </w:rPr>
              <w:t>65,0</w:t>
            </w:r>
          </w:p>
        </w:tc>
      </w:tr>
      <w:tr w:rsidR="00616315" w14:paraId="5CD6E188" w14:textId="77777777" w:rsidTr="00433A4B">
        <w:tc>
          <w:tcPr>
            <w:tcW w:w="2719" w:type="dxa"/>
            <w:tcBorders>
              <w:top w:val="single" w:sz="5" w:space="0" w:color="000000"/>
              <w:left w:val="single" w:sz="5" w:space="0" w:color="000000"/>
              <w:bottom w:val="single" w:sz="5" w:space="0" w:color="000000"/>
              <w:right w:val="single" w:sz="5" w:space="0" w:color="000000"/>
            </w:tcBorders>
          </w:tcPr>
          <w:p w14:paraId="62FE5F05" w14:textId="77777777" w:rsidR="00616315" w:rsidRDefault="00616315" w:rsidP="00433A4B">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PGA-F čisto/minimalno in </w:t>
            </w:r>
            <w:r>
              <w:rPr>
                <w:rFonts w:ascii="Times New Roman" w:eastAsia="Times New Roman" w:hAnsi="Times New Roman" w:cs="Times New Roman"/>
                <w:spacing w:val="1"/>
                <w:lang w:val="sl-SI"/>
              </w:rPr>
              <w:t>≥ izboljšanje za dve stopnji (%)</w:t>
            </w:r>
          </w:p>
        </w:tc>
        <w:tc>
          <w:tcPr>
            <w:tcW w:w="993" w:type="dxa"/>
            <w:tcBorders>
              <w:top w:val="single" w:sz="5" w:space="0" w:color="000000"/>
              <w:left w:val="single" w:sz="5" w:space="0" w:color="000000"/>
              <w:bottom w:val="single" w:sz="5" w:space="0" w:color="000000"/>
              <w:right w:val="single" w:sz="5" w:space="0" w:color="000000"/>
            </w:tcBorders>
          </w:tcPr>
          <w:p w14:paraId="539033E2" w14:textId="77777777" w:rsidR="00616315" w:rsidRDefault="00616315" w:rsidP="00433A4B">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2,9</w:t>
            </w:r>
          </w:p>
        </w:tc>
        <w:tc>
          <w:tcPr>
            <w:tcW w:w="1347" w:type="dxa"/>
            <w:tcBorders>
              <w:top w:val="single" w:sz="5" w:space="0" w:color="000000"/>
              <w:left w:val="single" w:sz="5" w:space="0" w:color="000000"/>
              <w:bottom w:val="single" w:sz="5" w:space="0" w:color="000000"/>
              <w:right w:val="single" w:sz="5" w:space="0" w:color="000000"/>
            </w:tcBorders>
          </w:tcPr>
          <w:p w14:paraId="5E23429C" w14:textId="77777777" w:rsidR="00616315" w:rsidRDefault="00616315" w:rsidP="00433A4B">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29,7</w:t>
            </w:r>
            <w:r>
              <w:rPr>
                <w:rFonts w:ascii="Times New Roman" w:eastAsia="Times New Roman" w:hAnsi="Times New Roman" w:cs="Times New Roman"/>
                <w:vertAlign w:val="superscript"/>
                <w:lang w:val="sl-SI"/>
              </w:rPr>
              <w:t>a</w:t>
            </w:r>
          </w:p>
        </w:tc>
        <w:tc>
          <w:tcPr>
            <w:tcW w:w="921" w:type="dxa"/>
            <w:tcBorders>
              <w:top w:val="single" w:sz="5" w:space="0" w:color="000000"/>
              <w:left w:val="single" w:sz="5" w:space="0" w:color="000000"/>
              <w:bottom w:val="single" w:sz="5" w:space="0" w:color="000000"/>
              <w:right w:val="single" w:sz="5" w:space="0" w:color="000000"/>
            </w:tcBorders>
          </w:tcPr>
          <w:p w14:paraId="09BF4EE4" w14:textId="77777777" w:rsidR="00616315" w:rsidRDefault="00616315" w:rsidP="00433A4B">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6,9</w:t>
            </w:r>
          </w:p>
        </w:tc>
        <w:tc>
          <w:tcPr>
            <w:tcW w:w="1328" w:type="dxa"/>
            <w:tcBorders>
              <w:top w:val="single" w:sz="5" w:space="0" w:color="000000"/>
              <w:left w:val="single" w:sz="5" w:space="0" w:color="000000"/>
              <w:bottom w:val="single" w:sz="5" w:space="0" w:color="000000"/>
              <w:right w:val="single" w:sz="5" w:space="0" w:color="000000"/>
            </w:tcBorders>
          </w:tcPr>
          <w:p w14:paraId="0B4229BE" w14:textId="77777777" w:rsidR="00616315" w:rsidRDefault="00616315" w:rsidP="00433A4B">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48,9</w:t>
            </w:r>
            <w:r>
              <w:rPr>
                <w:rFonts w:ascii="Times New Roman" w:eastAsia="Times New Roman" w:hAnsi="Times New Roman" w:cs="Times New Roman"/>
                <w:vertAlign w:val="superscript"/>
                <w:lang w:val="sl-SI"/>
              </w:rPr>
              <w:t>a</w:t>
            </w:r>
          </w:p>
        </w:tc>
        <w:tc>
          <w:tcPr>
            <w:tcW w:w="2268" w:type="dxa"/>
            <w:tcBorders>
              <w:top w:val="single" w:sz="5" w:space="0" w:color="000000"/>
              <w:left w:val="single" w:sz="5" w:space="0" w:color="000000"/>
              <w:bottom w:val="single" w:sz="5" w:space="0" w:color="000000"/>
              <w:right w:val="single" w:sz="5" w:space="0" w:color="000000"/>
            </w:tcBorders>
          </w:tcPr>
          <w:p w14:paraId="0448183F" w14:textId="77777777" w:rsidR="00616315" w:rsidRDefault="00616315" w:rsidP="00433A4B">
            <w:pPr>
              <w:pStyle w:val="TableParagraph"/>
              <w:spacing w:line="246" w:lineRule="exact"/>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lang w:val="sl-SI"/>
              </w:rPr>
              <w:t>61,3</w:t>
            </w:r>
          </w:p>
        </w:tc>
      </w:tr>
      <w:tr w:rsidR="00616315" w14:paraId="144A8FBC" w14:textId="77777777" w:rsidTr="00433A4B">
        <w:tc>
          <w:tcPr>
            <w:tcW w:w="2719" w:type="dxa"/>
            <w:tcBorders>
              <w:top w:val="single" w:sz="5" w:space="0" w:color="000000"/>
              <w:left w:val="single" w:sz="5" w:space="0" w:color="000000"/>
              <w:bottom w:val="single" w:sz="5" w:space="0" w:color="000000"/>
              <w:right w:val="single" w:sz="5" w:space="0" w:color="000000"/>
            </w:tcBorders>
          </w:tcPr>
          <w:p w14:paraId="3A970489" w14:textId="77777777" w:rsidR="00616315" w:rsidRDefault="00616315" w:rsidP="00433A4B">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Odstotek spremembe v celotnem indeksu NAPSI (%)</w:t>
            </w:r>
          </w:p>
        </w:tc>
        <w:tc>
          <w:tcPr>
            <w:tcW w:w="993" w:type="dxa"/>
            <w:tcBorders>
              <w:top w:val="single" w:sz="5" w:space="0" w:color="000000"/>
              <w:left w:val="single" w:sz="5" w:space="0" w:color="000000"/>
              <w:bottom w:val="single" w:sz="5" w:space="0" w:color="000000"/>
              <w:right w:val="single" w:sz="5" w:space="0" w:color="000000"/>
            </w:tcBorders>
          </w:tcPr>
          <w:p w14:paraId="4E95C559" w14:textId="77777777" w:rsidR="00616315" w:rsidRDefault="00616315" w:rsidP="00433A4B">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4"/>
                <w:lang w:val="sl-SI"/>
              </w:rPr>
              <w:t>-7,8</w:t>
            </w:r>
          </w:p>
        </w:tc>
        <w:tc>
          <w:tcPr>
            <w:tcW w:w="1347" w:type="dxa"/>
            <w:tcBorders>
              <w:top w:val="single" w:sz="5" w:space="0" w:color="000000"/>
              <w:left w:val="single" w:sz="5" w:space="0" w:color="000000"/>
              <w:bottom w:val="single" w:sz="5" w:space="0" w:color="000000"/>
              <w:right w:val="single" w:sz="5" w:space="0" w:color="000000"/>
            </w:tcBorders>
          </w:tcPr>
          <w:p w14:paraId="62C0CF68" w14:textId="77777777" w:rsidR="00616315" w:rsidRDefault="00616315" w:rsidP="00433A4B">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4"/>
                <w:lang w:val="sl-SI"/>
              </w:rPr>
              <w:t xml:space="preserve">-44,2 </w:t>
            </w:r>
            <w:r>
              <w:rPr>
                <w:rFonts w:ascii="Times New Roman" w:eastAsia="Times New Roman" w:hAnsi="Times New Roman" w:cs="Times New Roman"/>
                <w:spacing w:val="-4"/>
                <w:vertAlign w:val="superscript"/>
                <w:lang w:val="sl-SI"/>
              </w:rPr>
              <w:t>a</w:t>
            </w:r>
          </w:p>
        </w:tc>
        <w:tc>
          <w:tcPr>
            <w:tcW w:w="921" w:type="dxa"/>
            <w:tcBorders>
              <w:top w:val="single" w:sz="5" w:space="0" w:color="000000"/>
              <w:left w:val="single" w:sz="5" w:space="0" w:color="000000"/>
              <w:bottom w:val="single" w:sz="5" w:space="0" w:color="000000"/>
              <w:right w:val="single" w:sz="5" w:space="0" w:color="000000"/>
            </w:tcBorders>
          </w:tcPr>
          <w:p w14:paraId="19E1AE16" w14:textId="77777777" w:rsidR="00616315" w:rsidRDefault="00616315" w:rsidP="00433A4B">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4"/>
                <w:lang w:val="sl-SI"/>
              </w:rPr>
              <w:t>-1,5</w:t>
            </w:r>
          </w:p>
        </w:tc>
        <w:tc>
          <w:tcPr>
            <w:tcW w:w="1328" w:type="dxa"/>
            <w:tcBorders>
              <w:top w:val="single" w:sz="5" w:space="0" w:color="000000"/>
              <w:left w:val="single" w:sz="5" w:space="0" w:color="000000"/>
              <w:bottom w:val="single" w:sz="5" w:space="0" w:color="000000"/>
              <w:right w:val="single" w:sz="5" w:space="0" w:color="000000"/>
            </w:tcBorders>
          </w:tcPr>
          <w:p w14:paraId="01E04BA7" w14:textId="77777777" w:rsidR="00616315" w:rsidRDefault="00616315" w:rsidP="00433A4B">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4"/>
                <w:lang w:val="sl-SI"/>
              </w:rPr>
              <w:t>-56,2</w:t>
            </w:r>
            <w:r>
              <w:rPr>
                <w:rFonts w:ascii="Times New Roman" w:eastAsia="Times New Roman" w:hAnsi="Times New Roman" w:cs="Times New Roman"/>
                <w:spacing w:val="-4"/>
                <w:vertAlign w:val="superscript"/>
                <w:lang w:val="sl-SI"/>
              </w:rPr>
              <w:t>a</w:t>
            </w:r>
          </w:p>
        </w:tc>
        <w:tc>
          <w:tcPr>
            <w:tcW w:w="2268" w:type="dxa"/>
            <w:tcBorders>
              <w:top w:val="single" w:sz="5" w:space="0" w:color="000000"/>
              <w:left w:val="single" w:sz="5" w:space="0" w:color="000000"/>
              <w:bottom w:val="single" w:sz="5" w:space="0" w:color="000000"/>
              <w:right w:val="single" w:sz="5" w:space="0" w:color="000000"/>
            </w:tcBorders>
          </w:tcPr>
          <w:p w14:paraId="14C2E7FD" w14:textId="77777777" w:rsidR="00616315" w:rsidRDefault="00616315" w:rsidP="00433A4B">
            <w:pPr>
              <w:pStyle w:val="TableParagraph"/>
              <w:spacing w:line="246" w:lineRule="exact"/>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spacing w:val="-4"/>
                <w:lang w:val="sl-SI"/>
              </w:rPr>
              <w:t>-72,2</w:t>
            </w:r>
          </w:p>
        </w:tc>
      </w:tr>
      <w:tr w:rsidR="00616315" w14:paraId="364EBB30" w14:textId="77777777" w:rsidTr="00433A4B">
        <w:tc>
          <w:tcPr>
            <w:tcW w:w="9576" w:type="dxa"/>
            <w:gridSpan w:val="6"/>
            <w:tcBorders>
              <w:top w:val="single" w:sz="5" w:space="0" w:color="000000"/>
              <w:left w:val="single" w:sz="5" w:space="0" w:color="000000"/>
              <w:bottom w:val="single" w:sz="5" w:space="0" w:color="000000"/>
              <w:right w:val="single" w:sz="5" w:space="0" w:color="000000"/>
            </w:tcBorders>
          </w:tcPr>
          <w:p w14:paraId="0B78D9F8" w14:textId="77777777" w:rsidR="00616315" w:rsidRDefault="00616315" w:rsidP="00433A4B">
            <w:pPr>
              <w:pStyle w:val="TableParagraph"/>
              <w:ind w:left="102"/>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 xml:space="preserve">a </w:t>
            </w:r>
            <w:r>
              <w:rPr>
                <w:rFonts w:ascii="Times New Roman" w:eastAsia="Times New Roman" w:hAnsi="Times New Roman" w:cs="Times New Roman"/>
                <w:position w:val="8"/>
                <w:lang w:val="sl-SI"/>
              </w:rPr>
              <w:t xml:space="preserve">p &lt; 0,001 adalimumab </w:t>
            </w:r>
            <w:r>
              <w:rPr>
                <w:rFonts w:ascii="Times New Roman" w:eastAsia="Times New Roman" w:hAnsi="Times New Roman" w:cs="Times New Roman"/>
                <w:i/>
                <w:iCs/>
                <w:position w:val="8"/>
                <w:lang w:val="sl-SI"/>
              </w:rPr>
              <w:t xml:space="preserve">v primerjavi s </w:t>
            </w:r>
            <w:r>
              <w:rPr>
                <w:rFonts w:ascii="Times New Roman" w:eastAsia="Times New Roman" w:hAnsi="Times New Roman" w:cs="Times New Roman"/>
                <w:position w:val="8"/>
                <w:lang w:val="sl-SI"/>
              </w:rPr>
              <w:t>placebom</w:t>
            </w:r>
          </w:p>
        </w:tc>
      </w:tr>
    </w:tbl>
    <w:p w14:paraId="056FEDD8" w14:textId="77777777" w:rsidR="00616315" w:rsidRDefault="00616315" w:rsidP="00616315">
      <w:pPr>
        <w:spacing w:before="5" w:line="170" w:lineRule="exact"/>
        <w:rPr>
          <w:sz w:val="17"/>
          <w:szCs w:val="17"/>
          <w:lang w:val="sl-SI"/>
        </w:rPr>
      </w:pPr>
    </w:p>
    <w:p w14:paraId="32041CEF" w14:textId="77777777" w:rsidR="00616315" w:rsidRDefault="00616315" w:rsidP="00616315">
      <w:pPr>
        <w:pStyle w:val="a3"/>
        <w:rPr>
          <w:lang w:val="sl-SI"/>
        </w:rPr>
      </w:pPr>
      <w:r>
        <w:rPr>
          <w:rFonts w:eastAsia="Times New Roman"/>
          <w:lang w:val="sl-SI"/>
        </w:rPr>
        <w:t>Pri bolnikih, zdravljenih z adalimumabom, je prišlo do statistično značilnega izboljšanja dermatološkega indeksa kakovosti življenja (DLQI) po 26 tednih v primerjavi z placebom.</w:t>
      </w:r>
    </w:p>
    <w:p w14:paraId="65ED9553" w14:textId="77777777" w:rsidR="00616315" w:rsidRDefault="00616315" w:rsidP="00616315">
      <w:pPr>
        <w:pStyle w:val="a3"/>
        <w:rPr>
          <w:sz w:val="24"/>
          <w:szCs w:val="24"/>
          <w:lang w:val="sl-SI"/>
        </w:rPr>
      </w:pPr>
    </w:p>
    <w:p w14:paraId="66868C68" w14:textId="77777777" w:rsidR="00616315" w:rsidRDefault="00616315" w:rsidP="00616315">
      <w:pPr>
        <w:pStyle w:val="a3"/>
        <w:rPr>
          <w:rFonts w:eastAsia="Times New Roman"/>
          <w:lang w:val="sl-SI"/>
        </w:rPr>
      </w:pPr>
      <w:r>
        <w:rPr>
          <w:rFonts w:eastAsia="Times New Roman"/>
          <w:i/>
          <w:iCs/>
          <w:spacing w:val="-1"/>
          <w:lang w:val="sl-SI"/>
        </w:rPr>
        <w:t>Hidradenitis suppurativa</w:t>
      </w:r>
    </w:p>
    <w:p w14:paraId="52C56A44" w14:textId="77777777" w:rsidR="00616315" w:rsidRDefault="00616315" w:rsidP="00616315">
      <w:pPr>
        <w:pStyle w:val="a3"/>
        <w:rPr>
          <w:sz w:val="24"/>
          <w:szCs w:val="24"/>
          <w:lang w:val="sl-SI"/>
        </w:rPr>
      </w:pPr>
    </w:p>
    <w:p w14:paraId="7A8A8F89" w14:textId="77777777" w:rsidR="00616315" w:rsidRDefault="00616315" w:rsidP="00616315">
      <w:pPr>
        <w:pStyle w:val="a3"/>
        <w:rPr>
          <w:lang w:val="sl-SI"/>
        </w:rPr>
      </w:pPr>
      <w:r>
        <w:rPr>
          <w:rFonts w:eastAsia="Times New Roman"/>
          <w:lang w:val="sl-SI"/>
        </w:rPr>
        <w:t>Varnost in učinkovitost adalimumaba so raziskali v randomiziranih, dvojno slepih študijah, kontroliranih s placebom in v odprti podaljšani študiji pri odraslih bolnikih z zmerno do hudo obliko hidradenitis suppurativa (HS), ki imajo intoleranco, kontraindikacijo ali se ne odzovejo zadovoljivo pri vsaj 3-mesečnem preskušanju sistemske antibiotične terapije. Bolniki v študijah HS-I in HS-II imajo po Hurleyevi razvrstitvi bolezen v stadiju II ali III z vsaj tremi abscesi ali inflamatornimi noduli.</w:t>
      </w:r>
    </w:p>
    <w:p w14:paraId="30B17CFF" w14:textId="77777777" w:rsidR="00616315" w:rsidRDefault="00616315" w:rsidP="00616315">
      <w:pPr>
        <w:pStyle w:val="a3"/>
        <w:rPr>
          <w:sz w:val="24"/>
          <w:szCs w:val="24"/>
          <w:lang w:val="sl-SI"/>
        </w:rPr>
      </w:pPr>
    </w:p>
    <w:p w14:paraId="241510CA" w14:textId="77777777" w:rsidR="00616315" w:rsidRDefault="00616315" w:rsidP="00616315">
      <w:pPr>
        <w:pStyle w:val="a3"/>
        <w:rPr>
          <w:lang w:val="sl-SI"/>
        </w:rPr>
      </w:pPr>
      <w:r>
        <w:rPr>
          <w:rFonts w:eastAsia="Times New Roman"/>
          <w:lang w:val="sl-SI"/>
        </w:rPr>
        <w:t>V študiji HS-I (PIONEER I) je bilo ocenjenih 307 bolnikov v dveh obdobjih zdravljenja. V obdobju A so bolniki prejemali placebo ali adalimumab v začetnem odmerku 160 mg v 0. tednu, nato 80 mg v 2. tednu in 40 mg vsak teden od vključno 4. tedna do 11. tedna. Sočasno jemanje antibiotikov med trajanjem študije ni bilo dovoljeno. Po 12 tednih terapije so bolnike, ki so prejemali adalimumab v obdobju A, ponovno randomizirali v obdobju B v eno izmed treh skupin zdravljenja (adalimumab 40 mg vsak teden, adalimumab 40 mg vsak drugi teden ali placebo od 12. do 35. tedna). Bolniki, ki so jih randomizirali na placebo v obdobju A, so v obdobju B prejemali adalimumab 40 mg vsak teden.</w:t>
      </w:r>
    </w:p>
    <w:p w14:paraId="5731DA2A" w14:textId="77777777" w:rsidR="00616315" w:rsidRDefault="00616315" w:rsidP="00616315">
      <w:pPr>
        <w:pStyle w:val="a3"/>
        <w:rPr>
          <w:sz w:val="24"/>
          <w:szCs w:val="24"/>
          <w:lang w:val="sl-SI"/>
        </w:rPr>
      </w:pPr>
    </w:p>
    <w:p w14:paraId="2E8B73B9" w14:textId="77777777" w:rsidR="00616315" w:rsidRDefault="00616315" w:rsidP="00616315">
      <w:pPr>
        <w:pStyle w:val="a3"/>
        <w:rPr>
          <w:lang w:val="sl-SI"/>
        </w:rPr>
      </w:pPr>
      <w:r>
        <w:rPr>
          <w:rFonts w:eastAsia="Times New Roman"/>
          <w:lang w:val="sl-SI"/>
        </w:rPr>
        <w:t xml:space="preserve">V študiji HS-II (PIONEER II) je bilo ocenjenih 326 bolnikov v dveh obdobjih zdravljenja. V obdobju A so bolniki prejeli placebo ali adalimumab v začetnem odmerku 160 mg v 0. tednu, nato 80 mg v 2. tednu in </w:t>
      </w:r>
      <w:r>
        <w:rPr>
          <w:rFonts w:eastAsia="Times New Roman"/>
          <w:lang w:val="sl-SI"/>
        </w:rPr>
        <w:lastRenderedPageBreak/>
        <w:t>40 mg vsak teden od vključno 4. tedna do 11. tedna. 19,3 % bolnikov je nadaljevalo izhodiščno zdravljenje s peroralnimi antibiotiki. Po 12 tednih terapije so bolnike, ki so prejemali adalimumab v obdobju A, ponovno randomizirali v obdobju B v eno izmed treh skupin zdravljenja (adalimumab 40 mg vsak teden, adalimumab 40 mg vsak drugi teden ali placebo od 12. do 35. tedna). Bolniki, ki so jih randomizirali na placebo v obdobju A, so v obdobju B prejemali placebo.</w:t>
      </w:r>
    </w:p>
    <w:p w14:paraId="36E33A5A" w14:textId="77777777" w:rsidR="00616315" w:rsidRDefault="00616315" w:rsidP="00616315">
      <w:pPr>
        <w:pStyle w:val="a3"/>
        <w:rPr>
          <w:sz w:val="24"/>
          <w:szCs w:val="24"/>
          <w:lang w:val="sl-SI"/>
        </w:rPr>
      </w:pPr>
    </w:p>
    <w:p w14:paraId="464266BC" w14:textId="77777777" w:rsidR="00616315" w:rsidRDefault="00616315" w:rsidP="00616315">
      <w:pPr>
        <w:pStyle w:val="a3"/>
        <w:rPr>
          <w:lang w:val="sl-SI"/>
        </w:rPr>
      </w:pPr>
      <w:r>
        <w:rPr>
          <w:rFonts w:eastAsia="Times New Roman"/>
          <w:lang w:val="sl-SI"/>
        </w:rPr>
        <w:t>Bolniki, vključeni v študiji HS-I in HS-II, so bili primerni za vključitev v odprto podaljšano študijo, pri kateri so prejemali adalimumab 40 mg vsak teden. Povprečna izpostavljenost v celotni populaciji z adalimumabom je bila 762 dni. Tekom vseh treh študij so bolniki dnevno uporabljali topikalno antiseptično čistilno tekočino.</w:t>
      </w:r>
    </w:p>
    <w:p w14:paraId="7C6C248B" w14:textId="77777777" w:rsidR="00616315" w:rsidRDefault="00616315" w:rsidP="00616315">
      <w:pPr>
        <w:pStyle w:val="a3"/>
        <w:rPr>
          <w:sz w:val="24"/>
          <w:szCs w:val="24"/>
          <w:lang w:val="sl-SI"/>
        </w:rPr>
      </w:pPr>
    </w:p>
    <w:p w14:paraId="5BC2D810" w14:textId="77777777" w:rsidR="00616315" w:rsidRDefault="00616315" w:rsidP="00616315">
      <w:pPr>
        <w:pStyle w:val="a3"/>
        <w:rPr>
          <w:rFonts w:eastAsia="Times New Roman"/>
          <w:lang w:val="sl-SI"/>
        </w:rPr>
      </w:pPr>
      <w:r>
        <w:rPr>
          <w:rFonts w:eastAsia="Times New Roman"/>
          <w:i/>
          <w:iCs/>
          <w:spacing w:val="-1"/>
          <w:u w:val="single" w:color="000000"/>
          <w:lang w:val="sl-SI"/>
        </w:rPr>
        <w:t>Klinični odziv</w:t>
      </w:r>
    </w:p>
    <w:p w14:paraId="5CE7C97C" w14:textId="77777777" w:rsidR="00616315" w:rsidRDefault="00616315" w:rsidP="00616315">
      <w:pPr>
        <w:pStyle w:val="a3"/>
        <w:rPr>
          <w:sz w:val="18"/>
          <w:szCs w:val="18"/>
          <w:lang w:val="sl-SI"/>
        </w:rPr>
      </w:pPr>
    </w:p>
    <w:p w14:paraId="4329748F" w14:textId="77777777" w:rsidR="00616315" w:rsidRDefault="00616315" w:rsidP="00616315">
      <w:pPr>
        <w:pStyle w:val="a3"/>
        <w:rPr>
          <w:lang w:val="sl-SI"/>
        </w:rPr>
      </w:pPr>
      <w:r>
        <w:rPr>
          <w:rFonts w:eastAsia="Times New Roman"/>
          <w:lang w:val="sl-SI"/>
        </w:rPr>
        <w:t>Zmanjšanje inflamatornih lezij in preprečevanje poslabšanja abscesov in fistul z izcedkom so ocenili z rezultatom kliničnega odziva pri hidradenitis suppurativa (HiSCR – Hidradenitis Suppurativa Clinical Response; najmanj 50 % zmanjšanje skupnega števila abscesov in inflamatornih nodulov brez povečanja števila abscesov in fistul z izcedkom glede na izhodiščno število). Zmanjšanje bolečine, povezane s HS, so ocenili s pomočjo numeričme ocenjevalne lestvice pri bolnikih, ki so imeli pri vključitvi v študijo izhodiščni rezultat 3 ali več na 11-stopenjski numerični ocenjevalni lestvici.</w:t>
      </w:r>
    </w:p>
    <w:p w14:paraId="28697BF9" w14:textId="77777777" w:rsidR="00616315" w:rsidRDefault="00616315" w:rsidP="00616315">
      <w:pPr>
        <w:spacing w:before="13" w:line="240" w:lineRule="exact"/>
        <w:rPr>
          <w:sz w:val="24"/>
          <w:szCs w:val="24"/>
          <w:lang w:val="sl-SI"/>
        </w:rPr>
      </w:pPr>
    </w:p>
    <w:p w14:paraId="71C5DA1E" w14:textId="54DE9078" w:rsidR="00616315" w:rsidRDefault="00616315" w:rsidP="00616315">
      <w:pPr>
        <w:pStyle w:val="a3"/>
        <w:rPr>
          <w:lang w:val="sl-SI"/>
        </w:rPr>
      </w:pPr>
      <w:r>
        <w:rPr>
          <w:rFonts w:eastAsia="Times New Roman"/>
          <w:lang w:val="sl-SI"/>
        </w:rPr>
        <w:t xml:space="preserve">V 12. tednu je statistično pomembno večji delež bolnikov, ki so prejemali adalimumab, doseglo klinični odziv (HiSCR) v primerjavi z bolniki, ki so prejemali placebo. V 12. tednu je statistično pomembno večji delež bolnikov v študiji HS-II občutil klinično pomembno zmanjšanje bolečine na koži, povezane s HS (glejte preglednico </w:t>
      </w:r>
      <w:r w:rsidR="000E386D">
        <w:rPr>
          <w:rFonts w:eastAsia="Times New Roman"/>
          <w:lang w:val="sl-SI"/>
        </w:rPr>
        <w:t>12</w:t>
      </w:r>
      <w:r>
        <w:rPr>
          <w:rFonts w:eastAsia="Times New Roman"/>
          <w:lang w:val="sl-SI"/>
        </w:rPr>
        <w:t>). Bolniki, zdravljeni z adalimumabom, so imeli signifikantno zmanjšanje tveganja novega izbruha bolezni v začetnih 12 tednih zdravljenja.</w:t>
      </w:r>
    </w:p>
    <w:p w14:paraId="4E4DA8DC" w14:textId="77777777" w:rsidR="00616315" w:rsidRDefault="00616315" w:rsidP="00616315">
      <w:pPr>
        <w:spacing w:before="1" w:line="110" w:lineRule="exact"/>
        <w:rPr>
          <w:sz w:val="11"/>
          <w:szCs w:val="11"/>
          <w:lang w:val="sl-SI"/>
        </w:rPr>
      </w:pPr>
    </w:p>
    <w:p w14:paraId="1453D26C" w14:textId="77777777" w:rsidR="00616315" w:rsidRDefault="00616315" w:rsidP="00616315">
      <w:pPr>
        <w:spacing w:line="200" w:lineRule="exact"/>
        <w:rPr>
          <w:sz w:val="20"/>
          <w:szCs w:val="20"/>
          <w:lang w:val="sl-SI"/>
        </w:rPr>
      </w:pPr>
    </w:p>
    <w:p w14:paraId="6EBC2C2F" w14:textId="6FAF9A72" w:rsidR="00616315" w:rsidRDefault="00616315" w:rsidP="00616315">
      <w:pPr>
        <w:pStyle w:val="a3"/>
        <w:jc w:val="center"/>
        <w:rPr>
          <w:b/>
          <w:lang w:val="sl-SI"/>
        </w:rPr>
      </w:pPr>
      <w:r>
        <w:rPr>
          <w:rFonts w:eastAsia="Times New Roman"/>
          <w:b/>
          <w:bCs/>
          <w:lang w:val="sl-SI"/>
        </w:rPr>
        <w:t>Preglednica </w:t>
      </w:r>
      <w:r w:rsidR="000E386D">
        <w:rPr>
          <w:rFonts w:eastAsia="Times New Roman"/>
          <w:b/>
          <w:bCs/>
          <w:lang w:val="sl-SI"/>
        </w:rPr>
        <w:t>12</w:t>
      </w:r>
    </w:p>
    <w:p w14:paraId="43F7F4B2" w14:textId="28F34459" w:rsidR="00616315" w:rsidRDefault="00616315" w:rsidP="00616315">
      <w:pPr>
        <w:pStyle w:val="a3"/>
        <w:jc w:val="center"/>
        <w:rPr>
          <w:rFonts w:eastAsia="Times New Roman"/>
          <w:b/>
          <w:bCs/>
          <w:lang w:val="sl-SI"/>
        </w:rPr>
      </w:pPr>
      <w:r>
        <w:rPr>
          <w:rFonts w:eastAsia="Times New Roman"/>
          <w:b/>
          <w:bCs/>
          <w:lang w:val="sl-SI"/>
        </w:rPr>
        <w:t>Rezultati učinkovitosti v 12. tednu, študiji HS I in II</w:t>
      </w:r>
    </w:p>
    <w:p w14:paraId="1791D736" w14:textId="77777777" w:rsidR="0029566D" w:rsidRDefault="0029566D" w:rsidP="00616315">
      <w:pPr>
        <w:pStyle w:val="a3"/>
        <w:jc w:val="center"/>
        <w:rPr>
          <w:b/>
          <w:lang w:val="sl-SI"/>
        </w:rPr>
      </w:pPr>
    </w:p>
    <w:p w14:paraId="1A73209D" w14:textId="77777777" w:rsidR="00616315" w:rsidRDefault="00616315" w:rsidP="00616315">
      <w:pPr>
        <w:spacing w:before="4" w:line="10" w:lineRule="exact"/>
        <w:rPr>
          <w:sz w:val="4"/>
          <w:szCs w:val="4"/>
          <w:lang w:val="sl-SI"/>
        </w:rPr>
      </w:pPr>
    </w:p>
    <w:tbl>
      <w:tblPr>
        <w:tblStyle w:val="TableNormal1"/>
        <w:tblW w:w="0" w:type="auto"/>
        <w:tblInd w:w="167" w:type="dxa"/>
        <w:tblLayout w:type="fixed"/>
        <w:tblLook w:val="01E0" w:firstRow="1" w:lastRow="1" w:firstColumn="1" w:lastColumn="1" w:noHBand="0" w:noVBand="0"/>
      </w:tblPr>
      <w:tblGrid>
        <w:gridCol w:w="2846"/>
        <w:gridCol w:w="1440"/>
        <w:gridCol w:w="1747"/>
        <w:gridCol w:w="1404"/>
        <w:gridCol w:w="1856"/>
      </w:tblGrid>
      <w:tr w:rsidR="00616315" w14:paraId="4C24DC4E" w14:textId="77777777" w:rsidTr="00433A4B">
        <w:tc>
          <w:tcPr>
            <w:tcW w:w="2846" w:type="dxa"/>
            <w:vMerge w:val="restart"/>
            <w:tcBorders>
              <w:top w:val="single" w:sz="5" w:space="0" w:color="000000"/>
              <w:left w:val="single" w:sz="5" w:space="0" w:color="000000"/>
              <w:right w:val="single" w:sz="5" w:space="0" w:color="000000"/>
            </w:tcBorders>
          </w:tcPr>
          <w:p w14:paraId="4DB6F99B" w14:textId="77777777" w:rsidR="00616315" w:rsidRDefault="00616315" w:rsidP="00433A4B">
            <w:pPr>
              <w:rPr>
                <w:lang w:val="sl-SI"/>
              </w:rPr>
            </w:pPr>
          </w:p>
        </w:tc>
        <w:tc>
          <w:tcPr>
            <w:tcW w:w="3187" w:type="dxa"/>
            <w:gridSpan w:val="2"/>
            <w:tcBorders>
              <w:top w:val="single" w:sz="5" w:space="0" w:color="000000"/>
              <w:left w:val="single" w:sz="5" w:space="0" w:color="000000"/>
              <w:bottom w:val="single" w:sz="5" w:space="0" w:color="000000"/>
              <w:right w:val="single" w:sz="5" w:space="0" w:color="000000"/>
            </w:tcBorders>
          </w:tcPr>
          <w:p w14:paraId="7F928F97" w14:textId="77777777" w:rsidR="00616315" w:rsidRDefault="00616315" w:rsidP="00433A4B">
            <w:pPr>
              <w:pStyle w:val="TableParagraph"/>
              <w:spacing w:line="251" w:lineRule="exact"/>
              <w:ind w:right="100"/>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Študija HS I</w:t>
            </w:r>
          </w:p>
        </w:tc>
        <w:tc>
          <w:tcPr>
            <w:tcW w:w="3259" w:type="dxa"/>
            <w:gridSpan w:val="2"/>
            <w:tcBorders>
              <w:top w:val="single" w:sz="5" w:space="0" w:color="000000"/>
              <w:left w:val="single" w:sz="5" w:space="0" w:color="000000"/>
              <w:bottom w:val="single" w:sz="5" w:space="0" w:color="000000"/>
              <w:right w:val="single" w:sz="5" w:space="0" w:color="000000"/>
            </w:tcBorders>
          </w:tcPr>
          <w:p w14:paraId="349B7D5B" w14:textId="77777777" w:rsidR="00616315" w:rsidRDefault="00616315" w:rsidP="00433A4B">
            <w:pPr>
              <w:pStyle w:val="TableParagraph"/>
              <w:spacing w:line="251" w:lineRule="exact"/>
              <w:ind w:left="1062"/>
              <w:rPr>
                <w:rFonts w:ascii="Times New Roman" w:eastAsia="Times New Roman" w:hAnsi="Times New Roman" w:cs="Times New Roman"/>
                <w:lang w:val="sl-SI"/>
              </w:rPr>
            </w:pPr>
            <w:r>
              <w:rPr>
                <w:rFonts w:ascii="Times New Roman" w:eastAsia="Times New Roman" w:hAnsi="Times New Roman" w:cs="Times New Roman"/>
                <w:b/>
                <w:bCs/>
                <w:spacing w:val="-1"/>
                <w:lang w:val="sl-SI"/>
              </w:rPr>
              <w:t>Študija HS II</w:t>
            </w:r>
          </w:p>
        </w:tc>
      </w:tr>
      <w:tr w:rsidR="00616315" w14:paraId="445647F0" w14:textId="77777777" w:rsidTr="006F3477">
        <w:trPr>
          <w:trHeight w:val="551"/>
        </w:trPr>
        <w:tc>
          <w:tcPr>
            <w:tcW w:w="2846" w:type="dxa"/>
            <w:vMerge/>
            <w:tcBorders>
              <w:left w:val="single" w:sz="5" w:space="0" w:color="000000"/>
              <w:bottom w:val="single" w:sz="5" w:space="0" w:color="000000"/>
              <w:right w:val="single" w:sz="5" w:space="0" w:color="000000"/>
            </w:tcBorders>
          </w:tcPr>
          <w:p w14:paraId="3D248AC8" w14:textId="77777777" w:rsidR="00616315" w:rsidRDefault="00616315" w:rsidP="00433A4B">
            <w:pPr>
              <w:rPr>
                <w:lang w:val="sl-SI"/>
              </w:rPr>
            </w:pPr>
          </w:p>
        </w:tc>
        <w:tc>
          <w:tcPr>
            <w:tcW w:w="1440" w:type="dxa"/>
            <w:tcBorders>
              <w:top w:val="single" w:sz="5" w:space="0" w:color="000000"/>
              <w:left w:val="single" w:sz="5" w:space="0" w:color="000000"/>
              <w:bottom w:val="single" w:sz="5" w:space="0" w:color="000000"/>
              <w:right w:val="single" w:sz="5" w:space="0" w:color="000000"/>
            </w:tcBorders>
          </w:tcPr>
          <w:p w14:paraId="3DECEA75"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lang w:val="sl-SI"/>
              </w:rPr>
              <w:t>Placebo</w:t>
            </w:r>
          </w:p>
        </w:tc>
        <w:tc>
          <w:tcPr>
            <w:tcW w:w="1747" w:type="dxa"/>
            <w:tcBorders>
              <w:top w:val="single" w:sz="5" w:space="0" w:color="000000"/>
              <w:left w:val="single" w:sz="5" w:space="0" w:color="000000"/>
              <w:bottom w:val="single" w:sz="5" w:space="0" w:color="000000"/>
              <w:right w:val="single" w:sz="5" w:space="0" w:color="000000"/>
            </w:tcBorders>
          </w:tcPr>
          <w:p w14:paraId="44EB4F23" w14:textId="77777777" w:rsidR="00616315" w:rsidRDefault="00616315" w:rsidP="00433A4B">
            <w:pPr>
              <w:pStyle w:val="TableParagraph"/>
              <w:spacing w:before="1" w:line="252" w:lineRule="exact"/>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Adalimumab 40 mg vsak teden</w:t>
            </w:r>
          </w:p>
        </w:tc>
        <w:tc>
          <w:tcPr>
            <w:tcW w:w="1404" w:type="dxa"/>
            <w:tcBorders>
              <w:top w:val="single" w:sz="5" w:space="0" w:color="000000"/>
              <w:left w:val="single" w:sz="5" w:space="0" w:color="000000"/>
              <w:bottom w:val="single" w:sz="5" w:space="0" w:color="000000"/>
              <w:right w:val="single" w:sz="5" w:space="0" w:color="000000"/>
            </w:tcBorders>
          </w:tcPr>
          <w:p w14:paraId="1247DA3E" w14:textId="77777777" w:rsidR="00616315" w:rsidRDefault="00616315" w:rsidP="00433A4B">
            <w:pPr>
              <w:pStyle w:val="TableParagraph"/>
              <w:ind w:leftChars="12" w:left="26"/>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Placebo</w:t>
            </w:r>
          </w:p>
        </w:tc>
        <w:tc>
          <w:tcPr>
            <w:tcW w:w="1855" w:type="dxa"/>
            <w:tcBorders>
              <w:top w:val="single" w:sz="5" w:space="0" w:color="000000"/>
              <w:left w:val="single" w:sz="5" w:space="0" w:color="000000"/>
              <w:bottom w:val="single" w:sz="5" w:space="0" w:color="000000"/>
              <w:right w:val="single" w:sz="5" w:space="0" w:color="000000"/>
            </w:tcBorders>
          </w:tcPr>
          <w:p w14:paraId="698C3EE8" w14:textId="77777777" w:rsidR="00616315" w:rsidRDefault="00616315" w:rsidP="00433A4B">
            <w:pPr>
              <w:pStyle w:val="TableParagraph"/>
              <w:spacing w:before="1" w:line="252" w:lineRule="exact"/>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Adalimumab 40 mg vsak teden</w:t>
            </w:r>
          </w:p>
        </w:tc>
      </w:tr>
      <w:tr w:rsidR="00616315" w14:paraId="78D609B0" w14:textId="77777777" w:rsidTr="00433A4B">
        <w:tc>
          <w:tcPr>
            <w:tcW w:w="2846" w:type="dxa"/>
            <w:tcBorders>
              <w:top w:val="single" w:sz="5" w:space="0" w:color="000000"/>
              <w:left w:val="single" w:sz="5" w:space="0" w:color="000000"/>
              <w:bottom w:val="single" w:sz="5" w:space="0" w:color="000000"/>
              <w:right w:val="single" w:sz="5" w:space="0" w:color="000000"/>
            </w:tcBorders>
          </w:tcPr>
          <w:p w14:paraId="3D128D1E" w14:textId="77777777" w:rsidR="00616315" w:rsidRDefault="00616315" w:rsidP="00433A4B">
            <w:pPr>
              <w:pStyle w:val="TableParagraph"/>
              <w:spacing w:line="246" w:lineRule="exact"/>
              <w:ind w:left="109"/>
              <w:rPr>
                <w:rFonts w:ascii="Times New Roman" w:eastAsia="Times New Roman" w:hAnsi="Times New Roman" w:cs="Times New Roman"/>
                <w:lang w:val="sl-SI"/>
              </w:rPr>
            </w:pPr>
            <w:r>
              <w:rPr>
                <w:rFonts w:ascii="Times New Roman" w:eastAsia="Times New Roman" w:hAnsi="Times New Roman" w:cs="Times New Roman"/>
                <w:spacing w:val="-1"/>
                <w:lang w:val="sl-SI"/>
              </w:rPr>
              <w:t>Hidradenitis suppurativa Klinični odziv (HiSCR)</w:t>
            </w:r>
            <w:r>
              <w:rPr>
                <w:rFonts w:ascii="Times New Roman" w:eastAsia="Times New Roman" w:hAnsi="Times New Roman" w:cs="Times New Roman"/>
                <w:spacing w:val="-1"/>
                <w:vertAlign w:val="superscript"/>
                <w:lang w:val="sl-SI"/>
              </w:rPr>
              <w:t>a</w:t>
            </w:r>
          </w:p>
        </w:tc>
        <w:tc>
          <w:tcPr>
            <w:tcW w:w="1440" w:type="dxa"/>
            <w:tcBorders>
              <w:top w:val="single" w:sz="5" w:space="0" w:color="000000"/>
              <w:left w:val="single" w:sz="5" w:space="0" w:color="000000"/>
              <w:bottom w:val="single" w:sz="5" w:space="0" w:color="000000"/>
              <w:right w:val="single" w:sz="5" w:space="0" w:color="000000"/>
            </w:tcBorders>
          </w:tcPr>
          <w:p w14:paraId="0BBC83F4" w14:textId="77777777" w:rsidR="00616315" w:rsidRDefault="00616315" w:rsidP="00433A4B">
            <w:pPr>
              <w:pStyle w:val="TableParagraph"/>
              <w:spacing w:line="246"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 = 154</w:t>
            </w:r>
          </w:p>
          <w:p w14:paraId="5A1EE920" w14:textId="77777777" w:rsidR="00616315" w:rsidRDefault="00616315" w:rsidP="00433A4B">
            <w:pPr>
              <w:pStyle w:val="TableParagraph"/>
              <w:spacing w:line="252"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40 (26,0 %)</w:t>
            </w:r>
          </w:p>
        </w:tc>
        <w:tc>
          <w:tcPr>
            <w:tcW w:w="1747" w:type="dxa"/>
            <w:tcBorders>
              <w:top w:val="single" w:sz="5" w:space="0" w:color="000000"/>
              <w:left w:val="single" w:sz="5" w:space="0" w:color="000000"/>
              <w:bottom w:val="single" w:sz="5" w:space="0" w:color="000000"/>
              <w:right w:val="single" w:sz="5" w:space="0" w:color="000000"/>
            </w:tcBorders>
          </w:tcPr>
          <w:p w14:paraId="6EE26762" w14:textId="77777777" w:rsidR="00616315" w:rsidRDefault="00616315" w:rsidP="00433A4B">
            <w:pPr>
              <w:pStyle w:val="TableParagraph"/>
              <w:spacing w:line="246"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 = 153</w:t>
            </w:r>
          </w:p>
          <w:p w14:paraId="7EA516FB" w14:textId="77777777" w:rsidR="00616315" w:rsidRDefault="00616315" w:rsidP="00433A4B">
            <w:pPr>
              <w:pStyle w:val="TableParagraph"/>
              <w:spacing w:line="252"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64 (41,8 %) *</w:t>
            </w:r>
          </w:p>
        </w:tc>
        <w:tc>
          <w:tcPr>
            <w:tcW w:w="1404" w:type="dxa"/>
            <w:tcBorders>
              <w:top w:val="single" w:sz="5" w:space="0" w:color="000000"/>
              <w:left w:val="single" w:sz="5" w:space="0" w:color="000000"/>
              <w:bottom w:val="single" w:sz="5" w:space="0" w:color="000000"/>
              <w:right w:val="single" w:sz="5" w:space="0" w:color="000000"/>
            </w:tcBorders>
          </w:tcPr>
          <w:p w14:paraId="1E6F891B" w14:textId="77777777" w:rsidR="00616315" w:rsidRDefault="00616315" w:rsidP="00433A4B">
            <w:pPr>
              <w:pStyle w:val="TableParagraph"/>
              <w:spacing w:line="246" w:lineRule="exact"/>
              <w:ind w:leftChars="12" w:left="26"/>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 = 163</w:t>
            </w:r>
          </w:p>
          <w:p w14:paraId="37EB9645" w14:textId="77777777" w:rsidR="00616315" w:rsidRDefault="00616315" w:rsidP="00433A4B">
            <w:pPr>
              <w:pStyle w:val="TableParagraph"/>
              <w:spacing w:line="252" w:lineRule="exact"/>
              <w:ind w:leftChars="12" w:left="26"/>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45 (27,6 %)</w:t>
            </w:r>
          </w:p>
        </w:tc>
        <w:tc>
          <w:tcPr>
            <w:tcW w:w="1855" w:type="dxa"/>
            <w:tcBorders>
              <w:top w:val="single" w:sz="5" w:space="0" w:color="000000"/>
              <w:left w:val="single" w:sz="5" w:space="0" w:color="000000"/>
              <w:bottom w:val="single" w:sz="5" w:space="0" w:color="000000"/>
              <w:right w:val="single" w:sz="5" w:space="0" w:color="000000"/>
            </w:tcBorders>
          </w:tcPr>
          <w:p w14:paraId="63F09727" w14:textId="77777777" w:rsidR="00616315" w:rsidRDefault="00616315" w:rsidP="00433A4B">
            <w:pPr>
              <w:pStyle w:val="TableParagraph"/>
              <w:spacing w:line="246"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 = 163</w:t>
            </w:r>
          </w:p>
          <w:p w14:paraId="1FE394F4" w14:textId="77777777" w:rsidR="00616315" w:rsidRDefault="00616315" w:rsidP="00433A4B">
            <w:pPr>
              <w:pStyle w:val="TableParagraph"/>
              <w:spacing w:line="252"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96 (58,9 %) ***</w:t>
            </w:r>
          </w:p>
        </w:tc>
      </w:tr>
      <w:tr w:rsidR="00616315" w14:paraId="2CD09C59" w14:textId="77777777" w:rsidTr="00433A4B">
        <w:tc>
          <w:tcPr>
            <w:tcW w:w="2846" w:type="dxa"/>
            <w:tcBorders>
              <w:top w:val="single" w:sz="5" w:space="0" w:color="000000"/>
              <w:left w:val="single" w:sz="5" w:space="0" w:color="000000"/>
              <w:bottom w:val="single" w:sz="5" w:space="0" w:color="000000"/>
              <w:right w:val="single" w:sz="5" w:space="0" w:color="000000"/>
            </w:tcBorders>
          </w:tcPr>
          <w:p w14:paraId="463E95DB" w14:textId="77777777" w:rsidR="00616315" w:rsidRDefault="00616315" w:rsidP="00433A4B">
            <w:pPr>
              <w:pStyle w:val="TableParagraph"/>
              <w:spacing w:line="246" w:lineRule="exact"/>
              <w:ind w:left="109"/>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 30-% zmanjšanje </w:t>
            </w:r>
            <w:r>
              <w:rPr>
                <w:rFonts w:ascii="Times New Roman" w:eastAsia="Times New Roman" w:hAnsi="Times New Roman" w:cs="Times New Roman"/>
                <w:lang w:val="sl-SI"/>
              </w:rPr>
              <w:t>bolečine na koži</w:t>
            </w:r>
            <w:r>
              <w:rPr>
                <w:rFonts w:ascii="Times New Roman" w:eastAsia="Times New Roman" w:hAnsi="Times New Roman" w:cs="Times New Roman"/>
                <w:vertAlign w:val="superscript"/>
                <w:lang w:val="sl-SI"/>
              </w:rPr>
              <w:t>b</w:t>
            </w:r>
          </w:p>
        </w:tc>
        <w:tc>
          <w:tcPr>
            <w:tcW w:w="1440" w:type="dxa"/>
            <w:tcBorders>
              <w:top w:val="single" w:sz="5" w:space="0" w:color="000000"/>
              <w:left w:val="single" w:sz="5" w:space="0" w:color="000000"/>
              <w:bottom w:val="single" w:sz="5" w:space="0" w:color="000000"/>
              <w:right w:val="single" w:sz="5" w:space="0" w:color="000000"/>
            </w:tcBorders>
          </w:tcPr>
          <w:p w14:paraId="6A07C235" w14:textId="77777777" w:rsidR="00616315" w:rsidRDefault="00616315" w:rsidP="00433A4B">
            <w:pPr>
              <w:pStyle w:val="TableParagraph"/>
              <w:spacing w:line="246"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 = 109</w:t>
            </w:r>
          </w:p>
          <w:p w14:paraId="46B24851" w14:textId="77777777" w:rsidR="00616315" w:rsidRDefault="00616315" w:rsidP="00433A4B">
            <w:pPr>
              <w:pStyle w:val="TableParagraph"/>
              <w:spacing w:before="1"/>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27 (24,8 %)</w:t>
            </w:r>
          </w:p>
        </w:tc>
        <w:tc>
          <w:tcPr>
            <w:tcW w:w="1747" w:type="dxa"/>
            <w:tcBorders>
              <w:top w:val="single" w:sz="5" w:space="0" w:color="000000"/>
              <w:left w:val="single" w:sz="5" w:space="0" w:color="000000"/>
              <w:bottom w:val="single" w:sz="5" w:space="0" w:color="000000"/>
              <w:right w:val="single" w:sz="5" w:space="0" w:color="000000"/>
            </w:tcBorders>
          </w:tcPr>
          <w:p w14:paraId="408D15D4" w14:textId="77777777" w:rsidR="00616315" w:rsidRDefault="00616315" w:rsidP="00433A4B">
            <w:pPr>
              <w:pStyle w:val="TableParagraph"/>
              <w:spacing w:line="246"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 = 122</w:t>
            </w:r>
          </w:p>
          <w:p w14:paraId="7F8B4E03" w14:textId="77777777" w:rsidR="00616315" w:rsidRDefault="00616315" w:rsidP="00433A4B">
            <w:pPr>
              <w:pStyle w:val="TableParagraph"/>
              <w:spacing w:before="1"/>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34 (27,9 %)</w:t>
            </w:r>
          </w:p>
        </w:tc>
        <w:tc>
          <w:tcPr>
            <w:tcW w:w="1404" w:type="dxa"/>
            <w:tcBorders>
              <w:top w:val="single" w:sz="5" w:space="0" w:color="000000"/>
              <w:left w:val="single" w:sz="5" w:space="0" w:color="000000"/>
              <w:bottom w:val="single" w:sz="5" w:space="0" w:color="000000"/>
              <w:right w:val="single" w:sz="5" w:space="0" w:color="000000"/>
            </w:tcBorders>
          </w:tcPr>
          <w:p w14:paraId="1E3CCDCA" w14:textId="77777777" w:rsidR="00616315" w:rsidRDefault="00616315" w:rsidP="00433A4B">
            <w:pPr>
              <w:pStyle w:val="TableParagraph"/>
              <w:spacing w:line="246" w:lineRule="exact"/>
              <w:ind w:leftChars="12" w:left="26"/>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 = 111</w:t>
            </w:r>
          </w:p>
          <w:p w14:paraId="1DAF8C3C" w14:textId="77777777" w:rsidR="00616315" w:rsidRDefault="00616315" w:rsidP="00433A4B">
            <w:pPr>
              <w:pStyle w:val="TableParagraph"/>
              <w:spacing w:before="1"/>
              <w:ind w:leftChars="12" w:left="26"/>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23 (20,7 %)</w:t>
            </w:r>
          </w:p>
        </w:tc>
        <w:tc>
          <w:tcPr>
            <w:tcW w:w="1855" w:type="dxa"/>
            <w:tcBorders>
              <w:top w:val="single" w:sz="5" w:space="0" w:color="000000"/>
              <w:left w:val="single" w:sz="5" w:space="0" w:color="000000"/>
              <w:bottom w:val="single" w:sz="5" w:space="0" w:color="000000"/>
              <w:right w:val="single" w:sz="5" w:space="0" w:color="000000"/>
            </w:tcBorders>
          </w:tcPr>
          <w:p w14:paraId="72A3A911" w14:textId="77777777" w:rsidR="00616315" w:rsidRDefault="00616315" w:rsidP="00433A4B">
            <w:pPr>
              <w:pStyle w:val="TableParagraph"/>
              <w:spacing w:line="246"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 = 105</w:t>
            </w:r>
          </w:p>
          <w:p w14:paraId="0B99F820" w14:textId="77777777" w:rsidR="00616315" w:rsidRDefault="00616315" w:rsidP="00433A4B">
            <w:pPr>
              <w:pStyle w:val="TableParagraph"/>
              <w:spacing w:line="254"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48 (45,7 %) ***</w:t>
            </w:r>
          </w:p>
        </w:tc>
      </w:tr>
      <w:tr w:rsidR="00616315" w:rsidRPr="00652F18" w14:paraId="53A604E7" w14:textId="77777777" w:rsidTr="00433A4B">
        <w:tc>
          <w:tcPr>
            <w:tcW w:w="9293" w:type="dxa"/>
            <w:gridSpan w:val="5"/>
            <w:tcBorders>
              <w:top w:val="single" w:sz="5" w:space="0" w:color="000000"/>
              <w:left w:val="single" w:sz="5" w:space="0" w:color="000000"/>
              <w:bottom w:val="single" w:sz="5" w:space="0" w:color="000000"/>
              <w:right w:val="single" w:sz="5" w:space="0" w:color="000000"/>
            </w:tcBorders>
          </w:tcPr>
          <w:p w14:paraId="5A0AC910" w14:textId="77777777" w:rsidR="00616315" w:rsidRDefault="00616315" w:rsidP="00433A4B">
            <w:pPr>
              <w:pStyle w:val="TableParagraph"/>
              <w:spacing w:line="246" w:lineRule="exact"/>
              <w:ind w:left="469"/>
              <w:rPr>
                <w:rFonts w:ascii="Times New Roman" w:eastAsia="Times New Roman" w:hAnsi="Times New Roman" w:cs="Times New Roman"/>
                <w:lang w:val="sl-SI"/>
              </w:rPr>
            </w:pPr>
            <w:r>
              <w:rPr>
                <w:rFonts w:ascii="Times New Roman" w:eastAsia="Times New Roman" w:hAnsi="Times New Roman" w:cs="Times New Roman"/>
                <w:lang w:val="sl-SI"/>
              </w:rPr>
              <w:t xml:space="preserve">* </w:t>
            </w:r>
            <w:r>
              <w:rPr>
                <w:rFonts w:ascii="Times New Roman" w:eastAsia="Times New Roman" w:hAnsi="Times New Roman" w:cs="Times New Roman"/>
                <w:i/>
                <w:iCs/>
                <w:lang w:val="sl-SI"/>
              </w:rPr>
              <w:t xml:space="preserve">P </w:t>
            </w:r>
            <w:r>
              <w:rPr>
                <w:rFonts w:ascii="Times New Roman" w:eastAsia="Times New Roman" w:hAnsi="Times New Roman" w:cs="Times New Roman"/>
                <w:lang w:val="sl-SI"/>
              </w:rPr>
              <w:t>&lt; 0,05, ***</w:t>
            </w:r>
            <w:r>
              <w:rPr>
                <w:rFonts w:ascii="Times New Roman" w:eastAsia="Times New Roman" w:hAnsi="Times New Roman" w:cs="Times New Roman"/>
                <w:i/>
                <w:iCs/>
                <w:lang w:val="sl-SI"/>
              </w:rPr>
              <w:t xml:space="preserve">P </w:t>
            </w:r>
            <w:r>
              <w:rPr>
                <w:rFonts w:ascii="Times New Roman" w:eastAsia="Times New Roman" w:hAnsi="Times New Roman" w:cs="Times New Roman"/>
                <w:lang w:val="sl-SI"/>
              </w:rPr>
              <w:t>&lt; 0,001, adalimumab v primerjavi s placebom</w:t>
            </w:r>
          </w:p>
          <w:p w14:paraId="6AD056A2" w14:textId="77777777" w:rsidR="00616315" w:rsidRDefault="00616315" w:rsidP="00721C46">
            <w:pPr>
              <w:pStyle w:val="a4"/>
              <w:numPr>
                <w:ilvl w:val="0"/>
                <w:numId w:val="151"/>
              </w:numPr>
              <w:tabs>
                <w:tab w:val="left" w:pos="469"/>
              </w:tabs>
              <w:spacing w:before="32"/>
              <w:ind w:left="469"/>
              <w:rPr>
                <w:rFonts w:ascii="Times New Roman" w:eastAsia="Times New Roman" w:hAnsi="Times New Roman" w:cs="Times New Roman"/>
                <w:lang w:val="sl-SI"/>
              </w:rPr>
            </w:pPr>
            <w:r>
              <w:rPr>
                <w:rFonts w:ascii="Times New Roman" w:eastAsia="Times New Roman" w:hAnsi="Times New Roman" w:cs="Times New Roman"/>
                <w:spacing w:val="1"/>
                <w:lang w:val="sl-SI"/>
              </w:rPr>
              <w:t>Med vsemi randomiziranimi bolniki.</w:t>
            </w:r>
          </w:p>
          <w:p w14:paraId="55986D4D" w14:textId="77777777" w:rsidR="00616315" w:rsidRDefault="00616315" w:rsidP="00721C46">
            <w:pPr>
              <w:pStyle w:val="a4"/>
              <w:numPr>
                <w:ilvl w:val="0"/>
                <w:numId w:val="151"/>
              </w:numPr>
              <w:tabs>
                <w:tab w:val="left" w:pos="469"/>
              </w:tabs>
              <w:spacing w:before="41" w:line="240" w:lineRule="exact"/>
              <w:ind w:left="469" w:right="598"/>
              <w:rPr>
                <w:rFonts w:ascii="Times New Roman" w:eastAsia="Times New Roman" w:hAnsi="Times New Roman" w:cs="Times New Roman"/>
                <w:lang w:val="sl-SI"/>
              </w:rPr>
            </w:pPr>
            <w:r>
              <w:rPr>
                <w:rFonts w:ascii="Times New Roman" w:eastAsia="Times New Roman" w:hAnsi="Times New Roman" w:cs="Times New Roman"/>
                <w:spacing w:val="1"/>
                <w:lang w:val="sl-SI"/>
              </w:rPr>
              <w:t>Med bolniki z izhodiščnim rezultatom 3 ali več pri ocenjevanju bolečine, povezane s hidradenitis suppurativa, po numerični ocenjevalni lestvici od 0 do 10; 0 = brez bolečin na koži, 10 = najhujša možna bolečina na koži.</w:t>
            </w:r>
          </w:p>
        </w:tc>
      </w:tr>
    </w:tbl>
    <w:p w14:paraId="2316FB45" w14:textId="77777777" w:rsidR="00616315" w:rsidRDefault="00616315" w:rsidP="00616315">
      <w:pPr>
        <w:spacing w:before="5" w:line="170" w:lineRule="exact"/>
        <w:rPr>
          <w:sz w:val="17"/>
          <w:szCs w:val="17"/>
          <w:lang w:val="sl-SI"/>
        </w:rPr>
      </w:pPr>
    </w:p>
    <w:p w14:paraId="43B24861" w14:textId="77777777" w:rsidR="00616315" w:rsidRDefault="00616315" w:rsidP="00616315">
      <w:pPr>
        <w:pStyle w:val="a3"/>
        <w:rPr>
          <w:lang w:val="sl-SI"/>
        </w:rPr>
      </w:pPr>
      <w:r>
        <w:rPr>
          <w:rFonts w:eastAsia="Times New Roman"/>
          <w:lang w:val="sl-SI"/>
        </w:rPr>
        <w:t>Zdravljenje z adalimumabom 40 mg vsak teden signifikantno zmanjša tveganje za poslabšanje abscesov in fistul z izcedkom. Približno dvakratni delež bolnikov v skupini, ki je prejemala placebo, je v primerjavi s tistimi, ki so bili v skupini z adalimumabom, v prvih 12 tednih študije HS-I in HS-II, doživelo poslabšanje abscesov (23,0 % v primerjavi z 11,4 %, v tem zaporedju) in fistul z izcedkom (30,0 % v primerjavi s 13,9 %, v tem zaporedju).</w:t>
      </w:r>
    </w:p>
    <w:p w14:paraId="298F8190" w14:textId="77777777" w:rsidR="00616315" w:rsidRDefault="00616315" w:rsidP="00616315">
      <w:pPr>
        <w:spacing w:before="14" w:line="240" w:lineRule="exact"/>
        <w:rPr>
          <w:sz w:val="24"/>
          <w:szCs w:val="24"/>
          <w:lang w:val="sl-SI"/>
        </w:rPr>
      </w:pPr>
    </w:p>
    <w:p w14:paraId="016A405E" w14:textId="77777777" w:rsidR="00616315" w:rsidRDefault="00616315" w:rsidP="00616315">
      <w:pPr>
        <w:pStyle w:val="a3"/>
        <w:rPr>
          <w:lang w:val="sl-SI"/>
        </w:rPr>
      </w:pPr>
      <w:r>
        <w:rPr>
          <w:rFonts w:eastAsia="Times New Roman"/>
          <w:lang w:val="sl-SI"/>
        </w:rPr>
        <w:t xml:space="preserve">Večje izboljšanje v 12. tednu so pokazali glede na izhodiščno vrednost v primerjavi s placebom glede z zdravjem povezane kakovosti življenja, specifične za kožo, merjene z dermatološkim indeksom kakovosti življenja (“Dermatology life quality index” (DLQI), v študijah HS-I in HS-II), glede bolnikovega splošnega zadovoljstva z zdravljenjem z zdravilom, merjenem z vprašalnikom o zadovoljstvu z zdravljenjem z zdravilom (“Treatment Satisfaction Questionnaire - medication” (TSQM), v študijah HS-I in HS-II), in glede </w:t>
      </w:r>
      <w:r>
        <w:rPr>
          <w:rFonts w:eastAsia="Times New Roman"/>
          <w:lang w:val="sl-SI"/>
        </w:rPr>
        <w:lastRenderedPageBreak/>
        <w:t>telesnega zdravja, merjenega s seštevkom telesnih komponent v vprašalniku SF-36 (“Short Form Health Survey" (SF-36) v študiji HS-I).</w:t>
      </w:r>
    </w:p>
    <w:p w14:paraId="6433FB76" w14:textId="77777777" w:rsidR="00616315" w:rsidRDefault="00616315" w:rsidP="00616315">
      <w:pPr>
        <w:spacing w:before="13" w:line="240" w:lineRule="exact"/>
        <w:rPr>
          <w:sz w:val="24"/>
          <w:szCs w:val="24"/>
          <w:lang w:val="sl-SI"/>
        </w:rPr>
      </w:pPr>
    </w:p>
    <w:p w14:paraId="3942C93E" w14:textId="25BCA16D" w:rsidR="00616315" w:rsidRDefault="00616315" w:rsidP="00616315">
      <w:pPr>
        <w:pStyle w:val="a3"/>
        <w:rPr>
          <w:lang w:val="sl-SI"/>
        </w:rPr>
      </w:pPr>
      <w:r>
        <w:rPr>
          <w:rFonts w:eastAsia="Times New Roman"/>
          <w:lang w:val="sl-SI"/>
        </w:rPr>
        <w:t>Pri bolnikih z vsaj delnim odzivom na adalimumab v odmerku 40 mg vsak teden v 12. tednu, je bila stopnja kliničnega odziva (HiSCR) v 36. tednu višja pri bolnikih, ki so nadaljevali zdravljenje z adalimumabom vsak teden kot pri bolnikih, pri katerih so pogostnost odmerjanja zmanjšali na vsak drugi teden, ali pri katerih je bilo zdravljenje ukinjeno (glejte preglednico </w:t>
      </w:r>
      <w:r w:rsidR="000E386D">
        <w:rPr>
          <w:rFonts w:eastAsia="Times New Roman"/>
          <w:lang w:val="sl-SI"/>
        </w:rPr>
        <w:t>13</w:t>
      </w:r>
      <w:r>
        <w:rPr>
          <w:rFonts w:eastAsia="Times New Roman"/>
          <w:lang w:val="sl-SI"/>
        </w:rPr>
        <w:t>).</w:t>
      </w:r>
    </w:p>
    <w:p w14:paraId="522F19A0" w14:textId="77777777" w:rsidR="00616315" w:rsidRDefault="00616315" w:rsidP="00616315">
      <w:pPr>
        <w:spacing w:before="2" w:line="260" w:lineRule="exact"/>
        <w:rPr>
          <w:sz w:val="26"/>
          <w:szCs w:val="26"/>
          <w:lang w:val="sl-SI"/>
        </w:rPr>
      </w:pPr>
    </w:p>
    <w:p w14:paraId="73F7019D" w14:textId="49D1D714" w:rsidR="00616315" w:rsidRDefault="00616315" w:rsidP="00616315">
      <w:pPr>
        <w:pStyle w:val="a3"/>
        <w:jc w:val="center"/>
        <w:rPr>
          <w:b/>
          <w:lang w:val="sl-SI"/>
        </w:rPr>
      </w:pPr>
      <w:r>
        <w:rPr>
          <w:rFonts w:eastAsia="Times New Roman"/>
          <w:b/>
          <w:bCs/>
          <w:lang w:val="sl-SI"/>
        </w:rPr>
        <w:t>Preglednica </w:t>
      </w:r>
      <w:r w:rsidR="000E386D">
        <w:rPr>
          <w:rFonts w:eastAsia="Times New Roman"/>
          <w:b/>
          <w:bCs/>
          <w:lang w:val="sl-SI"/>
        </w:rPr>
        <w:t>13</w:t>
      </w:r>
    </w:p>
    <w:p w14:paraId="6605D2DA" w14:textId="664DC15E" w:rsidR="00616315" w:rsidRDefault="00616315" w:rsidP="00616315">
      <w:pPr>
        <w:pStyle w:val="a3"/>
        <w:jc w:val="center"/>
        <w:rPr>
          <w:rFonts w:eastAsia="Times New Roman"/>
          <w:b/>
          <w:bCs/>
          <w:lang w:val="sl-SI"/>
        </w:rPr>
      </w:pPr>
      <w:r>
        <w:rPr>
          <w:rFonts w:eastAsia="Times New Roman"/>
          <w:b/>
          <w:bCs/>
          <w:lang w:val="sl-SI"/>
        </w:rPr>
        <w:t>Delež bolnikov</w:t>
      </w:r>
      <w:r>
        <w:rPr>
          <w:rFonts w:eastAsia="Times New Roman"/>
          <w:b/>
          <w:bCs/>
          <w:vertAlign w:val="superscript"/>
          <w:lang w:val="sl-SI"/>
        </w:rPr>
        <w:t>a</w:t>
      </w:r>
      <w:r>
        <w:rPr>
          <w:rFonts w:eastAsia="Times New Roman"/>
          <w:b/>
          <w:bCs/>
          <w:lang w:val="sl-SI"/>
        </w:rPr>
        <w:t>, ki so dosegli klinični odziv (HiSCR)</w:t>
      </w:r>
      <w:r>
        <w:rPr>
          <w:rFonts w:eastAsia="Times New Roman"/>
          <w:b/>
          <w:bCs/>
          <w:vertAlign w:val="superscript"/>
          <w:lang w:val="sl-SI"/>
        </w:rPr>
        <w:t>b</w:t>
      </w:r>
      <w:r>
        <w:rPr>
          <w:rFonts w:eastAsia="Times New Roman"/>
          <w:b/>
          <w:bCs/>
          <w:lang w:val="sl-SI"/>
        </w:rPr>
        <w:t xml:space="preserve"> v 24. in 36. tednu po spremembi zdravljenja na jemanje adalimumaba vsak teden v 12. tednu</w:t>
      </w:r>
    </w:p>
    <w:p w14:paraId="5000147B" w14:textId="77777777" w:rsidR="0029566D" w:rsidRDefault="0029566D" w:rsidP="00616315">
      <w:pPr>
        <w:pStyle w:val="a3"/>
        <w:jc w:val="center"/>
        <w:rPr>
          <w:b/>
          <w:lang w:val="sl-SI"/>
        </w:rPr>
      </w:pPr>
    </w:p>
    <w:tbl>
      <w:tblPr>
        <w:tblStyle w:val="TableNormal1"/>
        <w:tblW w:w="9356" w:type="dxa"/>
        <w:jc w:val="center"/>
        <w:tblLayout w:type="fixed"/>
        <w:tblLook w:val="01E0" w:firstRow="1" w:lastRow="1" w:firstColumn="1" w:lastColumn="1" w:noHBand="0" w:noVBand="0"/>
      </w:tblPr>
      <w:tblGrid>
        <w:gridCol w:w="1885"/>
        <w:gridCol w:w="2391"/>
        <w:gridCol w:w="2391"/>
        <w:gridCol w:w="2689"/>
      </w:tblGrid>
      <w:tr w:rsidR="00616315" w14:paraId="623AC367" w14:textId="77777777" w:rsidTr="006F3477">
        <w:trPr>
          <w:trHeight w:val="360"/>
          <w:jc w:val="center"/>
        </w:trPr>
        <w:tc>
          <w:tcPr>
            <w:tcW w:w="1885" w:type="dxa"/>
            <w:tcBorders>
              <w:top w:val="single" w:sz="5" w:space="0" w:color="000000"/>
              <w:left w:val="single" w:sz="5" w:space="0" w:color="000000"/>
              <w:bottom w:val="single" w:sz="5" w:space="0" w:color="000000"/>
              <w:right w:val="single" w:sz="5" w:space="0" w:color="000000"/>
            </w:tcBorders>
          </w:tcPr>
          <w:p w14:paraId="0876E7EA" w14:textId="77777777" w:rsidR="00616315" w:rsidRDefault="00616315" w:rsidP="00433A4B">
            <w:pPr>
              <w:rPr>
                <w:lang w:val="sl-SI"/>
              </w:rPr>
            </w:pPr>
          </w:p>
        </w:tc>
        <w:tc>
          <w:tcPr>
            <w:tcW w:w="2391" w:type="dxa"/>
            <w:tcBorders>
              <w:top w:val="single" w:sz="5" w:space="0" w:color="000000"/>
              <w:left w:val="single" w:sz="5" w:space="0" w:color="000000"/>
              <w:bottom w:val="single" w:sz="5" w:space="0" w:color="000000"/>
              <w:right w:val="single" w:sz="5" w:space="0" w:color="000000"/>
            </w:tcBorders>
          </w:tcPr>
          <w:p w14:paraId="54ABB301" w14:textId="77777777" w:rsidR="00616315" w:rsidRDefault="00616315" w:rsidP="00433A4B">
            <w:pPr>
              <w:pStyle w:val="TableParagraph"/>
              <w:spacing w:before="37" w:line="240" w:lineRule="exact"/>
              <w:ind w:rightChars="8" w:right="18"/>
              <w:jc w:val="center"/>
              <w:rPr>
                <w:rFonts w:ascii="Times New Roman" w:eastAsia="Times New Roman" w:hAnsi="Times New Roman" w:cs="Times New Roman"/>
                <w:b/>
                <w:bCs/>
                <w:lang w:val="sl-SI"/>
              </w:rPr>
            </w:pPr>
            <w:r>
              <w:rPr>
                <w:rFonts w:ascii="Times New Roman" w:eastAsia="Times New Roman" w:hAnsi="Times New Roman" w:cs="Times New Roman"/>
                <w:b/>
                <w:bCs/>
                <w:lang w:val="sl-SI"/>
              </w:rPr>
              <w:t xml:space="preserve">Placebo (ukinitev zdravljenja) </w:t>
            </w:r>
          </w:p>
          <w:p w14:paraId="59FF13A4" w14:textId="77777777" w:rsidR="00616315" w:rsidRDefault="00616315" w:rsidP="00433A4B">
            <w:pPr>
              <w:pStyle w:val="TableParagraph"/>
              <w:spacing w:before="37" w:line="240" w:lineRule="exact"/>
              <w:ind w:rightChars="8" w:right="18"/>
              <w:jc w:val="center"/>
              <w:rPr>
                <w:rFonts w:ascii="Times New Roman" w:eastAsia="Times New Roman" w:hAnsi="Times New Roman" w:cs="Times New Roman"/>
                <w:lang w:val="sl-SI"/>
              </w:rPr>
            </w:pPr>
            <w:r>
              <w:rPr>
                <w:rFonts w:ascii="Times New Roman" w:eastAsia="Times New Roman" w:hAnsi="Times New Roman" w:cs="Times New Roman"/>
                <w:b/>
                <w:bCs/>
                <w:lang w:val="sl-SI"/>
              </w:rPr>
              <w:t>N = 73</w:t>
            </w:r>
          </w:p>
        </w:tc>
        <w:tc>
          <w:tcPr>
            <w:tcW w:w="2391" w:type="dxa"/>
            <w:tcBorders>
              <w:top w:val="single" w:sz="5" w:space="0" w:color="000000"/>
              <w:left w:val="single" w:sz="5" w:space="0" w:color="000000"/>
              <w:bottom w:val="single" w:sz="5" w:space="0" w:color="000000"/>
              <w:right w:val="single" w:sz="5" w:space="0" w:color="000000"/>
            </w:tcBorders>
          </w:tcPr>
          <w:p w14:paraId="29A15219" w14:textId="77777777" w:rsidR="00616315" w:rsidRDefault="00616315" w:rsidP="00433A4B">
            <w:pPr>
              <w:pStyle w:val="TableParagraph"/>
              <w:spacing w:line="240" w:lineRule="exact"/>
              <w:ind w:rightChars="81" w:right="178"/>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 xml:space="preserve">Adalimumab 40 mg vsak drugi teden </w:t>
            </w:r>
            <w:r>
              <w:rPr>
                <w:rFonts w:ascii="Times New Roman" w:eastAsia="Times New Roman" w:hAnsi="Times New Roman" w:cs="Times New Roman"/>
                <w:b/>
                <w:bCs/>
                <w:spacing w:val="-1"/>
                <w:lang w:val="sl-SI"/>
              </w:rPr>
              <w:br/>
              <w:t>N = 70</w:t>
            </w:r>
          </w:p>
        </w:tc>
        <w:tc>
          <w:tcPr>
            <w:tcW w:w="2689" w:type="dxa"/>
            <w:tcBorders>
              <w:top w:val="single" w:sz="5" w:space="0" w:color="000000"/>
              <w:left w:val="single" w:sz="5" w:space="0" w:color="000000"/>
              <w:bottom w:val="single" w:sz="5" w:space="0" w:color="000000"/>
              <w:right w:val="single" w:sz="5" w:space="0" w:color="000000"/>
            </w:tcBorders>
          </w:tcPr>
          <w:p w14:paraId="2CD7428E" w14:textId="77777777" w:rsidR="00616315" w:rsidRDefault="00616315" w:rsidP="00433A4B">
            <w:pPr>
              <w:pStyle w:val="TableParagraph"/>
              <w:spacing w:line="240" w:lineRule="exact"/>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Adalimumab 40 mg vsak teden</w:t>
            </w:r>
          </w:p>
          <w:p w14:paraId="59210146" w14:textId="77777777" w:rsidR="00616315" w:rsidRDefault="00616315" w:rsidP="00433A4B">
            <w:pPr>
              <w:pStyle w:val="TableParagraph"/>
              <w:spacing w:line="240" w:lineRule="exact"/>
              <w:jc w:val="center"/>
              <w:rPr>
                <w:rFonts w:ascii="Times New Roman" w:eastAsia="Times New Roman" w:hAnsi="Times New Roman" w:cs="Times New Roman"/>
                <w:lang w:val="sl-SI"/>
              </w:rPr>
            </w:pPr>
            <w:r>
              <w:rPr>
                <w:rFonts w:ascii="Times New Roman" w:eastAsia="Times New Roman" w:hAnsi="Times New Roman" w:cs="Times New Roman"/>
                <w:b/>
                <w:bCs/>
                <w:lang w:val="sl-SI"/>
              </w:rPr>
              <w:t>N = 70</w:t>
            </w:r>
          </w:p>
        </w:tc>
      </w:tr>
      <w:tr w:rsidR="00616315" w14:paraId="16AE4FFD" w14:textId="77777777" w:rsidTr="006F3477">
        <w:trPr>
          <w:trHeight w:val="101"/>
          <w:jc w:val="center"/>
        </w:trPr>
        <w:tc>
          <w:tcPr>
            <w:tcW w:w="1885" w:type="dxa"/>
            <w:tcBorders>
              <w:top w:val="single" w:sz="5" w:space="0" w:color="000000"/>
              <w:left w:val="single" w:sz="5" w:space="0" w:color="000000"/>
              <w:bottom w:val="single" w:sz="5" w:space="0" w:color="000000"/>
              <w:right w:val="single" w:sz="5" w:space="0" w:color="000000"/>
            </w:tcBorders>
          </w:tcPr>
          <w:p w14:paraId="0367329E" w14:textId="77777777" w:rsidR="00616315" w:rsidRDefault="00616315" w:rsidP="00433A4B">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24. teden</w:t>
            </w:r>
          </w:p>
        </w:tc>
        <w:tc>
          <w:tcPr>
            <w:tcW w:w="2391" w:type="dxa"/>
            <w:tcBorders>
              <w:top w:val="single" w:sz="5" w:space="0" w:color="000000"/>
              <w:left w:val="single" w:sz="5" w:space="0" w:color="000000"/>
              <w:bottom w:val="single" w:sz="5" w:space="0" w:color="000000"/>
              <w:right w:val="single" w:sz="5" w:space="0" w:color="000000"/>
            </w:tcBorders>
          </w:tcPr>
          <w:p w14:paraId="290D95F7" w14:textId="77777777" w:rsidR="00616315" w:rsidRDefault="00616315" w:rsidP="00433A4B">
            <w:pPr>
              <w:pStyle w:val="TableParagraph"/>
              <w:spacing w:before="24"/>
              <w:ind w:rightChars="8" w:right="18"/>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24 (32,9 %)</w:t>
            </w:r>
          </w:p>
        </w:tc>
        <w:tc>
          <w:tcPr>
            <w:tcW w:w="2391" w:type="dxa"/>
            <w:tcBorders>
              <w:top w:val="single" w:sz="5" w:space="0" w:color="000000"/>
              <w:left w:val="single" w:sz="5" w:space="0" w:color="000000"/>
              <w:bottom w:val="single" w:sz="5" w:space="0" w:color="000000"/>
              <w:right w:val="single" w:sz="5" w:space="0" w:color="000000"/>
            </w:tcBorders>
          </w:tcPr>
          <w:p w14:paraId="093EF1E9" w14:textId="77777777" w:rsidR="00616315" w:rsidRDefault="00616315" w:rsidP="00433A4B">
            <w:pPr>
              <w:pStyle w:val="TableParagraph"/>
              <w:spacing w:before="24"/>
              <w:ind w:rightChars="81" w:right="178"/>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36 (51,4 %)</w:t>
            </w:r>
          </w:p>
        </w:tc>
        <w:tc>
          <w:tcPr>
            <w:tcW w:w="2689" w:type="dxa"/>
            <w:tcBorders>
              <w:top w:val="single" w:sz="5" w:space="0" w:color="000000"/>
              <w:left w:val="single" w:sz="5" w:space="0" w:color="000000"/>
              <w:bottom w:val="single" w:sz="5" w:space="0" w:color="000000"/>
              <w:right w:val="single" w:sz="5" w:space="0" w:color="000000"/>
            </w:tcBorders>
          </w:tcPr>
          <w:p w14:paraId="4ED32E91" w14:textId="77777777" w:rsidR="00616315" w:rsidRDefault="00616315" w:rsidP="00433A4B">
            <w:pPr>
              <w:pStyle w:val="TableParagraph"/>
              <w:spacing w:before="24"/>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40 (57,1 %)</w:t>
            </w:r>
          </w:p>
        </w:tc>
      </w:tr>
      <w:tr w:rsidR="00616315" w14:paraId="2A53D553" w14:textId="77777777" w:rsidTr="006F3477">
        <w:trPr>
          <w:trHeight w:val="101"/>
          <w:jc w:val="center"/>
        </w:trPr>
        <w:tc>
          <w:tcPr>
            <w:tcW w:w="1885" w:type="dxa"/>
            <w:tcBorders>
              <w:top w:val="single" w:sz="5" w:space="0" w:color="000000"/>
              <w:left w:val="single" w:sz="5" w:space="0" w:color="000000"/>
              <w:bottom w:val="single" w:sz="5" w:space="0" w:color="000000"/>
              <w:right w:val="single" w:sz="5" w:space="0" w:color="000000"/>
            </w:tcBorders>
          </w:tcPr>
          <w:p w14:paraId="383F522F" w14:textId="77777777" w:rsidR="00616315" w:rsidRDefault="00616315" w:rsidP="00433A4B">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lang w:val="sl-SI"/>
              </w:rPr>
              <w:t>36. teden</w:t>
            </w:r>
          </w:p>
        </w:tc>
        <w:tc>
          <w:tcPr>
            <w:tcW w:w="2391" w:type="dxa"/>
            <w:tcBorders>
              <w:top w:val="single" w:sz="5" w:space="0" w:color="000000"/>
              <w:left w:val="single" w:sz="5" w:space="0" w:color="000000"/>
              <w:bottom w:val="single" w:sz="5" w:space="0" w:color="000000"/>
              <w:right w:val="single" w:sz="5" w:space="0" w:color="000000"/>
            </w:tcBorders>
          </w:tcPr>
          <w:p w14:paraId="7040B488" w14:textId="77777777" w:rsidR="00616315" w:rsidRDefault="00616315" w:rsidP="00433A4B">
            <w:pPr>
              <w:pStyle w:val="TableParagraph"/>
              <w:spacing w:before="24"/>
              <w:ind w:rightChars="8" w:right="18"/>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22 (30,1 %)</w:t>
            </w:r>
          </w:p>
        </w:tc>
        <w:tc>
          <w:tcPr>
            <w:tcW w:w="2391" w:type="dxa"/>
            <w:tcBorders>
              <w:top w:val="single" w:sz="5" w:space="0" w:color="000000"/>
              <w:left w:val="single" w:sz="5" w:space="0" w:color="000000"/>
              <w:bottom w:val="single" w:sz="5" w:space="0" w:color="000000"/>
              <w:right w:val="single" w:sz="5" w:space="0" w:color="000000"/>
            </w:tcBorders>
          </w:tcPr>
          <w:p w14:paraId="7D5AAEFA" w14:textId="77777777" w:rsidR="00616315" w:rsidRDefault="00616315" w:rsidP="00433A4B">
            <w:pPr>
              <w:pStyle w:val="TableParagraph"/>
              <w:spacing w:before="24"/>
              <w:ind w:rightChars="81" w:right="178"/>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28 (40,0 %)</w:t>
            </w:r>
          </w:p>
        </w:tc>
        <w:tc>
          <w:tcPr>
            <w:tcW w:w="2689" w:type="dxa"/>
            <w:tcBorders>
              <w:top w:val="single" w:sz="5" w:space="0" w:color="000000"/>
              <w:left w:val="single" w:sz="5" w:space="0" w:color="000000"/>
              <w:bottom w:val="single" w:sz="5" w:space="0" w:color="000000"/>
              <w:right w:val="single" w:sz="5" w:space="0" w:color="000000"/>
            </w:tcBorders>
          </w:tcPr>
          <w:p w14:paraId="1AF7AA7A" w14:textId="77777777" w:rsidR="00616315" w:rsidRDefault="00616315" w:rsidP="00433A4B">
            <w:pPr>
              <w:pStyle w:val="TableParagraph"/>
              <w:spacing w:before="24"/>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39 (55,7 %)</w:t>
            </w:r>
          </w:p>
        </w:tc>
      </w:tr>
      <w:tr w:rsidR="00616315" w:rsidRPr="00652F18" w14:paraId="20D5B055" w14:textId="77777777" w:rsidTr="006F3477">
        <w:trPr>
          <w:trHeight w:val="462"/>
          <w:jc w:val="center"/>
        </w:trPr>
        <w:tc>
          <w:tcPr>
            <w:tcW w:w="9356" w:type="dxa"/>
            <w:gridSpan w:val="4"/>
            <w:tcBorders>
              <w:top w:val="single" w:sz="5" w:space="0" w:color="000000"/>
              <w:left w:val="single" w:sz="5" w:space="0" w:color="000000"/>
              <w:bottom w:val="single" w:sz="5" w:space="0" w:color="000000"/>
              <w:right w:val="single" w:sz="5" w:space="0" w:color="000000"/>
            </w:tcBorders>
          </w:tcPr>
          <w:p w14:paraId="6D2BA42C" w14:textId="77777777" w:rsidR="00616315" w:rsidRDefault="00616315" w:rsidP="00721C46">
            <w:pPr>
              <w:pStyle w:val="a4"/>
              <w:numPr>
                <w:ilvl w:val="0"/>
                <w:numId w:val="152"/>
              </w:numPr>
              <w:tabs>
                <w:tab w:val="left" w:pos="344"/>
              </w:tabs>
              <w:spacing w:before="39" w:line="240" w:lineRule="exact"/>
              <w:ind w:left="344" w:right="494"/>
              <w:rPr>
                <w:rFonts w:ascii="Times New Roman" w:eastAsia="Times New Roman" w:hAnsi="Times New Roman" w:cs="Times New Roman"/>
                <w:lang w:val="sl-SI"/>
              </w:rPr>
            </w:pPr>
            <w:r>
              <w:rPr>
                <w:rFonts w:ascii="Times New Roman" w:eastAsia="Times New Roman" w:hAnsi="Times New Roman" w:cs="Times New Roman"/>
                <w:spacing w:val="-1"/>
                <w:lang w:val="sl-SI"/>
              </w:rPr>
              <w:t>Bolniki z vsaj delnim odzivom na odmerek 40 mg adalimumaba po 12 tednih zdravljenja.</w:t>
            </w:r>
          </w:p>
          <w:p w14:paraId="3E460FB7" w14:textId="77777777" w:rsidR="00616315" w:rsidRDefault="00616315" w:rsidP="00721C46">
            <w:pPr>
              <w:pStyle w:val="a4"/>
              <w:numPr>
                <w:ilvl w:val="0"/>
                <w:numId w:val="152"/>
              </w:numPr>
              <w:tabs>
                <w:tab w:val="left" w:pos="344"/>
              </w:tabs>
              <w:spacing w:before="41" w:line="240" w:lineRule="exact"/>
              <w:ind w:left="344" w:right="814"/>
              <w:jc w:val="both"/>
              <w:rPr>
                <w:rFonts w:ascii="Times New Roman" w:eastAsia="Times New Roman" w:hAnsi="Times New Roman" w:cs="Times New Roman"/>
                <w:lang w:val="sl-SI"/>
              </w:rPr>
            </w:pPr>
            <w:r>
              <w:rPr>
                <w:rFonts w:ascii="Times New Roman" w:eastAsia="Times New Roman" w:hAnsi="Times New Roman" w:cs="Times New Roman"/>
                <w:spacing w:val="-1"/>
                <w:lang w:val="sl-SI"/>
              </w:rPr>
              <w:t>Bolniki, ki izpolnjujejo merila, določena v protokolu za izgubo odziva ali brez izboljšanja, so bili izključeni iz študij in so še šteli pod bolnike brez odziva (“nonresponders”).</w:t>
            </w:r>
          </w:p>
        </w:tc>
      </w:tr>
    </w:tbl>
    <w:p w14:paraId="40DA5FFB" w14:textId="77777777" w:rsidR="00616315" w:rsidRDefault="00616315" w:rsidP="00616315">
      <w:pPr>
        <w:pStyle w:val="a3"/>
        <w:rPr>
          <w:spacing w:val="1"/>
          <w:lang w:val="sl-SI"/>
        </w:rPr>
      </w:pPr>
    </w:p>
    <w:p w14:paraId="14A0F561" w14:textId="77777777" w:rsidR="00616315" w:rsidRDefault="00616315" w:rsidP="00616315">
      <w:pPr>
        <w:pStyle w:val="a3"/>
        <w:rPr>
          <w:lang w:val="sl-SI"/>
        </w:rPr>
      </w:pPr>
      <w:r>
        <w:rPr>
          <w:rFonts w:eastAsia="Times New Roman"/>
          <w:spacing w:val="1"/>
          <w:lang w:val="sl-SI"/>
        </w:rPr>
        <w:t>Pri bolnikih z vsaj delnim odzivom na adalimumab v v 12. tednu, ki so prejemali neprekinjeno tedensko terapijo z adalimumabom vsak teden, je bila stopnja kliničnega odziva (HiSCR) v 48. tednu 68,3 %. v 96. tednu pa 65,1 %. Dolgotrajno zdravljenje z adalimumabom 40 mg na teden, ki je trajalo 96 tednov, ni dalo nobenih novih ugotovitev o varnosti.</w:t>
      </w:r>
    </w:p>
    <w:p w14:paraId="7DF251DE" w14:textId="77777777" w:rsidR="00616315" w:rsidRDefault="00616315" w:rsidP="00616315">
      <w:pPr>
        <w:pStyle w:val="a3"/>
        <w:rPr>
          <w:sz w:val="24"/>
          <w:szCs w:val="24"/>
          <w:lang w:val="sl-SI"/>
        </w:rPr>
      </w:pPr>
    </w:p>
    <w:p w14:paraId="543BA45D" w14:textId="77777777" w:rsidR="00616315" w:rsidRDefault="00616315" w:rsidP="00616315">
      <w:pPr>
        <w:pStyle w:val="a3"/>
        <w:rPr>
          <w:lang w:val="sl-SI"/>
        </w:rPr>
      </w:pPr>
      <w:r>
        <w:rPr>
          <w:rFonts w:eastAsia="Times New Roman"/>
          <w:spacing w:val="1"/>
          <w:lang w:val="sl-SI"/>
        </w:rPr>
        <w:t>Med bolniki, pri katerih je bilo zdravljenje z adalimumabom ukinjeno v 12. tednu v študijah HS-I in HS-II, se je po ponovni uvedbi adalimumaba 40 mg enkrat na teden raven kliničnega odziva (HiSCR) vrnila na podobno raven, kot so jo opazili pred ukinitvijo (56,0 %).</w:t>
      </w:r>
    </w:p>
    <w:p w14:paraId="0F1D6139" w14:textId="48D0D8B7" w:rsidR="00616315" w:rsidRDefault="00616315" w:rsidP="00616315">
      <w:pPr>
        <w:pStyle w:val="a3"/>
        <w:rPr>
          <w:sz w:val="24"/>
          <w:szCs w:val="24"/>
          <w:lang w:val="sl-SI"/>
        </w:rPr>
      </w:pPr>
    </w:p>
    <w:p w14:paraId="75278E96" w14:textId="737D128C" w:rsidR="00616315" w:rsidRDefault="00616315" w:rsidP="00616315">
      <w:pPr>
        <w:pStyle w:val="a3"/>
        <w:rPr>
          <w:rFonts w:eastAsia="Times New Roman"/>
          <w:lang w:val="sl-SI"/>
        </w:rPr>
      </w:pPr>
      <w:r>
        <w:rPr>
          <w:rFonts w:eastAsia="Times New Roman"/>
          <w:i/>
          <w:iCs/>
          <w:spacing w:val="-1"/>
          <w:lang w:val="sl-SI"/>
        </w:rPr>
        <w:t>Crohnova bolezen</w:t>
      </w:r>
    </w:p>
    <w:p w14:paraId="09960A41" w14:textId="77777777" w:rsidR="00616315" w:rsidRDefault="00616315" w:rsidP="00616315">
      <w:pPr>
        <w:pStyle w:val="a3"/>
        <w:rPr>
          <w:sz w:val="24"/>
          <w:szCs w:val="24"/>
          <w:lang w:val="sl-SI"/>
        </w:rPr>
      </w:pPr>
    </w:p>
    <w:p w14:paraId="5C141988" w14:textId="77777777" w:rsidR="00616315" w:rsidRDefault="00616315" w:rsidP="00616315">
      <w:pPr>
        <w:pStyle w:val="a3"/>
        <w:rPr>
          <w:lang w:val="sl-SI"/>
        </w:rPr>
      </w:pPr>
      <w:r>
        <w:rPr>
          <w:rFonts w:eastAsia="Times New Roman"/>
          <w:lang w:val="sl-SI"/>
        </w:rPr>
        <w:t xml:space="preserve">Varnost in učinkovitost adalimumaba so ocenili pri več kot 1500 bolnikih z zmerno do zelo aktivno Crohnovo boleznijo (indeks aktivnosti Crohnove bolezni [CDAI]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 xml:space="preserve"> 220 in </w:t>
      </w:r>
      <w:r>
        <w:rPr>
          <w:rFonts w:ascii="Symbol" w:eastAsia="Symbol" w:hAnsi="Symbol" w:cs="Symbol"/>
          <w:lang w:val="sl-SI"/>
        </w:rPr>
        <w:sym w:font="Symbol" w:char="F0A3"/>
      </w:r>
      <w:r>
        <w:rPr>
          <w:rFonts w:ascii="Symbol" w:eastAsia="Symbol" w:hAnsi="Symbol" w:cs="Symbol"/>
          <w:lang w:val="sl-SI"/>
        </w:rPr>
        <w:sym w:font="Symbol" w:char="F020"/>
      </w:r>
      <w:r>
        <w:rPr>
          <w:rFonts w:eastAsia="Times New Roman"/>
          <w:lang w:val="sl-SI"/>
        </w:rPr>
        <w:t> 450) v randomiziranih, dvojno slepih, s placebom kontroliranih študijah. Dovoljena je bila sočasna uporaba stabilnih odmerkov aminosalicilatov, kortikosteroidov in/ali imunomodulacijskih zdravil; 80 % bolnikov je še naprej prejemalo vsaj eno od takšnih zdravil.</w:t>
      </w:r>
    </w:p>
    <w:p w14:paraId="0A245FE9" w14:textId="77777777" w:rsidR="00616315" w:rsidRDefault="00616315" w:rsidP="00616315">
      <w:pPr>
        <w:pStyle w:val="a3"/>
        <w:rPr>
          <w:sz w:val="24"/>
          <w:szCs w:val="24"/>
          <w:lang w:val="sl-SI"/>
        </w:rPr>
      </w:pPr>
    </w:p>
    <w:p w14:paraId="30801788" w14:textId="77777777" w:rsidR="00616315" w:rsidRDefault="00616315" w:rsidP="00616315">
      <w:pPr>
        <w:pStyle w:val="a3"/>
        <w:rPr>
          <w:lang w:val="sl-SI"/>
        </w:rPr>
      </w:pPr>
      <w:r>
        <w:rPr>
          <w:rFonts w:eastAsia="Times New Roman"/>
          <w:lang w:val="sl-SI"/>
        </w:rPr>
        <w:t>Indukcijo klinične remisije (opredeljene kot CDAI &lt; 150) so ocenili v dveh študijah, študiji pri Crohnovi bolezni I (CLASSIC I) in študiji pri Crohnovi bolezni II (GAIN). V študiji pri Crohnovi bolezni I so 299 bolnikov, ki pred tem še niso dobivali antagonistov TNF, randomizirali v eno od štirih skupin: placebo 0. in 2. teden, 160 mg adalimumab 0. teden in 80 mg 2. teden, 80 mg 0. teden in 40 mg 2. teden oziroma 40 mg 0. teden in 20 mg 2. teden. V študiji pri Crohnovi bolezni II so 325 bolnikov, ki so se nehali odzivati na infliksimab ali ga niso prenesli, randomizirali bodisi na 160 mg adalimumaba 0. teden in 80 mg 2. teden bodisi na placebo 0. in 2. teden. Študija ni vključila primarno neodzivnih bolnikov in ti tako niso bili dodatno ocenjeni.</w:t>
      </w:r>
    </w:p>
    <w:p w14:paraId="3D13847D" w14:textId="77777777" w:rsidR="00616315" w:rsidRDefault="00616315" w:rsidP="00616315">
      <w:pPr>
        <w:pStyle w:val="a3"/>
        <w:rPr>
          <w:sz w:val="24"/>
          <w:szCs w:val="24"/>
          <w:lang w:val="sl-SI"/>
        </w:rPr>
      </w:pPr>
    </w:p>
    <w:p w14:paraId="30CE7F36" w14:textId="5EDD4F4C" w:rsidR="00616315" w:rsidRDefault="00616315" w:rsidP="00616315">
      <w:pPr>
        <w:pStyle w:val="a3"/>
        <w:rPr>
          <w:lang w:val="sl-SI"/>
        </w:rPr>
      </w:pPr>
      <w:r>
        <w:rPr>
          <w:rFonts w:eastAsia="Times New Roman"/>
          <w:lang w:val="sl-SI"/>
        </w:rPr>
        <w:t>Vzdrževanje klinične remisije je ocenjevala študija pri Crohnovi bolezni III (CHARM). V študiji pri Crohnovi bolezni III je 854 bolnikov po odprtem protokolu dobilo 80 mg 0. teden in 40 mg 2 teden. Na 4. teden so bolnike randomizirali na 40 mg vsak drugi teden, 40 mg vsak teden ali placebo; v celoti je študija trajala 56 tednov. Bolnike s kliničnim odzivom (znižanje CDAI ≥ 70) 4. teden so stratificirali in analizirali ločeno od bolnikov brez kliničnega odziva 4. teden. Po 8. tednu je bilo dovoljeno postopno zmanjševanje kortikosteroida.</w:t>
      </w:r>
    </w:p>
    <w:p w14:paraId="7CF2FF40" w14:textId="77777777" w:rsidR="00616315" w:rsidRDefault="00616315" w:rsidP="00616315">
      <w:pPr>
        <w:spacing w:before="11" w:line="240" w:lineRule="exact"/>
        <w:rPr>
          <w:sz w:val="24"/>
          <w:szCs w:val="24"/>
          <w:lang w:val="sl-SI"/>
        </w:rPr>
      </w:pPr>
    </w:p>
    <w:p w14:paraId="113722C7" w14:textId="6AF6DCEB" w:rsidR="00616315" w:rsidRDefault="00616315" w:rsidP="00616315">
      <w:pPr>
        <w:pStyle w:val="a3"/>
        <w:rPr>
          <w:lang w:val="sl-SI"/>
        </w:rPr>
      </w:pPr>
      <w:r>
        <w:rPr>
          <w:rFonts w:eastAsia="Times New Roman"/>
          <w:lang w:val="sl-SI"/>
        </w:rPr>
        <w:t>Indukcijo remisije in deleže odziva v študiji pri Crohnovi bolezni I in študiji pri Crohnovi bolezni II prikazuje preglednica </w:t>
      </w:r>
      <w:r w:rsidR="000E386D">
        <w:rPr>
          <w:rFonts w:eastAsia="Times New Roman"/>
          <w:lang w:val="sl-SI"/>
        </w:rPr>
        <w:t>14</w:t>
      </w:r>
      <w:r>
        <w:rPr>
          <w:rFonts w:eastAsia="Times New Roman"/>
          <w:lang w:val="sl-SI"/>
        </w:rPr>
        <w:t>.</w:t>
      </w:r>
    </w:p>
    <w:p w14:paraId="0B3DEEC2" w14:textId="77777777" w:rsidR="00616315" w:rsidRDefault="00616315" w:rsidP="00616315">
      <w:pPr>
        <w:pStyle w:val="a3"/>
        <w:jc w:val="center"/>
        <w:rPr>
          <w:b/>
          <w:lang w:val="sl-SI"/>
        </w:rPr>
      </w:pPr>
    </w:p>
    <w:p w14:paraId="61FD405F" w14:textId="7F9D435C" w:rsidR="00616315" w:rsidRDefault="00616315" w:rsidP="00616315">
      <w:pPr>
        <w:pStyle w:val="a3"/>
        <w:jc w:val="center"/>
        <w:rPr>
          <w:b/>
          <w:lang w:val="sl-SI"/>
        </w:rPr>
      </w:pPr>
      <w:r>
        <w:rPr>
          <w:rFonts w:eastAsia="Times New Roman"/>
          <w:b/>
          <w:bCs/>
          <w:lang w:val="sl-SI"/>
        </w:rPr>
        <w:t>Preglednica </w:t>
      </w:r>
      <w:r w:rsidR="000E386D">
        <w:rPr>
          <w:rFonts w:eastAsia="Times New Roman"/>
          <w:b/>
          <w:bCs/>
          <w:lang w:val="sl-SI"/>
        </w:rPr>
        <w:t>14</w:t>
      </w:r>
    </w:p>
    <w:p w14:paraId="4B9B69AF" w14:textId="5B6B2862" w:rsidR="00616315" w:rsidRDefault="00616315" w:rsidP="00616315">
      <w:pPr>
        <w:pStyle w:val="a3"/>
        <w:jc w:val="center"/>
        <w:rPr>
          <w:rFonts w:eastAsia="Times New Roman"/>
          <w:b/>
          <w:bCs/>
          <w:lang w:val="sl-SI"/>
        </w:rPr>
      </w:pPr>
      <w:r>
        <w:rPr>
          <w:rFonts w:eastAsia="Times New Roman"/>
          <w:b/>
          <w:bCs/>
          <w:lang w:val="sl-SI"/>
        </w:rPr>
        <w:t>Indukcija klinične remisije in odziva (odstotek bolnikov)</w:t>
      </w:r>
    </w:p>
    <w:p w14:paraId="38F911F7" w14:textId="77777777" w:rsidR="0029566D" w:rsidRDefault="0029566D" w:rsidP="00616315">
      <w:pPr>
        <w:pStyle w:val="a3"/>
        <w:jc w:val="center"/>
        <w:rPr>
          <w:b/>
          <w:lang w:val="sl-SI"/>
        </w:rPr>
      </w:pPr>
    </w:p>
    <w:p w14:paraId="24322B01" w14:textId="77777777" w:rsidR="00616315" w:rsidRDefault="00616315" w:rsidP="00616315">
      <w:pPr>
        <w:spacing w:before="3" w:line="10" w:lineRule="exact"/>
        <w:rPr>
          <w:sz w:val="4"/>
          <w:szCs w:val="4"/>
          <w:lang w:val="sl-SI"/>
        </w:rPr>
      </w:pPr>
    </w:p>
    <w:tbl>
      <w:tblPr>
        <w:tblStyle w:val="TableNormal1"/>
        <w:tblW w:w="9492" w:type="dxa"/>
        <w:tblLayout w:type="fixed"/>
        <w:tblLook w:val="01E0" w:firstRow="1" w:lastRow="1" w:firstColumn="1" w:lastColumn="1" w:noHBand="0" w:noVBand="0"/>
      </w:tblPr>
      <w:tblGrid>
        <w:gridCol w:w="2311"/>
        <w:gridCol w:w="1085"/>
        <w:gridCol w:w="1356"/>
        <w:gridCol w:w="1338"/>
        <w:gridCol w:w="1559"/>
        <w:gridCol w:w="1843"/>
      </w:tblGrid>
      <w:tr w:rsidR="00616315" w:rsidRPr="00652F18" w14:paraId="71D06C2F" w14:textId="77777777" w:rsidTr="00433A4B">
        <w:tc>
          <w:tcPr>
            <w:tcW w:w="2311" w:type="dxa"/>
            <w:tcBorders>
              <w:top w:val="single" w:sz="5" w:space="0" w:color="000000"/>
              <w:left w:val="single" w:sz="5" w:space="0" w:color="000000"/>
              <w:bottom w:val="single" w:sz="5" w:space="0" w:color="000000"/>
              <w:right w:val="single" w:sz="5" w:space="0" w:color="000000"/>
            </w:tcBorders>
          </w:tcPr>
          <w:p w14:paraId="33A88354" w14:textId="77777777" w:rsidR="00616315" w:rsidRDefault="00616315" w:rsidP="00433A4B">
            <w:pPr>
              <w:rPr>
                <w:lang w:val="sl-SI"/>
              </w:rPr>
            </w:pPr>
          </w:p>
        </w:tc>
        <w:tc>
          <w:tcPr>
            <w:tcW w:w="3779" w:type="dxa"/>
            <w:gridSpan w:val="3"/>
            <w:tcBorders>
              <w:top w:val="single" w:sz="5" w:space="0" w:color="000000"/>
              <w:left w:val="single" w:sz="5" w:space="0" w:color="000000"/>
              <w:bottom w:val="single" w:sz="5" w:space="0" w:color="000000"/>
              <w:right w:val="single" w:sz="5" w:space="0" w:color="000000"/>
            </w:tcBorders>
          </w:tcPr>
          <w:p w14:paraId="62C30FAB" w14:textId="77777777" w:rsidR="00616315" w:rsidRDefault="00616315" w:rsidP="00433A4B">
            <w:pPr>
              <w:pStyle w:val="TableParagraph"/>
              <w:spacing w:before="39" w:line="240" w:lineRule="exact"/>
              <w:ind w:left="102" w:right="15"/>
              <w:rPr>
                <w:rFonts w:ascii="Times New Roman" w:eastAsia="Times New Roman" w:hAnsi="Times New Roman" w:cs="Times New Roman"/>
                <w:lang w:val="sl-SI"/>
              </w:rPr>
            </w:pPr>
            <w:r>
              <w:rPr>
                <w:rFonts w:ascii="Times New Roman" w:eastAsia="Times New Roman" w:hAnsi="Times New Roman" w:cs="Times New Roman"/>
                <w:b/>
                <w:bCs/>
                <w:spacing w:val="-1"/>
                <w:lang w:val="sl-SI"/>
              </w:rPr>
              <w:t>Študija pri Crohnovi bolezni I: Bolniki, ki še niso dobivali infliksimaba</w:t>
            </w:r>
          </w:p>
        </w:tc>
        <w:tc>
          <w:tcPr>
            <w:tcW w:w="3402" w:type="dxa"/>
            <w:gridSpan w:val="2"/>
            <w:tcBorders>
              <w:top w:val="single" w:sz="5" w:space="0" w:color="000000"/>
              <w:left w:val="single" w:sz="5" w:space="0" w:color="000000"/>
              <w:bottom w:val="single" w:sz="5" w:space="0" w:color="000000"/>
              <w:right w:val="single" w:sz="5" w:space="0" w:color="000000"/>
            </w:tcBorders>
          </w:tcPr>
          <w:p w14:paraId="703D115F" w14:textId="77777777" w:rsidR="00616315" w:rsidRDefault="00616315" w:rsidP="00433A4B">
            <w:pPr>
              <w:pStyle w:val="TableParagraph"/>
              <w:spacing w:before="39" w:line="240"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Študija pri Crohnovi bolezni II: Bolniki, ki so že dobivali infliksimab</w:t>
            </w:r>
          </w:p>
        </w:tc>
      </w:tr>
      <w:tr w:rsidR="00616315" w14:paraId="72219F1D" w14:textId="77777777" w:rsidTr="00433A4B">
        <w:tc>
          <w:tcPr>
            <w:tcW w:w="2311" w:type="dxa"/>
            <w:tcBorders>
              <w:top w:val="single" w:sz="5" w:space="0" w:color="000000"/>
              <w:left w:val="single" w:sz="5" w:space="0" w:color="000000"/>
              <w:bottom w:val="single" w:sz="5" w:space="0" w:color="000000"/>
              <w:right w:val="single" w:sz="5" w:space="0" w:color="000000"/>
            </w:tcBorders>
          </w:tcPr>
          <w:p w14:paraId="63D33EE2" w14:textId="77777777" w:rsidR="00616315" w:rsidRDefault="00616315" w:rsidP="00433A4B">
            <w:pPr>
              <w:rPr>
                <w:lang w:val="sl-SI"/>
              </w:rPr>
            </w:pPr>
          </w:p>
        </w:tc>
        <w:tc>
          <w:tcPr>
            <w:tcW w:w="1085" w:type="dxa"/>
            <w:tcBorders>
              <w:top w:val="single" w:sz="5" w:space="0" w:color="000000"/>
              <w:left w:val="single" w:sz="5" w:space="0" w:color="000000"/>
              <w:bottom w:val="single" w:sz="5" w:space="0" w:color="000000"/>
              <w:right w:val="single" w:sz="5" w:space="0" w:color="000000"/>
            </w:tcBorders>
            <w:vAlign w:val="center"/>
          </w:tcPr>
          <w:p w14:paraId="3A204F06" w14:textId="77777777" w:rsidR="00616315" w:rsidRDefault="00616315" w:rsidP="00433A4B">
            <w:pPr>
              <w:pStyle w:val="TableParagraph"/>
              <w:spacing w:before="24" w:line="268" w:lineRule="auto"/>
              <w:ind w:firstLineChars="50" w:firstLine="110"/>
              <w:jc w:val="center"/>
              <w:rPr>
                <w:rFonts w:ascii="Times New Roman" w:eastAsia="Times New Roman" w:hAnsi="Times New Roman" w:cs="Times New Roman"/>
                <w:b/>
                <w:bCs/>
                <w:lang w:val="sl-SI"/>
              </w:rPr>
            </w:pPr>
            <w:r>
              <w:rPr>
                <w:rFonts w:ascii="Times New Roman" w:eastAsia="Times New Roman" w:hAnsi="Times New Roman" w:cs="Times New Roman"/>
                <w:b/>
                <w:bCs/>
                <w:lang w:val="sl-SI"/>
              </w:rPr>
              <w:t xml:space="preserve">Placebo </w:t>
            </w:r>
          </w:p>
          <w:p w14:paraId="04847ABE" w14:textId="77777777" w:rsidR="00616315" w:rsidRDefault="00616315" w:rsidP="00433A4B">
            <w:pPr>
              <w:pStyle w:val="TableParagraph"/>
              <w:spacing w:before="24" w:line="268" w:lineRule="auto"/>
              <w:ind w:firstLineChars="50" w:firstLine="110"/>
              <w:jc w:val="center"/>
              <w:rPr>
                <w:rFonts w:ascii="Times New Roman" w:eastAsia="Times New Roman" w:hAnsi="Times New Roman" w:cs="Times New Roman"/>
                <w:lang w:val="sl-SI"/>
              </w:rPr>
            </w:pPr>
            <w:r>
              <w:rPr>
                <w:rFonts w:ascii="Times New Roman" w:eastAsia="Times New Roman" w:hAnsi="Times New Roman" w:cs="Times New Roman"/>
                <w:b/>
                <w:bCs/>
                <w:lang w:val="sl-SI"/>
              </w:rPr>
              <w:t>N = 74</w:t>
            </w:r>
          </w:p>
        </w:tc>
        <w:tc>
          <w:tcPr>
            <w:tcW w:w="1356" w:type="dxa"/>
            <w:tcBorders>
              <w:top w:val="single" w:sz="5" w:space="0" w:color="000000"/>
              <w:left w:val="single" w:sz="5" w:space="0" w:color="000000"/>
              <w:bottom w:val="single" w:sz="5" w:space="0" w:color="000000"/>
              <w:right w:val="single" w:sz="5" w:space="0" w:color="000000"/>
            </w:tcBorders>
            <w:vAlign w:val="center"/>
          </w:tcPr>
          <w:p w14:paraId="69656B2A" w14:textId="77777777" w:rsidR="00616315" w:rsidRDefault="00616315" w:rsidP="00433A4B">
            <w:pPr>
              <w:pStyle w:val="TableParagraph"/>
              <w:spacing w:before="24" w:line="266" w:lineRule="auto"/>
              <w:ind w:hanging="4"/>
              <w:jc w:val="center"/>
              <w:rPr>
                <w:rFonts w:ascii="Times New Roman" w:eastAsia="Times New Roman" w:hAnsi="Times New Roman" w:cs="Times New Roman"/>
                <w:lang w:val="sl-SI"/>
              </w:rPr>
            </w:pPr>
            <w:r>
              <w:rPr>
                <w:rFonts w:ascii="Times New Roman" w:eastAsia="Times New Roman" w:hAnsi="Times New Roman" w:cs="Times New Roman"/>
                <w:b/>
                <w:bCs/>
                <w:lang w:val="sl-SI"/>
              </w:rPr>
              <w:t xml:space="preserve">Adalimumab 80/40 mg </w:t>
            </w:r>
            <w:r>
              <w:rPr>
                <w:rFonts w:ascii="Times New Roman" w:eastAsia="Times New Roman" w:hAnsi="Times New Roman" w:cs="Times New Roman"/>
                <w:b/>
                <w:bCs/>
                <w:lang w:val="sl-SI"/>
              </w:rPr>
              <w:br/>
              <w:t>N = 75</w:t>
            </w:r>
          </w:p>
        </w:tc>
        <w:tc>
          <w:tcPr>
            <w:tcW w:w="1338" w:type="dxa"/>
            <w:tcBorders>
              <w:top w:val="single" w:sz="5" w:space="0" w:color="000000"/>
              <w:left w:val="single" w:sz="5" w:space="0" w:color="000000"/>
              <w:bottom w:val="single" w:sz="5" w:space="0" w:color="000000"/>
              <w:right w:val="single" w:sz="5" w:space="0" w:color="000000"/>
            </w:tcBorders>
            <w:vAlign w:val="center"/>
          </w:tcPr>
          <w:p w14:paraId="72CD2789" w14:textId="77777777" w:rsidR="00616315" w:rsidRDefault="00616315" w:rsidP="00433A4B">
            <w:pPr>
              <w:pStyle w:val="TableParagraph"/>
              <w:spacing w:before="24" w:line="248" w:lineRule="auto"/>
              <w:jc w:val="center"/>
              <w:rPr>
                <w:rFonts w:ascii="Times New Roman" w:eastAsia="Times New Roman" w:hAnsi="Times New Roman" w:cs="Times New Roman"/>
                <w:b/>
                <w:bCs/>
                <w:lang w:val="sl-SI"/>
              </w:rPr>
            </w:pPr>
            <w:r>
              <w:rPr>
                <w:rFonts w:ascii="Times New Roman" w:eastAsia="Times New Roman" w:hAnsi="Times New Roman" w:cs="Times New Roman"/>
                <w:b/>
                <w:bCs/>
                <w:lang w:val="sl-SI"/>
              </w:rPr>
              <w:t xml:space="preserve">Adalimumab 160/80 mg </w:t>
            </w:r>
          </w:p>
          <w:p w14:paraId="4372A795" w14:textId="77777777" w:rsidR="00616315" w:rsidRDefault="00616315" w:rsidP="00433A4B">
            <w:pPr>
              <w:pStyle w:val="TableParagraph"/>
              <w:spacing w:before="24" w:line="248" w:lineRule="auto"/>
              <w:jc w:val="center"/>
              <w:rPr>
                <w:rFonts w:ascii="Times New Roman" w:eastAsia="Times New Roman" w:hAnsi="Times New Roman" w:cs="Times New Roman"/>
                <w:lang w:val="sl-SI"/>
              </w:rPr>
            </w:pPr>
            <w:r>
              <w:rPr>
                <w:rFonts w:ascii="Times New Roman" w:eastAsia="Times New Roman" w:hAnsi="Times New Roman" w:cs="Times New Roman"/>
                <w:b/>
                <w:bCs/>
                <w:lang w:val="sl-SI"/>
              </w:rPr>
              <w:t>N = 76</w:t>
            </w:r>
          </w:p>
        </w:tc>
        <w:tc>
          <w:tcPr>
            <w:tcW w:w="1559" w:type="dxa"/>
            <w:tcBorders>
              <w:top w:val="single" w:sz="5" w:space="0" w:color="000000"/>
              <w:left w:val="single" w:sz="5" w:space="0" w:color="000000"/>
              <w:bottom w:val="single" w:sz="5" w:space="0" w:color="000000"/>
              <w:right w:val="single" w:sz="5" w:space="0" w:color="000000"/>
            </w:tcBorders>
            <w:vAlign w:val="center"/>
          </w:tcPr>
          <w:p w14:paraId="2093DFDD" w14:textId="77777777" w:rsidR="00616315" w:rsidRDefault="00616315" w:rsidP="00433A4B">
            <w:pPr>
              <w:pStyle w:val="TableParagraph"/>
              <w:spacing w:before="24" w:line="268" w:lineRule="auto"/>
              <w:jc w:val="center"/>
              <w:rPr>
                <w:rFonts w:ascii="Times New Roman" w:eastAsia="Times New Roman" w:hAnsi="Times New Roman" w:cs="Times New Roman"/>
                <w:b/>
                <w:bCs/>
                <w:lang w:val="sl-SI"/>
              </w:rPr>
            </w:pPr>
            <w:r>
              <w:rPr>
                <w:rFonts w:ascii="Times New Roman" w:eastAsia="Times New Roman" w:hAnsi="Times New Roman" w:cs="Times New Roman"/>
                <w:b/>
                <w:bCs/>
                <w:lang w:val="sl-SI"/>
              </w:rPr>
              <w:t xml:space="preserve">Placebo </w:t>
            </w:r>
          </w:p>
          <w:p w14:paraId="63FFE7DE" w14:textId="77777777" w:rsidR="00616315" w:rsidRDefault="00616315" w:rsidP="00433A4B">
            <w:pPr>
              <w:pStyle w:val="TableParagraph"/>
              <w:spacing w:before="24" w:line="268" w:lineRule="auto"/>
              <w:jc w:val="center"/>
              <w:rPr>
                <w:rFonts w:ascii="Times New Roman" w:eastAsia="Times New Roman" w:hAnsi="Times New Roman" w:cs="Times New Roman"/>
                <w:lang w:val="sl-SI"/>
              </w:rPr>
            </w:pPr>
            <w:r>
              <w:rPr>
                <w:rFonts w:ascii="Times New Roman" w:eastAsia="Times New Roman" w:hAnsi="Times New Roman" w:cs="Times New Roman"/>
                <w:b/>
                <w:bCs/>
                <w:lang w:val="sl-SI"/>
              </w:rPr>
              <w:t>N = 166</w:t>
            </w:r>
          </w:p>
        </w:tc>
        <w:tc>
          <w:tcPr>
            <w:tcW w:w="1843" w:type="dxa"/>
            <w:tcBorders>
              <w:top w:val="single" w:sz="5" w:space="0" w:color="000000"/>
              <w:left w:val="single" w:sz="5" w:space="0" w:color="000000"/>
              <w:bottom w:val="single" w:sz="5" w:space="0" w:color="000000"/>
              <w:right w:val="single" w:sz="5" w:space="0" w:color="000000"/>
            </w:tcBorders>
            <w:vAlign w:val="center"/>
          </w:tcPr>
          <w:p w14:paraId="6B6F0D88" w14:textId="77777777" w:rsidR="00616315" w:rsidRDefault="00616315" w:rsidP="00433A4B">
            <w:pPr>
              <w:pStyle w:val="TableParagraph"/>
              <w:spacing w:before="24" w:line="266" w:lineRule="auto"/>
              <w:ind w:hanging="4"/>
              <w:jc w:val="center"/>
              <w:rPr>
                <w:rFonts w:ascii="Times New Roman" w:eastAsia="Times New Roman" w:hAnsi="Times New Roman" w:cs="Times New Roman"/>
                <w:b/>
                <w:bCs/>
                <w:lang w:val="sl-SI"/>
              </w:rPr>
            </w:pPr>
            <w:r>
              <w:rPr>
                <w:rFonts w:ascii="Times New Roman" w:eastAsia="Times New Roman" w:hAnsi="Times New Roman" w:cs="Times New Roman"/>
                <w:b/>
                <w:bCs/>
                <w:lang w:val="sl-SI"/>
              </w:rPr>
              <w:t xml:space="preserve">Adalimumab 160/80 mg </w:t>
            </w:r>
          </w:p>
          <w:p w14:paraId="1E670B1A" w14:textId="77777777" w:rsidR="00616315" w:rsidRDefault="00616315" w:rsidP="00433A4B">
            <w:pPr>
              <w:pStyle w:val="TableParagraph"/>
              <w:spacing w:before="24" w:line="266" w:lineRule="auto"/>
              <w:ind w:hanging="4"/>
              <w:jc w:val="center"/>
              <w:rPr>
                <w:rFonts w:ascii="Times New Roman" w:eastAsia="Times New Roman" w:hAnsi="Times New Roman" w:cs="Times New Roman"/>
                <w:lang w:val="sl-SI"/>
              </w:rPr>
            </w:pPr>
            <w:r>
              <w:rPr>
                <w:rFonts w:ascii="Times New Roman" w:eastAsia="Times New Roman" w:hAnsi="Times New Roman" w:cs="Times New Roman"/>
                <w:b/>
                <w:bCs/>
                <w:lang w:val="sl-SI"/>
              </w:rPr>
              <w:t>N = 159</w:t>
            </w:r>
          </w:p>
        </w:tc>
      </w:tr>
      <w:tr w:rsidR="00616315" w14:paraId="0D40D633" w14:textId="77777777" w:rsidTr="00433A4B">
        <w:tc>
          <w:tcPr>
            <w:tcW w:w="2311" w:type="dxa"/>
            <w:tcBorders>
              <w:top w:val="single" w:sz="5" w:space="0" w:color="000000"/>
              <w:left w:val="single" w:sz="5" w:space="0" w:color="000000"/>
              <w:bottom w:val="single" w:sz="5" w:space="0" w:color="000000"/>
              <w:right w:val="single" w:sz="5" w:space="0" w:color="000000"/>
            </w:tcBorders>
          </w:tcPr>
          <w:p w14:paraId="0EE1FDFF" w14:textId="77777777" w:rsidR="00616315" w:rsidRDefault="00616315" w:rsidP="00433A4B">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lang w:val="sl-SI"/>
              </w:rPr>
              <w:t>4. teden</w:t>
            </w:r>
          </w:p>
        </w:tc>
        <w:tc>
          <w:tcPr>
            <w:tcW w:w="1085" w:type="dxa"/>
            <w:tcBorders>
              <w:top w:val="single" w:sz="5" w:space="0" w:color="000000"/>
              <w:left w:val="single" w:sz="5" w:space="0" w:color="000000"/>
              <w:bottom w:val="single" w:sz="5" w:space="0" w:color="000000"/>
              <w:right w:val="single" w:sz="5" w:space="0" w:color="000000"/>
            </w:tcBorders>
          </w:tcPr>
          <w:p w14:paraId="0ED9C6D4" w14:textId="77777777" w:rsidR="00616315" w:rsidRDefault="00616315" w:rsidP="00433A4B">
            <w:pPr>
              <w:rPr>
                <w:lang w:val="sl-SI"/>
              </w:rPr>
            </w:pPr>
          </w:p>
        </w:tc>
        <w:tc>
          <w:tcPr>
            <w:tcW w:w="1356" w:type="dxa"/>
            <w:tcBorders>
              <w:top w:val="single" w:sz="5" w:space="0" w:color="000000"/>
              <w:left w:val="single" w:sz="5" w:space="0" w:color="000000"/>
              <w:bottom w:val="single" w:sz="5" w:space="0" w:color="000000"/>
              <w:right w:val="single" w:sz="5" w:space="0" w:color="000000"/>
            </w:tcBorders>
          </w:tcPr>
          <w:p w14:paraId="53AD666A" w14:textId="77777777" w:rsidR="00616315" w:rsidRDefault="00616315" w:rsidP="00433A4B">
            <w:pPr>
              <w:rPr>
                <w:lang w:val="sl-SI"/>
              </w:rPr>
            </w:pPr>
          </w:p>
        </w:tc>
        <w:tc>
          <w:tcPr>
            <w:tcW w:w="1338" w:type="dxa"/>
            <w:tcBorders>
              <w:top w:val="single" w:sz="5" w:space="0" w:color="000000"/>
              <w:left w:val="single" w:sz="5" w:space="0" w:color="000000"/>
              <w:bottom w:val="single" w:sz="5" w:space="0" w:color="000000"/>
              <w:right w:val="single" w:sz="5" w:space="0" w:color="000000"/>
            </w:tcBorders>
          </w:tcPr>
          <w:p w14:paraId="3E3EE193" w14:textId="77777777" w:rsidR="00616315" w:rsidRDefault="00616315" w:rsidP="00433A4B">
            <w:pPr>
              <w:rPr>
                <w:lang w:val="sl-SI"/>
              </w:rPr>
            </w:pPr>
          </w:p>
        </w:tc>
        <w:tc>
          <w:tcPr>
            <w:tcW w:w="1559" w:type="dxa"/>
            <w:tcBorders>
              <w:top w:val="single" w:sz="5" w:space="0" w:color="000000"/>
              <w:left w:val="single" w:sz="5" w:space="0" w:color="000000"/>
              <w:bottom w:val="single" w:sz="5" w:space="0" w:color="000000"/>
              <w:right w:val="single" w:sz="5" w:space="0" w:color="000000"/>
            </w:tcBorders>
          </w:tcPr>
          <w:p w14:paraId="0D60A1EB" w14:textId="77777777" w:rsidR="00616315" w:rsidRDefault="00616315" w:rsidP="00433A4B">
            <w:pPr>
              <w:rPr>
                <w:lang w:val="sl-SI"/>
              </w:rPr>
            </w:pPr>
          </w:p>
        </w:tc>
        <w:tc>
          <w:tcPr>
            <w:tcW w:w="1843" w:type="dxa"/>
            <w:tcBorders>
              <w:top w:val="single" w:sz="5" w:space="0" w:color="000000"/>
              <w:left w:val="single" w:sz="5" w:space="0" w:color="000000"/>
              <w:bottom w:val="single" w:sz="5" w:space="0" w:color="000000"/>
              <w:right w:val="single" w:sz="5" w:space="0" w:color="000000"/>
            </w:tcBorders>
          </w:tcPr>
          <w:p w14:paraId="4F305BDC" w14:textId="77777777" w:rsidR="00616315" w:rsidRDefault="00616315" w:rsidP="00433A4B">
            <w:pPr>
              <w:rPr>
                <w:lang w:val="sl-SI"/>
              </w:rPr>
            </w:pPr>
          </w:p>
        </w:tc>
      </w:tr>
      <w:tr w:rsidR="00616315" w14:paraId="3A7C8C3F" w14:textId="77777777" w:rsidTr="00433A4B">
        <w:tc>
          <w:tcPr>
            <w:tcW w:w="2311" w:type="dxa"/>
            <w:tcBorders>
              <w:top w:val="single" w:sz="5" w:space="0" w:color="000000"/>
              <w:left w:val="single" w:sz="5" w:space="0" w:color="000000"/>
              <w:bottom w:val="single" w:sz="5" w:space="0" w:color="000000"/>
              <w:right w:val="single" w:sz="5" w:space="0" w:color="000000"/>
            </w:tcBorders>
          </w:tcPr>
          <w:p w14:paraId="0B661CC0" w14:textId="77777777" w:rsidR="00616315" w:rsidRDefault="00616315" w:rsidP="00433A4B">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Klinična remisija</w:t>
            </w:r>
          </w:p>
        </w:tc>
        <w:tc>
          <w:tcPr>
            <w:tcW w:w="1085" w:type="dxa"/>
            <w:tcBorders>
              <w:top w:val="single" w:sz="5" w:space="0" w:color="000000"/>
              <w:left w:val="single" w:sz="5" w:space="0" w:color="000000"/>
              <w:bottom w:val="single" w:sz="5" w:space="0" w:color="000000"/>
              <w:right w:val="single" w:sz="5" w:space="0" w:color="000000"/>
            </w:tcBorders>
          </w:tcPr>
          <w:p w14:paraId="6769AA65" w14:textId="77777777" w:rsidR="00616315" w:rsidRDefault="00616315" w:rsidP="00433A4B">
            <w:pPr>
              <w:pStyle w:val="TableParagraph"/>
              <w:spacing w:before="24"/>
              <w:ind w:left="387"/>
              <w:rPr>
                <w:rFonts w:ascii="Times New Roman" w:eastAsia="Times New Roman" w:hAnsi="Times New Roman" w:cs="Times New Roman"/>
                <w:lang w:val="sl-SI"/>
              </w:rPr>
            </w:pPr>
            <w:r>
              <w:rPr>
                <w:rFonts w:ascii="Times New Roman" w:eastAsia="Times New Roman" w:hAnsi="Times New Roman" w:cs="Times New Roman"/>
                <w:lang w:val="sl-SI"/>
              </w:rPr>
              <w:t>12 %</w:t>
            </w:r>
          </w:p>
        </w:tc>
        <w:tc>
          <w:tcPr>
            <w:tcW w:w="1356" w:type="dxa"/>
            <w:tcBorders>
              <w:top w:val="single" w:sz="5" w:space="0" w:color="000000"/>
              <w:left w:val="single" w:sz="5" w:space="0" w:color="000000"/>
              <w:bottom w:val="single" w:sz="5" w:space="0" w:color="000000"/>
              <w:right w:val="single" w:sz="5" w:space="0" w:color="000000"/>
            </w:tcBorders>
          </w:tcPr>
          <w:p w14:paraId="5BBACAD1" w14:textId="77777777" w:rsidR="00616315" w:rsidRDefault="00616315" w:rsidP="00433A4B">
            <w:pPr>
              <w:pStyle w:val="TableParagraph"/>
              <w:spacing w:before="24"/>
              <w:ind w:left="395" w:right="398"/>
              <w:jc w:val="center"/>
              <w:rPr>
                <w:rFonts w:ascii="Times New Roman" w:eastAsia="Times New Roman" w:hAnsi="Times New Roman" w:cs="Times New Roman"/>
                <w:lang w:val="sl-SI"/>
              </w:rPr>
            </w:pPr>
            <w:r>
              <w:rPr>
                <w:rFonts w:ascii="Times New Roman" w:eastAsia="Times New Roman" w:hAnsi="Times New Roman" w:cs="Times New Roman"/>
                <w:lang w:val="sl-SI"/>
              </w:rPr>
              <w:t>24 %</w:t>
            </w:r>
          </w:p>
        </w:tc>
        <w:tc>
          <w:tcPr>
            <w:tcW w:w="1338" w:type="dxa"/>
            <w:tcBorders>
              <w:top w:val="single" w:sz="5" w:space="0" w:color="000000"/>
              <w:left w:val="single" w:sz="5" w:space="0" w:color="000000"/>
              <w:bottom w:val="single" w:sz="5" w:space="0" w:color="000000"/>
              <w:right w:val="single" w:sz="5" w:space="0" w:color="000000"/>
            </w:tcBorders>
          </w:tcPr>
          <w:p w14:paraId="2803A3DF" w14:textId="77777777" w:rsidR="00616315" w:rsidRDefault="00616315" w:rsidP="00433A4B">
            <w:pPr>
              <w:pStyle w:val="TableParagraph"/>
              <w:spacing w:before="18"/>
              <w:ind w:left="344"/>
              <w:rPr>
                <w:rFonts w:ascii="Times New Roman" w:eastAsia="Times New Roman" w:hAnsi="Times New Roman" w:cs="Times New Roman"/>
                <w:sz w:val="14"/>
                <w:szCs w:val="14"/>
                <w:lang w:val="sl-SI"/>
              </w:rPr>
            </w:pPr>
            <w:r>
              <w:rPr>
                <w:rFonts w:ascii="Times New Roman" w:eastAsia="Times New Roman" w:hAnsi="Times New Roman" w:cs="Times New Roman"/>
                <w:lang w:val="sl-SI"/>
              </w:rPr>
              <w:t>36 %</w:t>
            </w:r>
            <w:r>
              <w:rPr>
                <w:rFonts w:ascii="Times New Roman" w:eastAsia="Times New Roman" w:hAnsi="Times New Roman" w:cs="Times New Roman"/>
                <w:sz w:val="14"/>
                <w:szCs w:val="14"/>
                <w:lang w:val="sl-SI"/>
              </w:rPr>
              <w:t>*</w:t>
            </w:r>
          </w:p>
        </w:tc>
        <w:tc>
          <w:tcPr>
            <w:tcW w:w="1559" w:type="dxa"/>
            <w:tcBorders>
              <w:top w:val="single" w:sz="5" w:space="0" w:color="000000"/>
              <w:left w:val="single" w:sz="5" w:space="0" w:color="000000"/>
              <w:bottom w:val="single" w:sz="5" w:space="0" w:color="000000"/>
              <w:right w:val="single" w:sz="5" w:space="0" w:color="000000"/>
            </w:tcBorders>
          </w:tcPr>
          <w:p w14:paraId="2EB263BA" w14:textId="77777777" w:rsidR="00616315" w:rsidRDefault="00616315" w:rsidP="00433A4B">
            <w:pPr>
              <w:pStyle w:val="TableParagraph"/>
              <w:spacing w:before="24"/>
              <w:ind w:left="519" w:right="520"/>
              <w:jc w:val="center"/>
              <w:rPr>
                <w:rFonts w:ascii="Times New Roman" w:eastAsia="Times New Roman" w:hAnsi="Times New Roman" w:cs="Times New Roman"/>
                <w:lang w:val="sl-SI"/>
              </w:rPr>
            </w:pPr>
            <w:r>
              <w:rPr>
                <w:rFonts w:ascii="Times New Roman" w:eastAsia="Times New Roman" w:hAnsi="Times New Roman" w:cs="Times New Roman"/>
                <w:lang w:val="sl-SI"/>
              </w:rPr>
              <w:t>7 %</w:t>
            </w:r>
          </w:p>
        </w:tc>
        <w:tc>
          <w:tcPr>
            <w:tcW w:w="1843" w:type="dxa"/>
            <w:tcBorders>
              <w:top w:val="single" w:sz="5" w:space="0" w:color="000000"/>
              <w:left w:val="single" w:sz="5" w:space="0" w:color="000000"/>
              <w:bottom w:val="single" w:sz="5" w:space="0" w:color="000000"/>
              <w:right w:val="single" w:sz="5" w:space="0" w:color="000000"/>
            </w:tcBorders>
          </w:tcPr>
          <w:p w14:paraId="0CA89583" w14:textId="77777777" w:rsidR="00616315" w:rsidRDefault="00616315" w:rsidP="00433A4B">
            <w:pPr>
              <w:pStyle w:val="TableParagraph"/>
              <w:spacing w:before="18"/>
              <w:ind w:left="644" w:right="644"/>
              <w:jc w:val="center"/>
              <w:rPr>
                <w:rFonts w:ascii="Times New Roman" w:eastAsia="Times New Roman" w:hAnsi="Times New Roman" w:cs="Times New Roman"/>
                <w:sz w:val="14"/>
                <w:szCs w:val="14"/>
                <w:lang w:val="sl-SI"/>
              </w:rPr>
            </w:pPr>
            <w:r>
              <w:rPr>
                <w:rFonts w:ascii="Times New Roman" w:eastAsia="Times New Roman" w:hAnsi="Times New Roman" w:cs="Times New Roman"/>
                <w:lang w:val="sl-SI"/>
              </w:rPr>
              <w:t>21 %</w:t>
            </w:r>
            <w:r>
              <w:rPr>
                <w:rFonts w:ascii="Times New Roman" w:eastAsia="Times New Roman" w:hAnsi="Times New Roman" w:cs="Times New Roman"/>
                <w:sz w:val="14"/>
                <w:szCs w:val="14"/>
                <w:lang w:val="sl-SI"/>
              </w:rPr>
              <w:t>*</w:t>
            </w:r>
          </w:p>
        </w:tc>
      </w:tr>
      <w:tr w:rsidR="00616315" w14:paraId="1A351AAE" w14:textId="77777777" w:rsidTr="00433A4B">
        <w:tc>
          <w:tcPr>
            <w:tcW w:w="2311" w:type="dxa"/>
            <w:tcBorders>
              <w:top w:val="single" w:sz="5" w:space="0" w:color="000000"/>
              <w:left w:val="single" w:sz="5" w:space="0" w:color="000000"/>
              <w:bottom w:val="single" w:sz="5" w:space="0" w:color="000000"/>
              <w:right w:val="single" w:sz="5" w:space="0" w:color="000000"/>
            </w:tcBorders>
          </w:tcPr>
          <w:p w14:paraId="571D1591" w14:textId="77777777" w:rsidR="00616315" w:rsidRDefault="00616315" w:rsidP="00433A4B">
            <w:pPr>
              <w:pStyle w:val="TableParagraph"/>
              <w:spacing w:before="40" w:line="240"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Klinični odziv (CR-100)</w:t>
            </w:r>
          </w:p>
        </w:tc>
        <w:tc>
          <w:tcPr>
            <w:tcW w:w="1085" w:type="dxa"/>
            <w:tcBorders>
              <w:top w:val="single" w:sz="5" w:space="0" w:color="000000"/>
              <w:left w:val="single" w:sz="5" w:space="0" w:color="000000"/>
              <w:bottom w:val="single" w:sz="5" w:space="0" w:color="000000"/>
              <w:right w:val="single" w:sz="5" w:space="0" w:color="000000"/>
            </w:tcBorders>
          </w:tcPr>
          <w:p w14:paraId="11D13CDC" w14:textId="77777777" w:rsidR="00616315" w:rsidRDefault="00616315" w:rsidP="00433A4B">
            <w:pPr>
              <w:pStyle w:val="TableParagraph"/>
              <w:spacing w:before="24"/>
              <w:ind w:left="387"/>
              <w:rPr>
                <w:rFonts w:ascii="Times New Roman" w:eastAsia="Times New Roman" w:hAnsi="Times New Roman" w:cs="Times New Roman"/>
                <w:lang w:val="sl-SI"/>
              </w:rPr>
            </w:pPr>
            <w:r>
              <w:rPr>
                <w:rFonts w:ascii="Times New Roman" w:eastAsia="Times New Roman" w:hAnsi="Times New Roman" w:cs="Times New Roman"/>
                <w:lang w:val="sl-SI"/>
              </w:rPr>
              <w:t>24 %</w:t>
            </w:r>
          </w:p>
        </w:tc>
        <w:tc>
          <w:tcPr>
            <w:tcW w:w="1356" w:type="dxa"/>
            <w:tcBorders>
              <w:top w:val="single" w:sz="5" w:space="0" w:color="000000"/>
              <w:left w:val="single" w:sz="5" w:space="0" w:color="000000"/>
              <w:bottom w:val="single" w:sz="5" w:space="0" w:color="000000"/>
              <w:right w:val="single" w:sz="5" w:space="0" w:color="000000"/>
            </w:tcBorders>
          </w:tcPr>
          <w:p w14:paraId="23188DF4" w14:textId="77777777" w:rsidR="00616315" w:rsidRDefault="00616315" w:rsidP="00433A4B">
            <w:pPr>
              <w:pStyle w:val="TableParagraph"/>
              <w:spacing w:before="24"/>
              <w:ind w:left="395" w:right="398"/>
              <w:jc w:val="center"/>
              <w:rPr>
                <w:rFonts w:ascii="Times New Roman" w:eastAsia="Times New Roman" w:hAnsi="Times New Roman" w:cs="Times New Roman"/>
                <w:lang w:val="sl-SI"/>
              </w:rPr>
            </w:pPr>
            <w:r>
              <w:rPr>
                <w:rFonts w:ascii="Times New Roman" w:eastAsia="Times New Roman" w:hAnsi="Times New Roman" w:cs="Times New Roman"/>
                <w:lang w:val="sl-SI"/>
              </w:rPr>
              <w:t>37 %</w:t>
            </w:r>
          </w:p>
        </w:tc>
        <w:tc>
          <w:tcPr>
            <w:tcW w:w="1338" w:type="dxa"/>
            <w:tcBorders>
              <w:top w:val="single" w:sz="5" w:space="0" w:color="000000"/>
              <w:left w:val="single" w:sz="5" w:space="0" w:color="000000"/>
              <w:bottom w:val="single" w:sz="5" w:space="0" w:color="000000"/>
              <w:right w:val="single" w:sz="5" w:space="0" w:color="000000"/>
            </w:tcBorders>
          </w:tcPr>
          <w:p w14:paraId="000A8ECE" w14:textId="77777777" w:rsidR="00616315" w:rsidRDefault="00616315" w:rsidP="00433A4B">
            <w:pPr>
              <w:pStyle w:val="TableParagraph"/>
              <w:spacing w:before="18"/>
              <w:ind w:left="311"/>
              <w:rPr>
                <w:rFonts w:ascii="Times New Roman" w:eastAsia="Times New Roman" w:hAnsi="Times New Roman" w:cs="Times New Roman"/>
                <w:sz w:val="14"/>
                <w:szCs w:val="14"/>
                <w:lang w:val="sl-SI"/>
              </w:rPr>
            </w:pPr>
            <w:r>
              <w:rPr>
                <w:rFonts w:ascii="Times New Roman" w:eastAsia="Times New Roman" w:hAnsi="Times New Roman" w:cs="Times New Roman"/>
                <w:lang w:val="sl-SI"/>
              </w:rPr>
              <w:t>49 %</w:t>
            </w:r>
            <w:r>
              <w:rPr>
                <w:rFonts w:ascii="Times New Roman" w:eastAsia="Times New Roman" w:hAnsi="Times New Roman" w:cs="Times New Roman"/>
                <w:sz w:val="14"/>
                <w:szCs w:val="14"/>
                <w:lang w:val="sl-SI"/>
              </w:rPr>
              <w:t>**</w:t>
            </w:r>
          </w:p>
        </w:tc>
        <w:tc>
          <w:tcPr>
            <w:tcW w:w="1559" w:type="dxa"/>
            <w:tcBorders>
              <w:top w:val="single" w:sz="5" w:space="0" w:color="000000"/>
              <w:left w:val="single" w:sz="5" w:space="0" w:color="000000"/>
              <w:bottom w:val="single" w:sz="5" w:space="0" w:color="000000"/>
              <w:right w:val="single" w:sz="5" w:space="0" w:color="000000"/>
            </w:tcBorders>
          </w:tcPr>
          <w:p w14:paraId="30151B0D" w14:textId="77777777" w:rsidR="00616315" w:rsidRDefault="00616315" w:rsidP="00433A4B">
            <w:pPr>
              <w:pStyle w:val="TableParagraph"/>
              <w:spacing w:before="24"/>
              <w:ind w:left="519" w:right="520"/>
              <w:jc w:val="center"/>
              <w:rPr>
                <w:rFonts w:ascii="Times New Roman" w:eastAsia="Times New Roman" w:hAnsi="Times New Roman" w:cs="Times New Roman"/>
                <w:lang w:val="sl-SI"/>
              </w:rPr>
            </w:pPr>
            <w:r>
              <w:rPr>
                <w:rFonts w:ascii="Times New Roman" w:eastAsia="Times New Roman" w:hAnsi="Times New Roman" w:cs="Times New Roman"/>
                <w:lang w:val="sl-SI"/>
              </w:rPr>
              <w:t>25 %</w:t>
            </w:r>
          </w:p>
        </w:tc>
        <w:tc>
          <w:tcPr>
            <w:tcW w:w="1843" w:type="dxa"/>
            <w:tcBorders>
              <w:top w:val="single" w:sz="5" w:space="0" w:color="000000"/>
              <w:left w:val="single" w:sz="5" w:space="0" w:color="000000"/>
              <w:bottom w:val="single" w:sz="5" w:space="0" w:color="000000"/>
              <w:right w:val="single" w:sz="5" w:space="0" w:color="000000"/>
            </w:tcBorders>
          </w:tcPr>
          <w:p w14:paraId="34BB8DA1" w14:textId="77777777" w:rsidR="00616315" w:rsidRDefault="00616315" w:rsidP="00433A4B">
            <w:pPr>
              <w:pStyle w:val="TableParagraph"/>
              <w:spacing w:before="18"/>
              <w:ind w:left="609" w:right="616"/>
              <w:jc w:val="center"/>
              <w:rPr>
                <w:rFonts w:ascii="Times New Roman" w:eastAsia="Times New Roman" w:hAnsi="Times New Roman" w:cs="Times New Roman"/>
                <w:sz w:val="14"/>
                <w:szCs w:val="14"/>
                <w:lang w:val="sl-SI"/>
              </w:rPr>
            </w:pPr>
            <w:r>
              <w:rPr>
                <w:rFonts w:ascii="Times New Roman" w:eastAsia="Times New Roman" w:hAnsi="Times New Roman" w:cs="Times New Roman"/>
                <w:lang w:val="sl-SI"/>
              </w:rPr>
              <w:t>38 %</w:t>
            </w:r>
            <w:r>
              <w:rPr>
                <w:rFonts w:ascii="Times New Roman" w:eastAsia="Times New Roman" w:hAnsi="Times New Roman" w:cs="Times New Roman"/>
                <w:sz w:val="14"/>
                <w:szCs w:val="14"/>
                <w:lang w:val="sl-SI"/>
              </w:rPr>
              <w:t>**</w:t>
            </w:r>
          </w:p>
        </w:tc>
      </w:tr>
    </w:tbl>
    <w:p w14:paraId="024D39BD" w14:textId="77777777" w:rsidR="00616315" w:rsidRDefault="00616315" w:rsidP="00616315">
      <w:pPr>
        <w:pStyle w:val="a3"/>
        <w:rPr>
          <w:lang w:val="sl-SI"/>
        </w:rPr>
      </w:pPr>
      <w:r>
        <w:rPr>
          <w:rFonts w:eastAsia="Times New Roman"/>
          <w:lang w:val="sl-SI"/>
        </w:rPr>
        <w:t xml:space="preserve">Vse vrednosti p se nanašajo na parne primerjave deležev med </w:t>
      </w:r>
      <w:r>
        <w:rPr>
          <w:rFonts w:eastAsia="Times New Roman"/>
          <w:i/>
          <w:iCs/>
          <w:lang w:val="sl-SI"/>
        </w:rPr>
        <w:t xml:space="preserve">adalimumabom in </w:t>
      </w:r>
      <w:r>
        <w:rPr>
          <w:rFonts w:eastAsia="Times New Roman"/>
          <w:lang w:val="sl-SI"/>
        </w:rPr>
        <w:t>placebom.</w:t>
      </w:r>
    </w:p>
    <w:p w14:paraId="67ACC7CC" w14:textId="77777777" w:rsidR="00616315" w:rsidRDefault="00616315" w:rsidP="00616315">
      <w:pPr>
        <w:pStyle w:val="a3"/>
        <w:rPr>
          <w:lang w:val="sl-SI"/>
        </w:rPr>
      </w:pPr>
      <w:r>
        <w:rPr>
          <w:rFonts w:eastAsia="Times New Roman"/>
          <w:position w:val="8"/>
          <w:sz w:val="14"/>
          <w:szCs w:val="14"/>
          <w:lang w:val="sl-SI"/>
        </w:rPr>
        <w:t>*</w:t>
      </w:r>
      <w:r>
        <w:rPr>
          <w:rFonts w:eastAsia="Times New Roman"/>
          <w:position w:val="8"/>
          <w:lang w:val="sl-SI"/>
        </w:rPr>
        <w:t>p &lt; 0,001</w:t>
      </w:r>
    </w:p>
    <w:p w14:paraId="6A79C988" w14:textId="77777777" w:rsidR="00616315" w:rsidRDefault="00616315" w:rsidP="00616315">
      <w:pPr>
        <w:tabs>
          <w:tab w:val="left" w:pos="506"/>
        </w:tabs>
        <w:spacing w:before="22"/>
        <w:rPr>
          <w:rFonts w:ascii="Times New Roman" w:eastAsia="Times New Roman" w:hAnsi="Times New Roman" w:cs="Times New Roman"/>
          <w:lang w:val="sl-SI"/>
        </w:rPr>
      </w:pPr>
      <w:r>
        <w:rPr>
          <w:rFonts w:ascii="Times New Roman" w:eastAsia="Times New Roman" w:hAnsi="Times New Roman" w:cs="Times New Roman"/>
          <w:position w:val="8"/>
          <w:sz w:val="14"/>
          <w:szCs w:val="14"/>
          <w:lang w:val="sl-SI"/>
        </w:rPr>
        <w:t>**</w:t>
      </w:r>
      <w:r>
        <w:rPr>
          <w:rFonts w:ascii="Times New Roman" w:eastAsia="Times New Roman" w:hAnsi="Times New Roman" w:cs="Times New Roman"/>
          <w:position w:val="8"/>
          <w:lang w:val="sl-SI"/>
        </w:rPr>
        <w:t>p &lt; 0,01</w:t>
      </w:r>
    </w:p>
    <w:p w14:paraId="5D3550E1" w14:textId="77777777" w:rsidR="00616315" w:rsidRDefault="00616315" w:rsidP="00616315">
      <w:pPr>
        <w:spacing w:before="15" w:line="200" w:lineRule="exact"/>
        <w:rPr>
          <w:sz w:val="20"/>
          <w:szCs w:val="20"/>
          <w:lang w:val="sl-SI"/>
        </w:rPr>
      </w:pPr>
    </w:p>
    <w:p w14:paraId="616CA5D9" w14:textId="77777777" w:rsidR="00616315" w:rsidRDefault="00616315" w:rsidP="00616315">
      <w:pPr>
        <w:pStyle w:val="a3"/>
        <w:rPr>
          <w:lang w:val="sl-SI"/>
        </w:rPr>
      </w:pPr>
      <w:r>
        <w:rPr>
          <w:rFonts w:eastAsia="Times New Roman"/>
          <w:lang w:val="sl-SI"/>
        </w:rPr>
        <w:t>Z indukcijskima shemama 160/80 mg in 80/40 mg so do 8. tedna ugotovili podobne deleže remisij; neželeni učinki so bili pogostejši v skupini s shemo 160/80 mg.</w:t>
      </w:r>
    </w:p>
    <w:p w14:paraId="20235511" w14:textId="77777777" w:rsidR="00616315" w:rsidRDefault="00616315" w:rsidP="00616315">
      <w:pPr>
        <w:spacing w:before="11" w:line="240" w:lineRule="exact"/>
        <w:rPr>
          <w:sz w:val="24"/>
          <w:szCs w:val="24"/>
          <w:lang w:val="sl-SI"/>
        </w:rPr>
      </w:pPr>
    </w:p>
    <w:p w14:paraId="068341D9" w14:textId="35FA1F38" w:rsidR="00616315" w:rsidRDefault="00616315" w:rsidP="00616315">
      <w:pPr>
        <w:pStyle w:val="a3"/>
        <w:rPr>
          <w:lang w:val="sl-SI"/>
        </w:rPr>
      </w:pPr>
      <w:r>
        <w:rPr>
          <w:rFonts w:eastAsia="Times New Roman"/>
          <w:lang w:val="sl-SI"/>
        </w:rPr>
        <w:t>V študiji pri Crohnovi bolezni III je imelo 4. teden klinični odziv 58 % (499/854) bolnikov; ti so bili ocenjeni v primarni analizi. Od tistih, ki so imeli 4. teden klinični odziv, jih je 48 % predhodno dobilo antagoniste TNF. Vzdrževanje remisije in deleže odziva prikazuje preglednica </w:t>
      </w:r>
      <w:r w:rsidR="000E386D">
        <w:rPr>
          <w:rFonts w:eastAsia="Times New Roman"/>
          <w:lang w:val="sl-SI"/>
        </w:rPr>
        <w:t>15</w:t>
      </w:r>
      <w:r>
        <w:rPr>
          <w:rFonts w:eastAsia="Times New Roman"/>
          <w:lang w:val="sl-SI"/>
        </w:rPr>
        <w:t>. Rezultati glede klinične remisije so ostali razmeroma stalni, ne glede na prejšnje prejemanje antagonistov TNF.</w:t>
      </w:r>
    </w:p>
    <w:p w14:paraId="7481DF0C" w14:textId="77777777" w:rsidR="00616315" w:rsidRDefault="00616315" w:rsidP="00616315">
      <w:pPr>
        <w:spacing w:before="13" w:line="240" w:lineRule="exact"/>
        <w:rPr>
          <w:sz w:val="24"/>
          <w:szCs w:val="24"/>
          <w:lang w:val="sl-SI"/>
        </w:rPr>
      </w:pPr>
    </w:p>
    <w:p w14:paraId="3556B88F" w14:textId="77777777" w:rsidR="00616315" w:rsidRDefault="00616315" w:rsidP="00616315">
      <w:pPr>
        <w:pStyle w:val="a3"/>
        <w:rPr>
          <w:lang w:val="sl-SI"/>
        </w:rPr>
      </w:pPr>
      <w:r>
        <w:rPr>
          <w:rFonts w:eastAsia="Times New Roman"/>
          <w:lang w:val="sl-SI"/>
        </w:rPr>
        <w:t>Z boleznijo povezanih hospitalizacij in operacij je bilo do 56. tedna med uporabo adalimumaba statistično značilno manj kot med uporabo placeba.</w:t>
      </w:r>
    </w:p>
    <w:p w14:paraId="5AF320B0" w14:textId="77777777" w:rsidR="00616315" w:rsidRDefault="00616315" w:rsidP="00616315">
      <w:pPr>
        <w:pStyle w:val="a3"/>
        <w:jc w:val="center"/>
        <w:rPr>
          <w:rFonts w:eastAsia="Times New Roman"/>
          <w:b/>
          <w:bCs/>
          <w:lang w:val="sl-SI"/>
        </w:rPr>
      </w:pPr>
    </w:p>
    <w:p w14:paraId="3C39D881" w14:textId="4093044B" w:rsidR="00616315" w:rsidRDefault="00616315" w:rsidP="00616315">
      <w:pPr>
        <w:pStyle w:val="a3"/>
        <w:jc w:val="center"/>
        <w:rPr>
          <w:b/>
          <w:lang w:val="sl-SI"/>
        </w:rPr>
      </w:pPr>
      <w:r>
        <w:rPr>
          <w:rFonts w:eastAsia="Times New Roman"/>
          <w:b/>
          <w:bCs/>
          <w:lang w:val="sl-SI"/>
        </w:rPr>
        <w:t>Preglednica </w:t>
      </w:r>
      <w:r w:rsidR="000E386D">
        <w:rPr>
          <w:rFonts w:eastAsia="Times New Roman"/>
          <w:b/>
          <w:bCs/>
          <w:lang w:val="sl-SI"/>
        </w:rPr>
        <w:t>15</w:t>
      </w:r>
    </w:p>
    <w:p w14:paraId="12339B2B" w14:textId="77777777" w:rsidR="00616315" w:rsidRDefault="00616315" w:rsidP="00616315">
      <w:pPr>
        <w:pStyle w:val="a3"/>
        <w:jc w:val="center"/>
        <w:rPr>
          <w:b/>
          <w:lang w:val="sl-SI"/>
        </w:rPr>
      </w:pPr>
      <w:r>
        <w:rPr>
          <w:rFonts w:eastAsia="Times New Roman"/>
          <w:b/>
          <w:bCs/>
          <w:lang w:val="sl-SI"/>
        </w:rPr>
        <w:t>Vzdrževanje klinične remisije in odziva odstotek bolnikov</w:t>
      </w:r>
    </w:p>
    <w:p w14:paraId="60D46CFA" w14:textId="77777777" w:rsidR="00616315" w:rsidRDefault="00616315" w:rsidP="00616315">
      <w:pPr>
        <w:spacing w:before="6" w:line="10" w:lineRule="exact"/>
        <w:rPr>
          <w:sz w:val="4"/>
          <w:szCs w:val="4"/>
          <w:lang w:val="sl-SI"/>
        </w:rPr>
      </w:pPr>
    </w:p>
    <w:tbl>
      <w:tblPr>
        <w:tblStyle w:val="TableNormal1"/>
        <w:tblW w:w="0" w:type="auto"/>
        <w:tblInd w:w="213" w:type="dxa"/>
        <w:tblLayout w:type="fixed"/>
        <w:tblLook w:val="01E0" w:firstRow="1" w:lastRow="1" w:firstColumn="1" w:lastColumn="1" w:noHBand="0" w:noVBand="0"/>
      </w:tblPr>
      <w:tblGrid>
        <w:gridCol w:w="3467"/>
        <w:gridCol w:w="1417"/>
        <w:gridCol w:w="1985"/>
        <w:gridCol w:w="2150"/>
      </w:tblGrid>
      <w:tr w:rsidR="00616315" w:rsidRPr="00AC7013" w14:paraId="6B58F809" w14:textId="77777777" w:rsidTr="00433A4B">
        <w:tc>
          <w:tcPr>
            <w:tcW w:w="3467" w:type="dxa"/>
            <w:tcBorders>
              <w:top w:val="single" w:sz="5" w:space="0" w:color="000000"/>
              <w:left w:val="single" w:sz="5" w:space="0" w:color="000000"/>
              <w:bottom w:val="single" w:sz="5" w:space="0" w:color="000000"/>
              <w:right w:val="single" w:sz="5" w:space="0" w:color="000000"/>
            </w:tcBorders>
            <w:vAlign w:val="center"/>
          </w:tcPr>
          <w:p w14:paraId="5065A10A" w14:textId="77777777" w:rsidR="00616315" w:rsidRDefault="00616315" w:rsidP="00433A4B">
            <w:pPr>
              <w:jc w:val="center"/>
              <w:rPr>
                <w:lang w:val="sl-SI"/>
              </w:rPr>
            </w:pPr>
          </w:p>
        </w:tc>
        <w:tc>
          <w:tcPr>
            <w:tcW w:w="1417" w:type="dxa"/>
            <w:tcBorders>
              <w:top w:val="single" w:sz="5" w:space="0" w:color="000000"/>
              <w:left w:val="single" w:sz="5" w:space="0" w:color="000000"/>
              <w:bottom w:val="single" w:sz="5" w:space="0" w:color="000000"/>
              <w:right w:val="single" w:sz="5" w:space="0" w:color="000000"/>
            </w:tcBorders>
            <w:vAlign w:val="center"/>
          </w:tcPr>
          <w:p w14:paraId="65DFDDE3"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lang w:val="sl-SI"/>
              </w:rPr>
              <w:t>Placebo</w:t>
            </w:r>
          </w:p>
        </w:tc>
        <w:tc>
          <w:tcPr>
            <w:tcW w:w="1985" w:type="dxa"/>
            <w:tcBorders>
              <w:top w:val="single" w:sz="5" w:space="0" w:color="000000"/>
              <w:left w:val="single" w:sz="5" w:space="0" w:color="000000"/>
              <w:bottom w:val="single" w:sz="5" w:space="0" w:color="000000"/>
              <w:right w:val="single" w:sz="5" w:space="0" w:color="000000"/>
            </w:tcBorders>
            <w:vAlign w:val="center"/>
          </w:tcPr>
          <w:p w14:paraId="585044D3" w14:textId="77777777" w:rsidR="00616315" w:rsidRDefault="00616315" w:rsidP="00433A4B">
            <w:pPr>
              <w:pStyle w:val="TableParagraph"/>
              <w:spacing w:line="240" w:lineRule="exact"/>
              <w:ind w:firstLine="115"/>
              <w:jc w:val="center"/>
              <w:rPr>
                <w:rFonts w:ascii="Times New Roman" w:eastAsia="Times New Roman" w:hAnsi="Times New Roman" w:cs="Times New Roman"/>
                <w:lang w:val="sl-SI"/>
              </w:rPr>
            </w:pPr>
            <w:r>
              <w:rPr>
                <w:rFonts w:ascii="Times New Roman" w:eastAsia="Times New Roman" w:hAnsi="Times New Roman" w:cs="Times New Roman"/>
                <w:b/>
                <w:bCs/>
                <w:lang w:val="sl-SI"/>
              </w:rPr>
              <w:t>Adalimumab 40 mg vsak drugi teden</w:t>
            </w:r>
          </w:p>
        </w:tc>
        <w:tc>
          <w:tcPr>
            <w:tcW w:w="2150" w:type="dxa"/>
            <w:tcBorders>
              <w:top w:val="single" w:sz="5" w:space="0" w:color="000000"/>
              <w:left w:val="single" w:sz="5" w:space="0" w:color="000000"/>
              <w:bottom w:val="single" w:sz="5" w:space="0" w:color="000000"/>
              <w:right w:val="single" w:sz="5" w:space="0" w:color="000000"/>
            </w:tcBorders>
            <w:vAlign w:val="center"/>
          </w:tcPr>
          <w:p w14:paraId="1A6D3A0E" w14:textId="77777777" w:rsidR="00616315" w:rsidRDefault="00616315" w:rsidP="00433A4B">
            <w:pPr>
              <w:pStyle w:val="TableParagraph"/>
              <w:spacing w:line="240" w:lineRule="exact"/>
              <w:ind w:hanging="161"/>
              <w:jc w:val="center"/>
              <w:rPr>
                <w:rFonts w:ascii="Times New Roman" w:eastAsia="Times New Roman" w:hAnsi="Times New Roman" w:cs="Times New Roman"/>
                <w:lang w:val="sl-SI"/>
              </w:rPr>
            </w:pPr>
            <w:r>
              <w:rPr>
                <w:rFonts w:ascii="Times New Roman" w:eastAsia="Times New Roman" w:hAnsi="Times New Roman" w:cs="Times New Roman"/>
                <w:b/>
                <w:bCs/>
                <w:lang w:val="sl-SI"/>
              </w:rPr>
              <w:t>Adalimumab 40 mg vsak drugi teden</w:t>
            </w:r>
          </w:p>
        </w:tc>
      </w:tr>
      <w:tr w:rsidR="00616315" w14:paraId="065D3CFE" w14:textId="77777777" w:rsidTr="00433A4B">
        <w:tc>
          <w:tcPr>
            <w:tcW w:w="3467" w:type="dxa"/>
            <w:tcBorders>
              <w:top w:val="single" w:sz="5" w:space="0" w:color="000000"/>
              <w:left w:val="single" w:sz="5" w:space="0" w:color="000000"/>
              <w:bottom w:val="single" w:sz="5" w:space="0" w:color="000000"/>
              <w:right w:val="single" w:sz="5" w:space="0" w:color="000000"/>
            </w:tcBorders>
            <w:vAlign w:val="center"/>
          </w:tcPr>
          <w:p w14:paraId="4F306003" w14:textId="77777777" w:rsidR="00616315" w:rsidRDefault="00616315" w:rsidP="00433A4B">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b/>
                <w:bCs/>
                <w:lang w:val="sl-SI"/>
              </w:rPr>
              <w:t>26. teden</w:t>
            </w:r>
          </w:p>
        </w:tc>
        <w:tc>
          <w:tcPr>
            <w:tcW w:w="1417" w:type="dxa"/>
            <w:tcBorders>
              <w:top w:val="single" w:sz="5" w:space="0" w:color="000000"/>
              <w:left w:val="single" w:sz="5" w:space="0" w:color="000000"/>
              <w:bottom w:val="single" w:sz="5" w:space="0" w:color="000000"/>
              <w:right w:val="single" w:sz="5" w:space="0" w:color="000000"/>
            </w:tcBorders>
            <w:vAlign w:val="center"/>
          </w:tcPr>
          <w:p w14:paraId="0DE03EEA"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6EDA5918"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4998CF80"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157</w:t>
            </w:r>
          </w:p>
        </w:tc>
      </w:tr>
      <w:tr w:rsidR="00616315" w14:paraId="5E2B887D" w14:textId="77777777" w:rsidTr="00433A4B">
        <w:tc>
          <w:tcPr>
            <w:tcW w:w="3467" w:type="dxa"/>
            <w:tcBorders>
              <w:top w:val="single" w:sz="5" w:space="0" w:color="000000"/>
              <w:left w:val="single" w:sz="5" w:space="0" w:color="000000"/>
              <w:bottom w:val="single" w:sz="5" w:space="0" w:color="000000"/>
              <w:right w:val="single" w:sz="5" w:space="0" w:color="000000"/>
            </w:tcBorders>
            <w:vAlign w:val="center"/>
          </w:tcPr>
          <w:p w14:paraId="41F9876F" w14:textId="77777777" w:rsidR="00616315" w:rsidRDefault="00616315" w:rsidP="00433A4B">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Klinična remisija</w:t>
            </w:r>
          </w:p>
        </w:tc>
        <w:tc>
          <w:tcPr>
            <w:tcW w:w="1417" w:type="dxa"/>
            <w:tcBorders>
              <w:top w:val="single" w:sz="5" w:space="0" w:color="000000"/>
              <w:left w:val="single" w:sz="5" w:space="0" w:color="000000"/>
              <w:bottom w:val="single" w:sz="5" w:space="0" w:color="000000"/>
              <w:right w:val="single" w:sz="5" w:space="0" w:color="000000"/>
            </w:tcBorders>
            <w:vAlign w:val="center"/>
          </w:tcPr>
          <w:p w14:paraId="1CCD78C8"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17 %</w:t>
            </w:r>
          </w:p>
        </w:tc>
        <w:tc>
          <w:tcPr>
            <w:tcW w:w="1985" w:type="dxa"/>
            <w:tcBorders>
              <w:top w:val="single" w:sz="5" w:space="0" w:color="000000"/>
              <w:left w:val="single" w:sz="5" w:space="0" w:color="000000"/>
              <w:bottom w:val="single" w:sz="5" w:space="0" w:color="000000"/>
              <w:right w:val="single" w:sz="5" w:space="0" w:color="000000"/>
            </w:tcBorders>
            <w:vAlign w:val="center"/>
          </w:tcPr>
          <w:p w14:paraId="119F40C3"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40 %*</w:t>
            </w:r>
          </w:p>
        </w:tc>
        <w:tc>
          <w:tcPr>
            <w:tcW w:w="2150" w:type="dxa"/>
            <w:tcBorders>
              <w:top w:val="single" w:sz="5" w:space="0" w:color="000000"/>
              <w:left w:val="single" w:sz="5" w:space="0" w:color="000000"/>
              <w:bottom w:val="single" w:sz="5" w:space="0" w:color="000000"/>
              <w:right w:val="single" w:sz="5" w:space="0" w:color="000000"/>
            </w:tcBorders>
            <w:vAlign w:val="center"/>
          </w:tcPr>
          <w:p w14:paraId="258443D8"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47 %*</w:t>
            </w:r>
          </w:p>
        </w:tc>
      </w:tr>
      <w:tr w:rsidR="00616315" w14:paraId="4345DCA8" w14:textId="77777777" w:rsidTr="00433A4B">
        <w:tc>
          <w:tcPr>
            <w:tcW w:w="3467" w:type="dxa"/>
            <w:tcBorders>
              <w:top w:val="single" w:sz="5" w:space="0" w:color="000000"/>
              <w:left w:val="single" w:sz="5" w:space="0" w:color="000000"/>
              <w:bottom w:val="single" w:sz="5" w:space="0" w:color="000000"/>
              <w:right w:val="single" w:sz="5" w:space="0" w:color="000000"/>
            </w:tcBorders>
            <w:vAlign w:val="center"/>
          </w:tcPr>
          <w:p w14:paraId="47200724" w14:textId="77777777" w:rsidR="00616315" w:rsidRDefault="00616315" w:rsidP="00433A4B">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Klinični odziv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32BEC0DA"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27 %</w:t>
            </w:r>
          </w:p>
        </w:tc>
        <w:tc>
          <w:tcPr>
            <w:tcW w:w="1985" w:type="dxa"/>
            <w:tcBorders>
              <w:top w:val="single" w:sz="5" w:space="0" w:color="000000"/>
              <w:left w:val="single" w:sz="5" w:space="0" w:color="000000"/>
              <w:bottom w:val="single" w:sz="5" w:space="0" w:color="000000"/>
              <w:right w:val="single" w:sz="5" w:space="0" w:color="000000"/>
            </w:tcBorders>
            <w:vAlign w:val="center"/>
          </w:tcPr>
          <w:p w14:paraId="5AF93DB1"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52 %*</w:t>
            </w:r>
          </w:p>
        </w:tc>
        <w:tc>
          <w:tcPr>
            <w:tcW w:w="2150" w:type="dxa"/>
            <w:tcBorders>
              <w:top w:val="single" w:sz="5" w:space="0" w:color="000000"/>
              <w:left w:val="single" w:sz="5" w:space="0" w:color="000000"/>
              <w:bottom w:val="single" w:sz="5" w:space="0" w:color="000000"/>
              <w:right w:val="single" w:sz="5" w:space="0" w:color="000000"/>
            </w:tcBorders>
            <w:vAlign w:val="center"/>
          </w:tcPr>
          <w:p w14:paraId="26C0889E"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52 %*</w:t>
            </w:r>
          </w:p>
        </w:tc>
      </w:tr>
      <w:tr w:rsidR="00616315" w14:paraId="76306BAD" w14:textId="77777777" w:rsidTr="00433A4B">
        <w:tc>
          <w:tcPr>
            <w:tcW w:w="3467" w:type="dxa"/>
            <w:tcBorders>
              <w:top w:val="single" w:sz="5" w:space="0" w:color="000000"/>
              <w:left w:val="single" w:sz="5" w:space="0" w:color="000000"/>
              <w:bottom w:val="single" w:sz="5" w:space="0" w:color="000000"/>
              <w:right w:val="single" w:sz="5" w:space="0" w:color="000000"/>
            </w:tcBorders>
            <w:vAlign w:val="center"/>
          </w:tcPr>
          <w:p w14:paraId="6A2EE8E7" w14:textId="77777777" w:rsidR="00616315" w:rsidRDefault="00616315" w:rsidP="00433A4B">
            <w:pPr>
              <w:pStyle w:val="TableParagraph"/>
              <w:spacing w:before="40" w:line="240" w:lineRule="exact"/>
              <w:ind w:left="462" w:right="64"/>
              <w:rPr>
                <w:rFonts w:ascii="Times New Roman" w:eastAsia="Times New Roman" w:hAnsi="Times New Roman" w:cs="Times New Roman"/>
                <w:sz w:val="14"/>
                <w:szCs w:val="14"/>
                <w:lang w:val="sl-SI"/>
              </w:rPr>
            </w:pPr>
            <w:r>
              <w:rPr>
                <w:rFonts w:ascii="Times New Roman" w:eastAsia="Times New Roman" w:hAnsi="Times New Roman" w:cs="Times New Roman"/>
                <w:spacing w:val="-1"/>
                <w:lang w:val="sl-SI"/>
              </w:rPr>
              <w:t xml:space="preserve">Bolniki v remisiji brez steroidov za </w:t>
            </w:r>
            <w:r w:rsidRPr="00306881">
              <w:rPr>
                <w:rFonts w:ascii="Times New Roman" w:eastAsia="Times New Roman" w:hAnsi="Times New Roman" w:cs="Times New Roman" w:hint="eastAsia"/>
                <w:spacing w:val="-1"/>
                <w:lang w:val="sl-SI"/>
              </w:rPr>
              <w:t>≥</w:t>
            </w:r>
            <w:r>
              <w:rPr>
                <w:rFonts w:ascii="Times New Roman" w:eastAsia="Times New Roman" w:hAnsi="Times New Roman" w:cs="Times New Roman"/>
                <w:spacing w:val="-1"/>
                <w:lang w:val="sl-SI"/>
              </w:rPr>
              <w:t xml:space="preserve"> 90 dni</w:t>
            </w:r>
            <w:r>
              <w:rPr>
                <w:rFonts w:ascii="Times New Roman" w:eastAsia="Times New Roman" w:hAnsi="Times New Roman" w:cs="Times New Roman"/>
                <w:spacing w:val="-1"/>
                <w:vertAlign w:val="superscript"/>
                <w:lang w:val="sl-SI"/>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24A9D7E3"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3 % (2/66)</w:t>
            </w:r>
          </w:p>
        </w:tc>
        <w:tc>
          <w:tcPr>
            <w:tcW w:w="1985" w:type="dxa"/>
            <w:tcBorders>
              <w:top w:val="single" w:sz="5" w:space="0" w:color="000000"/>
              <w:left w:val="single" w:sz="5" w:space="0" w:color="000000"/>
              <w:bottom w:val="single" w:sz="5" w:space="0" w:color="000000"/>
              <w:right w:val="single" w:sz="5" w:space="0" w:color="000000"/>
            </w:tcBorders>
            <w:vAlign w:val="center"/>
          </w:tcPr>
          <w:p w14:paraId="22CBDD82"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19 % (11/58)**</w:t>
            </w:r>
          </w:p>
        </w:tc>
        <w:tc>
          <w:tcPr>
            <w:tcW w:w="2150" w:type="dxa"/>
            <w:tcBorders>
              <w:top w:val="single" w:sz="5" w:space="0" w:color="000000"/>
              <w:left w:val="single" w:sz="5" w:space="0" w:color="000000"/>
              <w:bottom w:val="single" w:sz="5" w:space="0" w:color="000000"/>
              <w:right w:val="single" w:sz="5" w:space="0" w:color="000000"/>
            </w:tcBorders>
            <w:vAlign w:val="center"/>
          </w:tcPr>
          <w:p w14:paraId="01FD86FE"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15 % (11/74)**</w:t>
            </w:r>
          </w:p>
        </w:tc>
      </w:tr>
      <w:tr w:rsidR="00616315" w14:paraId="78674694" w14:textId="77777777" w:rsidTr="00433A4B">
        <w:tc>
          <w:tcPr>
            <w:tcW w:w="3467" w:type="dxa"/>
            <w:tcBorders>
              <w:top w:val="single" w:sz="5" w:space="0" w:color="000000"/>
              <w:left w:val="single" w:sz="5" w:space="0" w:color="000000"/>
              <w:bottom w:val="single" w:sz="5" w:space="0" w:color="000000"/>
              <w:right w:val="single" w:sz="5" w:space="0" w:color="000000"/>
            </w:tcBorders>
            <w:vAlign w:val="center"/>
          </w:tcPr>
          <w:p w14:paraId="3A9FCEE6" w14:textId="77777777" w:rsidR="00616315" w:rsidRDefault="00616315" w:rsidP="00433A4B">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b/>
                <w:bCs/>
                <w:lang w:val="sl-SI"/>
              </w:rPr>
              <w:t>56. teden</w:t>
            </w:r>
          </w:p>
        </w:tc>
        <w:tc>
          <w:tcPr>
            <w:tcW w:w="1417" w:type="dxa"/>
            <w:tcBorders>
              <w:top w:val="single" w:sz="5" w:space="0" w:color="000000"/>
              <w:left w:val="single" w:sz="5" w:space="0" w:color="000000"/>
              <w:bottom w:val="single" w:sz="5" w:space="0" w:color="000000"/>
              <w:right w:val="single" w:sz="5" w:space="0" w:color="000000"/>
            </w:tcBorders>
            <w:vAlign w:val="center"/>
          </w:tcPr>
          <w:p w14:paraId="1FD1327C"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378A8C39"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593243FE"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157</w:t>
            </w:r>
          </w:p>
        </w:tc>
      </w:tr>
      <w:tr w:rsidR="00616315" w14:paraId="6FEFED39" w14:textId="77777777" w:rsidTr="00433A4B">
        <w:tc>
          <w:tcPr>
            <w:tcW w:w="3467" w:type="dxa"/>
            <w:tcBorders>
              <w:top w:val="single" w:sz="5" w:space="0" w:color="000000"/>
              <w:left w:val="single" w:sz="5" w:space="0" w:color="000000"/>
              <w:bottom w:val="single" w:sz="5" w:space="0" w:color="000000"/>
              <w:right w:val="single" w:sz="5" w:space="0" w:color="000000"/>
            </w:tcBorders>
            <w:vAlign w:val="center"/>
          </w:tcPr>
          <w:p w14:paraId="2D0B9DC5" w14:textId="77777777" w:rsidR="00616315" w:rsidRDefault="00616315" w:rsidP="00433A4B">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Klinična remisija</w:t>
            </w:r>
          </w:p>
        </w:tc>
        <w:tc>
          <w:tcPr>
            <w:tcW w:w="1417" w:type="dxa"/>
            <w:tcBorders>
              <w:top w:val="single" w:sz="5" w:space="0" w:color="000000"/>
              <w:left w:val="single" w:sz="5" w:space="0" w:color="000000"/>
              <w:bottom w:val="single" w:sz="5" w:space="0" w:color="000000"/>
              <w:right w:val="single" w:sz="5" w:space="0" w:color="000000"/>
            </w:tcBorders>
            <w:vAlign w:val="center"/>
          </w:tcPr>
          <w:p w14:paraId="31B047BD"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12 %</w:t>
            </w:r>
          </w:p>
        </w:tc>
        <w:tc>
          <w:tcPr>
            <w:tcW w:w="1985" w:type="dxa"/>
            <w:tcBorders>
              <w:top w:val="single" w:sz="5" w:space="0" w:color="000000"/>
              <w:left w:val="single" w:sz="5" w:space="0" w:color="000000"/>
              <w:bottom w:val="single" w:sz="5" w:space="0" w:color="000000"/>
              <w:right w:val="single" w:sz="5" w:space="0" w:color="000000"/>
            </w:tcBorders>
            <w:vAlign w:val="center"/>
          </w:tcPr>
          <w:p w14:paraId="52BCE7D7"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36 %*</w:t>
            </w:r>
          </w:p>
        </w:tc>
        <w:tc>
          <w:tcPr>
            <w:tcW w:w="2150" w:type="dxa"/>
            <w:tcBorders>
              <w:top w:val="single" w:sz="5" w:space="0" w:color="000000"/>
              <w:left w:val="single" w:sz="5" w:space="0" w:color="000000"/>
              <w:bottom w:val="single" w:sz="5" w:space="0" w:color="000000"/>
              <w:right w:val="single" w:sz="5" w:space="0" w:color="000000"/>
            </w:tcBorders>
            <w:vAlign w:val="center"/>
          </w:tcPr>
          <w:p w14:paraId="3416F634"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41 %*</w:t>
            </w:r>
          </w:p>
        </w:tc>
      </w:tr>
      <w:tr w:rsidR="00616315" w14:paraId="6F56DDEB" w14:textId="77777777" w:rsidTr="00433A4B">
        <w:tc>
          <w:tcPr>
            <w:tcW w:w="3467" w:type="dxa"/>
            <w:tcBorders>
              <w:top w:val="single" w:sz="5" w:space="0" w:color="000000"/>
              <w:left w:val="single" w:sz="5" w:space="0" w:color="000000"/>
              <w:bottom w:val="single" w:sz="5" w:space="0" w:color="000000"/>
              <w:right w:val="single" w:sz="5" w:space="0" w:color="000000"/>
            </w:tcBorders>
            <w:vAlign w:val="center"/>
          </w:tcPr>
          <w:p w14:paraId="626C96B8" w14:textId="77777777" w:rsidR="00616315" w:rsidRDefault="00616315" w:rsidP="00433A4B">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Klinični odziv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7ADF0A26"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17 %</w:t>
            </w:r>
          </w:p>
        </w:tc>
        <w:tc>
          <w:tcPr>
            <w:tcW w:w="1985" w:type="dxa"/>
            <w:tcBorders>
              <w:top w:val="single" w:sz="5" w:space="0" w:color="000000"/>
              <w:left w:val="single" w:sz="5" w:space="0" w:color="000000"/>
              <w:bottom w:val="single" w:sz="5" w:space="0" w:color="000000"/>
              <w:right w:val="single" w:sz="5" w:space="0" w:color="000000"/>
            </w:tcBorders>
            <w:vAlign w:val="center"/>
          </w:tcPr>
          <w:p w14:paraId="599556EE"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41 %*</w:t>
            </w:r>
          </w:p>
        </w:tc>
        <w:tc>
          <w:tcPr>
            <w:tcW w:w="2150" w:type="dxa"/>
            <w:tcBorders>
              <w:top w:val="single" w:sz="5" w:space="0" w:color="000000"/>
              <w:left w:val="single" w:sz="5" w:space="0" w:color="000000"/>
              <w:bottom w:val="single" w:sz="5" w:space="0" w:color="000000"/>
              <w:right w:val="single" w:sz="5" w:space="0" w:color="000000"/>
            </w:tcBorders>
            <w:vAlign w:val="center"/>
          </w:tcPr>
          <w:p w14:paraId="5134BD81"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48 %*</w:t>
            </w:r>
          </w:p>
        </w:tc>
      </w:tr>
      <w:tr w:rsidR="00616315" w14:paraId="723C41F8" w14:textId="77777777" w:rsidTr="00433A4B">
        <w:tc>
          <w:tcPr>
            <w:tcW w:w="3467" w:type="dxa"/>
            <w:tcBorders>
              <w:top w:val="single" w:sz="5" w:space="0" w:color="000000"/>
              <w:left w:val="single" w:sz="5" w:space="0" w:color="000000"/>
              <w:bottom w:val="single" w:sz="5" w:space="0" w:color="000000"/>
              <w:right w:val="single" w:sz="5" w:space="0" w:color="000000"/>
            </w:tcBorders>
            <w:vAlign w:val="center"/>
          </w:tcPr>
          <w:p w14:paraId="728C7B53" w14:textId="77777777" w:rsidR="00616315" w:rsidRDefault="00616315" w:rsidP="00433A4B">
            <w:pPr>
              <w:pStyle w:val="TableParagraph"/>
              <w:spacing w:before="40" w:line="240" w:lineRule="exact"/>
              <w:ind w:left="462" w:right="64"/>
              <w:rPr>
                <w:rFonts w:ascii="Times New Roman" w:eastAsia="Times New Roman" w:hAnsi="Times New Roman" w:cs="Times New Roman"/>
                <w:sz w:val="14"/>
                <w:szCs w:val="14"/>
                <w:lang w:val="sl-SI"/>
              </w:rPr>
            </w:pPr>
            <w:r>
              <w:rPr>
                <w:rFonts w:ascii="Times New Roman" w:eastAsia="Times New Roman" w:hAnsi="Times New Roman" w:cs="Times New Roman"/>
                <w:spacing w:val="-1"/>
                <w:lang w:val="sl-SI"/>
              </w:rPr>
              <w:t xml:space="preserve">Bolniki v remisiji brez steroidov za </w:t>
            </w:r>
            <w:r w:rsidRPr="00306881">
              <w:rPr>
                <w:rFonts w:ascii="Times New Roman" w:eastAsia="Times New Roman" w:hAnsi="Times New Roman" w:cs="Times New Roman" w:hint="eastAsia"/>
                <w:spacing w:val="-1"/>
                <w:lang w:val="sl-SI"/>
              </w:rPr>
              <w:t>≥</w:t>
            </w:r>
            <w:r>
              <w:rPr>
                <w:rFonts w:ascii="Times New Roman" w:eastAsia="Times New Roman" w:hAnsi="Times New Roman" w:cs="Times New Roman"/>
                <w:spacing w:val="-1"/>
                <w:lang w:val="sl-SI"/>
              </w:rPr>
              <w:t xml:space="preserve"> 90 dni</w:t>
            </w:r>
            <w:r>
              <w:rPr>
                <w:rFonts w:ascii="Times New Roman" w:eastAsia="Times New Roman" w:hAnsi="Times New Roman" w:cs="Times New Roman"/>
                <w:spacing w:val="-1"/>
                <w:vertAlign w:val="superscript"/>
                <w:lang w:val="sl-SI"/>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12642234"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5 % (3/66)</w:t>
            </w:r>
          </w:p>
        </w:tc>
        <w:tc>
          <w:tcPr>
            <w:tcW w:w="1985" w:type="dxa"/>
            <w:tcBorders>
              <w:top w:val="single" w:sz="5" w:space="0" w:color="000000"/>
              <w:left w:val="single" w:sz="5" w:space="0" w:color="000000"/>
              <w:bottom w:val="single" w:sz="5" w:space="0" w:color="000000"/>
              <w:right w:val="single" w:sz="5" w:space="0" w:color="000000"/>
            </w:tcBorders>
            <w:vAlign w:val="center"/>
          </w:tcPr>
          <w:p w14:paraId="2680F2E5"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29 % (17/58)*</w:t>
            </w:r>
          </w:p>
        </w:tc>
        <w:tc>
          <w:tcPr>
            <w:tcW w:w="2150" w:type="dxa"/>
            <w:tcBorders>
              <w:top w:val="single" w:sz="5" w:space="0" w:color="000000"/>
              <w:left w:val="single" w:sz="5" w:space="0" w:color="000000"/>
              <w:bottom w:val="single" w:sz="5" w:space="0" w:color="000000"/>
              <w:right w:val="single" w:sz="5" w:space="0" w:color="000000"/>
            </w:tcBorders>
            <w:vAlign w:val="center"/>
          </w:tcPr>
          <w:p w14:paraId="3BF2F20A" w14:textId="77777777" w:rsidR="00616315" w:rsidRDefault="00616315" w:rsidP="00433A4B">
            <w:pPr>
              <w:pStyle w:val="TableParagraph"/>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20 % (15/74)**</w:t>
            </w:r>
          </w:p>
        </w:tc>
      </w:tr>
    </w:tbl>
    <w:p w14:paraId="0CBBCD38" w14:textId="77777777" w:rsidR="00616315" w:rsidRDefault="00616315" w:rsidP="00721C46">
      <w:pPr>
        <w:pStyle w:val="a3"/>
        <w:ind w:leftChars="100" w:left="220"/>
        <w:rPr>
          <w:lang w:val="sl-SI"/>
        </w:rPr>
      </w:pPr>
      <w:r>
        <w:rPr>
          <w:rFonts w:eastAsia="Times New Roman"/>
          <w:lang w:val="sl-SI"/>
        </w:rPr>
        <w:t xml:space="preserve">*p &lt; 0,001 za parne primerjave deležev med adalimumabom in placebom </w:t>
      </w:r>
    </w:p>
    <w:p w14:paraId="1BBC9638" w14:textId="77777777" w:rsidR="00616315" w:rsidRDefault="00616315" w:rsidP="00721C46">
      <w:pPr>
        <w:pStyle w:val="a3"/>
        <w:ind w:leftChars="100" w:left="220"/>
        <w:rPr>
          <w:lang w:val="sl-SI"/>
        </w:rPr>
      </w:pPr>
      <w:r>
        <w:rPr>
          <w:rFonts w:eastAsia="Times New Roman"/>
          <w:lang w:val="sl-SI"/>
        </w:rPr>
        <w:t xml:space="preserve">**p &lt; 0,02 za parne primerjave deležev med adalimumabom in placebom </w:t>
      </w:r>
    </w:p>
    <w:p w14:paraId="2CDB90A7" w14:textId="77777777" w:rsidR="00616315" w:rsidRDefault="00616315" w:rsidP="00721C46">
      <w:pPr>
        <w:pStyle w:val="a3"/>
        <w:ind w:leftChars="100" w:left="220"/>
        <w:rPr>
          <w:lang w:val="sl-SI"/>
        </w:rPr>
      </w:pPr>
      <w:r>
        <w:rPr>
          <w:rFonts w:eastAsia="Times New Roman"/>
          <w:position w:val="8"/>
          <w:vertAlign w:val="superscript"/>
          <w:lang w:val="sl-SI"/>
        </w:rPr>
        <w:t>a</w:t>
      </w:r>
      <w:r>
        <w:rPr>
          <w:rFonts w:eastAsia="Times New Roman"/>
          <w:position w:val="8"/>
          <w:sz w:val="14"/>
          <w:szCs w:val="14"/>
          <w:lang w:val="sl-SI"/>
        </w:rPr>
        <w:t xml:space="preserve"> </w:t>
      </w:r>
      <w:r>
        <w:rPr>
          <w:rFonts w:eastAsia="Times New Roman"/>
          <w:position w:val="8"/>
          <w:lang w:val="sl-SI"/>
        </w:rPr>
        <w:t>Od tistih, ki so izhodiščno dobivali kortikosteroide.</w:t>
      </w:r>
    </w:p>
    <w:p w14:paraId="7E4913E2" w14:textId="77777777" w:rsidR="00616315" w:rsidRDefault="00616315" w:rsidP="00616315">
      <w:pPr>
        <w:pStyle w:val="a3"/>
        <w:rPr>
          <w:lang w:val="sl-SI"/>
        </w:rPr>
      </w:pPr>
    </w:p>
    <w:p w14:paraId="548CAE4D" w14:textId="77777777" w:rsidR="00616315" w:rsidRDefault="00616315" w:rsidP="00616315">
      <w:pPr>
        <w:pStyle w:val="a3"/>
        <w:rPr>
          <w:lang w:val="sl-SI"/>
        </w:rPr>
      </w:pPr>
      <w:r>
        <w:rPr>
          <w:rFonts w:eastAsia="Times New Roman"/>
          <w:spacing w:val="1"/>
          <w:lang w:val="sl-SI"/>
        </w:rPr>
        <w:t xml:space="preserve">Med bolniki, ki so bili 4. teden brez odziva, se je do 12. tedna odzvalo 43 % tistih, ki so vzdrževalno dobivali adalimumab, in 30 % tistih, ki so vzdrževalno dobivali placebo. To kaže, da lahko nadaljnje zdravljenje do 12. tedna koristi nekaterim bolnikom, ki se ne odzovejo do 4. tedna. Zdravljenje prek </w:t>
      </w:r>
      <w:r>
        <w:rPr>
          <w:rFonts w:eastAsia="Times New Roman"/>
          <w:spacing w:val="1"/>
          <w:lang w:val="sl-SI"/>
        </w:rPr>
        <w:lastRenderedPageBreak/>
        <w:t>12. tedna ni prineslo značilno več odzivov (glejte poglavje 4.2).</w:t>
      </w:r>
    </w:p>
    <w:p w14:paraId="34079AB6" w14:textId="77777777" w:rsidR="00616315" w:rsidRDefault="00616315" w:rsidP="00616315">
      <w:pPr>
        <w:pStyle w:val="a3"/>
        <w:rPr>
          <w:lang w:val="sl-SI"/>
        </w:rPr>
      </w:pPr>
    </w:p>
    <w:p w14:paraId="22C710AF" w14:textId="77777777" w:rsidR="00616315" w:rsidRDefault="00616315" w:rsidP="00616315">
      <w:pPr>
        <w:pStyle w:val="a3"/>
        <w:rPr>
          <w:lang w:val="sl-SI"/>
        </w:rPr>
      </w:pPr>
      <w:r>
        <w:rPr>
          <w:rFonts w:eastAsia="Times New Roman"/>
          <w:lang w:val="sl-SI"/>
        </w:rPr>
        <w:t>Med odprtim obdobjem zdravljenja z adalimumabom so vsaj 3 leta spremljali 117/276 bolnikov iz študije Crohnove bolezni I ter 272/777 bolnikov iz študij Crohnove bolezni II in III. Klinična remisija se je nadaljevala pri 88 od prvih in pri 189 od drugih bolnikov. Klinični odziv (CR-100) se je ohranil pri 102 od prvih in 233 od drugih bolnikov.</w:t>
      </w:r>
    </w:p>
    <w:p w14:paraId="49D7D7E0" w14:textId="77777777" w:rsidR="00616315" w:rsidRDefault="00616315" w:rsidP="00616315">
      <w:pPr>
        <w:pStyle w:val="a3"/>
        <w:rPr>
          <w:lang w:val="sl-SI"/>
        </w:rPr>
      </w:pPr>
    </w:p>
    <w:p w14:paraId="78817F18" w14:textId="77777777" w:rsidR="00616315" w:rsidRDefault="00616315" w:rsidP="00616315">
      <w:pPr>
        <w:pStyle w:val="a3"/>
        <w:rPr>
          <w:rFonts w:eastAsia="Times New Roman"/>
          <w:lang w:val="sl-SI"/>
        </w:rPr>
      </w:pPr>
      <w:r>
        <w:rPr>
          <w:rFonts w:eastAsia="Times New Roman"/>
          <w:i/>
          <w:iCs/>
          <w:spacing w:val="-1"/>
          <w:u w:val="single" w:color="000000"/>
          <w:lang w:val="sl-SI"/>
        </w:rPr>
        <w:t>Kakovost življenja</w:t>
      </w:r>
    </w:p>
    <w:p w14:paraId="1AF5A9F1" w14:textId="77777777" w:rsidR="00616315" w:rsidRDefault="00616315" w:rsidP="00616315">
      <w:pPr>
        <w:pStyle w:val="a3"/>
        <w:rPr>
          <w:sz w:val="18"/>
          <w:szCs w:val="18"/>
          <w:lang w:val="sl-SI"/>
        </w:rPr>
      </w:pPr>
    </w:p>
    <w:p w14:paraId="5D853D85" w14:textId="77777777" w:rsidR="00616315" w:rsidRDefault="00616315" w:rsidP="00616315">
      <w:pPr>
        <w:pStyle w:val="a3"/>
        <w:rPr>
          <w:lang w:val="sl-SI"/>
        </w:rPr>
      </w:pPr>
      <w:r>
        <w:rPr>
          <w:rFonts w:eastAsia="Times New Roman"/>
          <w:lang w:val="sl-SI"/>
        </w:rPr>
        <w:t>Študiji pri Crohnovi bolezni I in II sta pokazali statistično značilno izboljšanje celotnega seštevka po vprašalniku IBDQ (vprašalnik, specifičen za vnetno bolezen črevesa) do 4. tedna pri bolnikih, randomiziranih na shemi z adalimumabom 80/40 mg in 160/80 mg, v primerjavi s placebom; razliko 26. in 56. teden je v skupinah, zdravljenih z adalimumabom, v primerjavi s placebom pokazala tudi študija pri Crohnovi bolezni III.</w:t>
      </w:r>
    </w:p>
    <w:p w14:paraId="5B95EF48" w14:textId="547BBE0C" w:rsidR="00616315" w:rsidRDefault="00616315" w:rsidP="00616315">
      <w:pPr>
        <w:pStyle w:val="a3"/>
        <w:rPr>
          <w:lang w:val="sl-SI"/>
        </w:rPr>
      </w:pPr>
    </w:p>
    <w:p w14:paraId="22098070" w14:textId="77777777" w:rsidR="00616315" w:rsidRDefault="00616315" w:rsidP="00616315">
      <w:pPr>
        <w:pStyle w:val="a3"/>
        <w:rPr>
          <w:rFonts w:eastAsia="Times New Roman"/>
          <w:lang w:val="sl-SI"/>
        </w:rPr>
      </w:pPr>
      <w:r>
        <w:rPr>
          <w:rFonts w:eastAsia="Times New Roman"/>
          <w:i/>
          <w:iCs/>
          <w:spacing w:val="-1"/>
          <w:lang w:val="sl-SI"/>
        </w:rPr>
        <w:t>Ulcerozni kolitis</w:t>
      </w:r>
    </w:p>
    <w:p w14:paraId="61911603" w14:textId="77777777" w:rsidR="00616315" w:rsidRDefault="00616315" w:rsidP="00616315">
      <w:pPr>
        <w:pStyle w:val="a3"/>
        <w:rPr>
          <w:lang w:val="sl-SI"/>
        </w:rPr>
      </w:pPr>
    </w:p>
    <w:p w14:paraId="16065C51" w14:textId="77777777" w:rsidR="00616315" w:rsidRDefault="00616315" w:rsidP="00616315">
      <w:pPr>
        <w:pStyle w:val="a3"/>
        <w:rPr>
          <w:lang w:val="sl-SI"/>
        </w:rPr>
      </w:pPr>
      <w:r>
        <w:rPr>
          <w:rFonts w:eastAsia="Times New Roman"/>
          <w:lang w:val="sl-SI"/>
        </w:rPr>
        <w:t>Varnost in učinkovitost večkratnih odmerkov adalimumaba so ocenili pri odraslih z zmerno do hudo aktivnim ulceroznim kolitisom (ocena Mayo od 6 do 12 z endoskopsko podoceno 2 do 3) v randomiziranih, dvojno slepih, s placebom kontroliranih študijah.</w:t>
      </w:r>
    </w:p>
    <w:p w14:paraId="0D104022" w14:textId="77777777" w:rsidR="00616315" w:rsidRDefault="00616315" w:rsidP="00616315">
      <w:pPr>
        <w:pStyle w:val="a3"/>
        <w:rPr>
          <w:lang w:val="sl-SI"/>
        </w:rPr>
      </w:pPr>
    </w:p>
    <w:p w14:paraId="43790E60" w14:textId="6B38111D" w:rsidR="00616315" w:rsidRDefault="00616315" w:rsidP="00616315">
      <w:pPr>
        <w:pStyle w:val="a3"/>
        <w:rPr>
          <w:lang w:val="sl-SI"/>
        </w:rPr>
      </w:pPr>
      <w:r>
        <w:rPr>
          <w:rFonts w:eastAsia="Times New Roman"/>
          <w:lang w:val="sl-SI"/>
        </w:rPr>
        <w:t>V študiji UC-I so 390 bolnikov, ki še niso prejemali antagonista TNF, randomizirali bodisi na placebo 0. in 2. teden, na adalimumab 160 mg 0. teden in 80 mg 2. teden, ali na 80 mg 0. teden in 40 mg 2. teden. Po 2. tednu so bolniki v obeh krakih z adalimumabom prejemali 40 mg vsak drugi teden. Klinično remisijo (opredeljeno kot ocena Mayo ≤ 2 in nobena podocena &gt; 1) so ocenili 8. teden.</w:t>
      </w:r>
    </w:p>
    <w:p w14:paraId="1629514B" w14:textId="77777777" w:rsidR="00616315" w:rsidRDefault="00616315" w:rsidP="00616315">
      <w:pPr>
        <w:pStyle w:val="a3"/>
        <w:rPr>
          <w:lang w:val="sl-SI"/>
        </w:rPr>
      </w:pPr>
    </w:p>
    <w:p w14:paraId="4A206A9C" w14:textId="77777777" w:rsidR="00616315" w:rsidRDefault="00616315" w:rsidP="00616315">
      <w:pPr>
        <w:pStyle w:val="a3"/>
        <w:rPr>
          <w:lang w:val="sl-SI"/>
        </w:rPr>
      </w:pPr>
      <w:r>
        <w:rPr>
          <w:rFonts w:eastAsia="Times New Roman"/>
          <w:lang w:val="sl-SI"/>
        </w:rPr>
        <w:t>V študiji UC-II je 248 bolnikov dobilo 160 mg adalimumaba 0. teden, 80 mg 2. teden in nato 40 mg vsak drugi teden, 246 bolnikov pa je dobivalo placebo. Klinične rezultate so ocenili glede indukcije remisije 8. teden in glede ohranitve remisije 52. teden.</w:t>
      </w:r>
    </w:p>
    <w:p w14:paraId="58A6BDA2" w14:textId="77777777" w:rsidR="00616315" w:rsidRDefault="00616315" w:rsidP="00616315">
      <w:pPr>
        <w:pStyle w:val="a3"/>
        <w:rPr>
          <w:lang w:val="sl-SI"/>
        </w:rPr>
      </w:pPr>
    </w:p>
    <w:p w14:paraId="0FC5DD53" w14:textId="77777777" w:rsidR="00616315" w:rsidRDefault="00616315" w:rsidP="00616315">
      <w:pPr>
        <w:pStyle w:val="a3"/>
        <w:rPr>
          <w:lang w:val="sl-SI"/>
        </w:rPr>
      </w:pPr>
      <w:r>
        <w:rPr>
          <w:rFonts w:eastAsia="Times New Roman"/>
          <w:lang w:val="sl-SI"/>
        </w:rPr>
        <w:t>Bolniki, ki so za indukcijo dobili 160/80 mg adalimumaba, so 8. teden v primerjavi s placebom dosegli klinično remisijo v statistično značilno večjem odstotku tako v študiji UC-I (18 % v primerjavi z 9 %, p = 0,031) kot v študiji UC-II (17 % v primerjavi z 9 %, p = 0,019). V študiji UC-II je bilo 21/41 bolnikov (51 %), ki so bili zdravljeni z adalimumabom in so dosegli remisijo 8. teden, v remisiji 52. teden.</w:t>
      </w:r>
    </w:p>
    <w:p w14:paraId="34C87B17" w14:textId="77777777" w:rsidR="00616315" w:rsidRDefault="00616315" w:rsidP="00616315">
      <w:pPr>
        <w:spacing w:before="13" w:line="240" w:lineRule="exact"/>
        <w:rPr>
          <w:sz w:val="24"/>
          <w:szCs w:val="24"/>
          <w:lang w:val="sl-SI"/>
        </w:rPr>
      </w:pPr>
    </w:p>
    <w:p w14:paraId="0A26F534" w14:textId="637A0060" w:rsidR="00616315" w:rsidRDefault="00616315" w:rsidP="00616315">
      <w:pPr>
        <w:pStyle w:val="a3"/>
        <w:rPr>
          <w:lang w:val="sl-SI"/>
        </w:rPr>
      </w:pPr>
      <w:r>
        <w:rPr>
          <w:rFonts w:eastAsia="Times New Roman"/>
          <w:lang w:val="sl-SI"/>
        </w:rPr>
        <w:t>Rezultate celotne populacije v študiji UC-II prikazuje preglednica </w:t>
      </w:r>
      <w:r w:rsidR="000E386D">
        <w:rPr>
          <w:rFonts w:eastAsia="Times New Roman"/>
          <w:lang w:val="sl-SI"/>
        </w:rPr>
        <w:t>16</w:t>
      </w:r>
      <w:r>
        <w:rPr>
          <w:rFonts w:eastAsia="Times New Roman"/>
          <w:lang w:val="sl-SI"/>
        </w:rPr>
        <w:t>.</w:t>
      </w:r>
    </w:p>
    <w:p w14:paraId="1399892F" w14:textId="77777777" w:rsidR="00616315" w:rsidRDefault="00616315" w:rsidP="00616315">
      <w:pPr>
        <w:rPr>
          <w:rFonts w:ascii="Times New Roman" w:hAnsi="Times New Roman" w:cs="Times New Roman"/>
          <w:lang w:val="sl-SI"/>
        </w:rPr>
      </w:pPr>
    </w:p>
    <w:p w14:paraId="043099E2" w14:textId="5A6D50F2" w:rsidR="00616315" w:rsidRDefault="00616315" w:rsidP="00616315">
      <w:pPr>
        <w:pStyle w:val="a3"/>
        <w:jc w:val="center"/>
        <w:rPr>
          <w:b/>
          <w:lang w:val="sl-SI"/>
        </w:rPr>
      </w:pPr>
      <w:r>
        <w:rPr>
          <w:rFonts w:eastAsia="Times New Roman"/>
          <w:b/>
          <w:bCs/>
          <w:lang w:val="sl-SI"/>
        </w:rPr>
        <w:t>Preglednica </w:t>
      </w:r>
      <w:r w:rsidR="000E386D">
        <w:rPr>
          <w:rFonts w:eastAsia="Times New Roman"/>
          <w:b/>
          <w:bCs/>
          <w:lang w:val="sl-SI"/>
        </w:rPr>
        <w:t>16</w:t>
      </w:r>
      <w:r>
        <w:rPr>
          <w:rFonts w:eastAsia="Times New Roman"/>
          <w:b/>
          <w:bCs/>
          <w:lang w:val="sl-SI"/>
        </w:rPr>
        <w:t>.</w:t>
      </w:r>
    </w:p>
    <w:p w14:paraId="578C235B" w14:textId="77777777" w:rsidR="00616315" w:rsidRDefault="00616315" w:rsidP="00616315">
      <w:pPr>
        <w:pStyle w:val="a3"/>
        <w:jc w:val="center"/>
        <w:rPr>
          <w:b/>
          <w:lang w:val="sl-SI"/>
        </w:rPr>
      </w:pPr>
      <w:r>
        <w:rPr>
          <w:rFonts w:eastAsia="Times New Roman"/>
          <w:b/>
          <w:bCs/>
          <w:lang w:val="sl-SI"/>
        </w:rPr>
        <w:t>Odziv, remisija in celjenje sluznice v študiji UC-II</w:t>
      </w:r>
    </w:p>
    <w:p w14:paraId="36353300" w14:textId="77777777" w:rsidR="00616315" w:rsidRDefault="00616315" w:rsidP="00616315">
      <w:pPr>
        <w:pStyle w:val="a3"/>
        <w:jc w:val="center"/>
        <w:rPr>
          <w:b/>
          <w:lang w:val="sl-SI"/>
        </w:rPr>
      </w:pPr>
      <w:r>
        <w:rPr>
          <w:rFonts w:eastAsia="Times New Roman"/>
          <w:b/>
          <w:bCs/>
          <w:lang w:val="sl-SI"/>
        </w:rPr>
        <w:t>Odstotek bolnikov</w:t>
      </w:r>
    </w:p>
    <w:p w14:paraId="31F251C8" w14:textId="77777777" w:rsidR="00616315" w:rsidRDefault="00616315" w:rsidP="00616315">
      <w:pPr>
        <w:pStyle w:val="a3"/>
        <w:jc w:val="center"/>
        <w:rPr>
          <w:b/>
          <w:lang w:val="sl-SI"/>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2435"/>
        <w:gridCol w:w="3191"/>
      </w:tblGrid>
      <w:tr w:rsidR="00616315" w14:paraId="6642C60E" w14:textId="77777777" w:rsidTr="006F3477">
        <w:trPr>
          <w:jc w:val="center"/>
        </w:trPr>
        <w:tc>
          <w:tcPr>
            <w:tcW w:w="3544" w:type="dxa"/>
            <w:tcBorders>
              <w:top w:val="single" w:sz="4" w:space="0" w:color="auto"/>
              <w:bottom w:val="single" w:sz="4" w:space="0" w:color="auto"/>
            </w:tcBorders>
            <w:vAlign w:val="center"/>
          </w:tcPr>
          <w:p w14:paraId="383823C6" w14:textId="77777777" w:rsidR="00616315" w:rsidRDefault="00616315" w:rsidP="00433A4B">
            <w:pPr>
              <w:pStyle w:val="a3"/>
              <w:jc w:val="center"/>
              <w:rPr>
                <w:b/>
                <w:lang w:val="sl-SI"/>
              </w:rPr>
            </w:pPr>
          </w:p>
        </w:tc>
        <w:tc>
          <w:tcPr>
            <w:tcW w:w="2435" w:type="dxa"/>
            <w:tcBorders>
              <w:top w:val="single" w:sz="4" w:space="0" w:color="auto"/>
              <w:bottom w:val="single" w:sz="4" w:space="0" w:color="auto"/>
            </w:tcBorders>
            <w:vAlign w:val="center"/>
          </w:tcPr>
          <w:p w14:paraId="5CC12CA8" w14:textId="77777777" w:rsidR="00616315" w:rsidRDefault="00616315" w:rsidP="00433A4B">
            <w:pPr>
              <w:pStyle w:val="a3"/>
              <w:jc w:val="center"/>
              <w:rPr>
                <w:b/>
                <w:lang w:val="sl-SI"/>
              </w:rPr>
            </w:pPr>
            <w:r>
              <w:rPr>
                <w:rFonts w:eastAsia="Times New Roman"/>
                <w:b/>
                <w:bCs/>
                <w:lang w:val="sl-SI"/>
              </w:rPr>
              <w:t>Placebo</w:t>
            </w:r>
          </w:p>
        </w:tc>
        <w:tc>
          <w:tcPr>
            <w:tcW w:w="3191" w:type="dxa"/>
            <w:tcBorders>
              <w:top w:val="single" w:sz="4" w:space="0" w:color="auto"/>
              <w:bottom w:val="single" w:sz="4" w:space="0" w:color="auto"/>
            </w:tcBorders>
            <w:vAlign w:val="center"/>
          </w:tcPr>
          <w:p w14:paraId="79DB1F0A" w14:textId="77777777" w:rsidR="00616315" w:rsidRDefault="00616315" w:rsidP="00433A4B">
            <w:pPr>
              <w:pStyle w:val="a3"/>
              <w:jc w:val="center"/>
              <w:rPr>
                <w:b/>
                <w:lang w:val="sl-SI"/>
              </w:rPr>
            </w:pPr>
            <w:r>
              <w:rPr>
                <w:rFonts w:eastAsia="Times New Roman"/>
                <w:b/>
                <w:bCs/>
                <w:spacing w:val="-1"/>
                <w:lang w:val="sl-SI"/>
              </w:rPr>
              <w:t>Adalimumab 40 mg vsak 2. teden</w:t>
            </w:r>
          </w:p>
        </w:tc>
      </w:tr>
      <w:tr w:rsidR="00616315" w14:paraId="729646C1" w14:textId="77777777" w:rsidTr="006F3477">
        <w:trPr>
          <w:jc w:val="center"/>
        </w:trPr>
        <w:tc>
          <w:tcPr>
            <w:tcW w:w="3544" w:type="dxa"/>
            <w:tcBorders>
              <w:top w:val="single" w:sz="4" w:space="0" w:color="auto"/>
              <w:bottom w:val="single" w:sz="4" w:space="0" w:color="auto"/>
            </w:tcBorders>
            <w:vAlign w:val="center"/>
          </w:tcPr>
          <w:p w14:paraId="2AB4F801" w14:textId="77777777" w:rsidR="00616315" w:rsidRDefault="00616315" w:rsidP="00433A4B">
            <w:pPr>
              <w:pStyle w:val="a3"/>
              <w:jc w:val="both"/>
              <w:rPr>
                <w:b/>
                <w:lang w:val="sl-SI"/>
              </w:rPr>
            </w:pPr>
            <w:r>
              <w:rPr>
                <w:rFonts w:eastAsia="Times New Roman"/>
                <w:lang w:val="sl-SI"/>
              </w:rPr>
              <w:t>52. teden</w:t>
            </w:r>
          </w:p>
        </w:tc>
        <w:tc>
          <w:tcPr>
            <w:tcW w:w="2435" w:type="dxa"/>
            <w:tcBorders>
              <w:top w:val="single" w:sz="4" w:space="0" w:color="auto"/>
              <w:bottom w:val="single" w:sz="4" w:space="0" w:color="auto"/>
            </w:tcBorders>
            <w:vAlign w:val="center"/>
          </w:tcPr>
          <w:p w14:paraId="7B9B0DEF" w14:textId="77777777" w:rsidR="00616315" w:rsidRDefault="00616315" w:rsidP="00433A4B">
            <w:pPr>
              <w:pStyle w:val="a3"/>
              <w:jc w:val="center"/>
              <w:rPr>
                <w:b/>
                <w:lang w:val="sl-SI"/>
              </w:rPr>
            </w:pPr>
            <w:r>
              <w:rPr>
                <w:rFonts w:eastAsia="Times New Roman"/>
                <w:b/>
                <w:bCs/>
                <w:spacing w:val="-1"/>
                <w:lang w:val="sl-SI"/>
              </w:rPr>
              <w:t>N = 246</w:t>
            </w:r>
          </w:p>
        </w:tc>
        <w:tc>
          <w:tcPr>
            <w:tcW w:w="3191" w:type="dxa"/>
            <w:tcBorders>
              <w:top w:val="single" w:sz="4" w:space="0" w:color="auto"/>
              <w:bottom w:val="single" w:sz="4" w:space="0" w:color="auto"/>
            </w:tcBorders>
            <w:vAlign w:val="center"/>
          </w:tcPr>
          <w:p w14:paraId="06728649" w14:textId="77777777" w:rsidR="00616315" w:rsidRDefault="00616315" w:rsidP="00433A4B">
            <w:pPr>
              <w:pStyle w:val="a3"/>
              <w:jc w:val="center"/>
              <w:rPr>
                <w:b/>
                <w:lang w:val="sl-SI"/>
              </w:rPr>
            </w:pPr>
            <w:r>
              <w:rPr>
                <w:rFonts w:eastAsia="Times New Roman"/>
                <w:b/>
                <w:bCs/>
                <w:spacing w:val="-1"/>
                <w:lang w:val="sl-SI"/>
              </w:rPr>
              <w:t>N = 248</w:t>
            </w:r>
          </w:p>
        </w:tc>
      </w:tr>
      <w:tr w:rsidR="00616315" w14:paraId="6D2CA788" w14:textId="77777777" w:rsidTr="006F3477">
        <w:trPr>
          <w:jc w:val="center"/>
        </w:trPr>
        <w:tc>
          <w:tcPr>
            <w:tcW w:w="3544" w:type="dxa"/>
            <w:tcBorders>
              <w:top w:val="single" w:sz="4" w:space="0" w:color="auto"/>
            </w:tcBorders>
            <w:vAlign w:val="center"/>
          </w:tcPr>
          <w:p w14:paraId="0A2548B6" w14:textId="77777777" w:rsidR="00616315" w:rsidRDefault="00616315" w:rsidP="00433A4B">
            <w:pPr>
              <w:pStyle w:val="a3"/>
              <w:jc w:val="both"/>
              <w:rPr>
                <w:lang w:val="sl-SI"/>
              </w:rPr>
            </w:pPr>
            <w:r>
              <w:rPr>
                <w:rFonts w:eastAsia="Times New Roman"/>
                <w:lang w:val="sl-SI"/>
              </w:rPr>
              <w:t>Klinični odziv</w:t>
            </w:r>
          </w:p>
        </w:tc>
        <w:tc>
          <w:tcPr>
            <w:tcW w:w="2435" w:type="dxa"/>
            <w:tcBorders>
              <w:top w:val="single" w:sz="4" w:space="0" w:color="auto"/>
            </w:tcBorders>
            <w:vAlign w:val="center"/>
          </w:tcPr>
          <w:p w14:paraId="5363257D" w14:textId="77777777" w:rsidR="00616315" w:rsidRDefault="00616315" w:rsidP="00433A4B">
            <w:pPr>
              <w:pStyle w:val="a3"/>
              <w:jc w:val="center"/>
              <w:rPr>
                <w:lang w:val="sl-SI"/>
              </w:rPr>
            </w:pPr>
            <w:r>
              <w:rPr>
                <w:rFonts w:eastAsia="Times New Roman"/>
                <w:lang w:val="sl-SI"/>
              </w:rPr>
              <w:t>18 %</w:t>
            </w:r>
          </w:p>
        </w:tc>
        <w:tc>
          <w:tcPr>
            <w:tcW w:w="3191" w:type="dxa"/>
            <w:tcBorders>
              <w:top w:val="single" w:sz="4" w:space="0" w:color="auto"/>
            </w:tcBorders>
            <w:vAlign w:val="center"/>
          </w:tcPr>
          <w:p w14:paraId="1DA20F2B" w14:textId="77777777" w:rsidR="00616315" w:rsidRDefault="00616315" w:rsidP="00433A4B">
            <w:pPr>
              <w:pStyle w:val="a3"/>
              <w:jc w:val="center"/>
              <w:rPr>
                <w:lang w:val="sl-SI"/>
              </w:rPr>
            </w:pPr>
            <w:r>
              <w:rPr>
                <w:rFonts w:eastAsia="Times New Roman"/>
                <w:lang w:val="sl-SI"/>
              </w:rPr>
              <w:t>30 %</w:t>
            </w:r>
            <w:r>
              <w:rPr>
                <w:rFonts w:eastAsia="Times New Roman"/>
                <w:sz w:val="20"/>
                <w:szCs w:val="20"/>
                <w:lang w:val="sl-SI"/>
              </w:rPr>
              <w:t>*</w:t>
            </w:r>
          </w:p>
        </w:tc>
      </w:tr>
      <w:tr w:rsidR="00616315" w14:paraId="6FFBD81E" w14:textId="77777777" w:rsidTr="006F3477">
        <w:trPr>
          <w:jc w:val="center"/>
        </w:trPr>
        <w:tc>
          <w:tcPr>
            <w:tcW w:w="3544" w:type="dxa"/>
            <w:vAlign w:val="center"/>
          </w:tcPr>
          <w:p w14:paraId="6523EE1C" w14:textId="77777777" w:rsidR="00616315" w:rsidRDefault="00616315" w:rsidP="00433A4B">
            <w:pPr>
              <w:pStyle w:val="a3"/>
              <w:jc w:val="both"/>
              <w:rPr>
                <w:lang w:val="sl-SI"/>
              </w:rPr>
            </w:pPr>
            <w:r>
              <w:rPr>
                <w:rFonts w:eastAsia="Times New Roman"/>
                <w:lang w:val="sl-SI"/>
              </w:rPr>
              <w:t>Klinična remisija</w:t>
            </w:r>
          </w:p>
        </w:tc>
        <w:tc>
          <w:tcPr>
            <w:tcW w:w="2435" w:type="dxa"/>
            <w:vAlign w:val="center"/>
          </w:tcPr>
          <w:p w14:paraId="2E72A2FB" w14:textId="77777777" w:rsidR="00616315" w:rsidRDefault="00616315" w:rsidP="00433A4B">
            <w:pPr>
              <w:pStyle w:val="a3"/>
              <w:jc w:val="center"/>
              <w:rPr>
                <w:lang w:val="sl-SI"/>
              </w:rPr>
            </w:pPr>
            <w:r>
              <w:rPr>
                <w:rFonts w:eastAsia="Times New Roman"/>
                <w:lang w:val="sl-SI"/>
              </w:rPr>
              <w:t>9 %</w:t>
            </w:r>
          </w:p>
        </w:tc>
        <w:tc>
          <w:tcPr>
            <w:tcW w:w="3191" w:type="dxa"/>
            <w:vAlign w:val="center"/>
          </w:tcPr>
          <w:p w14:paraId="7EE345DB" w14:textId="77777777" w:rsidR="00616315" w:rsidRDefault="00616315" w:rsidP="00433A4B">
            <w:pPr>
              <w:pStyle w:val="a3"/>
              <w:jc w:val="center"/>
              <w:rPr>
                <w:lang w:val="sl-SI"/>
              </w:rPr>
            </w:pPr>
            <w:r>
              <w:rPr>
                <w:rFonts w:eastAsia="Times New Roman"/>
                <w:lang w:val="sl-SI"/>
              </w:rPr>
              <w:t>17 %</w:t>
            </w:r>
            <w:r>
              <w:rPr>
                <w:rFonts w:eastAsia="Times New Roman"/>
                <w:sz w:val="20"/>
                <w:szCs w:val="20"/>
                <w:lang w:val="sl-SI"/>
              </w:rPr>
              <w:t>*</w:t>
            </w:r>
          </w:p>
        </w:tc>
      </w:tr>
      <w:tr w:rsidR="00616315" w14:paraId="2B702898" w14:textId="77777777" w:rsidTr="006F3477">
        <w:trPr>
          <w:jc w:val="center"/>
        </w:trPr>
        <w:tc>
          <w:tcPr>
            <w:tcW w:w="3544" w:type="dxa"/>
            <w:vAlign w:val="center"/>
          </w:tcPr>
          <w:p w14:paraId="2B9EF6F4" w14:textId="77777777" w:rsidR="00616315" w:rsidRDefault="00616315" w:rsidP="00433A4B">
            <w:pPr>
              <w:pStyle w:val="a3"/>
              <w:jc w:val="both"/>
              <w:rPr>
                <w:lang w:val="sl-SI"/>
              </w:rPr>
            </w:pPr>
            <w:r>
              <w:rPr>
                <w:rFonts w:eastAsia="Times New Roman"/>
                <w:lang w:val="sl-SI"/>
              </w:rPr>
              <w:t>Celjenje sluznice</w:t>
            </w:r>
          </w:p>
        </w:tc>
        <w:tc>
          <w:tcPr>
            <w:tcW w:w="2435" w:type="dxa"/>
            <w:vAlign w:val="center"/>
          </w:tcPr>
          <w:p w14:paraId="0C74B274" w14:textId="77777777" w:rsidR="00616315" w:rsidRDefault="00616315" w:rsidP="00433A4B">
            <w:pPr>
              <w:pStyle w:val="a3"/>
              <w:jc w:val="center"/>
              <w:rPr>
                <w:lang w:val="sl-SI"/>
              </w:rPr>
            </w:pPr>
            <w:r>
              <w:rPr>
                <w:rFonts w:eastAsia="Times New Roman"/>
                <w:lang w:val="sl-SI"/>
              </w:rPr>
              <w:t>15 %</w:t>
            </w:r>
          </w:p>
        </w:tc>
        <w:tc>
          <w:tcPr>
            <w:tcW w:w="3191" w:type="dxa"/>
            <w:vAlign w:val="center"/>
          </w:tcPr>
          <w:p w14:paraId="73EECE60" w14:textId="77777777" w:rsidR="00616315" w:rsidRDefault="00616315" w:rsidP="00433A4B">
            <w:pPr>
              <w:pStyle w:val="a3"/>
              <w:jc w:val="center"/>
              <w:rPr>
                <w:lang w:val="sl-SI"/>
              </w:rPr>
            </w:pPr>
            <w:r>
              <w:rPr>
                <w:rFonts w:eastAsia="Times New Roman"/>
                <w:lang w:val="sl-SI"/>
              </w:rPr>
              <w:t>25 %</w:t>
            </w:r>
            <w:r>
              <w:rPr>
                <w:rFonts w:eastAsia="Times New Roman"/>
                <w:sz w:val="20"/>
                <w:szCs w:val="20"/>
                <w:lang w:val="sl-SI"/>
              </w:rPr>
              <w:t>*</w:t>
            </w:r>
          </w:p>
        </w:tc>
      </w:tr>
      <w:tr w:rsidR="00616315" w14:paraId="33D8A836" w14:textId="77777777" w:rsidTr="006F3477">
        <w:trPr>
          <w:jc w:val="center"/>
        </w:trPr>
        <w:tc>
          <w:tcPr>
            <w:tcW w:w="3544" w:type="dxa"/>
          </w:tcPr>
          <w:p w14:paraId="08D22278" w14:textId="77777777" w:rsidR="00616315" w:rsidRDefault="00616315" w:rsidP="00433A4B">
            <w:pPr>
              <w:pStyle w:val="a3"/>
              <w:jc w:val="center"/>
              <w:rPr>
                <w:lang w:val="sl-SI"/>
              </w:rPr>
            </w:pPr>
            <w:r>
              <w:rPr>
                <w:rFonts w:eastAsia="Times New Roman"/>
                <w:lang w:val="sl-SI"/>
              </w:rPr>
              <w:t>Remisija brez steroidov za ≥ 90 dni</w:t>
            </w:r>
            <w:r>
              <w:rPr>
                <w:rFonts w:eastAsia="Times New Roman"/>
                <w:vertAlign w:val="superscript"/>
                <w:lang w:val="sl-SI"/>
              </w:rPr>
              <w:t>a</w:t>
            </w:r>
          </w:p>
        </w:tc>
        <w:tc>
          <w:tcPr>
            <w:tcW w:w="2435" w:type="dxa"/>
            <w:vAlign w:val="center"/>
          </w:tcPr>
          <w:p w14:paraId="00810182" w14:textId="77777777" w:rsidR="00616315" w:rsidRDefault="00616315" w:rsidP="00433A4B">
            <w:pPr>
              <w:pStyle w:val="a3"/>
              <w:jc w:val="center"/>
              <w:rPr>
                <w:lang w:val="sl-SI"/>
              </w:rPr>
            </w:pPr>
            <w:r>
              <w:rPr>
                <w:rFonts w:eastAsia="Times New Roman"/>
                <w:lang w:val="sl-SI"/>
              </w:rPr>
              <w:t>6 %</w:t>
            </w:r>
          </w:p>
          <w:p w14:paraId="70237645" w14:textId="77777777" w:rsidR="00616315" w:rsidRDefault="00616315" w:rsidP="00433A4B">
            <w:pPr>
              <w:pStyle w:val="a3"/>
              <w:jc w:val="center"/>
              <w:rPr>
                <w:lang w:val="sl-SI"/>
              </w:rPr>
            </w:pPr>
            <w:r>
              <w:rPr>
                <w:rFonts w:eastAsia="Times New Roman"/>
                <w:b/>
                <w:bCs/>
                <w:lang w:val="sl-SI"/>
              </w:rPr>
              <w:t>(N = 140)</w:t>
            </w:r>
          </w:p>
        </w:tc>
        <w:tc>
          <w:tcPr>
            <w:tcW w:w="3191" w:type="dxa"/>
            <w:vAlign w:val="center"/>
          </w:tcPr>
          <w:p w14:paraId="1B7D2F0E" w14:textId="77777777" w:rsidR="00616315" w:rsidRDefault="00616315" w:rsidP="00433A4B">
            <w:pPr>
              <w:pStyle w:val="a3"/>
              <w:jc w:val="center"/>
              <w:rPr>
                <w:lang w:val="sl-SI"/>
              </w:rPr>
            </w:pPr>
            <w:r>
              <w:rPr>
                <w:rFonts w:eastAsia="Times New Roman"/>
                <w:lang w:val="sl-SI"/>
              </w:rPr>
              <w:t>13 %</w:t>
            </w:r>
            <w:r>
              <w:rPr>
                <w:rFonts w:eastAsia="Times New Roman"/>
                <w:sz w:val="20"/>
                <w:szCs w:val="20"/>
                <w:lang w:val="sl-SI"/>
              </w:rPr>
              <w:t>*</w:t>
            </w:r>
          </w:p>
          <w:p w14:paraId="2C82E003" w14:textId="77777777" w:rsidR="00616315" w:rsidRDefault="00616315" w:rsidP="00433A4B">
            <w:pPr>
              <w:pStyle w:val="a3"/>
              <w:jc w:val="center"/>
              <w:rPr>
                <w:lang w:val="sl-SI"/>
              </w:rPr>
            </w:pPr>
            <w:r>
              <w:rPr>
                <w:rFonts w:eastAsia="Times New Roman"/>
                <w:b/>
                <w:bCs/>
                <w:lang w:val="sl-SI"/>
              </w:rPr>
              <w:t>(N = 150)</w:t>
            </w:r>
          </w:p>
        </w:tc>
      </w:tr>
      <w:tr w:rsidR="00616315" w14:paraId="0ADDFAA2" w14:textId="77777777" w:rsidTr="00433A4B">
        <w:trPr>
          <w:jc w:val="center"/>
        </w:trPr>
        <w:tc>
          <w:tcPr>
            <w:tcW w:w="9170" w:type="dxa"/>
            <w:gridSpan w:val="3"/>
            <w:vAlign w:val="center"/>
          </w:tcPr>
          <w:p w14:paraId="19B9E048" w14:textId="77777777" w:rsidR="00616315" w:rsidRDefault="00616315" w:rsidP="00433A4B">
            <w:pPr>
              <w:pStyle w:val="a3"/>
              <w:jc w:val="both"/>
              <w:rPr>
                <w:b/>
                <w:bCs/>
                <w:lang w:val="sl-SI"/>
              </w:rPr>
            </w:pPr>
            <w:r>
              <w:rPr>
                <w:rFonts w:eastAsia="Times New Roman"/>
                <w:lang w:val="sl-SI"/>
              </w:rPr>
              <w:t>8. in 52. teden</w:t>
            </w:r>
          </w:p>
        </w:tc>
      </w:tr>
      <w:tr w:rsidR="00616315" w14:paraId="7E080D38" w14:textId="77777777" w:rsidTr="006F3477">
        <w:trPr>
          <w:jc w:val="center"/>
        </w:trPr>
        <w:tc>
          <w:tcPr>
            <w:tcW w:w="3544" w:type="dxa"/>
            <w:vAlign w:val="center"/>
          </w:tcPr>
          <w:p w14:paraId="00E4CF7A" w14:textId="77777777" w:rsidR="00616315" w:rsidRDefault="00616315" w:rsidP="00433A4B">
            <w:pPr>
              <w:pStyle w:val="a3"/>
              <w:jc w:val="both"/>
              <w:rPr>
                <w:lang w:val="sl-SI"/>
              </w:rPr>
            </w:pPr>
            <w:r>
              <w:rPr>
                <w:rFonts w:eastAsia="Times New Roman"/>
                <w:lang w:val="sl-SI"/>
              </w:rPr>
              <w:t>Ohranjen odziv</w:t>
            </w:r>
          </w:p>
        </w:tc>
        <w:tc>
          <w:tcPr>
            <w:tcW w:w="2435" w:type="dxa"/>
            <w:vAlign w:val="center"/>
          </w:tcPr>
          <w:p w14:paraId="64F83EC1" w14:textId="77777777" w:rsidR="00616315" w:rsidRDefault="00616315" w:rsidP="00433A4B">
            <w:pPr>
              <w:pStyle w:val="a3"/>
              <w:jc w:val="center"/>
              <w:rPr>
                <w:b/>
                <w:bCs/>
                <w:lang w:val="sl-SI"/>
              </w:rPr>
            </w:pPr>
            <w:r>
              <w:rPr>
                <w:rFonts w:eastAsia="Times New Roman"/>
                <w:lang w:val="sl-SI"/>
              </w:rPr>
              <w:t>12 %</w:t>
            </w:r>
          </w:p>
        </w:tc>
        <w:tc>
          <w:tcPr>
            <w:tcW w:w="3191" w:type="dxa"/>
            <w:vAlign w:val="center"/>
          </w:tcPr>
          <w:p w14:paraId="228C5E3D" w14:textId="77777777" w:rsidR="00616315" w:rsidRDefault="00616315" w:rsidP="00433A4B">
            <w:pPr>
              <w:pStyle w:val="a3"/>
              <w:jc w:val="center"/>
              <w:rPr>
                <w:b/>
                <w:bCs/>
                <w:lang w:val="sl-SI"/>
              </w:rPr>
            </w:pPr>
            <w:r>
              <w:rPr>
                <w:rFonts w:eastAsia="Times New Roman"/>
                <w:lang w:val="sl-SI"/>
              </w:rPr>
              <w:t>24 %</w:t>
            </w:r>
            <w:r>
              <w:rPr>
                <w:rFonts w:eastAsia="Times New Roman"/>
                <w:sz w:val="20"/>
                <w:szCs w:val="20"/>
                <w:lang w:val="sl-SI"/>
              </w:rPr>
              <w:t>**</w:t>
            </w:r>
          </w:p>
        </w:tc>
      </w:tr>
      <w:tr w:rsidR="00616315" w14:paraId="4902C64E" w14:textId="77777777" w:rsidTr="006F3477">
        <w:trPr>
          <w:jc w:val="center"/>
        </w:trPr>
        <w:tc>
          <w:tcPr>
            <w:tcW w:w="3544" w:type="dxa"/>
            <w:vAlign w:val="center"/>
          </w:tcPr>
          <w:p w14:paraId="15F00CFD" w14:textId="77777777" w:rsidR="00616315" w:rsidRDefault="00616315" w:rsidP="00433A4B">
            <w:pPr>
              <w:pStyle w:val="a3"/>
              <w:jc w:val="both"/>
              <w:rPr>
                <w:lang w:val="sl-SI"/>
              </w:rPr>
            </w:pPr>
            <w:r>
              <w:rPr>
                <w:rFonts w:eastAsia="Times New Roman"/>
                <w:lang w:val="sl-SI"/>
              </w:rPr>
              <w:t>Ohranjena remisija</w:t>
            </w:r>
          </w:p>
        </w:tc>
        <w:tc>
          <w:tcPr>
            <w:tcW w:w="2435" w:type="dxa"/>
            <w:vAlign w:val="center"/>
          </w:tcPr>
          <w:p w14:paraId="352F1243" w14:textId="77777777" w:rsidR="00616315" w:rsidRDefault="00616315" w:rsidP="00433A4B">
            <w:pPr>
              <w:pStyle w:val="a3"/>
              <w:jc w:val="center"/>
              <w:rPr>
                <w:b/>
                <w:bCs/>
                <w:lang w:val="sl-SI"/>
              </w:rPr>
            </w:pPr>
            <w:r>
              <w:rPr>
                <w:rFonts w:eastAsia="Times New Roman"/>
                <w:lang w:val="sl-SI"/>
              </w:rPr>
              <w:t>4 %</w:t>
            </w:r>
          </w:p>
        </w:tc>
        <w:tc>
          <w:tcPr>
            <w:tcW w:w="3191" w:type="dxa"/>
            <w:vAlign w:val="center"/>
          </w:tcPr>
          <w:p w14:paraId="69DC71B3" w14:textId="77777777" w:rsidR="00616315" w:rsidRDefault="00616315" w:rsidP="00433A4B">
            <w:pPr>
              <w:pStyle w:val="a3"/>
              <w:jc w:val="center"/>
              <w:rPr>
                <w:b/>
                <w:bCs/>
                <w:lang w:val="sl-SI"/>
              </w:rPr>
            </w:pPr>
            <w:r>
              <w:rPr>
                <w:rFonts w:eastAsia="Times New Roman"/>
                <w:lang w:val="sl-SI"/>
              </w:rPr>
              <w:t>8 %</w:t>
            </w:r>
            <w:r>
              <w:rPr>
                <w:rFonts w:eastAsia="Times New Roman"/>
                <w:sz w:val="20"/>
                <w:szCs w:val="20"/>
                <w:lang w:val="sl-SI"/>
              </w:rPr>
              <w:t>*</w:t>
            </w:r>
          </w:p>
        </w:tc>
      </w:tr>
      <w:tr w:rsidR="00616315" w14:paraId="1B620632" w14:textId="77777777" w:rsidTr="006F3477">
        <w:trPr>
          <w:jc w:val="center"/>
        </w:trPr>
        <w:tc>
          <w:tcPr>
            <w:tcW w:w="3544" w:type="dxa"/>
            <w:tcBorders>
              <w:bottom w:val="single" w:sz="4" w:space="0" w:color="auto"/>
            </w:tcBorders>
            <w:vAlign w:val="center"/>
          </w:tcPr>
          <w:p w14:paraId="0A7E75DB" w14:textId="77777777" w:rsidR="00616315" w:rsidRDefault="00616315" w:rsidP="00433A4B">
            <w:pPr>
              <w:pStyle w:val="a3"/>
              <w:jc w:val="both"/>
              <w:rPr>
                <w:lang w:val="sl-SI"/>
              </w:rPr>
            </w:pPr>
            <w:r>
              <w:rPr>
                <w:rFonts w:eastAsia="Times New Roman"/>
                <w:lang w:val="sl-SI"/>
              </w:rPr>
              <w:t>Ohranjeno zaceljenje sluznice</w:t>
            </w:r>
          </w:p>
        </w:tc>
        <w:tc>
          <w:tcPr>
            <w:tcW w:w="2435" w:type="dxa"/>
            <w:tcBorders>
              <w:bottom w:val="single" w:sz="4" w:space="0" w:color="auto"/>
            </w:tcBorders>
            <w:vAlign w:val="center"/>
          </w:tcPr>
          <w:p w14:paraId="307C0C08" w14:textId="77777777" w:rsidR="00616315" w:rsidRDefault="00616315" w:rsidP="00433A4B">
            <w:pPr>
              <w:pStyle w:val="a3"/>
              <w:jc w:val="center"/>
              <w:rPr>
                <w:b/>
                <w:bCs/>
                <w:lang w:val="sl-SI"/>
              </w:rPr>
            </w:pPr>
            <w:r>
              <w:rPr>
                <w:rFonts w:eastAsia="Times New Roman"/>
                <w:lang w:val="sl-SI"/>
              </w:rPr>
              <w:t>11 %</w:t>
            </w:r>
          </w:p>
        </w:tc>
        <w:tc>
          <w:tcPr>
            <w:tcW w:w="3191" w:type="dxa"/>
            <w:tcBorders>
              <w:bottom w:val="single" w:sz="4" w:space="0" w:color="auto"/>
            </w:tcBorders>
            <w:vAlign w:val="center"/>
          </w:tcPr>
          <w:p w14:paraId="21E64E99" w14:textId="77777777" w:rsidR="00616315" w:rsidRDefault="00616315" w:rsidP="00433A4B">
            <w:pPr>
              <w:pStyle w:val="a3"/>
              <w:jc w:val="center"/>
              <w:rPr>
                <w:b/>
                <w:bCs/>
                <w:lang w:val="sl-SI"/>
              </w:rPr>
            </w:pPr>
            <w:r>
              <w:rPr>
                <w:rFonts w:eastAsia="Times New Roman"/>
                <w:lang w:val="sl-SI"/>
              </w:rPr>
              <w:t>19 %</w:t>
            </w:r>
            <w:r>
              <w:rPr>
                <w:rFonts w:eastAsia="Times New Roman"/>
                <w:sz w:val="20"/>
                <w:szCs w:val="20"/>
                <w:lang w:val="sl-SI"/>
              </w:rPr>
              <w:t>*</w:t>
            </w:r>
          </w:p>
        </w:tc>
      </w:tr>
    </w:tbl>
    <w:p w14:paraId="1A947200" w14:textId="77777777" w:rsidR="00616315" w:rsidRDefault="00616315" w:rsidP="00721C46">
      <w:pPr>
        <w:pStyle w:val="a3"/>
        <w:ind w:leftChars="100" w:left="220"/>
        <w:rPr>
          <w:lang w:val="sl-SI"/>
        </w:rPr>
      </w:pPr>
      <w:r>
        <w:rPr>
          <w:rFonts w:eastAsia="Times New Roman"/>
          <w:lang w:val="sl-SI"/>
        </w:rPr>
        <w:t>Klinična remisija pomeni oceno Mayo ≤ 2 in nobene podocene &gt; 1.</w:t>
      </w:r>
    </w:p>
    <w:p w14:paraId="4BE62891" w14:textId="77777777" w:rsidR="00616315" w:rsidRDefault="00616315" w:rsidP="00721C46">
      <w:pPr>
        <w:pStyle w:val="a3"/>
        <w:ind w:leftChars="100" w:left="220"/>
        <w:rPr>
          <w:lang w:val="sl-SI"/>
        </w:rPr>
      </w:pPr>
      <w:r>
        <w:rPr>
          <w:rFonts w:eastAsia="Times New Roman"/>
          <w:lang w:val="sl-SI"/>
        </w:rPr>
        <w:lastRenderedPageBreak/>
        <w:t>Klinični odgovor pomeni znižanje ocene Mayo od začetka za ≥ 3 in ≥ 30 % ter znižanje podocene rektalne krvavitve [RBS] ≥ 1 ali absolutna RBS 0 ali 1;</w:t>
      </w:r>
    </w:p>
    <w:p w14:paraId="57AF0FDA" w14:textId="77777777" w:rsidR="00616315" w:rsidRDefault="00616315" w:rsidP="00721C46">
      <w:pPr>
        <w:pStyle w:val="a3"/>
        <w:ind w:leftChars="100" w:left="220"/>
        <w:rPr>
          <w:lang w:val="sl-SI"/>
        </w:rPr>
      </w:pPr>
      <w:r>
        <w:rPr>
          <w:rFonts w:eastAsia="Times New Roman"/>
          <w:spacing w:val="-2"/>
          <w:position w:val="9"/>
          <w:sz w:val="16"/>
          <w:szCs w:val="16"/>
          <w:lang w:val="sl-SI"/>
        </w:rPr>
        <w:t>*</w:t>
      </w:r>
      <w:r>
        <w:rPr>
          <w:rFonts w:eastAsia="Times New Roman"/>
          <w:spacing w:val="-2"/>
          <w:position w:val="9"/>
          <w:lang w:val="sl-SI"/>
        </w:rPr>
        <w:t>p &lt; 0,05 za parno primerjavo deležev med adalimumabom in placebom</w:t>
      </w:r>
    </w:p>
    <w:p w14:paraId="71FFFB7A" w14:textId="77777777" w:rsidR="00616315" w:rsidRDefault="00616315" w:rsidP="00721C46">
      <w:pPr>
        <w:pStyle w:val="a3"/>
        <w:ind w:leftChars="100" w:left="220"/>
        <w:rPr>
          <w:lang w:val="sl-SI"/>
        </w:rPr>
      </w:pPr>
      <w:r>
        <w:rPr>
          <w:rFonts w:eastAsia="Times New Roman"/>
          <w:spacing w:val="-2"/>
          <w:sz w:val="20"/>
          <w:szCs w:val="20"/>
          <w:lang w:val="sl-SI"/>
        </w:rPr>
        <w:t>**</w:t>
      </w:r>
      <w:r>
        <w:rPr>
          <w:rFonts w:eastAsia="Times New Roman"/>
          <w:spacing w:val="-2"/>
          <w:lang w:val="sl-SI"/>
        </w:rPr>
        <w:t>p &lt; 0,001 za parno primerjavo deležev med adalimumabom in placebom</w:t>
      </w:r>
    </w:p>
    <w:p w14:paraId="045F7CFF" w14:textId="77777777" w:rsidR="00616315" w:rsidRDefault="00616315" w:rsidP="00721C46">
      <w:pPr>
        <w:pStyle w:val="a3"/>
        <w:ind w:leftChars="100" w:left="220"/>
        <w:rPr>
          <w:lang w:val="sl-SI"/>
        </w:rPr>
      </w:pPr>
      <w:r>
        <w:rPr>
          <w:rFonts w:eastAsia="Times New Roman"/>
          <w:position w:val="8"/>
          <w:vertAlign w:val="superscript"/>
          <w:lang w:val="sl-SI"/>
        </w:rPr>
        <w:t xml:space="preserve">a </w:t>
      </w:r>
      <w:r>
        <w:rPr>
          <w:rFonts w:eastAsia="Times New Roman"/>
          <w:position w:val="8"/>
          <w:lang w:val="sl-SI"/>
        </w:rPr>
        <w:t>Od tistih, ki so izhodiščno prejemali kortikosteroide</w:t>
      </w:r>
    </w:p>
    <w:p w14:paraId="5E4AF7E9" w14:textId="77777777" w:rsidR="00616315" w:rsidRDefault="00616315" w:rsidP="00616315">
      <w:pPr>
        <w:spacing w:before="6" w:line="190" w:lineRule="exact"/>
        <w:rPr>
          <w:sz w:val="19"/>
          <w:szCs w:val="19"/>
          <w:lang w:val="sl-SI"/>
        </w:rPr>
      </w:pPr>
    </w:p>
    <w:p w14:paraId="7D15851A" w14:textId="77777777" w:rsidR="00616315" w:rsidRDefault="00616315" w:rsidP="00616315">
      <w:pPr>
        <w:pStyle w:val="a3"/>
        <w:rPr>
          <w:lang w:val="sl-SI"/>
        </w:rPr>
      </w:pPr>
      <w:r>
        <w:rPr>
          <w:rFonts w:eastAsia="Times New Roman"/>
          <w:lang w:val="sl-SI"/>
        </w:rPr>
        <w:t>Od bolnikov, ki so bili odzivni v 8. tednu, jih je bilo v 52. tednu 47 % odzivnih, 29 % v remisiji, 41 % je imelo celjenje sluznice in 20 % jih je bilo v remisiji brez steroidov za ≥ 90 dni.</w:t>
      </w:r>
    </w:p>
    <w:p w14:paraId="3DA02005" w14:textId="77777777" w:rsidR="00616315" w:rsidRDefault="00616315" w:rsidP="00616315">
      <w:pPr>
        <w:spacing w:before="11" w:line="240" w:lineRule="exact"/>
        <w:rPr>
          <w:sz w:val="24"/>
          <w:szCs w:val="24"/>
          <w:lang w:val="sl-SI"/>
        </w:rPr>
      </w:pPr>
    </w:p>
    <w:p w14:paraId="42F9371C" w14:textId="77777777" w:rsidR="00616315" w:rsidRDefault="00616315" w:rsidP="00616315">
      <w:pPr>
        <w:pStyle w:val="a3"/>
        <w:rPr>
          <w:lang w:val="sl-SI"/>
        </w:rPr>
      </w:pPr>
      <w:r>
        <w:rPr>
          <w:rFonts w:eastAsia="Times New Roman"/>
          <w:lang w:val="sl-SI"/>
        </w:rPr>
        <w:t xml:space="preserve">Pri približno 40 % bolnikih v študiji UC-II predhodno </w:t>
      </w:r>
      <w:r w:rsidRPr="00FA20D4">
        <w:rPr>
          <w:lang w:val="sl-SI"/>
        </w:rPr>
        <w:t>zdravljenje z zaviralci TNF</w:t>
      </w:r>
      <w:r>
        <w:rPr>
          <w:rFonts w:eastAsia="Times New Roman"/>
          <w:lang w:val="sl-SI"/>
        </w:rPr>
        <w:t xml:space="preserve"> z infliksimabom ni bilo uspešno. Učinkovitost adalimumaba je bila pri teh bolnikih manjša kot pri bolnikih, ki še niso dobivali anti-TNF. Med bolniki, pri katerih predhodno </w:t>
      </w:r>
      <w:r w:rsidRPr="00FA20D4">
        <w:rPr>
          <w:lang w:val="sl-SI"/>
        </w:rPr>
        <w:t>zdravljenje z zaviralci TNF</w:t>
      </w:r>
      <w:r>
        <w:rPr>
          <w:rFonts w:eastAsia="Times New Roman"/>
          <w:lang w:val="sl-SI"/>
        </w:rPr>
        <w:t xml:space="preserve"> ni bilo uspešno, jih je 52. teden doseglo remisijo 3 % na placebu in 10 % na adalimumabu.</w:t>
      </w:r>
    </w:p>
    <w:p w14:paraId="6DC3F819" w14:textId="77777777" w:rsidR="00616315" w:rsidRDefault="00616315" w:rsidP="00616315">
      <w:pPr>
        <w:pStyle w:val="a3"/>
        <w:rPr>
          <w:sz w:val="24"/>
          <w:szCs w:val="24"/>
          <w:lang w:val="sl-SI"/>
        </w:rPr>
      </w:pPr>
    </w:p>
    <w:p w14:paraId="1211C980" w14:textId="77777777" w:rsidR="00616315" w:rsidRDefault="00616315" w:rsidP="00616315">
      <w:pPr>
        <w:pStyle w:val="a3"/>
        <w:rPr>
          <w:lang w:val="sl-SI"/>
        </w:rPr>
      </w:pPr>
      <w:r>
        <w:rPr>
          <w:rFonts w:eastAsia="Times New Roman"/>
          <w:lang w:val="sl-SI"/>
        </w:rPr>
        <w:t>Bolniki iz študij UC-I in UC-II so imeli možnost nadaljevati v odprti, dolgoročni podaljšani študiji (UC-III). Po 3 letih zdravljenja z adalimumabom jih je 75 % (301/402) ostalo v klinični remisiji po delni oceni Mayo.</w:t>
      </w:r>
    </w:p>
    <w:p w14:paraId="4F6BF510" w14:textId="77777777" w:rsidR="00616315" w:rsidRDefault="00616315" w:rsidP="00616315">
      <w:pPr>
        <w:pStyle w:val="a3"/>
        <w:rPr>
          <w:lang w:val="sl-SI"/>
        </w:rPr>
      </w:pPr>
    </w:p>
    <w:p w14:paraId="7BA53E2D" w14:textId="77777777" w:rsidR="00616315" w:rsidRDefault="00616315" w:rsidP="00616315">
      <w:pPr>
        <w:pStyle w:val="a3"/>
        <w:rPr>
          <w:i/>
          <w:u w:val="single"/>
          <w:lang w:val="sl-SI"/>
        </w:rPr>
      </w:pPr>
      <w:r>
        <w:rPr>
          <w:rFonts w:eastAsia="Times New Roman"/>
          <w:i/>
          <w:iCs/>
          <w:u w:val="single" w:color="000000"/>
          <w:lang w:val="sl-SI"/>
        </w:rPr>
        <w:t>Stopnja hospitalizacije</w:t>
      </w:r>
    </w:p>
    <w:p w14:paraId="0D4F3C9C" w14:textId="77777777" w:rsidR="00616315" w:rsidRDefault="00616315" w:rsidP="00616315">
      <w:pPr>
        <w:pStyle w:val="a3"/>
        <w:rPr>
          <w:sz w:val="18"/>
          <w:szCs w:val="18"/>
          <w:lang w:val="sl-SI"/>
        </w:rPr>
      </w:pPr>
    </w:p>
    <w:p w14:paraId="33D4F4AE" w14:textId="77777777" w:rsidR="00616315" w:rsidRDefault="00616315" w:rsidP="00616315">
      <w:pPr>
        <w:pStyle w:val="a3"/>
        <w:rPr>
          <w:lang w:val="sl-SI"/>
        </w:rPr>
      </w:pPr>
      <w:r>
        <w:rPr>
          <w:rFonts w:eastAsia="Times New Roman"/>
          <w:lang w:val="sl-SI"/>
        </w:rPr>
        <w:t>V 52 tednih študij UC-I in UC-II so opazili nižjo stopnjo hospitalizacije iz vseh razlogov in hospitalizacije, povezane z ulceroznim kolitisom, pri skupini, zdravljeni z adalimumabom, v primerjavi s skupino, ki je prejemala placebo. Število hospitalizacij iz vseh razlogov v skupini, zdravljeni z adalimumabom, je bilo 0,18 na bolnikov-let proti 0,26 na bolnikov-let v placebo skupini. Podatki za hospitalizacije, povezane z ulceroznim kolitisom, so 0,12 na bolnikov-let proti 0,22 na bolnikov-let.</w:t>
      </w:r>
    </w:p>
    <w:p w14:paraId="0BBB800B" w14:textId="77777777" w:rsidR="00616315" w:rsidRDefault="00616315" w:rsidP="00616315">
      <w:pPr>
        <w:pStyle w:val="a3"/>
        <w:rPr>
          <w:sz w:val="24"/>
          <w:szCs w:val="24"/>
          <w:lang w:val="sl-SI"/>
        </w:rPr>
      </w:pPr>
    </w:p>
    <w:p w14:paraId="332BEEC1" w14:textId="77777777" w:rsidR="00616315" w:rsidRDefault="00616315" w:rsidP="00616315">
      <w:pPr>
        <w:pStyle w:val="a3"/>
        <w:rPr>
          <w:rFonts w:eastAsia="Times New Roman"/>
          <w:lang w:val="sl-SI"/>
        </w:rPr>
      </w:pPr>
      <w:r>
        <w:rPr>
          <w:rFonts w:eastAsia="Times New Roman"/>
          <w:i/>
          <w:iCs/>
          <w:spacing w:val="-1"/>
          <w:u w:val="single" w:color="000000"/>
          <w:lang w:val="sl-SI"/>
        </w:rPr>
        <w:t>Kakovost življenja</w:t>
      </w:r>
    </w:p>
    <w:p w14:paraId="377323E7" w14:textId="77777777" w:rsidR="00616315" w:rsidRDefault="00616315" w:rsidP="00616315">
      <w:pPr>
        <w:pStyle w:val="a3"/>
        <w:rPr>
          <w:sz w:val="18"/>
          <w:szCs w:val="18"/>
          <w:lang w:val="sl-SI"/>
        </w:rPr>
      </w:pPr>
    </w:p>
    <w:p w14:paraId="57351AD3" w14:textId="77777777" w:rsidR="00616315" w:rsidRDefault="00616315" w:rsidP="00616315">
      <w:pPr>
        <w:pStyle w:val="a3"/>
        <w:rPr>
          <w:lang w:val="sl-SI"/>
        </w:rPr>
      </w:pPr>
      <w:r>
        <w:rPr>
          <w:rFonts w:eastAsia="Times New Roman"/>
          <w:lang w:val="sl-SI"/>
        </w:rPr>
        <w:t>V študiji UC-II je zdravljenje z adalimumabom pripeljalo do izboljšanja rezultatov Vprašalnika o vnetni bolezni črevesa (IBDQ – Inflammatory Bowel Disease Questionaire).</w:t>
      </w:r>
    </w:p>
    <w:p w14:paraId="16128E97" w14:textId="77777777" w:rsidR="002874E0" w:rsidRDefault="002874E0" w:rsidP="00616315">
      <w:pPr>
        <w:spacing w:before="10" w:line="240" w:lineRule="exact"/>
        <w:rPr>
          <w:sz w:val="24"/>
          <w:szCs w:val="24"/>
          <w:lang w:val="sl-SI"/>
        </w:rPr>
      </w:pPr>
    </w:p>
    <w:p w14:paraId="29AF7648" w14:textId="77777777" w:rsidR="00616315" w:rsidRDefault="00616315" w:rsidP="00616315">
      <w:pPr>
        <w:pStyle w:val="a3"/>
        <w:rPr>
          <w:i/>
          <w:lang w:val="sl-SI"/>
        </w:rPr>
      </w:pPr>
      <w:r>
        <w:rPr>
          <w:rFonts w:eastAsia="Times New Roman"/>
          <w:i/>
          <w:iCs/>
          <w:lang w:val="sl-SI"/>
        </w:rPr>
        <w:t>Uveitis</w:t>
      </w:r>
    </w:p>
    <w:p w14:paraId="4B595F74" w14:textId="77777777" w:rsidR="00616315" w:rsidRDefault="00616315" w:rsidP="00616315">
      <w:pPr>
        <w:pStyle w:val="a3"/>
        <w:rPr>
          <w:sz w:val="24"/>
          <w:szCs w:val="24"/>
          <w:lang w:val="sl-SI"/>
        </w:rPr>
      </w:pPr>
    </w:p>
    <w:p w14:paraId="3EAFC0EE" w14:textId="77777777" w:rsidR="00616315" w:rsidRDefault="00616315" w:rsidP="00616315">
      <w:pPr>
        <w:pStyle w:val="a3"/>
        <w:rPr>
          <w:lang w:val="sl-SI"/>
        </w:rPr>
      </w:pPr>
      <w:r>
        <w:rPr>
          <w:rFonts w:eastAsia="Times New Roman"/>
          <w:lang w:val="sl-SI"/>
        </w:rPr>
        <w:t>Varnost in učinkovitost adalimumaba sta bili ocenjeni pri odraslih bolnikih z neinfekcijskim intermediarnim, posteriornim uveitisom in panuveitisom v dveh randomiziranih, dvojno slepih, s placebom kontroliranih študijah (UV I in UV II), ki nista vključevali bolnikov z izoliranim anteriornim uveitisom. Bolniki so prejeli placebo ali adalimumab v začetnem odmerku 80 mg, ki mu je sledil odmerek 40 mg vsak drugi teden, z začetkom dajanja ene teden po začetnem odmerku. Sočasni, stalni odmerki enega nebiološkega imunosupresiva so bili dovoljeni.</w:t>
      </w:r>
    </w:p>
    <w:p w14:paraId="7789317D" w14:textId="77777777" w:rsidR="00616315" w:rsidRDefault="00616315" w:rsidP="00616315">
      <w:pPr>
        <w:pStyle w:val="a3"/>
        <w:rPr>
          <w:sz w:val="24"/>
          <w:szCs w:val="24"/>
          <w:lang w:val="sl-SI"/>
        </w:rPr>
      </w:pPr>
    </w:p>
    <w:p w14:paraId="653C901A" w14:textId="77777777" w:rsidR="00616315" w:rsidRDefault="00616315" w:rsidP="00616315">
      <w:pPr>
        <w:pStyle w:val="a3"/>
        <w:rPr>
          <w:lang w:val="sl-SI"/>
        </w:rPr>
      </w:pPr>
      <w:r>
        <w:rPr>
          <w:rFonts w:eastAsia="Times New Roman"/>
          <w:lang w:val="sl-SI"/>
        </w:rPr>
        <w:t>Študija UV I je ovrednotila 217 bolnikov z aktivnim uveitisom kljub zdravljenju s kortikosteroidi (prednizolon peroralno v odmerku 10 do 60 mg/dan). Vsi bolniki so ob začetku študije prejeli 2-tedenski standardizirani odmerek prednizolona 60 mg/dan, čemur je sledil obvezen program postopnega zmanjševanja, s popolno ukinitvijo kortikosteroidov do 15. tedna.</w:t>
      </w:r>
    </w:p>
    <w:p w14:paraId="5F7133D9" w14:textId="77777777" w:rsidR="00616315" w:rsidRDefault="00616315" w:rsidP="00616315">
      <w:pPr>
        <w:pStyle w:val="a3"/>
        <w:rPr>
          <w:sz w:val="24"/>
          <w:szCs w:val="24"/>
          <w:lang w:val="sl-SI"/>
        </w:rPr>
      </w:pPr>
    </w:p>
    <w:p w14:paraId="14DEF615" w14:textId="77777777" w:rsidR="00616315" w:rsidRDefault="00616315" w:rsidP="00616315">
      <w:pPr>
        <w:pStyle w:val="a3"/>
        <w:rPr>
          <w:lang w:val="sl-SI"/>
        </w:rPr>
      </w:pPr>
      <w:r>
        <w:rPr>
          <w:rFonts w:eastAsia="Times New Roman"/>
          <w:lang w:val="sl-SI"/>
        </w:rPr>
        <w:t>Študija UV II je ovrednotila 226 bolnikov z inaktivnim uveitisom, ki je že na začetku zahteval kronično zdravljenje s kortikosteroidi (prednizolon peroralno 10 do 35 mg/dan) za nadzor njihove bolezni. Bolniki so bili kasneje deležni obveznega programa postopnega zmanjševanja, s popolno ukinitvijo kortikosteroidov do 19. tedna.</w:t>
      </w:r>
    </w:p>
    <w:p w14:paraId="48934CD5" w14:textId="77777777" w:rsidR="00616315" w:rsidRDefault="00616315" w:rsidP="00616315">
      <w:pPr>
        <w:pStyle w:val="a3"/>
        <w:rPr>
          <w:sz w:val="24"/>
          <w:szCs w:val="24"/>
          <w:lang w:val="sl-SI"/>
        </w:rPr>
      </w:pPr>
    </w:p>
    <w:p w14:paraId="55F772FA" w14:textId="77777777" w:rsidR="00616315" w:rsidRDefault="00616315" w:rsidP="00616315">
      <w:pPr>
        <w:pStyle w:val="a3"/>
        <w:rPr>
          <w:lang w:val="sl-SI"/>
        </w:rPr>
      </w:pPr>
      <w:r>
        <w:rPr>
          <w:rFonts w:eastAsia="Times New Roman"/>
          <w:lang w:val="sl-SI"/>
        </w:rPr>
        <w:t>Primarni opazovani dogodek kot merilo učinkovitosti je bil v obeh študijah ´čas do neuspeha zdravljenja´. Neuspeh zdravljenja je bil definiran z večkomponentnim izidom, ki je temeljil na vnetnih horioretinalnih in/ali vnetnih retinalnih vaskularnih lezijah, oceni celic sprednje očesne komore, motnosti steklovine in najboljši korigirani ostrini vida (BCVA - best corrected visual acuity).</w:t>
      </w:r>
    </w:p>
    <w:p w14:paraId="1102B45E" w14:textId="77777777" w:rsidR="00616315" w:rsidRDefault="00616315" w:rsidP="00616315">
      <w:pPr>
        <w:pStyle w:val="a3"/>
        <w:rPr>
          <w:sz w:val="24"/>
          <w:szCs w:val="24"/>
          <w:lang w:val="sl-SI"/>
        </w:rPr>
      </w:pPr>
    </w:p>
    <w:p w14:paraId="2FCE41EE" w14:textId="77777777" w:rsidR="00616315" w:rsidRDefault="00616315" w:rsidP="00616315">
      <w:pPr>
        <w:pStyle w:val="a3"/>
        <w:rPr>
          <w:lang w:val="sl-SI"/>
        </w:rPr>
      </w:pPr>
      <w:r>
        <w:rPr>
          <w:rFonts w:eastAsia="Times New Roman"/>
          <w:lang w:val="sl-SI"/>
        </w:rPr>
        <w:lastRenderedPageBreak/>
        <w:t>Bolniki, ki so zaključili študiji UV I in UV II, so bili primerni za vključitev v nenadzorovano, dolgoročno, podaljšano študijo, s prvotno načrtovanim trajanjem 78 tednov. Bolnikom je bilo dovoljeno prejemati zdravilo v preskušanju tudi po 78. tednu, dokler niso imeli dostopa do adalimumaba.</w:t>
      </w:r>
    </w:p>
    <w:p w14:paraId="16C421C1" w14:textId="77777777" w:rsidR="00616315" w:rsidRDefault="00616315" w:rsidP="00616315">
      <w:pPr>
        <w:pStyle w:val="a3"/>
        <w:rPr>
          <w:sz w:val="24"/>
          <w:szCs w:val="24"/>
          <w:lang w:val="sl-SI"/>
        </w:rPr>
      </w:pPr>
    </w:p>
    <w:p w14:paraId="7D4F97DD" w14:textId="77777777" w:rsidR="00616315" w:rsidRDefault="00616315" w:rsidP="00616315">
      <w:pPr>
        <w:pStyle w:val="a3"/>
        <w:rPr>
          <w:rFonts w:eastAsia="Times New Roman"/>
          <w:lang w:val="sl-SI"/>
        </w:rPr>
      </w:pPr>
      <w:r>
        <w:rPr>
          <w:rFonts w:eastAsia="Times New Roman"/>
          <w:i/>
          <w:iCs/>
          <w:spacing w:val="-1"/>
          <w:u w:val="single" w:color="000000"/>
          <w:lang w:val="sl-SI"/>
        </w:rPr>
        <w:t>Klinični odziv</w:t>
      </w:r>
    </w:p>
    <w:p w14:paraId="718206AC" w14:textId="77777777" w:rsidR="00616315" w:rsidRDefault="00616315" w:rsidP="00616315">
      <w:pPr>
        <w:pStyle w:val="a3"/>
        <w:rPr>
          <w:sz w:val="18"/>
          <w:szCs w:val="18"/>
          <w:lang w:val="sl-SI"/>
        </w:rPr>
      </w:pPr>
    </w:p>
    <w:p w14:paraId="2446EB66" w14:textId="1E4B4F3F" w:rsidR="00616315" w:rsidRDefault="00616315" w:rsidP="00616315">
      <w:pPr>
        <w:pStyle w:val="a3"/>
        <w:rPr>
          <w:lang w:val="sl-SI"/>
        </w:rPr>
      </w:pPr>
      <w:r>
        <w:rPr>
          <w:rFonts w:eastAsia="Times New Roman"/>
          <w:lang w:val="sl-SI"/>
        </w:rPr>
        <w:t>Rezultati iz obeh študij kažejo statistično značilno zmanjšanje tveganja za neuspeh zdravljenja pri bolnikih, ki so prejemali adalimumab, v primerjavi z bolniki, ki so prejemali placebo (glejte preglednico </w:t>
      </w:r>
      <w:r w:rsidR="000E386D">
        <w:rPr>
          <w:rFonts w:eastAsia="Times New Roman"/>
          <w:lang w:val="sl-SI"/>
        </w:rPr>
        <w:t>17</w:t>
      </w:r>
      <w:r>
        <w:rPr>
          <w:rFonts w:eastAsia="Times New Roman"/>
          <w:lang w:val="sl-SI"/>
        </w:rPr>
        <w:t>). V obeh študijah je bil dokazan zgodnji in vzdrževan učinek adalimumaba na odstotek neuspeha zdravljenja proti placebu (glejte sliko </w:t>
      </w:r>
      <w:r w:rsidR="001977F3">
        <w:rPr>
          <w:rFonts w:eastAsia="Times New Roman"/>
          <w:lang w:val="sl-SI"/>
        </w:rPr>
        <w:t>1</w:t>
      </w:r>
      <w:r>
        <w:rPr>
          <w:rFonts w:eastAsia="Times New Roman"/>
          <w:lang w:val="sl-SI"/>
        </w:rPr>
        <w:t>).</w:t>
      </w:r>
    </w:p>
    <w:p w14:paraId="4FC165B8" w14:textId="77777777" w:rsidR="00616315" w:rsidRDefault="00616315" w:rsidP="00616315">
      <w:pPr>
        <w:pStyle w:val="a3"/>
        <w:rPr>
          <w:lang w:val="sl-SI"/>
        </w:rPr>
      </w:pPr>
    </w:p>
    <w:p w14:paraId="4968307D" w14:textId="0EF1DC76" w:rsidR="00616315" w:rsidRDefault="00616315" w:rsidP="00616315">
      <w:pPr>
        <w:pStyle w:val="a3"/>
        <w:jc w:val="center"/>
        <w:rPr>
          <w:b/>
          <w:lang w:val="sl-SI"/>
        </w:rPr>
      </w:pPr>
      <w:r>
        <w:rPr>
          <w:rFonts w:eastAsia="Times New Roman"/>
          <w:b/>
          <w:bCs/>
          <w:lang w:val="sl-SI"/>
        </w:rPr>
        <w:t>Preglednica </w:t>
      </w:r>
      <w:r w:rsidR="000E386D">
        <w:rPr>
          <w:rFonts w:eastAsia="Times New Roman"/>
          <w:b/>
          <w:bCs/>
          <w:lang w:val="sl-SI"/>
        </w:rPr>
        <w:t>17</w:t>
      </w:r>
    </w:p>
    <w:p w14:paraId="3D1913C9" w14:textId="77777777" w:rsidR="00616315" w:rsidRDefault="00616315" w:rsidP="00616315">
      <w:pPr>
        <w:pStyle w:val="a3"/>
        <w:jc w:val="center"/>
        <w:rPr>
          <w:b/>
          <w:lang w:val="sl-SI"/>
        </w:rPr>
      </w:pPr>
      <w:r>
        <w:rPr>
          <w:rFonts w:eastAsia="Times New Roman"/>
          <w:b/>
          <w:bCs/>
          <w:lang w:val="sl-SI"/>
        </w:rPr>
        <w:t>Čas do neuspeha zdravljenja v študijah UV I in UV II</w:t>
      </w:r>
    </w:p>
    <w:p w14:paraId="0618E0D6" w14:textId="77777777" w:rsidR="00616315" w:rsidRDefault="00616315" w:rsidP="00616315">
      <w:pPr>
        <w:pStyle w:val="a3"/>
        <w:jc w:val="center"/>
        <w:rPr>
          <w:b/>
          <w:lang w:val="sl-SI"/>
        </w:rPr>
      </w:pPr>
    </w:p>
    <w:tbl>
      <w:tblPr>
        <w:tblStyle w:val="ac"/>
        <w:tblW w:w="97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4"/>
        <w:gridCol w:w="1530"/>
        <w:gridCol w:w="2052"/>
        <w:gridCol w:w="1130"/>
        <w:gridCol w:w="1130"/>
        <w:gridCol w:w="1130"/>
        <w:gridCol w:w="1133"/>
      </w:tblGrid>
      <w:tr w:rsidR="00616315" w14:paraId="305E5F60" w14:textId="77777777" w:rsidTr="00433A4B">
        <w:trPr>
          <w:jc w:val="center"/>
        </w:trPr>
        <w:tc>
          <w:tcPr>
            <w:tcW w:w="1624" w:type="dxa"/>
            <w:tcBorders>
              <w:top w:val="single" w:sz="4" w:space="0" w:color="auto"/>
              <w:bottom w:val="single" w:sz="4" w:space="0" w:color="auto"/>
            </w:tcBorders>
            <w:vAlign w:val="center"/>
          </w:tcPr>
          <w:p w14:paraId="03762AEB" w14:textId="77777777" w:rsidR="00616315" w:rsidRDefault="00616315" w:rsidP="00433A4B">
            <w:pPr>
              <w:pStyle w:val="a3"/>
              <w:jc w:val="center"/>
              <w:rPr>
                <w:b/>
                <w:lang w:val="sl-SI" w:eastAsia="ko-KR"/>
              </w:rPr>
            </w:pPr>
            <w:r>
              <w:rPr>
                <w:rFonts w:eastAsia="Times New Roman"/>
                <w:b/>
                <w:bCs/>
                <w:lang w:val="sl-SI" w:eastAsia="ko-KR"/>
              </w:rPr>
              <w:t>Analiza zdravljenja</w:t>
            </w:r>
          </w:p>
        </w:tc>
        <w:tc>
          <w:tcPr>
            <w:tcW w:w="1530" w:type="dxa"/>
            <w:tcBorders>
              <w:top w:val="single" w:sz="4" w:space="0" w:color="auto"/>
              <w:bottom w:val="single" w:sz="4" w:space="0" w:color="auto"/>
            </w:tcBorders>
            <w:vAlign w:val="center"/>
          </w:tcPr>
          <w:p w14:paraId="67591D2F" w14:textId="77777777" w:rsidR="00616315" w:rsidRDefault="00616315" w:rsidP="00433A4B">
            <w:pPr>
              <w:pStyle w:val="a3"/>
              <w:jc w:val="center"/>
              <w:rPr>
                <w:b/>
                <w:lang w:val="sl-SI"/>
              </w:rPr>
            </w:pPr>
            <w:r>
              <w:rPr>
                <w:rFonts w:eastAsia="Times New Roman"/>
                <w:b/>
                <w:bCs/>
                <w:lang w:val="sl-SI"/>
              </w:rPr>
              <w:t>N</w:t>
            </w:r>
          </w:p>
        </w:tc>
        <w:tc>
          <w:tcPr>
            <w:tcW w:w="2052" w:type="dxa"/>
            <w:tcBorders>
              <w:top w:val="single" w:sz="4" w:space="0" w:color="auto"/>
              <w:bottom w:val="single" w:sz="4" w:space="0" w:color="auto"/>
            </w:tcBorders>
            <w:vAlign w:val="center"/>
          </w:tcPr>
          <w:p w14:paraId="60C18D88" w14:textId="77777777" w:rsidR="00616315" w:rsidRDefault="00616315" w:rsidP="00433A4B">
            <w:pPr>
              <w:pStyle w:val="a3"/>
              <w:jc w:val="center"/>
              <w:rPr>
                <w:b/>
                <w:lang w:val="sl-SI"/>
              </w:rPr>
            </w:pPr>
            <w:r>
              <w:rPr>
                <w:rFonts w:eastAsia="Times New Roman"/>
                <w:b/>
                <w:bCs/>
                <w:spacing w:val="-1"/>
                <w:lang w:val="sl-SI"/>
              </w:rPr>
              <w:t>Neuspeh N (%)</w:t>
            </w:r>
          </w:p>
        </w:tc>
        <w:tc>
          <w:tcPr>
            <w:tcW w:w="1130" w:type="dxa"/>
            <w:tcBorders>
              <w:top w:val="single" w:sz="4" w:space="0" w:color="auto"/>
              <w:bottom w:val="single" w:sz="4" w:space="0" w:color="auto"/>
            </w:tcBorders>
          </w:tcPr>
          <w:p w14:paraId="7C5F851A" w14:textId="77777777" w:rsidR="00616315" w:rsidRDefault="00616315" w:rsidP="00433A4B">
            <w:pPr>
              <w:pStyle w:val="a3"/>
              <w:jc w:val="center"/>
              <w:rPr>
                <w:b/>
                <w:bCs/>
                <w:spacing w:val="-1"/>
                <w:lang w:val="sl-SI" w:eastAsia="ko-KR"/>
              </w:rPr>
            </w:pPr>
            <w:r>
              <w:rPr>
                <w:rFonts w:eastAsia="Times New Roman"/>
                <w:b/>
                <w:bCs/>
                <w:spacing w:val="-1"/>
                <w:lang w:val="sl-SI" w:eastAsia="ko-KR"/>
              </w:rPr>
              <w:t>Mediana časa do neuspeha (meseci)</w:t>
            </w:r>
          </w:p>
        </w:tc>
        <w:tc>
          <w:tcPr>
            <w:tcW w:w="1130" w:type="dxa"/>
            <w:tcBorders>
              <w:top w:val="single" w:sz="4" w:space="0" w:color="auto"/>
              <w:bottom w:val="single" w:sz="4" w:space="0" w:color="auto"/>
            </w:tcBorders>
            <w:vAlign w:val="center"/>
          </w:tcPr>
          <w:p w14:paraId="77822975" w14:textId="77777777" w:rsidR="00616315" w:rsidRDefault="00616315" w:rsidP="00433A4B">
            <w:pPr>
              <w:pStyle w:val="a3"/>
              <w:jc w:val="center"/>
              <w:rPr>
                <w:b/>
                <w:bCs/>
                <w:spacing w:val="-1"/>
                <w:lang w:val="sl-SI" w:eastAsia="ko-KR"/>
              </w:rPr>
            </w:pPr>
            <w:r>
              <w:rPr>
                <w:rFonts w:eastAsia="Times New Roman"/>
                <w:b/>
                <w:bCs/>
                <w:spacing w:val="-1"/>
                <w:lang w:val="sl-SI" w:eastAsia="ko-KR"/>
              </w:rPr>
              <w:t>RT</w:t>
            </w:r>
            <w:r>
              <w:rPr>
                <w:rFonts w:eastAsia="Times New Roman"/>
                <w:b/>
                <w:bCs/>
                <w:spacing w:val="-1"/>
                <w:vertAlign w:val="superscript"/>
                <w:lang w:val="sl-SI" w:eastAsia="ko-KR"/>
              </w:rPr>
              <w:t>a</w:t>
            </w:r>
          </w:p>
        </w:tc>
        <w:tc>
          <w:tcPr>
            <w:tcW w:w="1130" w:type="dxa"/>
            <w:tcBorders>
              <w:top w:val="single" w:sz="4" w:space="0" w:color="auto"/>
              <w:bottom w:val="single" w:sz="4" w:space="0" w:color="auto"/>
            </w:tcBorders>
            <w:vAlign w:val="center"/>
          </w:tcPr>
          <w:p w14:paraId="577D66D0" w14:textId="77777777" w:rsidR="00616315" w:rsidRDefault="00616315" w:rsidP="00433A4B">
            <w:pPr>
              <w:pStyle w:val="a3"/>
              <w:jc w:val="center"/>
              <w:rPr>
                <w:b/>
                <w:bCs/>
                <w:spacing w:val="-1"/>
                <w:lang w:val="sl-SI" w:eastAsia="ko-KR"/>
              </w:rPr>
            </w:pPr>
            <w:r>
              <w:rPr>
                <w:rFonts w:eastAsia="Times New Roman"/>
                <w:b/>
                <w:bCs/>
                <w:spacing w:val="-1"/>
                <w:lang w:val="sl-SI" w:eastAsia="ko-KR"/>
              </w:rPr>
              <w:t>95-% IZ za RT</w:t>
            </w:r>
            <w:r>
              <w:rPr>
                <w:rFonts w:eastAsia="Times New Roman"/>
                <w:spacing w:val="-1"/>
                <w:vertAlign w:val="superscript"/>
                <w:lang w:val="sl-SI" w:eastAsia="ko-KR"/>
              </w:rPr>
              <w:t>a</w:t>
            </w:r>
          </w:p>
        </w:tc>
        <w:tc>
          <w:tcPr>
            <w:tcW w:w="1130" w:type="dxa"/>
            <w:tcBorders>
              <w:top w:val="single" w:sz="4" w:space="0" w:color="auto"/>
              <w:bottom w:val="single" w:sz="4" w:space="0" w:color="auto"/>
            </w:tcBorders>
            <w:vAlign w:val="center"/>
          </w:tcPr>
          <w:p w14:paraId="00DE1667" w14:textId="77777777" w:rsidR="00616315" w:rsidRDefault="00616315" w:rsidP="00433A4B">
            <w:pPr>
              <w:pStyle w:val="a3"/>
              <w:jc w:val="center"/>
              <w:rPr>
                <w:b/>
                <w:lang w:val="sl-SI"/>
              </w:rPr>
            </w:pPr>
            <w:r>
              <w:rPr>
                <w:rFonts w:eastAsia="Times New Roman"/>
                <w:b/>
                <w:bCs/>
                <w:spacing w:val="-1"/>
                <w:lang w:val="sl-SI" w:eastAsia="ko-KR"/>
              </w:rPr>
              <w:t>Vrednost p</w:t>
            </w:r>
            <w:r>
              <w:rPr>
                <w:rFonts w:eastAsia="Times New Roman"/>
                <w:b/>
                <w:bCs/>
                <w:spacing w:val="-1"/>
                <w:vertAlign w:val="superscript"/>
                <w:lang w:val="sl-SI" w:eastAsia="ko-KR"/>
              </w:rPr>
              <w:t>b</w:t>
            </w:r>
          </w:p>
          <w:p w14:paraId="630E22EA" w14:textId="77777777" w:rsidR="00616315" w:rsidRDefault="00616315" w:rsidP="00433A4B">
            <w:pPr>
              <w:pStyle w:val="a3"/>
              <w:jc w:val="center"/>
              <w:rPr>
                <w:rFonts w:eastAsia="Times New Roman"/>
                <w:b/>
                <w:bCs/>
                <w:spacing w:val="-1"/>
                <w:lang w:val="sl-SI"/>
              </w:rPr>
            </w:pPr>
          </w:p>
        </w:tc>
      </w:tr>
      <w:tr w:rsidR="00616315" w14:paraId="50454CE3" w14:textId="77777777" w:rsidTr="00433A4B">
        <w:trPr>
          <w:jc w:val="center"/>
        </w:trPr>
        <w:tc>
          <w:tcPr>
            <w:tcW w:w="9729" w:type="dxa"/>
            <w:gridSpan w:val="7"/>
            <w:tcBorders>
              <w:top w:val="single" w:sz="4" w:space="0" w:color="auto"/>
              <w:bottom w:val="single" w:sz="4" w:space="0" w:color="auto"/>
            </w:tcBorders>
            <w:vAlign w:val="center"/>
          </w:tcPr>
          <w:p w14:paraId="2F7DA830" w14:textId="77777777" w:rsidR="00616315" w:rsidRDefault="00616315" w:rsidP="00433A4B">
            <w:pPr>
              <w:pStyle w:val="a3"/>
              <w:rPr>
                <w:b/>
                <w:lang w:val="sl-SI"/>
              </w:rPr>
            </w:pPr>
            <w:r>
              <w:rPr>
                <w:rFonts w:eastAsia="Times New Roman"/>
                <w:b/>
                <w:bCs/>
                <w:lang w:val="sl-SI"/>
              </w:rPr>
              <w:t>Čas do neuspeha zdravljenja v ali po 6. tednu v študiji UV I</w:t>
            </w:r>
          </w:p>
          <w:p w14:paraId="02AA09C4" w14:textId="77777777" w:rsidR="00616315" w:rsidRDefault="00616315" w:rsidP="00433A4B">
            <w:pPr>
              <w:pStyle w:val="a3"/>
              <w:jc w:val="both"/>
              <w:rPr>
                <w:lang w:val="sl-SI"/>
              </w:rPr>
            </w:pPr>
            <w:r>
              <w:rPr>
                <w:rFonts w:eastAsia="Times New Roman"/>
                <w:b/>
                <w:bCs/>
                <w:lang w:val="sl-SI"/>
              </w:rPr>
              <w:t>Primarna analiza (ITT)</w:t>
            </w:r>
          </w:p>
        </w:tc>
      </w:tr>
      <w:tr w:rsidR="00616315" w14:paraId="5EC0E562" w14:textId="77777777" w:rsidTr="00433A4B">
        <w:trPr>
          <w:jc w:val="center"/>
        </w:trPr>
        <w:tc>
          <w:tcPr>
            <w:tcW w:w="1624" w:type="dxa"/>
            <w:tcBorders>
              <w:top w:val="single" w:sz="4" w:space="0" w:color="auto"/>
            </w:tcBorders>
            <w:vAlign w:val="center"/>
          </w:tcPr>
          <w:p w14:paraId="0DA39283" w14:textId="77777777" w:rsidR="00616315" w:rsidRDefault="00616315" w:rsidP="00433A4B">
            <w:pPr>
              <w:pStyle w:val="a3"/>
              <w:jc w:val="center"/>
              <w:rPr>
                <w:lang w:val="sl-SI"/>
              </w:rPr>
            </w:pPr>
            <w:r>
              <w:rPr>
                <w:rFonts w:eastAsia="Times New Roman"/>
                <w:lang w:val="sl-SI"/>
              </w:rPr>
              <w:t>Placebo</w:t>
            </w:r>
          </w:p>
        </w:tc>
        <w:tc>
          <w:tcPr>
            <w:tcW w:w="1530" w:type="dxa"/>
            <w:tcBorders>
              <w:top w:val="single" w:sz="4" w:space="0" w:color="auto"/>
            </w:tcBorders>
          </w:tcPr>
          <w:p w14:paraId="5738613D" w14:textId="77777777" w:rsidR="00616315" w:rsidRDefault="00616315" w:rsidP="00433A4B">
            <w:pPr>
              <w:pStyle w:val="a3"/>
              <w:jc w:val="center"/>
              <w:rPr>
                <w:lang w:val="sl-SI"/>
              </w:rPr>
            </w:pPr>
            <w:r>
              <w:rPr>
                <w:rFonts w:eastAsia="Times New Roman"/>
                <w:lang w:val="sl-SI"/>
              </w:rPr>
              <w:t xml:space="preserve">107 </w:t>
            </w:r>
          </w:p>
        </w:tc>
        <w:tc>
          <w:tcPr>
            <w:tcW w:w="2052" w:type="dxa"/>
            <w:tcBorders>
              <w:top w:val="single" w:sz="4" w:space="0" w:color="auto"/>
            </w:tcBorders>
          </w:tcPr>
          <w:p w14:paraId="28F73D19" w14:textId="77777777" w:rsidR="00616315" w:rsidRDefault="00616315" w:rsidP="00433A4B">
            <w:pPr>
              <w:pStyle w:val="a3"/>
              <w:jc w:val="center"/>
              <w:rPr>
                <w:lang w:val="sl-SI"/>
              </w:rPr>
            </w:pPr>
            <w:r>
              <w:rPr>
                <w:rFonts w:eastAsia="Times New Roman"/>
                <w:lang w:val="sl-SI"/>
              </w:rPr>
              <w:t xml:space="preserve">84 (78,5) </w:t>
            </w:r>
          </w:p>
        </w:tc>
        <w:tc>
          <w:tcPr>
            <w:tcW w:w="1130" w:type="dxa"/>
            <w:tcBorders>
              <w:top w:val="single" w:sz="4" w:space="0" w:color="auto"/>
            </w:tcBorders>
          </w:tcPr>
          <w:p w14:paraId="2FEFBD0D" w14:textId="77777777" w:rsidR="00616315" w:rsidRDefault="00616315" w:rsidP="00433A4B">
            <w:pPr>
              <w:pStyle w:val="a3"/>
              <w:jc w:val="center"/>
              <w:rPr>
                <w:lang w:val="sl-SI"/>
              </w:rPr>
            </w:pPr>
            <w:r>
              <w:rPr>
                <w:rFonts w:eastAsia="Times New Roman"/>
                <w:lang w:val="sl-SI"/>
              </w:rPr>
              <w:t xml:space="preserve">3,0 </w:t>
            </w:r>
          </w:p>
        </w:tc>
        <w:tc>
          <w:tcPr>
            <w:tcW w:w="1130" w:type="dxa"/>
            <w:tcBorders>
              <w:top w:val="single" w:sz="4" w:space="0" w:color="auto"/>
            </w:tcBorders>
          </w:tcPr>
          <w:p w14:paraId="1B3474D1" w14:textId="77777777" w:rsidR="00616315" w:rsidRDefault="00616315" w:rsidP="00433A4B">
            <w:pPr>
              <w:pStyle w:val="a3"/>
              <w:jc w:val="center"/>
              <w:rPr>
                <w:lang w:val="sl-SI"/>
              </w:rPr>
            </w:pPr>
            <w:r>
              <w:rPr>
                <w:lang w:val="sl-SI"/>
              </w:rPr>
              <w:t xml:space="preserve">-- </w:t>
            </w:r>
          </w:p>
        </w:tc>
        <w:tc>
          <w:tcPr>
            <w:tcW w:w="1130" w:type="dxa"/>
            <w:tcBorders>
              <w:top w:val="single" w:sz="4" w:space="0" w:color="auto"/>
            </w:tcBorders>
          </w:tcPr>
          <w:p w14:paraId="46722847" w14:textId="77777777" w:rsidR="00616315" w:rsidRDefault="00616315" w:rsidP="00433A4B">
            <w:pPr>
              <w:pStyle w:val="a3"/>
              <w:jc w:val="center"/>
              <w:rPr>
                <w:lang w:val="sl-SI"/>
              </w:rPr>
            </w:pPr>
            <w:r>
              <w:rPr>
                <w:lang w:val="sl-SI"/>
              </w:rPr>
              <w:t xml:space="preserve">-- </w:t>
            </w:r>
          </w:p>
        </w:tc>
        <w:tc>
          <w:tcPr>
            <w:tcW w:w="1130" w:type="dxa"/>
            <w:tcBorders>
              <w:top w:val="single" w:sz="4" w:space="0" w:color="auto"/>
            </w:tcBorders>
          </w:tcPr>
          <w:p w14:paraId="24800808" w14:textId="77777777" w:rsidR="00616315" w:rsidRDefault="00616315" w:rsidP="00433A4B">
            <w:pPr>
              <w:pStyle w:val="a3"/>
              <w:jc w:val="center"/>
              <w:rPr>
                <w:lang w:val="sl-SI"/>
              </w:rPr>
            </w:pPr>
            <w:r>
              <w:rPr>
                <w:lang w:val="sl-SI"/>
              </w:rPr>
              <w:t xml:space="preserve">-- </w:t>
            </w:r>
          </w:p>
        </w:tc>
      </w:tr>
      <w:tr w:rsidR="00616315" w14:paraId="0F817479" w14:textId="77777777" w:rsidTr="00433A4B">
        <w:trPr>
          <w:jc w:val="center"/>
        </w:trPr>
        <w:tc>
          <w:tcPr>
            <w:tcW w:w="1624" w:type="dxa"/>
            <w:tcBorders>
              <w:bottom w:val="single" w:sz="4" w:space="0" w:color="auto"/>
            </w:tcBorders>
            <w:vAlign w:val="center"/>
          </w:tcPr>
          <w:p w14:paraId="292CCF92" w14:textId="77777777" w:rsidR="00616315" w:rsidRDefault="00616315" w:rsidP="00433A4B">
            <w:pPr>
              <w:pStyle w:val="a3"/>
              <w:jc w:val="center"/>
              <w:rPr>
                <w:lang w:val="sl-SI"/>
              </w:rPr>
            </w:pPr>
            <w:r>
              <w:rPr>
                <w:rFonts w:eastAsia="Times New Roman"/>
                <w:lang w:val="sl-SI"/>
              </w:rPr>
              <w:t>Adalimumab</w:t>
            </w:r>
          </w:p>
        </w:tc>
        <w:tc>
          <w:tcPr>
            <w:tcW w:w="1530" w:type="dxa"/>
            <w:tcBorders>
              <w:bottom w:val="single" w:sz="4" w:space="0" w:color="auto"/>
            </w:tcBorders>
          </w:tcPr>
          <w:p w14:paraId="3723EE41" w14:textId="77777777" w:rsidR="00616315" w:rsidRDefault="00616315" w:rsidP="00433A4B">
            <w:pPr>
              <w:pStyle w:val="a3"/>
              <w:jc w:val="center"/>
              <w:rPr>
                <w:lang w:val="sl-SI"/>
              </w:rPr>
            </w:pPr>
            <w:r>
              <w:rPr>
                <w:rFonts w:eastAsia="Times New Roman"/>
                <w:lang w:val="sl-SI"/>
              </w:rPr>
              <w:t xml:space="preserve">110 </w:t>
            </w:r>
          </w:p>
        </w:tc>
        <w:tc>
          <w:tcPr>
            <w:tcW w:w="2052" w:type="dxa"/>
            <w:tcBorders>
              <w:bottom w:val="single" w:sz="4" w:space="0" w:color="auto"/>
            </w:tcBorders>
          </w:tcPr>
          <w:p w14:paraId="787801C3" w14:textId="77777777" w:rsidR="00616315" w:rsidRDefault="00616315" w:rsidP="00433A4B">
            <w:pPr>
              <w:pStyle w:val="a3"/>
              <w:jc w:val="center"/>
              <w:rPr>
                <w:lang w:val="sl-SI"/>
              </w:rPr>
            </w:pPr>
            <w:r>
              <w:rPr>
                <w:rFonts w:eastAsia="Times New Roman"/>
                <w:lang w:val="sl-SI"/>
              </w:rPr>
              <w:t xml:space="preserve">60 (54,5) </w:t>
            </w:r>
          </w:p>
        </w:tc>
        <w:tc>
          <w:tcPr>
            <w:tcW w:w="1130" w:type="dxa"/>
            <w:tcBorders>
              <w:bottom w:val="single" w:sz="4" w:space="0" w:color="auto"/>
            </w:tcBorders>
          </w:tcPr>
          <w:p w14:paraId="2EE880FD" w14:textId="77777777" w:rsidR="00616315" w:rsidRDefault="00616315" w:rsidP="00433A4B">
            <w:pPr>
              <w:pStyle w:val="a3"/>
              <w:jc w:val="center"/>
              <w:rPr>
                <w:lang w:val="sl-SI"/>
              </w:rPr>
            </w:pPr>
            <w:r>
              <w:rPr>
                <w:rFonts w:eastAsia="Times New Roman"/>
                <w:lang w:val="sl-SI"/>
              </w:rPr>
              <w:t xml:space="preserve">5,6 </w:t>
            </w:r>
          </w:p>
        </w:tc>
        <w:tc>
          <w:tcPr>
            <w:tcW w:w="1130" w:type="dxa"/>
            <w:tcBorders>
              <w:bottom w:val="single" w:sz="4" w:space="0" w:color="auto"/>
            </w:tcBorders>
          </w:tcPr>
          <w:p w14:paraId="28A93A29" w14:textId="77777777" w:rsidR="00616315" w:rsidRDefault="00616315" w:rsidP="00433A4B">
            <w:pPr>
              <w:pStyle w:val="a3"/>
              <w:jc w:val="center"/>
              <w:rPr>
                <w:lang w:val="sl-SI"/>
              </w:rPr>
            </w:pPr>
            <w:r>
              <w:rPr>
                <w:rFonts w:eastAsia="Times New Roman"/>
                <w:lang w:val="sl-SI"/>
              </w:rPr>
              <w:t xml:space="preserve">0.50 </w:t>
            </w:r>
          </w:p>
        </w:tc>
        <w:tc>
          <w:tcPr>
            <w:tcW w:w="1130" w:type="dxa"/>
            <w:tcBorders>
              <w:bottom w:val="single" w:sz="4" w:space="0" w:color="auto"/>
            </w:tcBorders>
          </w:tcPr>
          <w:p w14:paraId="7F28FEF9" w14:textId="77777777" w:rsidR="00616315" w:rsidRDefault="00616315" w:rsidP="00433A4B">
            <w:pPr>
              <w:pStyle w:val="a3"/>
              <w:jc w:val="center"/>
              <w:rPr>
                <w:lang w:val="sl-SI"/>
              </w:rPr>
            </w:pPr>
            <w:r>
              <w:rPr>
                <w:rFonts w:eastAsia="Times New Roman"/>
                <w:lang w:val="sl-SI"/>
              </w:rPr>
              <w:t xml:space="preserve">0,36; 0,70 </w:t>
            </w:r>
          </w:p>
        </w:tc>
        <w:tc>
          <w:tcPr>
            <w:tcW w:w="1130" w:type="dxa"/>
            <w:tcBorders>
              <w:bottom w:val="single" w:sz="4" w:space="0" w:color="auto"/>
            </w:tcBorders>
          </w:tcPr>
          <w:p w14:paraId="62CA8C9E" w14:textId="77777777" w:rsidR="00616315" w:rsidRDefault="00616315" w:rsidP="00433A4B">
            <w:pPr>
              <w:pStyle w:val="a3"/>
              <w:jc w:val="center"/>
              <w:rPr>
                <w:lang w:val="sl-SI"/>
              </w:rPr>
            </w:pPr>
            <w:r>
              <w:rPr>
                <w:rFonts w:eastAsia="Times New Roman"/>
                <w:lang w:val="sl-SI"/>
              </w:rPr>
              <w:t xml:space="preserve">&lt; 0,001 </w:t>
            </w:r>
          </w:p>
        </w:tc>
      </w:tr>
      <w:tr w:rsidR="00616315" w14:paraId="5712E280" w14:textId="77777777" w:rsidTr="00433A4B">
        <w:trPr>
          <w:jc w:val="center"/>
        </w:trPr>
        <w:tc>
          <w:tcPr>
            <w:tcW w:w="9729" w:type="dxa"/>
            <w:gridSpan w:val="7"/>
            <w:tcBorders>
              <w:top w:val="single" w:sz="4" w:space="0" w:color="auto"/>
              <w:bottom w:val="single" w:sz="4" w:space="0" w:color="auto"/>
            </w:tcBorders>
            <w:vAlign w:val="center"/>
          </w:tcPr>
          <w:p w14:paraId="745E0F16" w14:textId="77777777" w:rsidR="00616315" w:rsidRDefault="00616315" w:rsidP="00433A4B">
            <w:pPr>
              <w:pStyle w:val="a3"/>
              <w:jc w:val="both"/>
              <w:rPr>
                <w:b/>
                <w:lang w:val="sl-SI"/>
              </w:rPr>
            </w:pPr>
            <w:r>
              <w:rPr>
                <w:rFonts w:eastAsia="Times New Roman"/>
                <w:b/>
                <w:bCs/>
                <w:lang w:val="sl-SI"/>
              </w:rPr>
              <w:t>Čas do neuspeha zdravljenja v ali po 2. tednu v študiji UV II</w:t>
            </w:r>
          </w:p>
          <w:p w14:paraId="5775A39F" w14:textId="77777777" w:rsidR="00616315" w:rsidRDefault="00616315" w:rsidP="00433A4B">
            <w:pPr>
              <w:pStyle w:val="a3"/>
              <w:jc w:val="both"/>
              <w:rPr>
                <w:lang w:val="sl-SI"/>
              </w:rPr>
            </w:pPr>
            <w:r>
              <w:rPr>
                <w:rFonts w:eastAsia="Times New Roman"/>
                <w:b/>
                <w:bCs/>
                <w:lang w:val="sl-SI"/>
              </w:rPr>
              <w:t>Primarna analiza (ITT)</w:t>
            </w:r>
          </w:p>
        </w:tc>
      </w:tr>
      <w:tr w:rsidR="00616315" w14:paraId="172F56F1" w14:textId="77777777" w:rsidTr="00433A4B">
        <w:trPr>
          <w:jc w:val="center"/>
        </w:trPr>
        <w:tc>
          <w:tcPr>
            <w:tcW w:w="1624" w:type="dxa"/>
            <w:tcBorders>
              <w:top w:val="single" w:sz="4" w:space="0" w:color="auto"/>
            </w:tcBorders>
          </w:tcPr>
          <w:p w14:paraId="0A883D3E" w14:textId="77777777" w:rsidR="00616315" w:rsidRDefault="00616315" w:rsidP="00433A4B">
            <w:pPr>
              <w:pStyle w:val="a3"/>
              <w:jc w:val="center"/>
              <w:rPr>
                <w:lang w:val="sl-SI"/>
              </w:rPr>
            </w:pPr>
            <w:r>
              <w:rPr>
                <w:rFonts w:eastAsia="Times New Roman"/>
                <w:lang w:val="sl-SI"/>
              </w:rPr>
              <w:t xml:space="preserve">Placebo </w:t>
            </w:r>
          </w:p>
        </w:tc>
        <w:tc>
          <w:tcPr>
            <w:tcW w:w="1530" w:type="dxa"/>
            <w:tcBorders>
              <w:top w:val="single" w:sz="4" w:space="0" w:color="auto"/>
            </w:tcBorders>
          </w:tcPr>
          <w:p w14:paraId="27A226DA" w14:textId="77777777" w:rsidR="00616315" w:rsidRDefault="00616315" w:rsidP="00433A4B">
            <w:pPr>
              <w:pStyle w:val="a3"/>
              <w:jc w:val="center"/>
              <w:rPr>
                <w:lang w:val="sl-SI"/>
              </w:rPr>
            </w:pPr>
            <w:r>
              <w:rPr>
                <w:rFonts w:eastAsia="Times New Roman"/>
                <w:lang w:val="sl-SI"/>
              </w:rPr>
              <w:t xml:space="preserve">111 </w:t>
            </w:r>
          </w:p>
        </w:tc>
        <w:tc>
          <w:tcPr>
            <w:tcW w:w="2052" w:type="dxa"/>
            <w:tcBorders>
              <w:top w:val="single" w:sz="4" w:space="0" w:color="auto"/>
            </w:tcBorders>
          </w:tcPr>
          <w:p w14:paraId="12B93CEF" w14:textId="77777777" w:rsidR="00616315" w:rsidRDefault="00616315" w:rsidP="00433A4B">
            <w:pPr>
              <w:pStyle w:val="a3"/>
              <w:jc w:val="center"/>
              <w:rPr>
                <w:lang w:val="sl-SI"/>
              </w:rPr>
            </w:pPr>
            <w:r>
              <w:rPr>
                <w:rFonts w:eastAsia="Times New Roman"/>
                <w:lang w:val="sl-SI"/>
              </w:rPr>
              <w:t xml:space="preserve">61 (55,0) </w:t>
            </w:r>
          </w:p>
        </w:tc>
        <w:tc>
          <w:tcPr>
            <w:tcW w:w="1130" w:type="dxa"/>
            <w:tcBorders>
              <w:top w:val="single" w:sz="4" w:space="0" w:color="auto"/>
            </w:tcBorders>
          </w:tcPr>
          <w:p w14:paraId="67635817" w14:textId="77777777" w:rsidR="00616315" w:rsidRDefault="00616315" w:rsidP="00433A4B">
            <w:pPr>
              <w:pStyle w:val="a3"/>
              <w:jc w:val="center"/>
              <w:rPr>
                <w:lang w:val="sl-SI"/>
              </w:rPr>
            </w:pPr>
            <w:r>
              <w:rPr>
                <w:rFonts w:eastAsia="Times New Roman"/>
                <w:lang w:val="sl-SI"/>
              </w:rPr>
              <w:t xml:space="preserve">8,3 </w:t>
            </w:r>
          </w:p>
        </w:tc>
        <w:tc>
          <w:tcPr>
            <w:tcW w:w="1130" w:type="dxa"/>
            <w:tcBorders>
              <w:top w:val="single" w:sz="4" w:space="0" w:color="auto"/>
            </w:tcBorders>
          </w:tcPr>
          <w:p w14:paraId="69375E31" w14:textId="77777777" w:rsidR="00616315" w:rsidRDefault="00616315" w:rsidP="00433A4B">
            <w:pPr>
              <w:pStyle w:val="a3"/>
              <w:jc w:val="center"/>
              <w:rPr>
                <w:lang w:val="sl-SI"/>
              </w:rPr>
            </w:pPr>
            <w:r>
              <w:rPr>
                <w:lang w:val="sl-SI"/>
              </w:rPr>
              <w:t xml:space="preserve">-- </w:t>
            </w:r>
          </w:p>
        </w:tc>
        <w:tc>
          <w:tcPr>
            <w:tcW w:w="1130" w:type="dxa"/>
            <w:tcBorders>
              <w:top w:val="single" w:sz="4" w:space="0" w:color="auto"/>
            </w:tcBorders>
          </w:tcPr>
          <w:p w14:paraId="0C2576F7" w14:textId="77777777" w:rsidR="00616315" w:rsidRDefault="00616315" w:rsidP="00433A4B">
            <w:pPr>
              <w:pStyle w:val="a3"/>
              <w:jc w:val="center"/>
              <w:rPr>
                <w:lang w:val="sl-SI"/>
              </w:rPr>
            </w:pPr>
            <w:r>
              <w:rPr>
                <w:lang w:val="sl-SI"/>
              </w:rPr>
              <w:t xml:space="preserve">-- </w:t>
            </w:r>
          </w:p>
        </w:tc>
        <w:tc>
          <w:tcPr>
            <w:tcW w:w="1130" w:type="dxa"/>
            <w:tcBorders>
              <w:top w:val="single" w:sz="4" w:space="0" w:color="auto"/>
            </w:tcBorders>
          </w:tcPr>
          <w:p w14:paraId="14518A32" w14:textId="77777777" w:rsidR="00616315" w:rsidRDefault="00616315" w:rsidP="00433A4B">
            <w:pPr>
              <w:pStyle w:val="a3"/>
              <w:jc w:val="center"/>
              <w:rPr>
                <w:lang w:val="sl-SI"/>
              </w:rPr>
            </w:pPr>
            <w:r>
              <w:rPr>
                <w:lang w:val="sl-SI"/>
              </w:rPr>
              <w:t xml:space="preserve">-- </w:t>
            </w:r>
          </w:p>
        </w:tc>
      </w:tr>
      <w:tr w:rsidR="00616315" w14:paraId="14A88DE0" w14:textId="77777777" w:rsidTr="00433A4B">
        <w:trPr>
          <w:jc w:val="center"/>
        </w:trPr>
        <w:tc>
          <w:tcPr>
            <w:tcW w:w="1624" w:type="dxa"/>
            <w:tcBorders>
              <w:bottom w:val="single" w:sz="4" w:space="0" w:color="auto"/>
            </w:tcBorders>
          </w:tcPr>
          <w:p w14:paraId="0E270690" w14:textId="77777777" w:rsidR="00616315" w:rsidRDefault="00616315" w:rsidP="00433A4B">
            <w:pPr>
              <w:pStyle w:val="a3"/>
              <w:jc w:val="center"/>
              <w:rPr>
                <w:lang w:val="sl-SI"/>
              </w:rPr>
            </w:pPr>
            <w:r>
              <w:rPr>
                <w:rFonts w:eastAsia="Times New Roman"/>
                <w:lang w:val="sl-SI"/>
              </w:rPr>
              <w:t xml:space="preserve">Adalimumab </w:t>
            </w:r>
          </w:p>
        </w:tc>
        <w:tc>
          <w:tcPr>
            <w:tcW w:w="1530" w:type="dxa"/>
            <w:tcBorders>
              <w:bottom w:val="single" w:sz="4" w:space="0" w:color="auto"/>
            </w:tcBorders>
          </w:tcPr>
          <w:p w14:paraId="0A337FD5" w14:textId="77777777" w:rsidR="00616315" w:rsidRDefault="00616315" w:rsidP="00433A4B">
            <w:pPr>
              <w:pStyle w:val="a3"/>
              <w:jc w:val="center"/>
              <w:rPr>
                <w:lang w:val="sl-SI"/>
              </w:rPr>
            </w:pPr>
            <w:r>
              <w:rPr>
                <w:rFonts w:eastAsia="Times New Roman"/>
                <w:lang w:val="sl-SI"/>
              </w:rPr>
              <w:t xml:space="preserve">115 </w:t>
            </w:r>
          </w:p>
        </w:tc>
        <w:tc>
          <w:tcPr>
            <w:tcW w:w="2052" w:type="dxa"/>
            <w:tcBorders>
              <w:bottom w:val="single" w:sz="4" w:space="0" w:color="auto"/>
            </w:tcBorders>
          </w:tcPr>
          <w:p w14:paraId="74BBC6B9" w14:textId="77777777" w:rsidR="00616315" w:rsidRDefault="00616315" w:rsidP="00433A4B">
            <w:pPr>
              <w:pStyle w:val="a3"/>
              <w:jc w:val="center"/>
              <w:rPr>
                <w:lang w:val="sl-SI"/>
              </w:rPr>
            </w:pPr>
            <w:r>
              <w:rPr>
                <w:rFonts w:eastAsia="Times New Roman"/>
                <w:lang w:val="sl-SI"/>
              </w:rPr>
              <w:t xml:space="preserve">45 (39,1) </w:t>
            </w:r>
          </w:p>
        </w:tc>
        <w:tc>
          <w:tcPr>
            <w:tcW w:w="1130" w:type="dxa"/>
            <w:tcBorders>
              <w:bottom w:val="single" w:sz="4" w:space="0" w:color="auto"/>
            </w:tcBorders>
          </w:tcPr>
          <w:p w14:paraId="62C397D3" w14:textId="77777777" w:rsidR="00616315" w:rsidRDefault="00616315" w:rsidP="00433A4B">
            <w:pPr>
              <w:pStyle w:val="a3"/>
              <w:jc w:val="center"/>
              <w:rPr>
                <w:lang w:val="sl-SI"/>
              </w:rPr>
            </w:pPr>
            <w:r>
              <w:rPr>
                <w:rFonts w:eastAsia="Times New Roman"/>
                <w:lang w:val="sl-SI"/>
              </w:rPr>
              <w:t>NE</w:t>
            </w:r>
            <w:r w:rsidRPr="00337BB0">
              <w:rPr>
                <w:rFonts w:eastAsia="Times New Roman"/>
                <w:vertAlign w:val="superscript"/>
                <w:lang w:val="sl-SI"/>
              </w:rPr>
              <w:t xml:space="preserve">c </w:t>
            </w:r>
          </w:p>
        </w:tc>
        <w:tc>
          <w:tcPr>
            <w:tcW w:w="1130" w:type="dxa"/>
            <w:tcBorders>
              <w:bottom w:val="single" w:sz="4" w:space="0" w:color="auto"/>
            </w:tcBorders>
          </w:tcPr>
          <w:p w14:paraId="04A453CC" w14:textId="77777777" w:rsidR="00616315" w:rsidRDefault="00616315" w:rsidP="00433A4B">
            <w:pPr>
              <w:pStyle w:val="a3"/>
              <w:jc w:val="center"/>
              <w:rPr>
                <w:lang w:val="sl-SI"/>
              </w:rPr>
            </w:pPr>
            <w:r>
              <w:rPr>
                <w:rFonts w:eastAsia="Times New Roman"/>
                <w:lang w:val="sl-SI"/>
              </w:rPr>
              <w:t xml:space="preserve">0,57 </w:t>
            </w:r>
          </w:p>
        </w:tc>
        <w:tc>
          <w:tcPr>
            <w:tcW w:w="1130" w:type="dxa"/>
            <w:tcBorders>
              <w:bottom w:val="single" w:sz="4" w:space="0" w:color="auto"/>
            </w:tcBorders>
          </w:tcPr>
          <w:p w14:paraId="2F2F59EE" w14:textId="77777777" w:rsidR="00616315" w:rsidRDefault="00616315" w:rsidP="00433A4B">
            <w:pPr>
              <w:pStyle w:val="a3"/>
              <w:jc w:val="center"/>
              <w:rPr>
                <w:lang w:val="sl-SI"/>
              </w:rPr>
            </w:pPr>
            <w:r>
              <w:rPr>
                <w:rFonts w:eastAsia="Times New Roman"/>
                <w:lang w:val="sl-SI"/>
              </w:rPr>
              <w:t xml:space="preserve">0,39; 0,84 </w:t>
            </w:r>
          </w:p>
        </w:tc>
        <w:tc>
          <w:tcPr>
            <w:tcW w:w="1130" w:type="dxa"/>
            <w:tcBorders>
              <w:bottom w:val="single" w:sz="4" w:space="0" w:color="auto"/>
            </w:tcBorders>
          </w:tcPr>
          <w:p w14:paraId="4699C85E" w14:textId="77777777" w:rsidR="00616315" w:rsidRDefault="00616315" w:rsidP="00433A4B">
            <w:pPr>
              <w:pStyle w:val="a3"/>
              <w:jc w:val="center"/>
              <w:rPr>
                <w:lang w:val="sl-SI"/>
              </w:rPr>
            </w:pPr>
            <w:r>
              <w:rPr>
                <w:rFonts w:eastAsia="Times New Roman"/>
                <w:lang w:val="sl-SI"/>
              </w:rPr>
              <w:t xml:space="preserve">0,004 </w:t>
            </w:r>
          </w:p>
        </w:tc>
      </w:tr>
    </w:tbl>
    <w:p w14:paraId="2157880B" w14:textId="77777777" w:rsidR="00616315" w:rsidRDefault="00616315" w:rsidP="00616315">
      <w:pPr>
        <w:pStyle w:val="a3"/>
        <w:rPr>
          <w:lang w:val="sl-SI"/>
        </w:rPr>
      </w:pPr>
      <w:r>
        <w:rPr>
          <w:rFonts w:eastAsia="Times New Roman"/>
          <w:lang w:val="sl-SI"/>
        </w:rPr>
        <w:t>Opomba: neuspeh zdravljenja v ali po 6. tednu (študija UV I) ali v ali po 2. tednu (študija UV II) je bil štet kot dogodek. Prekinitve sodelovanja zaradi razlogov, ki niso bili posledica neuspeha zdravljenja so bile cenzurirane ob prekinitvi sodelovanja.</w:t>
      </w:r>
    </w:p>
    <w:p w14:paraId="360AD448" w14:textId="77777777" w:rsidR="00616315" w:rsidRDefault="00616315" w:rsidP="00721C46">
      <w:pPr>
        <w:pStyle w:val="a3"/>
        <w:numPr>
          <w:ilvl w:val="0"/>
          <w:numId w:val="153"/>
        </w:numPr>
        <w:ind w:left="426" w:hanging="426"/>
        <w:rPr>
          <w:lang w:val="sl-SI"/>
        </w:rPr>
      </w:pPr>
      <w:r>
        <w:rPr>
          <w:rFonts w:eastAsia="Times New Roman"/>
          <w:lang w:val="sl-SI"/>
        </w:rPr>
        <w:t>RT adalimumaba v primerjavi s placebom iz regresije proporcionalnih tveganj z zdravljenjem kot faktorjem.</w:t>
      </w:r>
    </w:p>
    <w:p w14:paraId="587E902B" w14:textId="77777777" w:rsidR="00616315" w:rsidRDefault="00616315" w:rsidP="00721C46">
      <w:pPr>
        <w:pStyle w:val="a3"/>
        <w:numPr>
          <w:ilvl w:val="0"/>
          <w:numId w:val="153"/>
        </w:numPr>
        <w:ind w:left="426" w:hanging="426"/>
        <w:rPr>
          <w:lang w:val="sl-SI"/>
        </w:rPr>
      </w:pPr>
      <w:r>
        <w:rPr>
          <w:rFonts w:eastAsia="Times New Roman"/>
          <w:lang w:val="sl-SI"/>
        </w:rPr>
        <w:t xml:space="preserve">2-stranska vrednost </w:t>
      </w:r>
      <w:r>
        <w:rPr>
          <w:rFonts w:eastAsia="Times New Roman"/>
          <w:i/>
          <w:iCs/>
          <w:lang w:val="sl-SI"/>
        </w:rPr>
        <w:t>p</w:t>
      </w:r>
      <w:r>
        <w:rPr>
          <w:rFonts w:eastAsia="Times New Roman"/>
          <w:lang w:val="sl-SI"/>
        </w:rPr>
        <w:t xml:space="preserve"> testa log-rank.</w:t>
      </w:r>
    </w:p>
    <w:p w14:paraId="0A6D9C70" w14:textId="77777777" w:rsidR="00616315" w:rsidRDefault="00616315" w:rsidP="00721C46">
      <w:pPr>
        <w:pStyle w:val="a3"/>
        <w:numPr>
          <w:ilvl w:val="0"/>
          <w:numId w:val="153"/>
        </w:numPr>
        <w:ind w:left="426" w:hanging="426"/>
        <w:rPr>
          <w:lang w:val="sl-SI"/>
        </w:rPr>
      </w:pPr>
      <w:r>
        <w:rPr>
          <w:rFonts w:eastAsia="Times New Roman"/>
          <w:lang w:val="sl-SI"/>
        </w:rPr>
        <w:t>NE = ni mogoče oceniti. Manj kot polovica rizičnih preiskovancev je imelo dogodek.</w:t>
      </w:r>
    </w:p>
    <w:p w14:paraId="2A172DDC" w14:textId="77777777" w:rsidR="00616315" w:rsidRDefault="00616315" w:rsidP="00616315">
      <w:pPr>
        <w:pStyle w:val="a3"/>
        <w:rPr>
          <w:lang w:val="sl-SI"/>
        </w:rPr>
      </w:pPr>
    </w:p>
    <w:p w14:paraId="56471B1A" w14:textId="5052ED40" w:rsidR="00616315" w:rsidRDefault="00616315" w:rsidP="00616315">
      <w:pPr>
        <w:pStyle w:val="a3"/>
        <w:jc w:val="center"/>
        <w:rPr>
          <w:b/>
          <w:lang w:val="sl-SI"/>
        </w:rPr>
      </w:pPr>
      <w:r>
        <w:rPr>
          <w:rFonts w:eastAsiaTheme="minorHAnsi"/>
          <w:noProof/>
          <w:lang w:eastAsia="ko-KR"/>
        </w:rPr>
        <mc:AlternateContent>
          <mc:Choice Requires="wps">
            <w:drawing>
              <wp:anchor distT="0" distB="0" distL="114300" distR="114300" simplePos="0" relativeHeight="251658291" behindDoc="1" locked="0" layoutInCell="1" allowOverlap="1" wp14:anchorId="0189632A" wp14:editId="0EADE7F3">
                <wp:simplePos x="0" y="0"/>
                <wp:positionH relativeFrom="page">
                  <wp:posOffset>641445</wp:posOffset>
                </wp:positionH>
                <wp:positionV relativeFrom="paragraph">
                  <wp:posOffset>309539</wp:posOffset>
                </wp:positionV>
                <wp:extent cx="493281" cy="2280285"/>
                <wp:effectExtent l="0" t="0" r="2540" b="5715"/>
                <wp:wrapNone/>
                <wp:docPr id="40" name="Text Box 3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281" cy="2280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6BB02" w14:textId="77777777" w:rsidR="00474DFB" w:rsidRDefault="00474DFB" w:rsidP="00616315">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sl-SI"/>
                              </w:rPr>
                              <w:t>ODSTOTEK NEUSPEHA ZDRAVLJENJA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89632A" id="_x0000_s1034" type="#_x0000_t202" style="position:absolute;left:0;text-align:left;margin-left:50.5pt;margin-top:24.35pt;width:38.85pt;height:179.55pt;z-index:-25165818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" filled="f" stroked="f">
                <v:textbox style="layout-flow:vertical;mso-layout-flow-alt:bottom-to-top" inset="0,0,0,0">
                  <w:txbxContent>
                    <w:p w14:paraId="54A6BB02" w14:textId="77777777" w:rsidR="00474DFB" w:rsidRDefault="00474DFB" w:rsidP="00616315">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sl-SI"/>
                        </w:rPr>
                        <w:t>ODSTOTEK NEUSPEHA ZDRAVLJENJA (%)</w:t>
                      </w:r>
                    </w:p>
                  </w:txbxContent>
                </v:textbox>
                <w10:wrap anchorx="page"/>
              </v:shape>
            </w:pict>
          </mc:Fallback>
        </mc:AlternateContent>
      </w:r>
      <w:r>
        <w:rPr>
          <w:rFonts w:eastAsia="Times New Roman"/>
          <w:b/>
          <w:bCs/>
          <w:lang w:val="sl-SI"/>
        </w:rPr>
        <w:t>Slika </w:t>
      </w:r>
      <w:r w:rsidR="001977F3">
        <w:rPr>
          <w:rFonts w:eastAsia="Times New Roman"/>
          <w:b/>
          <w:bCs/>
          <w:lang w:val="sl-SI"/>
        </w:rPr>
        <w:t>1</w:t>
      </w:r>
      <w:r>
        <w:rPr>
          <w:rFonts w:eastAsia="Times New Roman"/>
          <w:b/>
          <w:bCs/>
          <w:lang w:val="sl-SI"/>
        </w:rPr>
        <w:t>: Kaplan-Meierjeve krivulje povzemajo čas do neuspeha zdravljenja v ali po 6. tednu (študija UV I) ali 2. tednu (študija UV II)</w:t>
      </w:r>
    </w:p>
    <w:p w14:paraId="00E7878C" w14:textId="77777777" w:rsidR="00616315" w:rsidRDefault="00616315" w:rsidP="00616315">
      <w:pPr>
        <w:spacing w:line="200" w:lineRule="exact"/>
        <w:rPr>
          <w:sz w:val="20"/>
          <w:szCs w:val="20"/>
          <w:lang w:val="sl-SI"/>
        </w:rPr>
      </w:pPr>
    </w:p>
    <w:p w14:paraId="4D47A3D5" w14:textId="77777777" w:rsidR="00616315" w:rsidRDefault="00616315" w:rsidP="00616315">
      <w:pPr>
        <w:ind w:left="701" w:right="10920"/>
        <w:rPr>
          <w:rFonts w:ascii="Times New Roman" w:eastAsia="Times New Roman" w:hAnsi="Times New Roman" w:cs="Times New Roman"/>
          <w:sz w:val="20"/>
          <w:szCs w:val="20"/>
          <w:lang w:val="sl-SI"/>
        </w:rPr>
      </w:pPr>
      <w:r>
        <w:rPr>
          <w:b/>
          <w:noProof/>
          <w:lang w:eastAsia="ko-KR"/>
        </w:rPr>
        <mc:AlternateContent>
          <mc:Choice Requires="wps">
            <w:drawing>
              <wp:anchor distT="0" distB="0" distL="114300" distR="114300" simplePos="0" relativeHeight="251658292" behindDoc="0" locked="0" layoutInCell="1" allowOverlap="1" wp14:anchorId="40A816C4" wp14:editId="1A63B3FE">
                <wp:simplePos x="0" y="0"/>
                <wp:positionH relativeFrom="column">
                  <wp:posOffset>605155</wp:posOffset>
                </wp:positionH>
                <wp:positionV relativeFrom="paragraph">
                  <wp:posOffset>1995170</wp:posOffset>
                </wp:positionV>
                <wp:extent cx="436880" cy="273997"/>
                <wp:effectExtent l="0" t="0" r="1270" b="0"/>
                <wp:wrapNone/>
                <wp:docPr id="64" name="Text Box 64"/>
                <wp:cNvGraphicFramePr/>
                <a:graphic xmlns:a="http://schemas.openxmlformats.org/drawingml/2006/main">
                  <a:graphicData uri="http://schemas.microsoft.com/office/word/2010/wordprocessingShape">
                    <wps:wsp>
                      <wps:cNvSpPr txBox="1"/>
                      <wps:spPr>
                        <a:xfrm>
                          <a:off x="0" y="0"/>
                          <a:ext cx="436880" cy="27399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E12935" w14:textId="77777777" w:rsidR="00474DFB" w:rsidRPr="00721C46" w:rsidRDefault="00474DFB" w:rsidP="00616315">
                            <w:pPr>
                              <w:rPr>
                                <w:rFonts w:ascii="Arial" w:hAnsi="Arial" w:cs="Arial"/>
                                <w:b/>
                                <w:bCs/>
                                <w:sz w:val="16"/>
                                <w:szCs w:val="16"/>
                              </w:rPr>
                            </w:pPr>
                            <w:r w:rsidRPr="00721C46">
                              <w:rPr>
                                <w:rFonts w:ascii="Arial" w:eastAsia="Times New Roman" w:hAnsi="Arial" w:cs="Arial"/>
                                <w:b/>
                                <w:bCs/>
                                <w:sz w:val="16"/>
                                <w:szCs w:val="16"/>
                                <w:lang w:val="sl-SI"/>
                              </w:rPr>
                              <w:t>P#0/107</w:t>
                            </w:r>
                          </w:p>
                          <w:p w14:paraId="36F6C539" w14:textId="77777777" w:rsidR="00474DFB" w:rsidRPr="00721C46" w:rsidRDefault="00474DFB" w:rsidP="00616315">
                            <w:pPr>
                              <w:rPr>
                                <w:rFonts w:ascii="Arial" w:hAnsi="Arial" w:cs="Arial"/>
                                <w:b/>
                                <w:bCs/>
                                <w:sz w:val="16"/>
                                <w:szCs w:val="16"/>
                              </w:rPr>
                            </w:pPr>
                            <w:r w:rsidRPr="00721C46">
                              <w:rPr>
                                <w:rFonts w:ascii="Arial" w:eastAsia="Times New Roman" w:hAnsi="Arial" w:cs="Arial"/>
                                <w:b/>
                                <w:bCs/>
                                <w:sz w:val="16"/>
                                <w:szCs w:val="16"/>
                                <w:lang w:val="sl-SI"/>
                              </w:rPr>
                              <w:t>A#0/110</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0A816C4" id="Text Box 64" o:spid="_x0000_s1035" type="#_x0000_t202" style="position:absolute;left:0;text-align:left;margin-left:47.65pt;margin-top:157.1pt;width:34.4pt;height:21.55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" fillcolor="white [3212]" stroked="f" strokeweight=".5pt">
                <v:textbox inset="0,0,0,0">
                  <w:txbxContent>
                    <w:p w14:paraId="76E12935" w14:textId="77777777" w:rsidR="00474DFB" w:rsidRPr="00721C46" w:rsidRDefault="00474DFB" w:rsidP="00616315">
                      <w:pPr>
                        <w:rPr>
                          <w:rFonts w:ascii="Arial" w:hAnsi="Arial" w:cs="Arial"/>
                          <w:b/>
                          <w:bCs/>
                          <w:sz w:val="16"/>
                          <w:szCs w:val="16"/>
                        </w:rPr>
                      </w:pPr>
                      <w:r w:rsidRPr="00721C46">
                        <w:rPr>
                          <w:rFonts w:ascii="Arial" w:eastAsia="Times New Roman" w:hAnsi="Arial" w:cs="Arial"/>
                          <w:b/>
                          <w:bCs/>
                          <w:sz w:val="16"/>
                          <w:szCs w:val="16"/>
                          <w:lang w:val="sl-SI"/>
                        </w:rPr>
                        <w:t>P#0/107</w:t>
                      </w:r>
                    </w:p>
                    <w:p w14:paraId="36F6C539" w14:textId="77777777" w:rsidR="00474DFB" w:rsidRPr="00721C46" w:rsidRDefault="00474DFB" w:rsidP="00616315">
                      <w:pPr>
                        <w:rPr>
                          <w:rFonts w:ascii="Arial" w:hAnsi="Arial" w:cs="Arial"/>
                          <w:b/>
                          <w:bCs/>
                          <w:sz w:val="16"/>
                          <w:szCs w:val="16"/>
                        </w:rPr>
                      </w:pPr>
                      <w:r w:rsidRPr="00721C46">
                        <w:rPr>
                          <w:rFonts w:ascii="Arial" w:eastAsia="Times New Roman" w:hAnsi="Arial" w:cs="Arial"/>
                          <w:b/>
                          <w:bCs/>
                          <w:sz w:val="16"/>
                          <w:szCs w:val="16"/>
                          <w:lang w:val="sl-SI"/>
                        </w:rPr>
                        <w:t>A#0/110</w:t>
                      </w:r>
                    </w:p>
                  </w:txbxContent>
                </v:textbox>
              </v:shape>
            </w:pict>
          </mc:Fallback>
        </mc:AlternateContent>
      </w:r>
      <w:r>
        <w:rPr>
          <w:noProof/>
          <w:lang w:eastAsia="ko-KR"/>
        </w:rPr>
        <w:drawing>
          <wp:inline distT="0" distB="0" distL="0" distR="0" wp14:anchorId="04617F27" wp14:editId="2B57B371">
            <wp:extent cx="5518150" cy="2222500"/>
            <wp:effectExtent l="0" t="0" r="0" b="0"/>
            <wp:docPr id="104"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846714" name="Picture 25"/>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518150" cy="2222500"/>
                    </a:xfrm>
                    <a:prstGeom prst="rect">
                      <a:avLst/>
                    </a:prstGeom>
                    <a:noFill/>
                    <a:ln>
                      <a:noFill/>
                    </a:ln>
                  </pic:spPr>
                </pic:pic>
              </a:graphicData>
            </a:graphic>
          </wp:inline>
        </w:drawing>
      </w:r>
    </w:p>
    <w:p w14:paraId="5064EF08" w14:textId="77777777" w:rsidR="00616315" w:rsidRDefault="00616315" w:rsidP="00616315">
      <w:pPr>
        <w:spacing w:line="233" w:lineRule="exact"/>
        <w:ind w:left="4099" w:right="3727"/>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ČAS (MESECI)</w:t>
      </w:r>
    </w:p>
    <w:p w14:paraId="4B32E43E" w14:textId="77777777" w:rsidR="00616315" w:rsidRDefault="00616315" w:rsidP="00616315">
      <w:pPr>
        <w:pStyle w:val="a3"/>
        <w:ind w:firstLine="701"/>
        <w:rPr>
          <w:lang w:val="sl-SI"/>
        </w:rPr>
      </w:pPr>
      <w:r>
        <w:rPr>
          <w:noProof/>
          <w:lang w:eastAsia="ko-KR"/>
        </w:rPr>
        <w:drawing>
          <wp:anchor distT="0" distB="0" distL="114300" distR="114300" simplePos="0" relativeHeight="251658289" behindDoc="1" locked="0" layoutInCell="1" allowOverlap="1" wp14:anchorId="5E8BB956" wp14:editId="3151F66E">
            <wp:simplePos x="0" y="0"/>
            <wp:positionH relativeFrom="page">
              <wp:posOffset>3696970</wp:posOffset>
            </wp:positionH>
            <wp:positionV relativeFrom="paragraph">
              <wp:posOffset>1905</wp:posOffset>
            </wp:positionV>
            <wp:extent cx="397510" cy="182880"/>
            <wp:effectExtent l="0" t="0" r="0" b="0"/>
            <wp:wrapNone/>
            <wp:docPr id="105" name="그림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45083" name="Picture 388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7510" cy="1828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ko-KR"/>
        </w:rPr>
        <w:drawing>
          <wp:anchor distT="0" distB="0" distL="114300" distR="114300" simplePos="0" relativeHeight="251658290" behindDoc="1" locked="0" layoutInCell="1" allowOverlap="1" wp14:anchorId="306799CD" wp14:editId="11841E06">
            <wp:simplePos x="0" y="0"/>
            <wp:positionH relativeFrom="page">
              <wp:posOffset>5091430</wp:posOffset>
            </wp:positionH>
            <wp:positionV relativeFrom="paragraph">
              <wp:posOffset>1905</wp:posOffset>
            </wp:positionV>
            <wp:extent cx="501650" cy="182880"/>
            <wp:effectExtent l="0" t="0" r="0" b="0"/>
            <wp:wrapNone/>
            <wp:docPr id="106" name="그림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16989" name="Picture 3881"/>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01650" cy="182880"/>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lang w:val="sl-SI"/>
        </w:rPr>
        <w:t>Študija UV I</w:t>
      </w:r>
      <w:r>
        <w:rPr>
          <w:rFonts w:eastAsia="Times New Roman"/>
          <w:lang w:val="sl-SI"/>
        </w:rPr>
        <w:tab/>
      </w:r>
      <w:r>
        <w:rPr>
          <w:rFonts w:eastAsia="Times New Roman"/>
          <w:lang w:val="sl-SI"/>
        </w:rPr>
        <w:tab/>
        <w:t xml:space="preserve">   Zdravljenje</w:t>
      </w:r>
      <w:r>
        <w:rPr>
          <w:rFonts w:eastAsia="Times New Roman"/>
          <w:lang w:val="sl-SI"/>
        </w:rPr>
        <w:tab/>
      </w:r>
      <w:r>
        <w:rPr>
          <w:rFonts w:eastAsia="Times New Roman"/>
          <w:lang w:val="sl-SI"/>
        </w:rPr>
        <w:tab/>
      </w:r>
      <w:r>
        <w:rPr>
          <w:rFonts w:eastAsia="Times New Roman"/>
          <w:lang w:val="sl-SI"/>
        </w:rPr>
        <w:tab/>
        <w:t>Placebo</w:t>
      </w:r>
      <w:r>
        <w:rPr>
          <w:rFonts w:eastAsia="Times New Roman"/>
          <w:lang w:val="sl-SI"/>
        </w:rPr>
        <w:tab/>
      </w:r>
      <w:r>
        <w:rPr>
          <w:rFonts w:eastAsia="Times New Roman"/>
          <w:lang w:val="sl-SI"/>
        </w:rPr>
        <w:tab/>
      </w:r>
      <w:r>
        <w:rPr>
          <w:rFonts w:eastAsia="Times New Roman"/>
          <w:lang w:val="sl-SI"/>
        </w:rPr>
        <w:tab/>
        <w:t>Adalimumab</w:t>
      </w:r>
    </w:p>
    <w:p w14:paraId="7A6AEC4C" w14:textId="77777777" w:rsidR="00616315" w:rsidRDefault="00616315" w:rsidP="00616315">
      <w:pPr>
        <w:rPr>
          <w:lang w:val="sl-SI"/>
        </w:rPr>
      </w:pPr>
    </w:p>
    <w:p w14:paraId="72F80E47" w14:textId="77777777" w:rsidR="00616315" w:rsidRDefault="00616315" w:rsidP="00616315">
      <w:pPr>
        <w:spacing w:before="97"/>
        <w:ind w:left="701" w:right="10920"/>
        <w:rPr>
          <w:rFonts w:ascii="Times New Roman" w:eastAsia="Times New Roman" w:hAnsi="Times New Roman" w:cs="Times New Roman"/>
          <w:sz w:val="20"/>
          <w:szCs w:val="20"/>
          <w:lang w:val="sl-SI"/>
        </w:rPr>
      </w:pPr>
      <w:r>
        <w:rPr>
          <w:noProof/>
          <w:lang w:eastAsia="ko-KR"/>
        </w:rPr>
        <w:lastRenderedPageBreak/>
        <mc:AlternateContent>
          <mc:Choice Requires="wpg">
            <w:drawing>
              <wp:anchor distT="0" distB="0" distL="114300" distR="114300" simplePos="0" relativeHeight="251658293" behindDoc="0" locked="0" layoutInCell="1" allowOverlap="1" wp14:anchorId="148089C6" wp14:editId="43DA10CB">
                <wp:simplePos x="0" y="0"/>
                <wp:positionH relativeFrom="column">
                  <wp:posOffset>-101600</wp:posOffset>
                </wp:positionH>
                <wp:positionV relativeFrom="paragraph">
                  <wp:posOffset>136525</wp:posOffset>
                </wp:positionV>
                <wp:extent cx="1132916" cy="2280285"/>
                <wp:effectExtent l="0" t="0" r="0" b="5715"/>
                <wp:wrapNone/>
                <wp:docPr id="65" name="Group 3872"/>
                <wp:cNvGraphicFramePr/>
                <a:graphic xmlns:a="http://schemas.openxmlformats.org/drawingml/2006/main">
                  <a:graphicData uri="http://schemas.microsoft.com/office/word/2010/wordprocessingGroup">
                    <wpg:wgp>
                      <wpg:cNvGrpSpPr/>
                      <wpg:grpSpPr>
                        <a:xfrm>
                          <a:off x="0" y="0"/>
                          <a:ext cx="1132916" cy="2280285"/>
                          <a:chOff x="0" y="0"/>
                          <a:chExt cx="1132916" cy="2280285"/>
                        </a:xfrm>
                      </wpg:grpSpPr>
                      <wps:wsp>
                        <wps:cNvPr id="74" name="Text Box 3880"/>
                        <wps:cNvSpPr txBox="1">
                          <a:spLocks noChangeArrowheads="1"/>
                        </wps:cNvSpPr>
                        <wps:spPr bwMode="auto">
                          <a:xfrm>
                            <a:off x="0" y="0"/>
                            <a:ext cx="411395" cy="2280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020CC1" w14:textId="77777777" w:rsidR="00474DFB" w:rsidRDefault="00474DFB" w:rsidP="00616315">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sl-SI"/>
                                </w:rPr>
                                <w:t>ODSTOTEK NEUSPEHA ZDRAVLJENJA (%)</w:t>
                              </w:r>
                            </w:p>
                          </w:txbxContent>
                        </wps:txbx>
                        <wps:bodyPr rot="0" vert="vert270" wrap="square" lIns="0" tIns="0" rIns="0" bIns="0" anchor="t" anchorCtr="0" upright="1">
                          <a:noAutofit/>
                        </wps:bodyPr>
                      </wps:wsp>
                      <wps:wsp>
                        <wps:cNvPr id="77" name="Text Box 77"/>
                        <wps:cNvSpPr txBox="1"/>
                        <wps:spPr>
                          <a:xfrm>
                            <a:off x="696036" y="1791873"/>
                            <a:ext cx="436880" cy="27399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00D48A0" w14:textId="77777777" w:rsidR="00474DFB" w:rsidRPr="00721C46" w:rsidRDefault="00474DFB" w:rsidP="00616315">
                              <w:pPr>
                                <w:rPr>
                                  <w:rFonts w:ascii="Arial" w:hAnsi="Arial" w:cs="Arial"/>
                                  <w:b/>
                                  <w:bCs/>
                                  <w:sz w:val="16"/>
                                  <w:szCs w:val="16"/>
                                </w:rPr>
                              </w:pPr>
                              <w:r w:rsidRPr="00721C46">
                                <w:rPr>
                                  <w:rFonts w:ascii="Arial" w:eastAsia="Times New Roman" w:hAnsi="Arial" w:cs="Arial"/>
                                  <w:b/>
                                  <w:bCs/>
                                  <w:sz w:val="16"/>
                                  <w:szCs w:val="16"/>
                                  <w:lang w:val="sl-SI"/>
                                </w:rPr>
                                <w:t>P#0/111</w:t>
                              </w:r>
                            </w:p>
                            <w:p w14:paraId="78A80627" w14:textId="77777777" w:rsidR="00474DFB" w:rsidRPr="00721C46" w:rsidRDefault="00474DFB" w:rsidP="00616315">
                              <w:pPr>
                                <w:rPr>
                                  <w:rFonts w:ascii="Arial" w:hAnsi="Arial" w:cs="Arial"/>
                                  <w:b/>
                                  <w:bCs/>
                                  <w:sz w:val="16"/>
                                  <w:szCs w:val="16"/>
                                </w:rPr>
                              </w:pPr>
                              <w:r w:rsidRPr="00721C46">
                                <w:rPr>
                                  <w:rFonts w:ascii="Arial" w:eastAsia="Times New Roman" w:hAnsi="Arial" w:cs="Arial"/>
                                  <w:b/>
                                  <w:bCs/>
                                  <w:sz w:val="16"/>
                                  <w:szCs w:val="16"/>
                                  <w:lang w:val="sl-SI"/>
                                </w:rPr>
                                <w:t>A#0/115</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148089C6" id="_x0000_s1036" style="position:absolute;left:0;text-align:left;margin-left:-8pt;margin-top:10.75pt;width:89.2pt;height:179.55pt;z-index:251658293" coordsize="11329,22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">
                <v:shape id="Text Box 3880" o:spid="_x0000_s1037" type="#_x0000_t202" style="position:absolute;width:4113;height:22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" filled="f" stroked="f">
                  <v:textbox style="layout-flow:vertical;mso-layout-flow-alt:bottom-to-top" inset="0,0,0,0">
                    <w:txbxContent>
                      <w:p w14:paraId="71020CC1" w14:textId="77777777" w:rsidR="00474DFB" w:rsidRDefault="00474DFB" w:rsidP="00616315">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sl-SI"/>
                          </w:rPr>
                          <w:t>ODSTOTEK NEUSPEHA ZDRAVLJENJA (%)</w:t>
                        </w:r>
                      </w:p>
                    </w:txbxContent>
                  </v:textbox>
                </v:shape>
                <v:shape id="Text Box 77" o:spid="_x0000_s1038" type="#_x0000_t202" style="position:absolute;left:6960;top:17918;width:4369;height:27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" fillcolor="white [3212]" stroked="f" strokeweight=".5pt">
                  <v:textbox inset="0,0,0,0">
                    <w:txbxContent>
                      <w:p w14:paraId="600D48A0" w14:textId="77777777" w:rsidR="00474DFB" w:rsidRPr="00721C46" w:rsidRDefault="00474DFB" w:rsidP="00616315">
                        <w:pPr>
                          <w:rPr>
                            <w:rFonts w:ascii="Arial" w:hAnsi="Arial" w:cs="Arial"/>
                            <w:b/>
                            <w:bCs/>
                            <w:sz w:val="16"/>
                            <w:szCs w:val="16"/>
                          </w:rPr>
                        </w:pPr>
                        <w:r w:rsidRPr="00721C46">
                          <w:rPr>
                            <w:rFonts w:ascii="Arial" w:eastAsia="Times New Roman" w:hAnsi="Arial" w:cs="Arial"/>
                            <w:b/>
                            <w:bCs/>
                            <w:sz w:val="16"/>
                            <w:szCs w:val="16"/>
                            <w:lang w:val="sl-SI"/>
                          </w:rPr>
                          <w:t>P#0/111</w:t>
                        </w:r>
                      </w:p>
                      <w:p w14:paraId="78A80627" w14:textId="77777777" w:rsidR="00474DFB" w:rsidRPr="00721C46" w:rsidRDefault="00474DFB" w:rsidP="00616315">
                        <w:pPr>
                          <w:rPr>
                            <w:rFonts w:ascii="Arial" w:hAnsi="Arial" w:cs="Arial"/>
                            <w:b/>
                            <w:bCs/>
                            <w:sz w:val="16"/>
                            <w:szCs w:val="16"/>
                          </w:rPr>
                        </w:pPr>
                        <w:r w:rsidRPr="00721C46">
                          <w:rPr>
                            <w:rFonts w:ascii="Arial" w:eastAsia="Times New Roman" w:hAnsi="Arial" w:cs="Arial"/>
                            <w:b/>
                            <w:bCs/>
                            <w:sz w:val="16"/>
                            <w:szCs w:val="16"/>
                            <w:lang w:val="sl-SI"/>
                          </w:rPr>
                          <w:t>A#0/115</w:t>
                        </w:r>
                      </w:p>
                    </w:txbxContent>
                  </v:textbox>
                </v:shape>
              </v:group>
            </w:pict>
          </mc:Fallback>
        </mc:AlternateContent>
      </w:r>
      <w:r>
        <w:rPr>
          <w:noProof/>
          <w:lang w:eastAsia="ko-KR"/>
        </w:rPr>
        <w:drawing>
          <wp:inline distT="0" distB="0" distL="0" distR="0" wp14:anchorId="7A71A704" wp14:editId="75214540">
            <wp:extent cx="5473700" cy="2165350"/>
            <wp:effectExtent l="0" t="0" r="0" b="0"/>
            <wp:docPr id="107"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603897" name="Picture 26"/>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473700" cy="2165350"/>
                    </a:xfrm>
                    <a:prstGeom prst="rect">
                      <a:avLst/>
                    </a:prstGeom>
                    <a:noFill/>
                    <a:ln>
                      <a:noFill/>
                    </a:ln>
                  </pic:spPr>
                </pic:pic>
              </a:graphicData>
            </a:graphic>
          </wp:inline>
        </w:drawing>
      </w:r>
    </w:p>
    <w:p w14:paraId="31489E93" w14:textId="77777777" w:rsidR="00616315" w:rsidRDefault="00616315" w:rsidP="00616315">
      <w:pPr>
        <w:spacing w:before="11"/>
        <w:ind w:left="4099" w:right="3647"/>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ČAS (MESECI)</w:t>
      </w:r>
    </w:p>
    <w:p w14:paraId="49F82CB7" w14:textId="77777777" w:rsidR="00616315" w:rsidRDefault="00616315" w:rsidP="00616315">
      <w:pPr>
        <w:pStyle w:val="a3"/>
        <w:ind w:firstLine="720"/>
        <w:rPr>
          <w:lang w:val="sl-SI"/>
        </w:rPr>
      </w:pPr>
      <w:r>
        <w:rPr>
          <w:rFonts w:eastAsia="Times New Roman"/>
          <w:lang w:val="sl-SI"/>
        </w:rPr>
        <w:t>Študija UV II</w:t>
      </w:r>
      <w:r>
        <w:rPr>
          <w:rFonts w:eastAsia="Times New Roman"/>
          <w:lang w:val="sl-SI"/>
        </w:rPr>
        <w:tab/>
      </w:r>
      <w:r>
        <w:rPr>
          <w:rFonts w:eastAsia="Times New Roman"/>
          <w:lang w:val="sl-SI"/>
        </w:rPr>
        <w:tab/>
        <w:t xml:space="preserve">   Zdravljenje</w:t>
      </w:r>
      <w:r>
        <w:rPr>
          <w:rFonts w:eastAsia="Times New Roman"/>
          <w:lang w:val="sl-SI"/>
        </w:rPr>
        <w:tab/>
      </w:r>
      <w:r>
        <w:rPr>
          <w:noProof/>
          <w:lang w:eastAsia="ko-KR"/>
        </w:rPr>
        <w:drawing>
          <wp:inline distT="0" distB="0" distL="0" distR="0" wp14:anchorId="186AB1BF" wp14:editId="5031ABDA">
            <wp:extent cx="393700" cy="177800"/>
            <wp:effectExtent l="0" t="0" r="0" b="0"/>
            <wp:docPr id="108"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29637" name="Picture 27"/>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3700" cy="177800"/>
                    </a:xfrm>
                    <a:prstGeom prst="rect">
                      <a:avLst/>
                    </a:prstGeom>
                    <a:noFill/>
                    <a:ln>
                      <a:noFill/>
                    </a:ln>
                  </pic:spPr>
                </pic:pic>
              </a:graphicData>
            </a:graphic>
          </wp:inline>
        </w:drawing>
      </w:r>
      <w:r>
        <w:rPr>
          <w:rFonts w:eastAsia="Times New Roman"/>
          <w:lang w:val="sl-SI"/>
        </w:rPr>
        <w:t xml:space="preserve">    Placebo</w:t>
      </w:r>
      <w:r>
        <w:rPr>
          <w:rFonts w:eastAsia="Times New Roman"/>
          <w:lang w:val="sl-SI"/>
        </w:rPr>
        <w:tab/>
      </w:r>
      <w:r>
        <w:rPr>
          <w:noProof/>
          <w:lang w:eastAsia="ko-KR"/>
        </w:rPr>
        <w:drawing>
          <wp:inline distT="0" distB="0" distL="0" distR="0" wp14:anchorId="1C9A9E44" wp14:editId="72B668E6">
            <wp:extent cx="508000" cy="177800"/>
            <wp:effectExtent l="0" t="0" r="0" b="0"/>
            <wp:docPr id="109"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74050" name="Picture 28"/>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08000" cy="177800"/>
                    </a:xfrm>
                    <a:prstGeom prst="rect">
                      <a:avLst/>
                    </a:prstGeom>
                    <a:noFill/>
                    <a:ln>
                      <a:noFill/>
                    </a:ln>
                  </pic:spPr>
                </pic:pic>
              </a:graphicData>
            </a:graphic>
          </wp:inline>
        </w:drawing>
      </w:r>
      <w:r>
        <w:rPr>
          <w:rFonts w:eastAsia="Times New Roman"/>
          <w:lang w:val="sl-SI"/>
        </w:rPr>
        <w:t xml:space="preserve">  Adalimumab</w:t>
      </w:r>
    </w:p>
    <w:p w14:paraId="50D854FA" w14:textId="77777777" w:rsidR="00616315" w:rsidRPr="00B11B84" w:rsidRDefault="00616315" w:rsidP="00616315">
      <w:pPr>
        <w:spacing w:before="9" w:line="130" w:lineRule="exact"/>
        <w:rPr>
          <w:sz w:val="13"/>
          <w:szCs w:val="13"/>
          <w:lang w:val="sl-SI"/>
        </w:rPr>
      </w:pPr>
    </w:p>
    <w:p w14:paraId="1640D543" w14:textId="77777777" w:rsidR="00616315" w:rsidRDefault="00616315" w:rsidP="00616315">
      <w:pPr>
        <w:pStyle w:val="a3"/>
        <w:rPr>
          <w:lang w:val="sl-SI"/>
        </w:rPr>
      </w:pPr>
      <w:r>
        <w:rPr>
          <w:rFonts w:eastAsia="Times New Roman"/>
          <w:lang w:val="sl-SI"/>
        </w:rPr>
        <w:t>Opomba: P# = placebo (število dogodkov/število rizičnih preiskovancev); A# = adalimumab (število dogodkov/število rizičnih preiskovancev).</w:t>
      </w:r>
    </w:p>
    <w:p w14:paraId="50422808" w14:textId="77777777" w:rsidR="00616315" w:rsidRDefault="00616315" w:rsidP="00616315">
      <w:pPr>
        <w:spacing w:before="3" w:line="110" w:lineRule="exact"/>
        <w:rPr>
          <w:sz w:val="11"/>
          <w:szCs w:val="11"/>
          <w:lang w:val="sl-SI"/>
        </w:rPr>
      </w:pPr>
    </w:p>
    <w:p w14:paraId="150699B2" w14:textId="77777777" w:rsidR="00616315" w:rsidRDefault="00616315" w:rsidP="00616315">
      <w:pPr>
        <w:spacing w:line="200" w:lineRule="exact"/>
        <w:rPr>
          <w:sz w:val="20"/>
          <w:szCs w:val="20"/>
          <w:lang w:val="sl-SI"/>
        </w:rPr>
      </w:pPr>
    </w:p>
    <w:p w14:paraId="3942EC86" w14:textId="77777777" w:rsidR="00616315" w:rsidRDefault="00616315" w:rsidP="00616315">
      <w:pPr>
        <w:pStyle w:val="a3"/>
        <w:rPr>
          <w:lang w:val="sl-SI"/>
        </w:rPr>
      </w:pPr>
      <w:r>
        <w:rPr>
          <w:rFonts w:eastAsia="Times New Roman"/>
          <w:lang w:val="sl-SI"/>
        </w:rPr>
        <w:t>V študiji UV I so opazili statistično pomembne razlike v korist adalimumaba v primerjavi s placebom za vsako od komponent neuspeha zdravljenja. V študiji UV II so opazili statistično pomembne razlike samo za ostrino vida, toda tudi ostale komponente so bile glede številk v korist adalimumaba.</w:t>
      </w:r>
    </w:p>
    <w:p w14:paraId="5778A69F" w14:textId="77777777" w:rsidR="00616315" w:rsidRDefault="00616315" w:rsidP="00616315">
      <w:pPr>
        <w:spacing w:before="13" w:line="240" w:lineRule="exact"/>
        <w:rPr>
          <w:sz w:val="24"/>
          <w:szCs w:val="24"/>
          <w:lang w:val="sl-SI"/>
        </w:rPr>
      </w:pPr>
    </w:p>
    <w:p w14:paraId="4A9D08B6" w14:textId="77777777" w:rsidR="00616315" w:rsidRDefault="00616315" w:rsidP="00616315">
      <w:pPr>
        <w:pStyle w:val="a3"/>
        <w:rPr>
          <w:lang w:val="sl-SI"/>
        </w:rPr>
      </w:pPr>
      <w:r>
        <w:rPr>
          <w:rFonts w:eastAsia="Times New Roman"/>
          <w:lang w:val="sl-SI"/>
        </w:rPr>
        <w:t>Od 424 bolnikov, ki so bili vključeni v nekontrolirani dolgoročni podaljšek študij UV I in UV II, je bilo 60 bolnikov neprimernih (npr. zaradi odstopanj ali zapletov, sekundarno ob diabetični retinopatiji zaradi kirurškega posega sive mrene ali vitrektomije) in so bili izključeni iz primarne analize učinkovitosti. Od preostalih 364 bolnikov je 269 ovrednotenih bolnikov (74 %) zaključilo 78-tedensko odprto zdravljenje z adalimumabom. Na osnovi pristopa z opaženimi podatki je bilo 216 (80,3 %) bolnikov v remisiji (brez aktivnih vnetnih lezij, ocena celic sprednje očesne komore ≤ 0,5+, motnost steklovine ≤ 0,5+) ob sočasnem jemanju steroidov v odmerku ≤ 7,5 mg na dan in pa 178 bolnikov (66,2 %), ki so bili v remisiji in brez steroidov. Najboljša korigirana ostrina vida se je ali izboljšala ali pa ohranila (poslabšanje ostrine vida &lt; 5 črk) pri 88,6 % očeh v 78. tednu. Podatki, zbrani po 78. tednu, so bili na splošno v skladu s temi rezultati, vendar se je število vključenih bolnikov zmanjšalo po tem času. Na splošno med bolniki, ki so prekinili študijo, jih je 18 % prekinilo študijo zaradi neželenih učinkov, 8 % pa zaradi nezadostnega odziva na zdravljenje z adalimumabom.</w:t>
      </w:r>
    </w:p>
    <w:p w14:paraId="05641DFD" w14:textId="77777777" w:rsidR="00616315" w:rsidRDefault="00616315" w:rsidP="00616315">
      <w:pPr>
        <w:pStyle w:val="a3"/>
        <w:rPr>
          <w:sz w:val="24"/>
          <w:szCs w:val="24"/>
          <w:lang w:val="sl-SI"/>
        </w:rPr>
      </w:pPr>
    </w:p>
    <w:p w14:paraId="6CDF2DA7" w14:textId="77777777" w:rsidR="00616315" w:rsidRDefault="00616315" w:rsidP="00616315">
      <w:pPr>
        <w:pStyle w:val="a3"/>
        <w:rPr>
          <w:rFonts w:eastAsia="Times New Roman"/>
          <w:lang w:val="sl-SI"/>
        </w:rPr>
      </w:pPr>
      <w:r>
        <w:rPr>
          <w:rFonts w:eastAsia="Times New Roman"/>
          <w:i/>
          <w:iCs/>
          <w:spacing w:val="-1"/>
          <w:u w:val="single" w:color="000000"/>
          <w:lang w:val="sl-SI"/>
        </w:rPr>
        <w:t>Kakovost življenja</w:t>
      </w:r>
    </w:p>
    <w:p w14:paraId="48E74918" w14:textId="77777777" w:rsidR="00616315" w:rsidRDefault="00616315" w:rsidP="00616315">
      <w:pPr>
        <w:pStyle w:val="a3"/>
        <w:rPr>
          <w:sz w:val="18"/>
          <w:szCs w:val="18"/>
          <w:lang w:val="sl-SI"/>
        </w:rPr>
      </w:pPr>
    </w:p>
    <w:p w14:paraId="6BEBE712" w14:textId="77777777" w:rsidR="00616315" w:rsidRDefault="00616315" w:rsidP="00616315">
      <w:pPr>
        <w:pStyle w:val="a3"/>
        <w:rPr>
          <w:sz w:val="24"/>
          <w:szCs w:val="24"/>
          <w:lang w:val="sl-SI"/>
        </w:rPr>
      </w:pPr>
      <w:r>
        <w:rPr>
          <w:rFonts w:eastAsia="Times New Roman"/>
          <w:lang w:val="sl-SI"/>
        </w:rPr>
        <w:t>Izidi poročil bolnikov glede opravil, povezanih z vidom, so bili merjeni v obeh kliničnih študijah z uporabo vprašalnika NEI VFQ-25. Številke so bile v korist adalimumaba za večino podrezultatov s statistično značilno povprečno razliko za splošni vid, očesno bolečino, vid na blizu, duševno zdravje in skupen rezultat v študiji UV I, ter za splošni vid in duševno zdravje v študiji UV II. Učinki povezani z vidom niso bili v korist adalimumaba v primeru barvnega vida v študiji UV I in v primeru barvnega vida, perifernega vida in vida na blizu v študiji UV II.</w:t>
      </w:r>
    </w:p>
    <w:p w14:paraId="540C9712" w14:textId="6B47E9C5" w:rsidR="00616315" w:rsidRDefault="00616315" w:rsidP="00616315">
      <w:pPr>
        <w:rPr>
          <w:lang w:val="sl-SI"/>
        </w:rPr>
      </w:pPr>
    </w:p>
    <w:p w14:paraId="020C7F5C" w14:textId="77777777" w:rsidR="00616315" w:rsidRDefault="00616315" w:rsidP="00616315">
      <w:pPr>
        <w:pStyle w:val="a3"/>
        <w:rPr>
          <w:u w:val="single" w:color="000000"/>
          <w:lang w:val="sl-SI"/>
        </w:rPr>
      </w:pPr>
      <w:r>
        <w:rPr>
          <w:rFonts w:eastAsia="Times New Roman"/>
          <w:u w:val="single" w:color="000000"/>
          <w:lang w:val="sl-SI"/>
        </w:rPr>
        <w:t>Imunogenost</w:t>
      </w:r>
    </w:p>
    <w:p w14:paraId="347E9C87" w14:textId="77777777" w:rsidR="00616315" w:rsidRDefault="00616315" w:rsidP="00616315">
      <w:pPr>
        <w:spacing w:before="1" w:line="180" w:lineRule="exact"/>
        <w:rPr>
          <w:sz w:val="18"/>
          <w:szCs w:val="18"/>
          <w:lang w:val="sl-SI" w:eastAsia="ko-KR"/>
        </w:rPr>
      </w:pPr>
    </w:p>
    <w:p w14:paraId="77B1AC3F" w14:textId="77777777" w:rsidR="007E7B46" w:rsidRPr="007E7B46" w:rsidRDefault="007E7B46" w:rsidP="007E7B46">
      <w:pPr>
        <w:keepNext/>
        <w:widowControl/>
        <w:tabs>
          <w:tab w:val="left" w:pos="1294"/>
        </w:tabs>
        <w:autoSpaceDE w:val="0"/>
        <w:autoSpaceDN w:val="0"/>
        <w:adjustRightInd w:val="0"/>
        <w:rPr>
          <w:rFonts w:ascii="Times New Roman" w:eastAsia="바탕" w:hAnsi="Times New Roman" w:cs="Times New Roman"/>
          <w:lang w:val="sl-SI"/>
        </w:rPr>
      </w:pPr>
      <w:r w:rsidRPr="007E7B46">
        <w:rPr>
          <w:rFonts w:ascii="Times New Roman" w:eastAsia="바탕" w:hAnsi="Times New Roman" w:cs="Times New Roman"/>
          <w:lang w:val="sl-SI"/>
        </w:rPr>
        <w:t>Nastanek protiteles proti adalimumabu spremljata večji očistek in manjša učinkovitost adalimumaba. Med prisotnostjo protiteles proti adalimumabu in pojavnostjo neželenih učinkov ni očitne korelacije.</w:t>
      </w:r>
    </w:p>
    <w:p w14:paraId="7629F70D" w14:textId="77777777" w:rsidR="007E7B46" w:rsidRPr="007E7B46" w:rsidRDefault="007E7B46" w:rsidP="007E7B46">
      <w:pPr>
        <w:widowControl/>
        <w:tabs>
          <w:tab w:val="left" w:pos="1294"/>
        </w:tabs>
        <w:autoSpaceDE w:val="0"/>
        <w:autoSpaceDN w:val="0"/>
        <w:adjustRightInd w:val="0"/>
        <w:rPr>
          <w:rFonts w:ascii="Times New Roman" w:eastAsia="바탕" w:hAnsi="Times New Roman" w:cs="Times New Roman"/>
          <w:lang w:val="sl-SI"/>
        </w:rPr>
      </w:pPr>
    </w:p>
    <w:p w14:paraId="42F7ABD4" w14:textId="77777777" w:rsidR="007E7B46" w:rsidRPr="007E7B46" w:rsidRDefault="007E7B46" w:rsidP="007E7B46">
      <w:pPr>
        <w:widowControl/>
        <w:tabs>
          <w:tab w:val="left" w:pos="1294"/>
        </w:tabs>
        <w:autoSpaceDE w:val="0"/>
        <w:autoSpaceDN w:val="0"/>
        <w:adjustRightInd w:val="0"/>
        <w:rPr>
          <w:rFonts w:ascii="Times New Roman" w:eastAsia="바탕" w:hAnsi="Times New Roman" w:cs="Times New Roman"/>
          <w:szCs w:val="20"/>
          <w:lang w:val="sl-SI" w:eastAsia="sl-SI"/>
        </w:rPr>
      </w:pPr>
      <w:r w:rsidRPr="007E7B46">
        <w:rPr>
          <w:rFonts w:ascii="Times New Roman" w:eastAsia="바탕" w:hAnsi="Times New Roman" w:cs="Times New Roman"/>
          <w:szCs w:val="20"/>
          <w:lang w:val="sl-SI" w:eastAsia="sl-SI"/>
        </w:rPr>
        <w:t xml:space="preserve">Pri bolnikih v študijah revmatoidnega artritisa I, II in III so v obdobju od 6 do 12 mesecev ob različnih časih večkrat določali protitelesa proti adalimumabu. V ključnih preskušanjih, so protitelesa proti adalimumabu odkrili pri 5,5 % (58/1053) bolnikov, zdravljenih z adalimumabom, in pri 0,5 % (2/370), ki so dobivali </w:t>
      </w:r>
      <w:r w:rsidRPr="007E7B46">
        <w:rPr>
          <w:rFonts w:ascii="Times New Roman" w:eastAsia="바탕" w:hAnsi="Times New Roman" w:cs="Times New Roman"/>
          <w:szCs w:val="20"/>
          <w:lang w:val="sl-SI" w:eastAsia="sl-SI"/>
        </w:rPr>
        <w:lastRenderedPageBreak/>
        <w:t>placebo. Pri bolnikih, ki sočasno niso dobivali metotreksata, je bila incidenca 12,4 %, pri tistih, ki so adalimumab uporabljali kot dodatek metotreksatu, pa 0,6 %.</w:t>
      </w:r>
    </w:p>
    <w:p w14:paraId="3287B277" w14:textId="77777777" w:rsidR="007E7B46" w:rsidRPr="007E7B46" w:rsidRDefault="007E7B46" w:rsidP="007E7B46">
      <w:pPr>
        <w:widowControl/>
        <w:tabs>
          <w:tab w:val="left" w:pos="1294"/>
        </w:tabs>
        <w:autoSpaceDE w:val="0"/>
        <w:autoSpaceDN w:val="0"/>
        <w:adjustRightInd w:val="0"/>
        <w:rPr>
          <w:rFonts w:ascii="Times New Roman" w:eastAsia="바탕" w:hAnsi="Times New Roman" w:cs="Times New Roman"/>
          <w:lang w:val="sl-SI"/>
        </w:rPr>
      </w:pPr>
    </w:p>
    <w:p w14:paraId="1AD65FE4" w14:textId="77777777" w:rsidR="007E7B46" w:rsidRPr="007E7B46" w:rsidRDefault="007E7B46" w:rsidP="007E7B46">
      <w:pPr>
        <w:widowControl/>
        <w:tabs>
          <w:tab w:val="left" w:pos="567"/>
          <w:tab w:val="left" w:pos="1294"/>
        </w:tabs>
        <w:autoSpaceDE w:val="0"/>
        <w:autoSpaceDN w:val="0"/>
        <w:adjustRightInd w:val="0"/>
        <w:rPr>
          <w:rFonts w:ascii="Times New Roman" w:eastAsia="바탕" w:hAnsi="Times New Roman" w:cs="Times New Roman"/>
          <w:lang w:val="sl-SI" w:eastAsia="sl-SI"/>
        </w:rPr>
      </w:pPr>
      <w:r w:rsidRPr="007E7B46">
        <w:rPr>
          <w:rFonts w:ascii="Times New Roman" w:eastAsia="바탕" w:hAnsi="Times New Roman" w:cs="Times New Roman"/>
          <w:lang w:val="sl-SI" w:eastAsia="sl-SI"/>
        </w:rPr>
        <w:t>Pri bolnikih s Crohnovo boleznijo so identificirali protitelesa proti adalimumabu pri 7 od 269 bolnikov (2,6 %) in pri 19 od 487 (3,9 %) bolnikov z ulceroznim kolitisom.</w:t>
      </w:r>
    </w:p>
    <w:p w14:paraId="2D296D72" w14:textId="77777777" w:rsidR="007E7B46" w:rsidRPr="007E7B46" w:rsidRDefault="007E7B46" w:rsidP="007E7B46">
      <w:pPr>
        <w:widowControl/>
        <w:tabs>
          <w:tab w:val="left" w:pos="567"/>
        </w:tabs>
        <w:rPr>
          <w:rFonts w:ascii="Times New Roman" w:eastAsia="바탕" w:hAnsi="Times New Roman" w:cs="Times New Roman"/>
          <w:lang w:val="sl-SI" w:eastAsia="sl-SI"/>
        </w:rPr>
      </w:pPr>
    </w:p>
    <w:p w14:paraId="29586A0F" w14:textId="77777777" w:rsidR="007E7B46" w:rsidRPr="007E7B46" w:rsidRDefault="007E7B46" w:rsidP="007E7B46">
      <w:pPr>
        <w:widowControl/>
        <w:tabs>
          <w:tab w:val="left" w:pos="567"/>
          <w:tab w:val="left" w:pos="1294"/>
        </w:tabs>
        <w:rPr>
          <w:rFonts w:ascii="Times New Roman" w:eastAsia="바탕" w:hAnsi="Times New Roman" w:cs="Times New Roman"/>
          <w:lang w:val="sl-SI"/>
        </w:rPr>
      </w:pPr>
      <w:r w:rsidRPr="007E7B46">
        <w:rPr>
          <w:rFonts w:ascii="Times New Roman" w:eastAsia="바탕" w:hAnsi="Times New Roman" w:cs="Times New Roman"/>
          <w:lang w:val="sl-SI" w:eastAsia="sl-SI"/>
        </w:rPr>
        <w:t>Pri odraslih bolnikih s psoriazo so protitelesa proti adalimumabu ugotovili pri 77 od 920 preiskovancev (8,4 %), ki so dobivali monoterapijo z adalimumabom.</w:t>
      </w:r>
    </w:p>
    <w:p w14:paraId="3FE98B67" w14:textId="77777777" w:rsidR="007E7B46" w:rsidRPr="007E7B46" w:rsidRDefault="007E7B46" w:rsidP="007E7B46">
      <w:pPr>
        <w:widowControl/>
        <w:tabs>
          <w:tab w:val="left" w:pos="567"/>
        </w:tabs>
        <w:spacing w:line="260" w:lineRule="exact"/>
        <w:rPr>
          <w:rFonts w:ascii="Times New Roman" w:eastAsia="바탕" w:hAnsi="Times New Roman" w:cs="Times New Roman"/>
          <w:b/>
          <w:bCs/>
          <w:szCs w:val="20"/>
          <w:lang w:val="sl-SI" w:eastAsia="sl-SI"/>
        </w:rPr>
      </w:pPr>
    </w:p>
    <w:p w14:paraId="7D95D2F8" w14:textId="77777777" w:rsidR="007E7B46" w:rsidRPr="007E7B46" w:rsidRDefault="007E7B46" w:rsidP="007E7B46">
      <w:pPr>
        <w:widowControl/>
        <w:tabs>
          <w:tab w:val="left" w:pos="567"/>
        </w:tabs>
        <w:spacing w:line="260" w:lineRule="exact"/>
        <w:rPr>
          <w:rFonts w:ascii="Times New Roman" w:eastAsia="바탕" w:hAnsi="Times New Roman" w:cs="Times New Roman"/>
          <w:sz w:val="24"/>
          <w:szCs w:val="24"/>
          <w:lang w:val="sl-SI" w:eastAsia="sl-SI"/>
        </w:rPr>
      </w:pPr>
      <w:r w:rsidRPr="007E7B46">
        <w:rPr>
          <w:rFonts w:ascii="Times New Roman" w:eastAsia="바탕" w:hAnsi="Times New Roman" w:cs="Times New Roman"/>
          <w:bCs/>
          <w:szCs w:val="20"/>
          <w:lang w:val="sl-SI" w:eastAsia="sl-SI"/>
        </w:rPr>
        <w:t>Pri odraslih bolnikih s psoriazo v plakih, ki so prejemali dolgotrajno monoterapijo z adalimumabom in so sodelovali v študiji prenehanja uporabe in ponovnega zdravljenja, je bil delež protiteles proti adalimumabu po ponovnem zdravljenju (11 od 482 bolnikov; 2,3 %) podoben kot pred prenehanjem uporabe (11 od 590 bolnikov; 1,9 %).</w:t>
      </w:r>
    </w:p>
    <w:p w14:paraId="77CB6B27" w14:textId="77777777" w:rsidR="007E7B46" w:rsidRPr="007E7B46" w:rsidRDefault="007E7B46" w:rsidP="007E7B46">
      <w:pPr>
        <w:widowControl/>
        <w:tabs>
          <w:tab w:val="left" w:pos="0"/>
          <w:tab w:val="left" w:pos="567"/>
        </w:tabs>
        <w:autoSpaceDE w:val="0"/>
        <w:autoSpaceDN w:val="0"/>
        <w:adjustRightInd w:val="0"/>
        <w:rPr>
          <w:rFonts w:ascii="Times New Roman" w:eastAsia="바탕" w:hAnsi="Times New Roman" w:cs="Times New Roman"/>
          <w:bCs/>
          <w:szCs w:val="20"/>
          <w:lang w:val="sl-SI" w:eastAsia="sl-SI"/>
        </w:rPr>
      </w:pPr>
    </w:p>
    <w:p w14:paraId="51DAA922" w14:textId="77777777" w:rsidR="007E7B46" w:rsidRPr="007E7B46" w:rsidRDefault="007E7B46" w:rsidP="007E7B46">
      <w:pPr>
        <w:widowControl/>
        <w:tabs>
          <w:tab w:val="left" w:pos="0"/>
          <w:tab w:val="left" w:pos="567"/>
        </w:tabs>
        <w:autoSpaceDE w:val="0"/>
        <w:autoSpaceDN w:val="0"/>
        <w:adjustRightInd w:val="0"/>
        <w:rPr>
          <w:rFonts w:ascii="Times New Roman" w:eastAsia="바탕" w:hAnsi="Times New Roman" w:cs="Times New Roman"/>
          <w:bCs/>
          <w:szCs w:val="20"/>
          <w:lang w:val="sl-SI" w:eastAsia="sl-SI"/>
        </w:rPr>
      </w:pPr>
      <w:r w:rsidRPr="007E7B46">
        <w:rPr>
          <w:rFonts w:ascii="Times New Roman" w:eastAsia="바탕" w:hAnsi="Times New Roman" w:cs="Times New Roman"/>
          <w:szCs w:val="20"/>
          <w:lang w:val="sl-SI" w:eastAsia="sl-SI"/>
        </w:rPr>
        <w:t xml:space="preserve">Pri bolnikih z zmerno do hudo obliko hidradenitis suppurativa </w:t>
      </w:r>
      <w:r w:rsidRPr="007E7B46">
        <w:rPr>
          <w:rFonts w:ascii="Times New Roman" w:eastAsia="바탕" w:hAnsi="Times New Roman" w:cs="Times New Roman"/>
          <w:lang w:val="sl-SI"/>
        </w:rPr>
        <w:t xml:space="preserve">so bila protitelesa proti </w:t>
      </w:r>
      <w:r w:rsidRPr="007E7B46">
        <w:rPr>
          <w:rFonts w:ascii="Times New Roman" w:eastAsia="바탕" w:hAnsi="Times New Roman" w:cs="Times New Roman"/>
          <w:bCs/>
          <w:szCs w:val="20"/>
          <w:lang w:val="sl-SI" w:eastAsia="sl-SI"/>
        </w:rPr>
        <w:t>adalimumabu odkrita pri 10/99 oseb (10,1 %), ki so bile zdravljene z adalimumabom</w:t>
      </w:r>
      <w:r w:rsidRPr="007E7B46">
        <w:rPr>
          <w:rFonts w:ascii="Times New Roman" w:eastAsia="바탕" w:hAnsi="Times New Roman" w:cs="Times New Roman"/>
          <w:szCs w:val="20"/>
          <w:lang w:val="sl-SI" w:eastAsia="sl-SI"/>
        </w:rPr>
        <w:t>.</w:t>
      </w:r>
    </w:p>
    <w:p w14:paraId="4C9761D4" w14:textId="77777777" w:rsidR="007E7B46" w:rsidRPr="007E7B46" w:rsidRDefault="007E7B46" w:rsidP="007E7B46">
      <w:pPr>
        <w:widowControl/>
        <w:tabs>
          <w:tab w:val="left" w:pos="708"/>
        </w:tabs>
        <w:rPr>
          <w:rFonts w:ascii="Times New Roman" w:eastAsia="바탕" w:hAnsi="Times New Roman" w:cs="Times New Roman"/>
          <w:lang w:val="sl-SI"/>
        </w:rPr>
      </w:pPr>
    </w:p>
    <w:p w14:paraId="6690F21B" w14:textId="77777777" w:rsidR="007E7B46" w:rsidRPr="007E7B46" w:rsidRDefault="007E7B46" w:rsidP="007E7B46">
      <w:pPr>
        <w:widowControl/>
        <w:tabs>
          <w:tab w:val="left" w:pos="708"/>
        </w:tabs>
        <w:rPr>
          <w:rFonts w:ascii="Times New Roman" w:eastAsia="바탕" w:hAnsi="Times New Roman" w:cs="Times New Roman"/>
          <w:szCs w:val="20"/>
          <w:lang w:val="sl-SI" w:eastAsia="sl-SI"/>
        </w:rPr>
      </w:pPr>
      <w:r w:rsidRPr="007E7B46">
        <w:rPr>
          <w:rFonts w:ascii="Times New Roman" w:eastAsia="바탕" w:hAnsi="Times New Roman" w:cs="Times New Roman"/>
          <w:szCs w:val="20"/>
          <w:lang w:val="sl-SI" w:eastAsia="sl-SI"/>
        </w:rPr>
        <w:t>Delež pediatričnih bolnikov z zmerno do hudo aktivno Crohnovo boleznijo pri bolnikih, ki so prejeli adalimumab in razvili protitelesa proti adalimumabu je bil 3,3 %.</w:t>
      </w:r>
    </w:p>
    <w:p w14:paraId="61A4EBD2" w14:textId="77777777" w:rsidR="007E7B46" w:rsidRPr="007E7B46" w:rsidRDefault="007E7B46" w:rsidP="007E7B46">
      <w:pPr>
        <w:widowControl/>
        <w:tabs>
          <w:tab w:val="left" w:pos="1294"/>
        </w:tabs>
        <w:autoSpaceDE w:val="0"/>
        <w:autoSpaceDN w:val="0"/>
        <w:adjustRightInd w:val="0"/>
        <w:rPr>
          <w:rFonts w:ascii="Times New Roman" w:eastAsia="바탕" w:hAnsi="Times New Roman" w:cs="Times New Roman"/>
          <w:lang w:val="sl-SI"/>
        </w:rPr>
      </w:pPr>
    </w:p>
    <w:p w14:paraId="0EF7B45A" w14:textId="77777777" w:rsidR="007E7B46" w:rsidRPr="007E7B46" w:rsidRDefault="007E7B46" w:rsidP="007E7B46">
      <w:pPr>
        <w:widowControl/>
        <w:tabs>
          <w:tab w:val="left" w:pos="708"/>
        </w:tabs>
        <w:rPr>
          <w:rFonts w:ascii="Times New Roman" w:eastAsia="바탕" w:hAnsi="Times New Roman" w:cs="Times New Roman"/>
          <w:lang w:val="sl-SI"/>
        </w:rPr>
      </w:pPr>
      <w:r w:rsidRPr="007E7B46">
        <w:rPr>
          <w:rFonts w:ascii="Times New Roman" w:eastAsia="바탕" w:hAnsi="Times New Roman" w:cs="Times New Roman"/>
          <w:lang w:val="sl-SI"/>
        </w:rPr>
        <w:t>Pri odraslih bolnikih z neinfekcijskim uveitisom so bila protitelesa proti adalimumabu odkrita pri 4,8 % (12/249) bolnikov, ki so jih zdravili z adalimumabom.</w:t>
      </w:r>
    </w:p>
    <w:p w14:paraId="4FCEAB19" w14:textId="77777777" w:rsidR="007E7B46" w:rsidRPr="007E7B46" w:rsidRDefault="007E7B46" w:rsidP="007E7B46">
      <w:pPr>
        <w:widowControl/>
        <w:tabs>
          <w:tab w:val="left" w:pos="708"/>
        </w:tabs>
        <w:rPr>
          <w:rFonts w:ascii="Times New Roman" w:eastAsia="바탕" w:hAnsi="Times New Roman" w:cs="Times New Roman"/>
          <w:lang w:val="sl-SI"/>
        </w:rPr>
      </w:pPr>
    </w:p>
    <w:p w14:paraId="4686C615" w14:textId="77777777" w:rsidR="007E7B46" w:rsidRPr="007E7B46" w:rsidRDefault="007E7B46" w:rsidP="007E7B46">
      <w:pPr>
        <w:widowControl/>
        <w:tabs>
          <w:tab w:val="left" w:pos="708"/>
        </w:tabs>
        <w:rPr>
          <w:rFonts w:ascii="Times New Roman" w:eastAsia="바탕" w:hAnsi="Times New Roman" w:cs="Times New Roman"/>
          <w:szCs w:val="20"/>
          <w:lang w:val="sl-SI" w:eastAsia="sl-SI"/>
        </w:rPr>
      </w:pPr>
      <w:r w:rsidRPr="007E7B46">
        <w:rPr>
          <w:rFonts w:ascii="Times New Roman" w:eastAsia="바탕" w:hAnsi="Times New Roman" w:cs="Times New Roman"/>
          <w:szCs w:val="20"/>
          <w:lang w:val="sl-SI" w:eastAsia="sl-SI"/>
        </w:rPr>
        <w:t>Delež pediatričnih bolnikov z zmerno do hudo aktivnim ulceroznim kolitisom pri bolnikih, ki so prejeli adalimumab in razvili protitelesa proti adalimumabu, je bil 3 %.</w:t>
      </w:r>
    </w:p>
    <w:p w14:paraId="3B69F1F7" w14:textId="77777777" w:rsidR="007E7B46" w:rsidRPr="007E7B46" w:rsidRDefault="007E7B46" w:rsidP="007E7B46">
      <w:pPr>
        <w:widowControl/>
        <w:tabs>
          <w:tab w:val="left" w:pos="708"/>
        </w:tabs>
        <w:rPr>
          <w:rFonts w:ascii="Times New Roman" w:eastAsia="바탕" w:hAnsi="Times New Roman" w:cs="Times New Roman"/>
          <w:lang w:val="sl-SI"/>
        </w:rPr>
      </w:pPr>
    </w:p>
    <w:p w14:paraId="71866061" w14:textId="385D357E" w:rsidR="00616315" w:rsidRDefault="007E7B46" w:rsidP="00616315">
      <w:pPr>
        <w:pStyle w:val="a3"/>
        <w:rPr>
          <w:rFonts w:eastAsia="Times New Roman"/>
          <w:lang w:val="sl-SI"/>
        </w:rPr>
      </w:pPr>
      <w:r w:rsidRPr="007E7B46">
        <w:rPr>
          <w:rFonts w:eastAsia="바탕"/>
          <w:lang w:val="sl-SI"/>
        </w:rPr>
        <w:t>Ker so analize imunogenosti specifične za posamezno zdravilo, primerjava z deleži protiteles pri drugih zdravilih ne pride v poštev</w:t>
      </w:r>
      <w:r w:rsidR="00616315">
        <w:rPr>
          <w:rFonts w:eastAsia="Times New Roman"/>
          <w:lang w:val="sl-SI"/>
        </w:rPr>
        <w:t>.</w:t>
      </w:r>
    </w:p>
    <w:p w14:paraId="6A594106" w14:textId="09F0F9EB" w:rsidR="000E386D" w:rsidRDefault="000E386D" w:rsidP="00616315">
      <w:pPr>
        <w:pStyle w:val="a3"/>
        <w:rPr>
          <w:rFonts w:eastAsia="Times New Roman"/>
          <w:lang w:val="sl-SI"/>
        </w:rPr>
      </w:pPr>
    </w:p>
    <w:p w14:paraId="7CB06BFB" w14:textId="6C92B9C2" w:rsidR="000E386D" w:rsidRPr="00721C46" w:rsidRDefault="00180CD6" w:rsidP="00616315">
      <w:pPr>
        <w:pStyle w:val="a3"/>
        <w:rPr>
          <w:rFonts w:eastAsia="Times New Roman"/>
          <w:u w:val="single" w:color="000000"/>
          <w:lang w:val="sl-SI"/>
        </w:rPr>
      </w:pPr>
      <w:r w:rsidRPr="00721C46">
        <w:rPr>
          <w:rFonts w:eastAsia="Times New Roman"/>
          <w:u w:val="single" w:color="000000"/>
          <w:lang w:val="sl-SI"/>
        </w:rPr>
        <w:t>Pediatrična populacija</w:t>
      </w:r>
    </w:p>
    <w:p w14:paraId="11E3F297" w14:textId="44011836" w:rsidR="00180CD6" w:rsidRDefault="00180CD6" w:rsidP="00616315">
      <w:pPr>
        <w:pStyle w:val="a3"/>
        <w:rPr>
          <w:lang w:val="sl-SI"/>
        </w:rPr>
      </w:pPr>
    </w:p>
    <w:p w14:paraId="1A6CBFE4" w14:textId="77777777" w:rsidR="000E386D" w:rsidRDefault="000E386D" w:rsidP="000E386D">
      <w:pPr>
        <w:pStyle w:val="a3"/>
        <w:rPr>
          <w:rFonts w:eastAsia="Times New Roman"/>
          <w:lang w:val="sl-SI"/>
        </w:rPr>
      </w:pPr>
      <w:r>
        <w:rPr>
          <w:rFonts w:eastAsia="Times New Roman"/>
          <w:i/>
          <w:iCs/>
          <w:spacing w:val="-1"/>
          <w:lang w:val="sl-SI"/>
        </w:rPr>
        <w:t>Hidradenitis suppurativa pri mladostnikih</w:t>
      </w:r>
    </w:p>
    <w:p w14:paraId="590A5EAD" w14:textId="77777777" w:rsidR="000E386D" w:rsidRDefault="000E386D" w:rsidP="000E386D">
      <w:pPr>
        <w:pStyle w:val="a3"/>
        <w:rPr>
          <w:sz w:val="24"/>
          <w:szCs w:val="24"/>
          <w:lang w:val="sl-SI"/>
        </w:rPr>
      </w:pPr>
    </w:p>
    <w:p w14:paraId="7DDEEC4F" w14:textId="7F095684" w:rsidR="000E386D" w:rsidRDefault="000E386D" w:rsidP="000E386D">
      <w:pPr>
        <w:pStyle w:val="a3"/>
        <w:rPr>
          <w:rFonts w:eastAsia="Times New Roman"/>
          <w:lang w:val="sl-SI"/>
        </w:rPr>
      </w:pPr>
      <w:r>
        <w:rPr>
          <w:rFonts w:eastAsia="Times New Roman"/>
          <w:lang w:val="sl-SI"/>
        </w:rPr>
        <w:t>Kliničnih preskušanj z adalimumabom pri mladostnikih s HS niso izvedli. Učinkovitost adalimumaba za zdravljenje mladostnikov s HS je napovedana na podlagi dokazane učinkovitosti in razmerja med izpostavljenostjo in odzivom pri odraslih bolnikih s HS ter verjetnosti, da so potek bolezni, patofiziologija in učinek zdravila bistveno podobni kot pri odraslih bolnikih, pri enaki ravni izpostavljenosti. Varnost priporočenega odmerka adalimumaba pri populaciji mladostnikov s HS temelji na varnostnem profilu indikacij adalimumaba pri odraslih in pediatričnih bolnikih pri podobnih ali pogostejših odmerkih (glejte poglavje 5.2).</w:t>
      </w:r>
    </w:p>
    <w:p w14:paraId="047E5A8D" w14:textId="77777777" w:rsidR="00180CD6" w:rsidRPr="001B1C67" w:rsidRDefault="00180CD6" w:rsidP="00180CD6">
      <w:pPr>
        <w:spacing w:before="16" w:line="240" w:lineRule="exact"/>
        <w:rPr>
          <w:sz w:val="24"/>
          <w:szCs w:val="24"/>
          <w:lang w:val="sl-SI"/>
        </w:rPr>
      </w:pPr>
    </w:p>
    <w:p w14:paraId="7E64771C" w14:textId="77777777" w:rsidR="00180CD6" w:rsidRDefault="00180CD6" w:rsidP="00180CD6">
      <w:pPr>
        <w:pStyle w:val="a3"/>
        <w:rPr>
          <w:i/>
          <w:lang w:val="sl-SI"/>
        </w:rPr>
      </w:pPr>
      <w:r>
        <w:rPr>
          <w:rFonts w:eastAsia="Times New Roman"/>
          <w:i/>
          <w:iCs/>
          <w:lang w:val="sl-SI"/>
        </w:rPr>
        <w:t>Crohnova bolezen pri pediatričnih bolnikih</w:t>
      </w:r>
    </w:p>
    <w:p w14:paraId="6F3A6D99" w14:textId="77777777" w:rsidR="00180CD6" w:rsidRDefault="00180CD6" w:rsidP="00180CD6">
      <w:pPr>
        <w:pStyle w:val="a3"/>
        <w:rPr>
          <w:sz w:val="18"/>
          <w:szCs w:val="18"/>
          <w:lang w:val="sl-SI"/>
        </w:rPr>
      </w:pPr>
    </w:p>
    <w:p w14:paraId="2F8B6D4F" w14:textId="77777777" w:rsidR="00180CD6" w:rsidRDefault="00180CD6" w:rsidP="00180CD6">
      <w:pPr>
        <w:pStyle w:val="a3"/>
        <w:rPr>
          <w:lang w:val="sl-SI"/>
        </w:rPr>
      </w:pPr>
      <w:r>
        <w:rPr>
          <w:rFonts w:eastAsia="Times New Roman"/>
          <w:lang w:val="sl-SI"/>
        </w:rPr>
        <w:t>Adalimumab je bil ocenjen v multicentrični, randomizirani, dvojno slepi klinični študiji, ki je bila zasnovana za oceno učinkovitosti in varnosti indukcijskega in vzdrževalnega zdravljenja z odmerki, odvisnimi od telesne mase (&lt; 40 mg ali ≥ 40 mg) pri 192 pediatričnih bolnikih med 6. in 17. (vključno) letom starosti, z zmerno do hudo Crohnovo boleznijo (CD) definirano kot vrednost indeksa Pediatric Crohn’s Disease Activity Index (PCDAI) &gt; 30. Bolniki so morali biti neuspešno zdravljeni s konvencionalno terapijo (vključno s kortikosteroidom in/ali z imunomodulatorjem) zaradi Crohnove bolezni. Bolniki so lahko pred tem tudi postali neodzivni ali so imeli intoleranco na infliksimab.</w:t>
      </w:r>
    </w:p>
    <w:p w14:paraId="12ED4ABD" w14:textId="77777777" w:rsidR="00180CD6" w:rsidRDefault="00180CD6" w:rsidP="00180CD6">
      <w:pPr>
        <w:pStyle w:val="a3"/>
        <w:rPr>
          <w:sz w:val="24"/>
          <w:szCs w:val="24"/>
          <w:lang w:val="sl-SI"/>
        </w:rPr>
      </w:pPr>
    </w:p>
    <w:p w14:paraId="345902BD" w14:textId="77777777" w:rsidR="00180CD6" w:rsidRDefault="00180CD6" w:rsidP="00180CD6">
      <w:pPr>
        <w:pStyle w:val="a3"/>
        <w:rPr>
          <w:lang w:val="sl-SI"/>
        </w:rPr>
      </w:pPr>
      <w:r>
        <w:rPr>
          <w:rFonts w:eastAsia="Times New Roman"/>
          <w:lang w:val="sl-SI"/>
        </w:rPr>
        <w:t>Vsi bolniki so prejeli odprto indukcijsko zdravljenje v odmerku glede na svojo začetno telesno maso: 160 mg v 0. tednu in 80 mg v 2. tednu bolniki z ≥ 40 kg ter 80 mg in 40 mg v tem vrstnem redu bolniki z</w:t>
      </w:r>
    </w:p>
    <w:p w14:paraId="55CACA7A" w14:textId="77777777" w:rsidR="00180CD6" w:rsidRDefault="00180CD6" w:rsidP="00180CD6">
      <w:pPr>
        <w:pStyle w:val="a3"/>
        <w:rPr>
          <w:lang w:val="sl-SI"/>
        </w:rPr>
      </w:pPr>
      <w:r>
        <w:rPr>
          <w:rFonts w:eastAsia="Times New Roman"/>
          <w:lang w:val="sl-SI"/>
        </w:rPr>
        <w:t>&lt; 40 kg.</w:t>
      </w:r>
    </w:p>
    <w:p w14:paraId="5FC67E8A" w14:textId="77777777" w:rsidR="00180CD6" w:rsidRDefault="00180CD6" w:rsidP="00180CD6">
      <w:pPr>
        <w:pStyle w:val="a3"/>
        <w:rPr>
          <w:sz w:val="24"/>
          <w:szCs w:val="24"/>
          <w:lang w:val="sl-SI"/>
        </w:rPr>
      </w:pPr>
    </w:p>
    <w:p w14:paraId="5CF15444" w14:textId="697487FA" w:rsidR="00180CD6" w:rsidRDefault="00180CD6" w:rsidP="00180CD6">
      <w:pPr>
        <w:pStyle w:val="a3"/>
        <w:rPr>
          <w:lang w:val="sl-SI"/>
        </w:rPr>
      </w:pPr>
      <w:r>
        <w:rPr>
          <w:rFonts w:eastAsia="Times New Roman"/>
          <w:lang w:val="sl-SI"/>
        </w:rPr>
        <w:t>V 4. tednu so bili bolniki glede na svojo telesno maso v tem času randomizirani v razmerju 1 : 1 bodisi v vzdrževalni režim z majhnim odmerkom ali vzdrževalni režim s standardnim odmerkom, kot kaže preglednica 18.</w:t>
      </w:r>
    </w:p>
    <w:p w14:paraId="313A9044" w14:textId="77777777" w:rsidR="00180CD6" w:rsidRDefault="00180CD6" w:rsidP="00180CD6">
      <w:pPr>
        <w:pStyle w:val="a3"/>
        <w:rPr>
          <w:sz w:val="24"/>
          <w:szCs w:val="24"/>
          <w:lang w:val="sl-SI"/>
        </w:rPr>
      </w:pPr>
    </w:p>
    <w:p w14:paraId="2EBD5932" w14:textId="4E37D3A2" w:rsidR="00180CD6" w:rsidRDefault="00180CD6" w:rsidP="00180CD6">
      <w:pPr>
        <w:pStyle w:val="a3"/>
        <w:jc w:val="center"/>
        <w:rPr>
          <w:b/>
          <w:lang w:val="sl-SI"/>
        </w:rPr>
      </w:pPr>
      <w:r>
        <w:rPr>
          <w:rFonts w:eastAsia="Times New Roman"/>
          <w:b/>
          <w:bCs/>
          <w:lang w:val="sl-SI"/>
        </w:rPr>
        <w:t>Preglednica 18. Vzdrževalni režim</w:t>
      </w:r>
    </w:p>
    <w:p w14:paraId="31139A7F" w14:textId="77777777" w:rsidR="00180CD6" w:rsidRDefault="00180CD6" w:rsidP="00180CD6">
      <w:pPr>
        <w:pStyle w:val="a3"/>
        <w:jc w:val="center"/>
        <w:rPr>
          <w:b/>
          <w:lang w:val="sl-SI"/>
        </w:rPr>
      </w:pPr>
    </w:p>
    <w:tbl>
      <w:tblPr>
        <w:tblStyle w:val="TableNormal1"/>
        <w:tblW w:w="0" w:type="auto"/>
        <w:tblInd w:w="845" w:type="dxa"/>
        <w:tblLayout w:type="fixed"/>
        <w:tblLook w:val="01E0" w:firstRow="1" w:lastRow="1" w:firstColumn="1" w:lastColumn="1" w:noHBand="0" w:noVBand="0"/>
      </w:tblPr>
      <w:tblGrid>
        <w:gridCol w:w="2693"/>
        <w:gridCol w:w="2410"/>
        <w:gridCol w:w="2835"/>
      </w:tblGrid>
      <w:tr w:rsidR="00180CD6" w14:paraId="6F70275F" w14:textId="77777777" w:rsidTr="00EA4D6E">
        <w:tc>
          <w:tcPr>
            <w:tcW w:w="2693" w:type="dxa"/>
            <w:tcBorders>
              <w:top w:val="single" w:sz="5" w:space="0" w:color="000000"/>
              <w:left w:val="single" w:sz="5" w:space="0" w:color="000000"/>
              <w:bottom w:val="single" w:sz="5" w:space="0" w:color="000000"/>
              <w:right w:val="single" w:sz="5" w:space="0" w:color="000000"/>
            </w:tcBorders>
          </w:tcPr>
          <w:p w14:paraId="581AD0FA" w14:textId="77777777" w:rsidR="00180CD6" w:rsidRDefault="00180CD6" w:rsidP="00EA4D6E">
            <w:pPr>
              <w:pStyle w:val="TableParagraph"/>
              <w:spacing w:line="249" w:lineRule="exact"/>
              <w:ind w:left="102"/>
              <w:rPr>
                <w:rFonts w:ascii="Times New Roman" w:eastAsia="Times New Roman" w:hAnsi="Times New Roman" w:cs="Times New Roman"/>
                <w:lang w:val="sl-SI"/>
              </w:rPr>
            </w:pPr>
            <w:r w:rsidRPr="006A7666">
              <w:rPr>
                <w:rFonts w:ascii="Times New Roman" w:eastAsia="Times New Roman" w:hAnsi="Times New Roman" w:cs="Times New Roman"/>
                <w:b/>
                <w:bCs/>
                <w:lang w:val="sl-SI"/>
              </w:rPr>
              <w:t>Masa bolnika</w:t>
            </w:r>
          </w:p>
        </w:tc>
        <w:tc>
          <w:tcPr>
            <w:tcW w:w="2410" w:type="dxa"/>
            <w:tcBorders>
              <w:top w:val="single" w:sz="5" w:space="0" w:color="000000"/>
              <w:left w:val="single" w:sz="5" w:space="0" w:color="000000"/>
              <w:bottom w:val="single" w:sz="5" w:space="0" w:color="000000"/>
              <w:right w:val="single" w:sz="5" w:space="0" w:color="000000"/>
            </w:tcBorders>
          </w:tcPr>
          <w:p w14:paraId="17CFF4AB" w14:textId="77777777" w:rsidR="00180CD6" w:rsidRDefault="00180CD6" w:rsidP="00EA4D6E">
            <w:pPr>
              <w:pStyle w:val="TableParagraph"/>
              <w:spacing w:line="249"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2"/>
                <w:lang w:val="sl-SI"/>
              </w:rPr>
              <w:t>Majhni odmerek</w:t>
            </w:r>
          </w:p>
        </w:tc>
        <w:tc>
          <w:tcPr>
            <w:tcW w:w="2835" w:type="dxa"/>
            <w:tcBorders>
              <w:top w:val="single" w:sz="5" w:space="0" w:color="000000"/>
              <w:left w:val="single" w:sz="5" w:space="0" w:color="000000"/>
              <w:bottom w:val="single" w:sz="5" w:space="0" w:color="000000"/>
              <w:right w:val="single" w:sz="5" w:space="0" w:color="000000"/>
            </w:tcBorders>
          </w:tcPr>
          <w:p w14:paraId="1FEA028A" w14:textId="77777777" w:rsidR="00180CD6" w:rsidRDefault="00180CD6" w:rsidP="00EA4D6E">
            <w:pPr>
              <w:pStyle w:val="TableParagraph"/>
              <w:spacing w:line="249"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 xml:space="preserve">Standardni </w:t>
            </w:r>
            <w:r>
              <w:rPr>
                <w:rFonts w:ascii="Times New Roman" w:eastAsia="Times New Roman" w:hAnsi="Times New Roman" w:cs="Times New Roman"/>
                <w:b/>
                <w:bCs/>
                <w:lang w:val="sl-SI"/>
              </w:rPr>
              <w:t>odmerek</w:t>
            </w:r>
          </w:p>
        </w:tc>
      </w:tr>
      <w:tr w:rsidR="00180CD6" w14:paraId="16611BE2" w14:textId="77777777" w:rsidTr="00EA4D6E">
        <w:tc>
          <w:tcPr>
            <w:tcW w:w="2693" w:type="dxa"/>
            <w:tcBorders>
              <w:top w:val="single" w:sz="5" w:space="0" w:color="000000"/>
              <w:left w:val="single" w:sz="5" w:space="0" w:color="000000"/>
              <w:bottom w:val="single" w:sz="5" w:space="0" w:color="000000"/>
              <w:right w:val="single" w:sz="5" w:space="0" w:color="000000"/>
            </w:tcBorders>
          </w:tcPr>
          <w:p w14:paraId="3CA34D0A" w14:textId="77777777" w:rsidR="00180CD6" w:rsidRDefault="00180CD6" w:rsidP="00EA4D6E">
            <w:pPr>
              <w:pStyle w:val="TableParagraph"/>
              <w:spacing w:line="244"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&lt; 40 kg</w:t>
            </w:r>
          </w:p>
        </w:tc>
        <w:tc>
          <w:tcPr>
            <w:tcW w:w="2410" w:type="dxa"/>
            <w:tcBorders>
              <w:top w:val="single" w:sz="5" w:space="0" w:color="000000"/>
              <w:left w:val="single" w:sz="5" w:space="0" w:color="000000"/>
              <w:bottom w:val="single" w:sz="5" w:space="0" w:color="000000"/>
              <w:right w:val="single" w:sz="5" w:space="0" w:color="000000"/>
            </w:tcBorders>
          </w:tcPr>
          <w:p w14:paraId="5FCF5744" w14:textId="77777777" w:rsidR="00180CD6" w:rsidRDefault="00180CD6" w:rsidP="00EA4D6E">
            <w:pPr>
              <w:pStyle w:val="TableParagraph"/>
              <w:spacing w:line="244"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10 mg vsak drugi teden</w:t>
            </w:r>
          </w:p>
        </w:tc>
        <w:tc>
          <w:tcPr>
            <w:tcW w:w="2835" w:type="dxa"/>
            <w:tcBorders>
              <w:top w:val="single" w:sz="5" w:space="0" w:color="000000"/>
              <w:left w:val="single" w:sz="5" w:space="0" w:color="000000"/>
              <w:bottom w:val="single" w:sz="5" w:space="0" w:color="000000"/>
              <w:right w:val="single" w:sz="5" w:space="0" w:color="000000"/>
            </w:tcBorders>
          </w:tcPr>
          <w:p w14:paraId="3053B55A" w14:textId="77777777" w:rsidR="00180CD6" w:rsidRDefault="00180CD6" w:rsidP="00EA4D6E">
            <w:pPr>
              <w:pStyle w:val="TableParagraph"/>
              <w:spacing w:line="244"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20 mg vsak drugi teden</w:t>
            </w:r>
          </w:p>
        </w:tc>
      </w:tr>
      <w:tr w:rsidR="00180CD6" w14:paraId="04216FF4" w14:textId="77777777" w:rsidTr="00EA4D6E">
        <w:tc>
          <w:tcPr>
            <w:tcW w:w="2693" w:type="dxa"/>
            <w:tcBorders>
              <w:top w:val="single" w:sz="5" w:space="0" w:color="000000"/>
              <w:left w:val="single" w:sz="5" w:space="0" w:color="000000"/>
              <w:bottom w:val="single" w:sz="5" w:space="0" w:color="000000"/>
              <w:right w:val="single" w:sz="5" w:space="0" w:color="000000"/>
            </w:tcBorders>
          </w:tcPr>
          <w:p w14:paraId="26776CF1" w14:textId="77777777" w:rsidR="00180CD6" w:rsidRDefault="00180CD6" w:rsidP="00EA4D6E">
            <w:pPr>
              <w:pStyle w:val="TableParagraph"/>
              <w:spacing w:line="244"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 40 kg</w:t>
            </w:r>
          </w:p>
        </w:tc>
        <w:tc>
          <w:tcPr>
            <w:tcW w:w="2410" w:type="dxa"/>
            <w:tcBorders>
              <w:top w:val="single" w:sz="5" w:space="0" w:color="000000"/>
              <w:left w:val="single" w:sz="5" w:space="0" w:color="000000"/>
              <w:bottom w:val="single" w:sz="5" w:space="0" w:color="000000"/>
              <w:right w:val="single" w:sz="5" w:space="0" w:color="000000"/>
            </w:tcBorders>
          </w:tcPr>
          <w:p w14:paraId="4E9B2A19" w14:textId="77777777" w:rsidR="00180CD6" w:rsidRDefault="00180CD6" w:rsidP="00EA4D6E">
            <w:pPr>
              <w:pStyle w:val="TableParagraph"/>
              <w:spacing w:line="244"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20 mg vsak drugi teden</w:t>
            </w:r>
          </w:p>
        </w:tc>
        <w:tc>
          <w:tcPr>
            <w:tcW w:w="2835" w:type="dxa"/>
            <w:tcBorders>
              <w:top w:val="single" w:sz="5" w:space="0" w:color="000000"/>
              <w:left w:val="single" w:sz="5" w:space="0" w:color="000000"/>
              <w:bottom w:val="single" w:sz="5" w:space="0" w:color="000000"/>
              <w:right w:val="single" w:sz="5" w:space="0" w:color="000000"/>
            </w:tcBorders>
          </w:tcPr>
          <w:p w14:paraId="31AAE50A" w14:textId="77777777" w:rsidR="00180CD6" w:rsidRDefault="00180CD6" w:rsidP="00EA4D6E">
            <w:pPr>
              <w:pStyle w:val="TableParagraph"/>
              <w:spacing w:line="244"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40 mg vsak drugi teden</w:t>
            </w:r>
          </w:p>
        </w:tc>
      </w:tr>
    </w:tbl>
    <w:p w14:paraId="11D0836A" w14:textId="77777777" w:rsidR="00180CD6" w:rsidRDefault="00180CD6" w:rsidP="00180CD6">
      <w:pPr>
        <w:pStyle w:val="a3"/>
        <w:rPr>
          <w:lang w:val="sl-SI"/>
        </w:rPr>
      </w:pPr>
    </w:p>
    <w:p w14:paraId="074E2D96" w14:textId="77777777" w:rsidR="00180CD6" w:rsidRDefault="00180CD6" w:rsidP="00180CD6">
      <w:pPr>
        <w:pStyle w:val="a3"/>
        <w:rPr>
          <w:rFonts w:eastAsia="Times New Roman"/>
          <w:lang w:val="sl-SI"/>
        </w:rPr>
      </w:pPr>
      <w:r>
        <w:rPr>
          <w:rFonts w:eastAsia="Times New Roman"/>
          <w:i/>
          <w:iCs/>
          <w:spacing w:val="-1"/>
          <w:u w:val="single" w:color="000000"/>
          <w:lang w:val="sl-SI"/>
        </w:rPr>
        <w:t>Rezultati učinkovitosti</w:t>
      </w:r>
    </w:p>
    <w:p w14:paraId="5D37902F" w14:textId="77777777" w:rsidR="00180CD6" w:rsidRDefault="00180CD6" w:rsidP="00180CD6">
      <w:pPr>
        <w:pStyle w:val="a3"/>
        <w:rPr>
          <w:sz w:val="19"/>
          <w:szCs w:val="19"/>
          <w:lang w:val="sl-SI"/>
        </w:rPr>
      </w:pPr>
    </w:p>
    <w:p w14:paraId="37A339DC" w14:textId="77777777" w:rsidR="00180CD6" w:rsidRDefault="00180CD6" w:rsidP="00180CD6">
      <w:pPr>
        <w:pStyle w:val="a3"/>
        <w:rPr>
          <w:lang w:val="sl-SI"/>
        </w:rPr>
      </w:pPr>
      <w:r>
        <w:rPr>
          <w:rFonts w:eastAsia="Times New Roman"/>
          <w:lang w:val="sl-SI"/>
        </w:rPr>
        <w:t xml:space="preserve">Primarni cilj študije je bila klinična remisija v 26. tednu, definirana kot vrednost PCDAI </w:t>
      </w:r>
      <w:r>
        <w:rPr>
          <w:rFonts w:ascii="Symbol" w:eastAsia="Symbol" w:hAnsi="Symbol" w:cs="Symbol"/>
          <w:lang w:val="sl-SI"/>
        </w:rPr>
        <w:sym w:font="Symbol" w:char="F0A3"/>
      </w:r>
      <w:r>
        <w:rPr>
          <w:rFonts w:ascii="Symbol" w:eastAsia="Symbol" w:hAnsi="Symbol" w:cs="Symbol"/>
          <w:lang w:val="sl-SI"/>
        </w:rPr>
        <w:sym w:font="Symbol" w:char="F020"/>
      </w:r>
      <w:r>
        <w:rPr>
          <w:rFonts w:eastAsia="Times New Roman"/>
          <w:lang w:val="sl-SI"/>
        </w:rPr>
        <w:t> 10.</w:t>
      </w:r>
    </w:p>
    <w:p w14:paraId="0BEF7E26" w14:textId="77777777" w:rsidR="00180CD6" w:rsidRDefault="00180CD6" w:rsidP="00180CD6">
      <w:pPr>
        <w:pStyle w:val="a3"/>
        <w:rPr>
          <w:sz w:val="24"/>
          <w:szCs w:val="24"/>
          <w:lang w:val="sl-SI"/>
        </w:rPr>
      </w:pPr>
    </w:p>
    <w:p w14:paraId="7DC72761" w14:textId="722702C6" w:rsidR="00180CD6" w:rsidRDefault="00180CD6" w:rsidP="00180CD6">
      <w:pPr>
        <w:pStyle w:val="a3"/>
        <w:rPr>
          <w:rFonts w:eastAsia="Times New Roman"/>
          <w:lang w:val="sl-SI"/>
        </w:rPr>
      </w:pPr>
      <w:r>
        <w:rPr>
          <w:rFonts w:eastAsia="Times New Roman"/>
          <w:lang w:val="sl-SI"/>
        </w:rPr>
        <w:t>Stopnja klinične remisije in kliničnega odziva (definiran kot zmanjšanje vrednosti PCDAI vsaj za 15 točk od začetne vrednosti) sta predstavljena v preglednici 19. Stopnja prenehanja zdravljenja s kortikosteroidi ali imunomodulatorji je predstavljena v preglednici 20.</w:t>
      </w:r>
    </w:p>
    <w:p w14:paraId="5C3EC18D" w14:textId="77777777" w:rsidR="00180CD6" w:rsidRDefault="00180CD6" w:rsidP="00180CD6">
      <w:pPr>
        <w:rPr>
          <w:rFonts w:ascii="Times New Roman" w:hAnsi="Times New Roman" w:cs="Times New Roman"/>
          <w:lang w:val="sl-SI"/>
        </w:rPr>
      </w:pPr>
    </w:p>
    <w:tbl>
      <w:tblPr>
        <w:tblStyle w:val="TableNormal1"/>
        <w:tblW w:w="0" w:type="auto"/>
        <w:jc w:val="center"/>
        <w:tblLayout w:type="fixed"/>
        <w:tblLook w:val="01E0" w:firstRow="1" w:lastRow="1" w:firstColumn="1" w:lastColumn="1" w:noHBand="0" w:noVBand="0"/>
      </w:tblPr>
      <w:tblGrid>
        <w:gridCol w:w="2695"/>
        <w:gridCol w:w="2002"/>
        <w:gridCol w:w="1975"/>
        <w:gridCol w:w="2470"/>
      </w:tblGrid>
      <w:tr w:rsidR="00180CD6" w:rsidRPr="00AC7013" w14:paraId="1750AFAD" w14:textId="77777777" w:rsidTr="00EA4D6E">
        <w:trPr>
          <w:trHeight w:val="450"/>
          <w:jc w:val="center"/>
        </w:trPr>
        <w:tc>
          <w:tcPr>
            <w:tcW w:w="9142" w:type="dxa"/>
            <w:gridSpan w:val="4"/>
            <w:tcBorders>
              <w:top w:val="single" w:sz="7" w:space="0" w:color="000000"/>
              <w:left w:val="single" w:sz="7" w:space="0" w:color="000000"/>
              <w:bottom w:val="single" w:sz="7" w:space="0" w:color="000000"/>
              <w:right w:val="single" w:sz="7" w:space="0" w:color="000000"/>
            </w:tcBorders>
          </w:tcPr>
          <w:p w14:paraId="6E942E3D" w14:textId="2C96ADC2" w:rsidR="00180CD6" w:rsidRDefault="00180CD6" w:rsidP="00EA4D6E">
            <w:pPr>
              <w:pStyle w:val="a3"/>
              <w:keepLines/>
              <w:jc w:val="center"/>
              <w:rPr>
                <w:b/>
                <w:lang w:val="sl-SI"/>
              </w:rPr>
            </w:pPr>
            <w:r>
              <w:rPr>
                <w:rFonts w:eastAsia="Times New Roman"/>
                <w:b/>
                <w:bCs/>
                <w:lang w:val="sl-SI"/>
              </w:rPr>
              <w:t>Preglednica 19</w:t>
            </w:r>
          </w:p>
          <w:p w14:paraId="45BEC934" w14:textId="77777777" w:rsidR="00180CD6" w:rsidRDefault="00180CD6" w:rsidP="00EA4D6E">
            <w:pPr>
              <w:pStyle w:val="a3"/>
              <w:keepLines/>
              <w:jc w:val="center"/>
              <w:rPr>
                <w:b/>
                <w:lang w:val="sl-SI"/>
              </w:rPr>
            </w:pPr>
            <w:r>
              <w:rPr>
                <w:rFonts w:eastAsia="Times New Roman"/>
                <w:b/>
                <w:bCs/>
                <w:lang w:val="sl-SI"/>
              </w:rPr>
              <w:t>Študija Crohnove bolezni pri pediatričnih bolnikih</w:t>
            </w:r>
          </w:p>
          <w:p w14:paraId="4339B139" w14:textId="77777777" w:rsidR="00180CD6" w:rsidRDefault="00180CD6" w:rsidP="00EA4D6E">
            <w:pPr>
              <w:pStyle w:val="a3"/>
              <w:keepLines/>
              <w:jc w:val="center"/>
              <w:rPr>
                <w:rFonts w:eastAsia="Times New Roman"/>
                <w:lang w:val="sl-SI"/>
              </w:rPr>
            </w:pPr>
            <w:r>
              <w:rPr>
                <w:rFonts w:eastAsia="Times New Roman"/>
                <w:b/>
                <w:bCs/>
                <w:lang w:val="sl-SI"/>
              </w:rPr>
              <w:t>PCDAI klinična remisija in odziv</w:t>
            </w:r>
          </w:p>
        </w:tc>
      </w:tr>
      <w:tr w:rsidR="00180CD6" w14:paraId="07D10ED1" w14:textId="77777777" w:rsidTr="00EA4D6E">
        <w:trPr>
          <w:trHeight w:val="740"/>
          <w:jc w:val="center"/>
        </w:trPr>
        <w:tc>
          <w:tcPr>
            <w:tcW w:w="2695" w:type="dxa"/>
            <w:tcBorders>
              <w:top w:val="single" w:sz="7" w:space="0" w:color="000000"/>
              <w:left w:val="single" w:sz="7" w:space="0" w:color="000000"/>
              <w:bottom w:val="single" w:sz="7" w:space="0" w:color="000000"/>
              <w:right w:val="single" w:sz="7" w:space="0" w:color="000000"/>
            </w:tcBorders>
          </w:tcPr>
          <w:p w14:paraId="0D703CC5" w14:textId="77777777" w:rsidR="00180CD6" w:rsidRDefault="00180CD6" w:rsidP="00EA4D6E">
            <w:pPr>
              <w:rPr>
                <w:lang w:val="sl-SI"/>
              </w:rPr>
            </w:pPr>
          </w:p>
        </w:tc>
        <w:tc>
          <w:tcPr>
            <w:tcW w:w="2002" w:type="dxa"/>
            <w:tcBorders>
              <w:top w:val="single" w:sz="7" w:space="0" w:color="000000"/>
              <w:left w:val="single" w:sz="7" w:space="0" w:color="000000"/>
              <w:bottom w:val="single" w:sz="7" w:space="0" w:color="000000"/>
              <w:right w:val="single" w:sz="7" w:space="0" w:color="000000"/>
            </w:tcBorders>
          </w:tcPr>
          <w:p w14:paraId="25D7F888" w14:textId="77777777" w:rsidR="00180CD6" w:rsidRDefault="00180CD6" w:rsidP="00EA4D6E">
            <w:pPr>
              <w:pStyle w:val="TableParagraph"/>
              <w:spacing w:before="1" w:line="252" w:lineRule="exact"/>
              <w:ind w:left="111" w:right="98"/>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Standardni odmerek 40/20 mg vsak drugi teden</w:t>
            </w:r>
          </w:p>
          <w:p w14:paraId="69663E43" w14:textId="77777777" w:rsidR="00180CD6" w:rsidRDefault="00180CD6" w:rsidP="00EA4D6E">
            <w:pPr>
              <w:pStyle w:val="TableParagraph"/>
              <w:spacing w:line="251" w:lineRule="exact"/>
              <w:ind w:left="480" w:right="468"/>
              <w:jc w:val="center"/>
              <w:rPr>
                <w:rFonts w:ascii="Times New Roman" w:eastAsia="Times New Roman" w:hAnsi="Times New Roman" w:cs="Times New Roman"/>
                <w:lang w:val="sl-SI"/>
              </w:rPr>
            </w:pPr>
            <w:r>
              <w:rPr>
                <w:rFonts w:ascii="Times New Roman" w:eastAsia="Times New Roman" w:hAnsi="Times New Roman" w:cs="Times New Roman"/>
                <w:b/>
                <w:bCs/>
                <w:lang w:val="sl-SI"/>
              </w:rPr>
              <w:t>N = 93</w:t>
            </w:r>
          </w:p>
        </w:tc>
        <w:tc>
          <w:tcPr>
            <w:tcW w:w="1975" w:type="dxa"/>
            <w:tcBorders>
              <w:top w:val="single" w:sz="7" w:space="0" w:color="000000"/>
              <w:left w:val="single" w:sz="7" w:space="0" w:color="000000"/>
              <w:bottom w:val="single" w:sz="7" w:space="0" w:color="000000"/>
              <w:right w:val="single" w:sz="7" w:space="0" w:color="000000"/>
            </w:tcBorders>
          </w:tcPr>
          <w:p w14:paraId="126F8DC6" w14:textId="77777777" w:rsidR="00180CD6" w:rsidRDefault="00180CD6" w:rsidP="00EA4D6E">
            <w:pPr>
              <w:pStyle w:val="TableParagraph"/>
              <w:spacing w:before="1" w:line="252" w:lineRule="exact"/>
              <w:ind w:left="157" w:right="142" w:firstLine="1"/>
              <w:jc w:val="center"/>
              <w:rPr>
                <w:rFonts w:ascii="Times New Roman" w:eastAsia="Times New Roman" w:hAnsi="Times New Roman" w:cs="Times New Roman"/>
                <w:lang w:val="sl-SI"/>
              </w:rPr>
            </w:pPr>
            <w:r>
              <w:rPr>
                <w:rFonts w:ascii="Times New Roman" w:eastAsia="Times New Roman" w:hAnsi="Times New Roman" w:cs="Times New Roman"/>
                <w:b/>
                <w:bCs/>
                <w:spacing w:val="-2"/>
                <w:lang w:val="sl-SI"/>
              </w:rPr>
              <w:t>Majhni odmerek 20/10 mg vsak drugi teden</w:t>
            </w:r>
          </w:p>
          <w:p w14:paraId="5C9E9AF4" w14:textId="77777777" w:rsidR="00180CD6" w:rsidRDefault="00180CD6" w:rsidP="00EA4D6E">
            <w:pPr>
              <w:pStyle w:val="TableParagraph"/>
              <w:spacing w:line="251" w:lineRule="exact"/>
              <w:ind w:left="468" w:right="456"/>
              <w:jc w:val="center"/>
              <w:rPr>
                <w:rFonts w:ascii="Times New Roman" w:eastAsia="Times New Roman" w:hAnsi="Times New Roman" w:cs="Times New Roman"/>
                <w:lang w:val="sl-SI"/>
              </w:rPr>
            </w:pPr>
            <w:r>
              <w:rPr>
                <w:rFonts w:ascii="Times New Roman" w:eastAsia="Times New Roman" w:hAnsi="Times New Roman" w:cs="Times New Roman"/>
                <w:b/>
                <w:bCs/>
                <w:lang w:val="sl-SI"/>
              </w:rPr>
              <w:t>N = 95</w:t>
            </w:r>
          </w:p>
        </w:tc>
        <w:tc>
          <w:tcPr>
            <w:tcW w:w="2469" w:type="dxa"/>
            <w:tcBorders>
              <w:top w:val="single" w:sz="7" w:space="0" w:color="000000"/>
              <w:left w:val="single" w:sz="7" w:space="0" w:color="000000"/>
              <w:bottom w:val="single" w:sz="7" w:space="0" w:color="000000"/>
              <w:right w:val="single" w:sz="7" w:space="0" w:color="000000"/>
            </w:tcBorders>
          </w:tcPr>
          <w:p w14:paraId="4BAB5B0E" w14:textId="77777777" w:rsidR="00180CD6" w:rsidRDefault="00180CD6" w:rsidP="00EA4D6E">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b/>
                <w:bCs/>
                <w:lang w:val="sl-SI"/>
              </w:rPr>
              <w:t>Vrednost p</w:t>
            </w:r>
            <w:r>
              <w:rPr>
                <w:rFonts w:ascii="Times New Roman" w:eastAsia="Times New Roman" w:hAnsi="Times New Roman" w:cs="Times New Roman"/>
                <w:lang w:val="sl-SI"/>
              </w:rPr>
              <w:t>*</w:t>
            </w:r>
          </w:p>
        </w:tc>
      </w:tr>
      <w:tr w:rsidR="00180CD6" w14:paraId="26590716" w14:textId="77777777" w:rsidTr="00EA4D6E">
        <w:trPr>
          <w:trHeight w:val="159"/>
          <w:jc w:val="center"/>
        </w:trPr>
        <w:tc>
          <w:tcPr>
            <w:tcW w:w="2695" w:type="dxa"/>
            <w:tcBorders>
              <w:top w:val="single" w:sz="7" w:space="0" w:color="000000"/>
              <w:left w:val="single" w:sz="7" w:space="0" w:color="000000"/>
              <w:bottom w:val="single" w:sz="7" w:space="0" w:color="000000"/>
              <w:right w:val="single" w:sz="7" w:space="0" w:color="000000"/>
            </w:tcBorders>
          </w:tcPr>
          <w:p w14:paraId="7A321C86" w14:textId="77777777" w:rsidR="00180CD6" w:rsidRDefault="00180CD6" w:rsidP="00EA4D6E">
            <w:pPr>
              <w:pStyle w:val="TableParagraph"/>
              <w:spacing w:line="251" w:lineRule="exact"/>
              <w:ind w:left="13"/>
              <w:rPr>
                <w:rFonts w:ascii="Times New Roman" w:eastAsia="Times New Roman" w:hAnsi="Times New Roman" w:cs="Times New Roman"/>
                <w:lang w:val="sl-SI"/>
              </w:rPr>
            </w:pPr>
            <w:r>
              <w:rPr>
                <w:rFonts w:ascii="Times New Roman" w:eastAsia="Times New Roman" w:hAnsi="Times New Roman" w:cs="Times New Roman"/>
                <w:b/>
                <w:bCs/>
                <w:lang w:val="sl-SI"/>
              </w:rPr>
              <w:t>26. teden</w:t>
            </w:r>
          </w:p>
        </w:tc>
        <w:tc>
          <w:tcPr>
            <w:tcW w:w="2002" w:type="dxa"/>
            <w:tcBorders>
              <w:top w:val="single" w:sz="7" w:space="0" w:color="000000"/>
              <w:left w:val="single" w:sz="7" w:space="0" w:color="000000"/>
              <w:bottom w:val="single" w:sz="7" w:space="0" w:color="000000"/>
              <w:right w:val="single" w:sz="7" w:space="0" w:color="000000"/>
            </w:tcBorders>
          </w:tcPr>
          <w:p w14:paraId="6F7D2E26" w14:textId="77777777" w:rsidR="00180CD6" w:rsidRDefault="00180CD6" w:rsidP="00EA4D6E">
            <w:pPr>
              <w:rPr>
                <w:lang w:val="sl-SI"/>
              </w:rPr>
            </w:pPr>
          </w:p>
        </w:tc>
        <w:tc>
          <w:tcPr>
            <w:tcW w:w="1975" w:type="dxa"/>
            <w:tcBorders>
              <w:top w:val="single" w:sz="7" w:space="0" w:color="000000"/>
              <w:left w:val="single" w:sz="7" w:space="0" w:color="000000"/>
              <w:bottom w:val="single" w:sz="7" w:space="0" w:color="000000"/>
              <w:right w:val="single" w:sz="7" w:space="0" w:color="000000"/>
            </w:tcBorders>
          </w:tcPr>
          <w:p w14:paraId="3060502E" w14:textId="77777777" w:rsidR="00180CD6" w:rsidRDefault="00180CD6" w:rsidP="00EA4D6E">
            <w:pPr>
              <w:rPr>
                <w:lang w:val="sl-SI"/>
              </w:rPr>
            </w:pPr>
          </w:p>
        </w:tc>
        <w:tc>
          <w:tcPr>
            <w:tcW w:w="2469" w:type="dxa"/>
            <w:tcBorders>
              <w:top w:val="single" w:sz="7" w:space="0" w:color="000000"/>
              <w:left w:val="single" w:sz="7" w:space="0" w:color="000000"/>
              <w:bottom w:val="single" w:sz="7" w:space="0" w:color="000000"/>
              <w:right w:val="single" w:sz="7" w:space="0" w:color="000000"/>
            </w:tcBorders>
          </w:tcPr>
          <w:p w14:paraId="79F0CF99" w14:textId="77777777" w:rsidR="00180CD6" w:rsidRDefault="00180CD6" w:rsidP="00EA4D6E">
            <w:pPr>
              <w:jc w:val="center"/>
              <w:rPr>
                <w:lang w:val="sl-SI"/>
              </w:rPr>
            </w:pPr>
          </w:p>
        </w:tc>
      </w:tr>
      <w:tr w:rsidR="00180CD6" w14:paraId="228D462E" w14:textId="77777777" w:rsidTr="00EA4D6E">
        <w:trPr>
          <w:trHeight w:val="142"/>
          <w:jc w:val="center"/>
        </w:trPr>
        <w:tc>
          <w:tcPr>
            <w:tcW w:w="2695" w:type="dxa"/>
            <w:tcBorders>
              <w:top w:val="single" w:sz="7" w:space="0" w:color="000000"/>
              <w:left w:val="single" w:sz="7" w:space="0" w:color="000000"/>
              <w:bottom w:val="single" w:sz="7" w:space="0" w:color="000000"/>
              <w:right w:val="single" w:sz="7" w:space="0" w:color="000000"/>
            </w:tcBorders>
          </w:tcPr>
          <w:p w14:paraId="40719D0D" w14:textId="77777777" w:rsidR="00180CD6" w:rsidRDefault="00180CD6" w:rsidP="00EA4D6E">
            <w:pPr>
              <w:pStyle w:val="TableParagraph"/>
              <w:spacing w:line="246" w:lineRule="exact"/>
              <w:ind w:left="179"/>
              <w:rPr>
                <w:rFonts w:ascii="Times New Roman" w:eastAsia="Times New Roman" w:hAnsi="Times New Roman" w:cs="Times New Roman"/>
                <w:lang w:val="sl-SI"/>
              </w:rPr>
            </w:pPr>
            <w:r>
              <w:rPr>
                <w:rFonts w:ascii="Times New Roman" w:eastAsia="Times New Roman" w:hAnsi="Times New Roman" w:cs="Times New Roman"/>
                <w:spacing w:val="-1"/>
                <w:lang w:val="sl-SI"/>
              </w:rPr>
              <w:t>Klinična remisija</w:t>
            </w:r>
          </w:p>
        </w:tc>
        <w:tc>
          <w:tcPr>
            <w:tcW w:w="2002" w:type="dxa"/>
            <w:tcBorders>
              <w:top w:val="single" w:sz="7" w:space="0" w:color="000000"/>
              <w:left w:val="single" w:sz="7" w:space="0" w:color="000000"/>
              <w:bottom w:val="single" w:sz="7" w:space="0" w:color="000000"/>
              <w:right w:val="single" w:sz="7" w:space="0" w:color="000000"/>
            </w:tcBorders>
          </w:tcPr>
          <w:p w14:paraId="61A2CF31" w14:textId="77777777" w:rsidR="00180CD6" w:rsidRDefault="00180CD6" w:rsidP="00EA4D6E">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38,7 %</w:t>
            </w:r>
          </w:p>
        </w:tc>
        <w:tc>
          <w:tcPr>
            <w:tcW w:w="1975" w:type="dxa"/>
            <w:tcBorders>
              <w:top w:val="single" w:sz="7" w:space="0" w:color="000000"/>
              <w:left w:val="single" w:sz="7" w:space="0" w:color="000000"/>
              <w:bottom w:val="single" w:sz="7" w:space="0" w:color="000000"/>
              <w:right w:val="single" w:sz="7" w:space="0" w:color="000000"/>
            </w:tcBorders>
          </w:tcPr>
          <w:p w14:paraId="3DF371FA" w14:textId="77777777" w:rsidR="00180CD6" w:rsidRDefault="00180CD6" w:rsidP="00EA4D6E">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28,4 %</w:t>
            </w:r>
          </w:p>
        </w:tc>
        <w:tc>
          <w:tcPr>
            <w:tcW w:w="2469" w:type="dxa"/>
            <w:tcBorders>
              <w:top w:val="single" w:sz="7" w:space="0" w:color="000000"/>
              <w:left w:val="single" w:sz="7" w:space="0" w:color="000000"/>
              <w:bottom w:val="single" w:sz="7" w:space="0" w:color="000000"/>
              <w:right w:val="single" w:sz="7" w:space="0" w:color="000000"/>
            </w:tcBorders>
          </w:tcPr>
          <w:p w14:paraId="3F68623B" w14:textId="77777777" w:rsidR="00180CD6" w:rsidRDefault="00180CD6" w:rsidP="00EA4D6E">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0,075</w:t>
            </w:r>
          </w:p>
        </w:tc>
      </w:tr>
      <w:tr w:rsidR="00180CD6" w14:paraId="51DC472C" w14:textId="77777777" w:rsidTr="00EA4D6E">
        <w:trPr>
          <w:trHeight w:val="148"/>
          <w:jc w:val="center"/>
        </w:trPr>
        <w:tc>
          <w:tcPr>
            <w:tcW w:w="2695" w:type="dxa"/>
            <w:tcBorders>
              <w:top w:val="single" w:sz="7" w:space="0" w:color="000000"/>
              <w:left w:val="single" w:sz="7" w:space="0" w:color="000000"/>
              <w:bottom w:val="single" w:sz="7" w:space="0" w:color="000000"/>
              <w:right w:val="single" w:sz="7" w:space="0" w:color="000000"/>
            </w:tcBorders>
          </w:tcPr>
          <w:p w14:paraId="20CA16E6" w14:textId="77777777" w:rsidR="00180CD6" w:rsidRDefault="00180CD6" w:rsidP="00EA4D6E">
            <w:pPr>
              <w:pStyle w:val="TableParagraph"/>
              <w:spacing w:line="248" w:lineRule="exact"/>
              <w:ind w:left="179"/>
              <w:rPr>
                <w:rFonts w:ascii="Times New Roman" w:eastAsia="Times New Roman" w:hAnsi="Times New Roman" w:cs="Times New Roman"/>
                <w:lang w:val="sl-SI"/>
              </w:rPr>
            </w:pPr>
            <w:r>
              <w:rPr>
                <w:rFonts w:ascii="Times New Roman" w:eastAsia="Times New Roman" w:hAnsi="Times New Roman" w:cs="Times New Roman"/>
                <w:spacing w:val="-1"/>
                <w:lang w:val="sl-SI"/>
              </w:rPr>
              <w:t>Klinični odziv</w:t>
            </w:r>
          </w:p>
        </w:tc>
        <w:tc>
          <w:tcPr>
            <w:tcW w:w="2002" w:type="dxa"/>
            <w:tcBorders>
              <w:top w:val="single" w:sz="7" w:space="0" w:color="000000"/>
              <w:left w:val="single" w:sz="7" w:space="0" w:color="000000"/>
              <w:bottom w:val="single" w:sz="7" w:space="0" w:color="000000"/>
              <w:right w:val="single" w:sz="7" w:space="0" w:color="000000"/>
            </w:tcBorders>
          </w:tcPr>
          <w:p w14:paraId="03DD3446" w14:textId="77777777" w:rsidR="00180CD6" w:rsidRDefault="00180CD6" w:rsidP="00EA4D6E">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59,1 %</w:t>
            </w:r>
          </w:p>
        </w:tc>
        <w:tc>
          <w:tcPr>
            <w:tcW w:w="1975" w:type="dxa"/>
            <w:tcBorders>
              <w:top w:val="single" w:sz="7" w:space="0" w:color="000000"/>
              <w:left w:val="single" w:sz="7" w:space="0" w:color="000000"/>
              <w:bottom w:val="single" w:sz="7" w:space="0" w:color="000000"/>
              <w:right w:val="single" w:sz="7" w:space="0" w:color="000000"/>
            </w:tcBorders>
          </w:tcPr>
          <w:p w14:paraId="582B162E" w14:textId="77777777" w:rsidR="00180CD6" w:rsidRDefault="00180CD6" w:rsidP="00EA4D6E">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48,4 %</w:t>
            </w:r>
          </w:p>
        </w:tc>
        <w:tc>
          <w:tcPr>
            <w:tcW w:w="2469" w:type="dxa"/>
            <w:tcBorders>
              <w:top w:val="single" w:sz="7" w:space="0" w:color="000000"/>
              <w:left w:val="single" w:sz="7" w:space="0" w:color="000000"/>
              <w:bottom w:val="single" w:sz="7" w:space="0" w:color="000000"/>
              <w:right w:val="single" w:sz="7" w:space="0" w:color="000000"/>
            </w:tcBorders>
          </w:tcPr>
          <w:p w14:paraId="07FEB7C2" w14:textId="77777777" w:rsidR="00180CD6" w:rsidRDefault="00180CD6" w:rsidP="00EA4D6E">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0,073</w:t>
            </w:r>
          </w:p>
        </w:tc>
      </w:tr>
      <w:tr w:rsidR="00180CD6" w14:paraId="78F6F820" w14:textId="77777777" w:rsidTr="00EA4D6E">
        <w:trPr>
          <w:trHeight w:val="153"/>
          <w:jc w:val="center"/>
        </w:trPr>
        <w:tc>
          <w:tcPr>
            <w:tcW w:w="2695" w:type="dxa"/>
            <w:tcBorders>
              <w:top w:val="single" w:sz="7" w:space="0" w:color="000000"/>
              <w:left w:val="single" w:sz="7" w:space="0" w:color="000000"/>
              <w:bottom w:val="single" w:sz="7" w:space="0" w:color="000000"/>
              <w:right w:val="single" w:sz="7" w:space="0" w:color="000000"/>
            </w:tcBorders>
          </w:tcPr>
          <w:p w14:paraId="0AA33795" w14:textId="77777777" w:rsidR="00180CD6" w:rsidRDefault="00180CD6" w:rsidP="00EA4D6E">
            <w:pPr>
              <w:pStyle w:val="TableParagraph"/>
              <w:spacing w:line="251" w:lineRule="exact"/>
              <w:ind w:left="13"/>
              <w:rPr>
                <w:rFonts w:ascii="Times New Roman" w:eastAsia="Times New Roman" w:hAnsi="Times New Roman" w:cs="Times New Roman"/>
                <w:lang w:val="sl-SI"/>
              </w:rPr>
            </w:pPr>
            <w:r>
              <w:rPr>
                <w:rFonts w:ascii="Times New Roman" w:eastAsia="Times New Roman" w:hAnsi="Times New Roman" w:cs="Times New Roman"/>
                <w:b/>
                <w:bCs/>
                <w:lang w:val="sl-SI"/>
              </w:rPr>
              <w:t>52. teden</w:t>
            </w:r>
          </w:p>
        </w:tc>
        <w:tc>
          <w:tcPr>
            <w:tcW w:w="2002" w:type="dxa"/>
            <w:tcBorders>
              <w:top w:val="single" w:sz="7" w:space="0" w:color="000000"/>
              <w:left w:val="single" w:sz="7" w:space="0" w:color="000000"/>
              <w:bottom w:val="single" w:sz="7" w:space="0" w:color="000000"/>
              <w:right w:val="single" w:sz="7" w:space="0" w:color="000000"/>
            </w:tcBorders>
          </w:tcPr>
          <w:p w14:paraId="32980561" w14:textId="77777777" w:rsidR="00180CD6" w:rsidRDefault="00180CD6" w:rsidP="00EA4D6E">
            <w:pPr>
              <w:rPr>
                <w:lang w:val="sl-SI"/>
              </w:rPr>
            </w:pPr>
          </w:p>
        </w:tc>
        <w:tc>
          <w:tcPr>
            <w:tcW w:w="1975" w:type="dxa"/>
            <w:tcBorders>
              <w:top w:val="single" w:sz="7" w:space="0" w:color="000000"/>
              <w:left w:val="single" w:sz="7" w:space="0" w:color="000000"/>
              <w:bottom w:val="single" w:sz="7" w:space="0" w:color="000000"/>
              <w:right w:val="single" w:sz="7" w:space="0" w:color="000000"/>
            </w:tcBorders>
          </w:tcPr>
          <w:p w14:paraId="0D132133" w14:textId="77777777" w:rsidR="00180CD6" w:rsidRDefault="00180CD6" w:rsidP="00EA4D6E">
            <w:pPr>
              <w:rPr>
                <w:lang w:val="sl-SI"/>
              </w:rPr>
            </w:pPr>
          </w:p>
        </w:tc>
        <w:tc>
          <w:tcPr>
            <w:tcW w:w="2469" w:type="dxa"/>
            <w:tcBorders>
              <w:top w:val="single" w:sz="7" w:space="0" w:color="000000"/>
              <w:left w:val="single" w:sz="7" w:space="0" w:color="000000"/>
              <w:bottom w:val="single" w:sz="7" w:space="0" w:color="000000"/>
              <w:right w:val="single" w:sz="7" w:space="0" w:color="000000"/>
            </w:tcBorders>
          </w:tcPr>
          <w:p w14:paraId="31ED5587" w14:textId="77777777" w:rsidR="00180CD6" w:rsidRDefault="00180CD6" w:rsidP="00EA4D6E">
            <w:pPr>
              <w:jc w:val="center"/>
              <w:rPr>
                <w:lang w:val="sl-SI"/>
              </w:rPr>
            </w:pPr>
          </w:p>
        </w:tc>
      </w:tr>
      <w:tr w:rsidR="00180CD6" w14:paraId="342D262B" w14:textId="77777777" w:rsidTr="00EA4D6E">
        <w:trPr>
          <w:trHeight w:val="148"/>
          <w:jc w:val="center"/>
        </w:trPr>
        <w:tc>
          <w:tcPr>
            <w:tcW w:w="2695" w:type="dxa"/>
            <w:tcBorders>
              <w:top w:val="single" w:sz="7" w:space="0" w:color="000000"/>
              <w:left w:val="single" w:sz="7" w:space="0" w:color="000000"/>
              <w:bottom w:val="single" w:sz="7" w:space="0" w:color="000000"/>
              <w:right w:val="single" w:sz="7" w:space="0" w:color="000000"/>
            </w:tcBorders>
          </w:tcPr>
          <w:p w14:paraId="3599ECE5" w14:textId="77777777" w:rsidR="00180CD6" w:rsidRDefault="00180CD6" w:rsidP="00EA4D6E">
            <w:pPr>
              <w:pStyle w:val="TableParagraph"/>
              <w:spacing w:line="246" w:lineRule="exact"/>
              <w:ind w:left="179"/>
              <w:rPr>
                <w:rFonts w:ascii="Times New Roman" w:eastAsia="Times New Roman" w:hAnsi="Times New Roman" w:cs="Times New Roman"/>
                <w:lang w:val="sl-SI"/>
              </w:rPr>
            </w:pPr>
            <w:r>
              <w:rPr>
                <w:rFonts w:ascii="Times New Roman" w:eastAsia="Times New Roman" w:hAnsi="Times New Roman" w:cs="Times New Roman"/>
                <w:spacing w:val="-1"/>
                <w:lang w:val="sl-SI"/>
              </w:rPr>
              <w:t>Klinična remisija</w:t>
            </w:r>
          </w:p>
        </w:tc>
        <w:tc>
          <w:tcPr>
            <w:tcW w:w="2002" w:type="dxa"/>
            <w:tcBorders>
              <w:top w:val="single" w:sz="7" w:space="0" w:color="000000"/>
              <w:left w:val="single" w:sz="7" w:space="0" w:color="000000"/>
              <w:bottom w:val="single" w:sz="7" w:space="0" w:color="000000"/>
              <w:right w:val="single" w:sz="7" w:space="0" w:color="000000"/>
            </w:tcBorders>
          </w:tcPr>
          <w:p w14:paraId="6D21DE09" w14:textId="77777777" w:rsidR="00180CD6" w:rsidRDefault="00180CD6" w:rsidP="00EA4D6E">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33,3 %</w:t>
            </w:r>
          </w:p>
        </w:tc>
        <w:tc>
          <w:tcPr>
            <w:tcW w:w="1975" w:type="dxa"/>
            <w:tcBorders>
              <w:top w:val="single" w:sz="7" w:space="0" w:color="000000"/>
              <w:left w:val="single" w:sz="7" w:space="0" w:color="000000"/>
              <w:bottom w:val="single" w:sz="7" w:space="0" w:color="000000"/>
              <w:right w:val="single" w:sz="7" w:space="0" w:color="000000"/>
            </w:tcBorders>
          </w:tcPr>
          <w:p w14:paraId="474FFF19" w14:textId="77777777" w:rsidR="00180CD6" w:rsidRDefault="00180CD6" w:rsidP="00EA4D6E">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23,2 %</w:t>
            </w:r>
          </w:p>
        </w:tc>
        <w:tc>
          <w:tcPr>
            <w:tcW w:w="2469" w:type="dxa"/>
            <w:tcBorders>
              <w:top w:val="single" w:sz="7" w:space="0" w:color="000000"/>
              <w:left w:val="single" w:sz="7" w:space="0" w:color="000000"/>
              <w:bottom w:val="single" w:sz="7" w:space="0" w:color="000000"/>
              <w:right w:val="single" w:sz="7" w:space="0" w:color="000000"/>
            </w:tcBorders>
          </w:tcPr>
          <w:p w14:paraId="62FA376C" w14:textId="77777777" w:rsidR="00180CD6" w:rsidRDefault="00180CD6" w:rsidP="00EA4D6E">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0,100</w:t>
            </w:r>
          </w:p>
        </w:tc>
      </w:tr>
      <w:tr w:rsidR="00180CD6" w14:paraId="7FB478E4" w14:textId="77777777" w:rsidTr="00EA4D6E">
        <w:trPr>
          <w:trHeight w:val="142"/>
          <w:jc w:val="center"/>
        </w:trPr>
        <w:tc>
          <w:tcPr>
            <w:tcW w:w="2695" w:type="dxa"/>
            <w:tcBorders>
              <w:top w:val="single" w:sz="7" w:space="0" w:color="000000"/>
              <w:left w:val="single" w:sz="7" w:space="0" w:color="000000"/>
              <w:bottom w:val="single" w:sz="7" w:space="0" w:color="000000"/>
              <w:right w:val="single" w:sz="7" w:space="0" w:color="000000"/>
            </w:tcBorders>
          </w:tcPr>
          <w:p w14:paraId="431E03BB" w14:textId="77777777" w:rsidR="00180CD6" w:rsidRDefault="00180CD6" w:rsidP="00EA4D6E">
            <w:pPr>
              <w:pStyle w:val="TableParagraph"/>
              <w:spacing w:line="248" w:lineRule="exact"/>
              <w:ind w:left="179"/>
              <w:rPr>
                <w:rFonts w:ascii="Times New Roman" w:eastAsia="Times New Roman" w:hAnsi="Times New Roman" w:cs="Times New Roman"/>
                <w:lang w:val="sl-SI"/>
              </w:rPr>
            </w:pPr>
            <w:r>
              <w:rPr>
                <w:rFonts w:ascii="Times New Roman" w:eastAsia="Times New Roman" w:hAnsi="Times New Roman" w:cs="Times New Roman"/>
                <w:spacing w:val="-1"/>
                <w:lang w:val="sl-SI"/>
              </w:rPr>
              <w:t>Klinični odziv</w:t>
            </w:r>
          </w:p>
        </w:tc>
        <w:tc>
          <w:tcPr>
            <w:tcW w:w="2002" w:type="dxa"/>
            <w:tcBorders>
              <w:top w:val="single" w:sz="7" w:space="0" w:color="000000"/>
              <w:left w:val="single" w:sz="7" w:space="0" w:color="000000"/>
              <w:bottom w:val="single" w:sz="7" w:space="0" w:color="000000"/>
              <w:right w:val="single" w:sz="7" w:space="0" w:color="000000"/>
            </w:tcBorders>
          </w:tcPr>
          <w:p w14:paraId="7181FB0A" w14:textId="77777777" w:rsidR="00180CD6" w:rsidRDefault="00180CD6" w:rsidP="00EA4D6E">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41,9 %</w:t>
            </w:r>
          </w:p>
        </w:tc>
        <w:tc>
          <w:tcPr>
            <w:tcW w:w="1975" w:type="dxa"/>
            <w:tcBorders>
              <w:top w:val="single" w:sz="7" w:space="0" w:color="000000"/>
              <w:left w:val="single" w:sz="7" w:space="0" w:color="000000"/>
              <w:bottom w:val="single" w:sz="7" w:space="0" w:color="000000"/>
              <w:right w:val="single" w:sz="7" w:space="0" w:color="000000"/>
            </w:tcBorders>
          </w:tcPr>
          <w:p w14:paraId="2288B43B" w14:textId="77777777" w:rsidR="00180CD6" w:rsidRDefault="00180CD6" w:rsidP="00EA4D6E">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28,4 %</w:t>
            </w:r>
          </w:p>
        </w:tc>
        <w:tc>
          <w:tcPr>
            <w:tcW w:w="2469" w:type="dxa"/>
            <w:tcBorders>
              <w:top w:val="single" w:sz="7" w:space="0" w:color="000000"/>
              <w:left w:val="single" w:sz="7" w:space="0" w:color="000000"/>
              <w:bottom w:val="single" w:sz="7" w:space="0" w:color="000000"/>
              <w:right w:val="single" w:sz="7" w:space="0" w:color="000000"/>
            </w:tcBorders>
          </w:tcPr>
          <w:p w14:paraId="7177102D" w14:textId="77777777" w:rsidR="00180CD6" w:rsidRDefault="00180CD6" w:rsidP="00EA4D6E">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0,038</w:t>
            </w:r>
          </w:p>
        </w:tc>
      </w:tr>
      <w:tr w:rsidR="00180CD6" w:rsidRPr="00AC7013" w14:paraId="0691C800" w14:textId="77777777" w:rsidTr="00EA4D6E">
        <w:trPr>
          <w:trHeight w:val="142"/>
          <w:jc w:val="center"/>
        </w:trPr>
        <w:tc>
          <w:tcPr>
            <w:tcW w:w="9142" w:type="dxa"/>
            <w:gridSpan w:val="4"/>
            <w:tcBorders>
              <w:top w:val="single" w:sz="7" w:space="0" w:color="000000"/>
              <w:left w:val="single" w:sz="7" w:space="0" w:color="000000"/>
              <w:bottom w:val="single" w:sz="7" w:space="0" w:color="000000"/>
              <w:right w:val="single" w:sz="7" w:space="0" w:color="000000"/>
            </w:tcBorders>
          </w:tcPr>
          <w:p w14:paraId="498ECE6B" w14:textId="77777777" w:rsidR="00180CD6" w:rsidRDefault="00180CD6" w:rsidP="00EA4D6E">
            <w:pPr>
              <w:pStyle w:val="TableParagraph"/>
              <w:spacing w:line="246" w:lineRule="exact"/>
              <w:ind w:left="13"/>
              <w:rPr>
                <w:rFonts w:ascii="Times New Roman" w:eastAsia="Times New Roman" w:hAnsi="Times New Roman" w:cs="Times New Roman"/>
                <w:lang w:val="sl-SI"/>
              </w:rPr>
            </w:pPr>
            <w:r>
              <w:rPr>
                <w:rFonts w:ascii="Times New Roman" w:eastAsia="Times New Roman" w:hAnsi="Times New Roman" w:cs="Times New Roman"/>
                <w:lang w:val="sl-SI"/>
              </w:rPr>
              <w:t>* Vrednost p za primerjavo standardnega in majhnega odmerka.</w:t>
            </w:r>
          </w:p>
        </w:tc>
      </w:tr>
    </w:tbl>
    <w:p w14:paraId="51835378" w14:textId="6EA31BC4" w:rsidR="00180CD6" w:rsidRDefault="00180CD6" w:rsidP="00180CD6">
      <w:pPr>
        <w:rPr>
          <w:sz w:val="24"/>
          <w:szCs w:val="24"/>
          <w:lang w:val="sl-SI"/>
        </w:rPr>
      </w:pPr>
    </w:p>
    <w:tbl>
      <w:tblPr>
        <w:tblStyle w:val="TableNormal1"/>
        <w:tblW w:w="9180" w:type="dxa"/>
        <w:jc w:val="center"/>
        <w:tblLayout w:type="fixed"/>
        <w:tblLook w:val="01E0" w:firstRow="1" w:lastRow="1" w:firstColumn="1" w:lastColumn="1" w:noHBand="0" w:noVBand="0"/>
      </w:tblPr>
      <w:tblGrid>
        <w:gridCol w:w="3368"/>
        <w:gridCol w:w="2268"/>
        <w:gridCol w:w="1812"/>
        <w:gridCol w:w="1732"/>
      </w:tblGrid>
      <w:tr w:rsidR="00180CD6" w:rsidRPr="00652F18" w14:paraId="49391187" w14:textId="77777777" w:rsidTr="00EA4D6E">
        <w:trPr>
          <w:jc w:val="center"/>
        </w:trPr>
        <w:tc>
          <w:tcPr>
            <w:tcW w:w="9180" w:type="dxa"/>
            <w:gridSpan w:val="4"/>
            <w:tcBorders>
              <w:top w:val="single" w:sz="7" w:space="0" w:color="000000"/>
              <w:left w:val="single" w:sz="7" w:space="0" w:color="000000"/>
              <w:bottom w:val="single" w:sz="7" w:space="0" w:color="000000"/>
              <w:right w:val="single" w:sz="7" w:space="0" w:color="000000"/>
            </w:tcBorders>
          </w:tcPr>
          <w:p w14:paraId="3625F085" w14:textId="2008A2AD" w:rsidR="00180CD6" w:rsidRDefault="00180CD6" w:rsidP="00EA4D6E">
            <w:pPr>
              <w:pStyle w:val="TableParagraph"/>
              <w:spacing w:before="3" w:line="252" w:lineRule="exact"/>
              <w:ind w:right="142" w:hanging="12"/>
              <w:jc w:val="center"/>
              <w:rPr>
                <w:rFonts w:ascii="Times New Roman" w:eastAsia="Times New Roman" w:hAnsi="Times New Roman" w:cs="Times New Roman"/>
                <w:b/>
                <w:bCs/>
                <w:lang w:val="sl-SI"/>
              </w:rPr>
            </w:pPr>
            <w:r>
              <w:rPr>
                <w:rFonts w:ascii="Times New Roman" w:eastAsia="Times New Roman" w:hAnsi="Times New Roman" w:cs="Times New Roman"/>
                <w:b/>
                <w:bCs/>
                <w:lang w:val="sl-SI"/>
              </w:rPr>
              <w:t>Preglednica 20.</w:t>
            </w:r>
          </w:p>
          <w:p w14:paraId="6888F48F" w14:textId="77777777" w:rsidR="00180CD6" w:rsidRDefault="00180CD6" w:rsidP="00EA4D6E">
            <w:pPr>
              <w:pStyle w:val="TableParagraph"/>
              <w:spacing w:before="3" w:line="252" w:lineRule="exact"/>
              <w:ind w:left="2234" w:right="142" w:hanging="12"/>
              <w:rPr>
                <w:rFonts w:ascii="Times New Roman" w:eastAsia="Times New Roman" w:hAnsi="Times New Roman" w:cs="Times New Roman"/>
                <w:lang w:val="sl-SI"/>
              </w:rPr>
            </w:pPr>
            <w:r>
              <w:rPr>
                <w:rFonts w:ascii="Times New Roman" w:eastAsia="Times New Roman" w:hAnsi="Times New Roman" w:cs="Times New Roman"/>
                <w:b/>
                <w:bCs/>
                <w:lang w:val="sl-SI"/>
              </w:rPr>
              <w:t>Študija Crohnove bolezni pri pediatričnih bolnikih:</w:t>
            </w:r>
          </w:p>
          <w:p w14:paraId="691AEE69" w14:textId="77777777" w:rsidR="00180CD6" w:rsidRDefault="00180CD6" w:rsidP="00EA4D6E">
            <w:pPr>
              <w:pStyle w:val="TableParagraph"/>
              <w:spacing w:line="249" w:lineRule="exact"/>
              <w:ind w:left="431"/>
              <w:rPr>
                <w:rFonts w:ascii="Times New Roman" w:eastAsia="Times New Roman" w:hAnsi="Times New Roman" w:cs="Times New Roman"/>
                <w:lang w:val="sl-SI"/>
              </w:rPr>
            </w:pPr>
            <w:r>
              <w:rPr>
                <w:rFonts w:ascii="Times New Roman" w:eastAsia="Times New Roman" w:hAnsi="Times New Roman" w:cs="Times New Roman"/>
                <w:b/>
                <w:bCs/>
                <w:spacing w:val="-1"/>
                <w:lang w:val="sl-SI"/>
              </w:rPr>
              <w:t>Prenehanje zdravljenja s kortikosteroidi ali imunomodulatorji in remisija fistule</w:t>
            </w:r>
          </w:p>
        </w:tc>
      </w:tr>
      <w:tr w:rsidR="00180CD6" w14:paraId="1AD07475" w14:textId="77777777" w:rsidTr="00EA4D6E">
        <w:trPr>
          <w:jc w:val="center"/>
        </w:trPr>
        <w:tc>
          <w:tcPr>
            <w:tcW w:w="3368" w:type="dxa"/>
            <w:tcBorders>
              <w:top w:val="single" w:sz="7" w:space="0" w:color="000000"/>
              <w:left w:val="single" w:sz="7" w:space="0" w:color="000000"/>
              <w:bottom w:val="single" w:sz="7" w:space="0" w:color="000000"/>
              <w:right w:val="single" w:sz="7" w:space="0" w:color="000000"/>
            </w:tcBorders>
          </w:tcPr>
          <w:p w14:paraId="2D624AA6" w14:textId="77777777" w:rsidR="00180CD6" w:rsidRDefault="00180CD6" w:rsidP="00EA4D6E">
            <w:pPr>
              <w:rPr>
                <w:lang w:val="sl-SI"/>
              </w:rPr>
            </w:pPr>
          </w:p>
        </w:tc>
        <w:tc>
          <w:tcPr>
            <w:tcW w:w="2268" w:type="dxa"/>
            <w:tcBorders>
              <w:top w:val="single" w:sz="7" w:space="0" w:color="000000"/>
              <w:left w:val="single" w:sz="7" w:space="0" w:color="000000"/>
              <w:bottom w:val="single" w:sz="7" w:space="0" w:color="000000"/>
              <w:right w:val="single" w:sz="7" w:space="0" w:color="000000"/>
            </w:tcBorders>
          </w:tcPr>
          <w:p w14:paraId="2ED69DA5" w14:textId="77777777" w:rsidR="00180CD6" w:rsidRDefault="00180CD6" w:rsidP="00EA4D6E">
            <w:pPr>
              <w:pStyle w:val="TableParagraph"/>
              <w:spacing w:line="251" w:lineRule="exact"/>
              <w:ind w:left="133" w:right="105"/>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 xml:space="preserve">Standardni odmerek </w:t>
            </w:r>
            <w:r>
              <w:rPr>
                <w:rFonts w:ascii="Times New Roman" w:eastAsia="Times New Roman" w:hAnsi="Times New Roman" w:cs="Times New Roman"/>
                <w:b/>
                <w:bCs/>
                <w:lang w:val="sl-SI"/>
              </w:rPr>
              <w:t>40/20 mg vsak drugi teden</w:t>
            </w:r>
          </w:p>
        </w:tc>
        <w:tc>
          <w:tcPr>
            <w:tcW w:w="1812" w:type="dxa"/>
            <w:tcBorders>
              <w:top w:val="single" w:sz="7" w:space="0" w:color="000000"/>
              <w:left w:val="single" w:sz="7" w:space="0" w:color="000000"/>
              <w:bottom w:val="single" w:sz="7" w:space="0" w:color="000000"/>
              <w:right w:val="single" w:sz="7" w:space="0" w:color="000000"/>
            </w:tcBorders>
          </w:tcPr>
          <w:p w14:paraId="7A6A8686" w14:textId="77777777" w:rsidR="00180CD6" w:rsidRDefault="00180CD6" w:rsidP="00EA4D6E">
            <w:pPr>
              <w:pStyle w:val="TableParagraph"/>
              <w:spacing w:line="251" w:lineRule="exact"/>
              <w:ind w:left="97" w:right="105"/>
              <w:jc w:val="center"/>
              <w:rPr>
                <w:rFonts w:ascii="Times New Roman" w:eastAsia="Times New Roman" w:hAnsi="Times New Roman" w:cs="Times New Roman"/>
                <w:lang w:val="sl-SI"/>
              </w:rPr>
            </w:pPr>
            <w:r>
              <w:rPr>
                <w:rFonts w:ascii="Times New Roman" w:eastAsia="Times New Roman" w:hAnsi="Times New Roman" w:cs="Times New Roman"/>
                <w:b/>
                <w:bCs/>
                <w:spacing w:val="-2"/>
                <w:lang w:val="sl-SI"/>
              </w:rPr>
              <w:t xml:space="preserve">Majhni odmerek </w:t>
            </w:r>
            <w:r>
              <w:rPr>
                <w:rFonts w:ascii="Times New Roman" w:eastAsia="Times New Roman" w:hAnsi="Times New Roman" w:cs="Times New Roman"/>
                <w:b/>
                <w:bCs/>
                <w:lang w:val="sl-SI"/>
              </w:rPr>
              <w:t>20/10 mg vsak drugi teden</w:t>
            </w:r>
          </w:p>
        </w:tc>
        <w:tc>
          <w:tcPr>
            <w:tcW w:w="1732" w:type="dxa"/>
            <w:tcBorders>
              <w:top w:val="single" w:sz="7" w:space="0" w:color="000000"/>
              <w:left w:val="single" w:sz="7" w:space="0" w:color="000000"/>
              <w:bottom w:val="single" w:sz="7" w:space="0" w:color="000000"/>
              <w:right w:val="single" w:sz="7" w:space="0" w:color="000000"/>
            </w:tcBorders>
          </w:tcPr>
          <w:p w14:paraId="63B7BCBC" w14:textId="77777777" w:rsidR="00180CD6" w:rsidRDefault="00180CD6" w:rsidP="00EA4D6E">
            <w:pPr>
              <w:pStyle w:val="TableParagraph"/>
              <w:spacing w:line="251" w:lineRule="exact"/>
              <w:ind w:left="186"/>
              <w:jc w:val="center"/>
              <w:rPr>
                <w:rFonts w:ascii="Times New Roman" w:eastAsia="Times New Roman" w:hAnsi="Times New Roman" w:cs="Times New Roman"/>
                <w:lang w:val="sl-SI"/>
              </w:rPr>
            </w:pPr>
            <w:r>
              <w:rPr>
                <w:rFonts w:ascii="Times New Roman" w:eastAsia="Times New Roman" w:hAnsi="Times New Roman" w:cs="Times New Roman"/>
                <w:b/>
                <w:bCs/>
                <w:lang w:val="sl-SI"/>
              </w:rPr>
              <w:t>Vrednost p</w:t>
            </w:r>
            <w:r>
              <w:rPr>
                <w:rFonts w:ascii="Times New Roman" w:eastAsia="Times New Roman" w:hAnsi="Times New Roman" w:cs="Times New Roman"/>
                <w:b/>
                <w:bCs/>
                <w:vertAlign w:val="superscript"/>
                <w:lang w:val="sl-SI"/>
              </w:rPr>
              <w:t>1</w:t>
            </w:r>
          </w:p>
        </w:tc>
      </w:tr>
      <w:tr w:rsidR="00180CD6" w14:paraId="6A4D264C" w14:textId="77777777" w:rsidTr="00EA4D6E">
        <w:trPr>
          <w:jc w:val="center"/>
        </w:trPr>
        <w:tc>
          <w:tcPr>
            <w:tcW w:w="3368" w:type="dxa"/>
            <w:tcBorders>
              <w:top w:val="single" w:sz="7" w:space="0" w:color="000000"/>
              <w:left w:val="single" w:sz="7" w:space="0" w:color="000000"/>
              <w:bottom w:val="single" w:sz="7" w:space="0" w:color="000000"/>
              <w:right w:val="single" w:sz="7" w:space="0" w:color="000000"/>
            </w:tcBorders>
          </w:tcPr>
          <w:p w14:paraId="4A105F28" w14:textId="77777777" w:rsidR="00180CD6" w:rsidRDefault="00180CD6" w:rsidP="00EA4D6E">
            <w:pPr>
              <w:pStyle w:val="TableParagraph"/>
              <w:spacing w:line="251" w:lineRule="exact"/>
              <w:ind w:left="-1"/>
              <w:rPr>
                <w:rFonts w:ascii="Times New Roman" w:eastAsia="Times New Roman" w:hAnsi="Times New Roman" w:cs="Times New Roman"/>
                <w:lang w:val="sl-SI"/>
              </w:rPr>
            </w:pPr>
            <w:r>
              <w:rPr>
                <w:rFonts w:ascii="Times New Roman" w:eastAsia="Times New Roman" w:hAnsi="Times New Roman" w:cs="Times New Roman"/>
                <w:b/>
                <w:bCs/>
                <w:spacing w:val="-1"/>
                <w:lang w:val="sl-SI"/>
              </w:rPr>
              <w:t>Prenehanje s kortikosteroidi</w:t>
            </w:r>
          </w:p>
        </w:tc>
        <w:tc>
          <w:tcPr>
            <w:tcW w:w="2268" w:type="dxa"/>
            <w:tcBorders>
              <w:top w:val="single" w:sz="7" w:space="0" w:color="000000"/>
              <w:left w:val="single" w:sz="7" w:space="0" w:color="000000"/>
              <w:bottom w:val="single" w:sz="7" w:space="0" w:color="000000"/>
              <w:right w:val="single" w:sz="7" w:space="0" w:color="000000"/>
            </w:tcBorders>
          </w:tcPr>
          <w:p w14:paraId="711F5346" w14:textId="77777777" w:rsidR="00180CD6" w:rsidRDefault="00180CD6" w:rsidP="00EA4D6E">
            <w:pPr>
              <w:pStyle w:val="TableParagraph"/>
              <w:spacing w:line="251"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33</w:t>
            </w:r>
          </w:p>
        </w:tc>
        <w:tc>
          <w:tcPr>
            <w:tcW w:w="1812" w:type="dxa"/>
            <w:tcBorders>
              <w:top w:val="single" w:sz="7" w:space="0" w:color="000000"/>
              <w:left w:val="single" w:sz="7" w:space="0" w:color="000000"/>
              <w:bottom w:val="single" w:sz="7" w:space="0" w:color="000000"/>
              <w:right w:val="single" w:sz="7" w:space="0" w:color="000000"/>
            </w:tcBorders>
          </w:tcPr>
          <w:p w14:paraId="59CAAB26" w14:textId="77777777" w:rsidR="00180CD6" w:rsidRDefault="00180CD6" w:rsidP="00EA4D6E">
            <w:pPr>
              <w:pStyle w:val="TableParagraph"/>
              <w:spacing w:line="251"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38</w:t>
            </w:r>
          </w:p>
        </w:tc>
        <w:tc>
          <w:tcPr>
            <w:tcW w:w="1732" w:type="dxa"/>
            <w:tcBorders>
              <w:top w:val="single" w:sz="7" w:space="0" w:color="000000"/>
              <w:left w:val="single" w:sz="7" w:space="0" w:color="000000"/>
              <w:bottom w:val="single" w:sz="7" w:space="0" w:color="000000"/>
              <w:right w:val="single" w:sz="7" w:space="0" w:color="000000"/>
            </w:tcBorders>
          </w:tcPr>
          <w:p w14:paraId="4F14C16C" w14:textId="77777777" w:rsidR="00180CD6" w:rsidRDefault="00180CD6" w:rsidP="00EA4D6E">
            <w:pPr>
              <w:ind w:left="142"/>
              <w:jc w:val="center"/>
              <w:rPr>
                <w:lang w:val="sl-SI"/>
              </w:rPr>
            </w:pPr>
          </w:p>
        </w:tc>
      </w:tr>
      <w:tr w:rsidR="00180CD6" w14:paraId="7BDAF176" w14:textId="77777777" w:rsidTr="00EA4D6E">
        <w:trPr>
          <w:jc w:val="center"/>
        </w:trPr>
        <w:tc>
          <w:tcPr>
            <w:tcW w:w="3368" w:type="dxa"/>
            <w:tcBorders>
              <w:top w:val="single" w:sz="7" w:space="0" w:color="000000"/>
              <w:left w:val="single" w:sz="7" w:space="0" w:color="000000"/>
              <w:bottom w:val="single" w:sz="7" w:space="0" w:color="000000"/>
              <w:right w:val="single" w:sz="7" w:space="0" w:color="000000"/>
            </w:tcBorders>
          </w:tcPr>
          <w:p w14:paraId="2CC31830" w14:textId="77777777" w:rsidR="00180CD6" w:rsidRDefault="00180CD6" w:rsidP="00EA4D6E">
            <w:pPr>
              <w:pStyle w:val="TableParagraph"/>
              <w:spacing w:line="246" w:lineRule="exact"/>
              <w:ind w:left="-1"/>
              <w:rPr>
                <w:rFonts w:ascii="Times New Roman" w:eastAsia="Times New Roman" w:hAnsi="Times New Roman" w:cs="Times New Roman"/>
                <w:lang w:val="sl-SI"/>
              </w:rPr>
            </w:pPr>
            <w:r>
              <w:rPr>
                <w:rFonts w:ascii="Times New Roman" w:eastAsia="Times New Roman" w:hAnsi="Times New Roman" w:cs="Times New Roman"/>
                <w:lang w:val="sl-SI"/>
              </w:rPr>
              <w:t>26. teden</w:t>
            </w:r>
          </w:p>
        </w:tc>
        <w:tc>
          <w:tcPr>
            <w:tcW w:w="2268" w:type="dxa"/>
            <w:tcBorders>
              <w:top w:val="single" w:sz="7" w:space="0" w:color="000000"/>
              <w:left w:val="single" w:sz="7" w:space="0" w:color="000000"/>
              <w:bottom w:val="single" w:sz="7" w:space="0" w:color="000000"/>
              <w:right w:val="single" w:sz="7" w:space="0" w:color="000000"/>
            </w:tcBorders>
          </w:tcPr>
          <w:p w14:paraId="5383B677" w14:textId="77777777" w:rsidR="00180CD6" w:rsidRDefault="00180CD6" w:rsidP="00EA4D6E">
            <w:pPr>
              <w:pStyle w:val="TableParagraph"/>
              <w:spacing w:line="246"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lang w:val="sl-SI"/>
              </w:rPr>
              <w:t>84,8 %</w:t>
            </w:r>
          </w:p>
        </w:tc>
        <w:tc>
          <w:tcPr>
            <w:tcW w:w="1812" w:type="dxa"/>
            <w:tcBorders>
              <w:top w:val="single" w:sz="7" w:space="0" w:color="000000"/>
              <w:left w:val="single" w:sz="7" w:space="0" w:color="000000"/>
              <w:bottom w:val="single" w:sz="7" w:space="0" w:color="000000"/>
              <w:right w:val="single" w:sz="7" w:space="0" w:color="000000"/>
            </w:tcBorders>
          </w:tcPr>
          <w:p w14:paraId="7EFBC293" w14:textId="77777777" w:rsidR="00180CD6" w:rsidRDefault="00180CD6" w:rsidP="00EA4D6E">
            <w:pPr>
              <w:pStyle w:val="TableParagraph"/>
              <w:spacing w:line="246"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lang w:val="sl-SI"/>
              </w:rPr>
              <w:t>65,8 %</w:t>
            </w:r>
          </w:p>
        </w:tc>
        <w:tc>
          <w:tcPr>
            <w:tcW w:w="1732" w:type="dxa"/>
            <w:tcBorders>
              <w:top w:val="single" w:sz="7" w:space="0" w:color="000000"/>
              <w:left w:val="single" w:sz="7" w:space="0" w:color="000000"/>
              <w:bottom w:val="single" w:sz="7" w:space="0" w:color="000000"/>
              <w:right w:val="single" w:sz="7" w:space="0" w:color="000000"/>
            </w:tcBorders>
          </w:tcPr>
          <w:p w14:paraId="1B648F52" w14:textId="77777777" w:rsidR="00180CD6" w:rsidRDefault="00180CD6" w:rsidP="00EA4D6E">
            <w:pPr>
              <w:pStyle w:val="TableParagraph"/>
              <w:spacing w:line="246" w:lineRule="exact"/>
              <w:ind w:left="142"/>
              <w:jc w:val="center"/>
              <w:rPr>
                <w:rFonts w:ascii="Times New Roman" w:eastAsia="Times New Roman" w:hAnsi="Times New Roman" w:cs="Times New Roman"/>
                <w:lang w:val="sl-SI"/>
              </w:rPr>
            </w:pPr>
            <w:r>
              <w:rPr>
                <w:rFonts w:ascii="Times New Roman" w:eastAsia="Times New Roman" w:hAnsi="Times New Roman" w:cs="Times New Roman"/>
                <w:lang w:val="sl-SI"/>
              </w:rPr>
              <w:t>0,066</w:t>
            </w:r>
          </w:p>
        </w:tc>
      </w:tr>
      <w:tr w:rsidR="00180CD6" w14:paraId="6EB322DD" w14:textId="77777777" w:rsidTr="00EA4D6E">
        <w:trPr>
          <w:trHeight w:val="163"/>
          <w:jc w:val="center"/>
        </w:trPr>
        <w:tc>
          <w:tcPr>
            <w:tcW w:w="3368" w:type="dxa"/>
            <w:tcBorders>
              <w:top w:val="single" w:sz="7" w:space="0" w:color="000000"/>
              <w:left w:val="single" w:sz="7" w:space="0" w:color="000000"/>
              <w:bottom w:val="single" w:sz="7" w:space="0" w:color="000000"/>
              <w:right w:val="single" w:sz="7" w:space="0" w:color="000000"/>
            </w:tcBorders>
          </w:tcPr>
          <w:p w14:paraId="196E304F" w14:textId="77777777" w:rsidR="00180CD6" w:rsidRDefault="00180CD6" w:rsidP="00EA4D6E">
            <w:pPr>
              <w:pStyle w:val="TableParagraph"/>
              <w:spacing w:line="246" w:lineRule="exact"/>
              <w:ind w:left="-1"/>
              <w:rPr>
                <w:rFonts w:ascii="Times New Roman" w:eastAsia="Times New Roman" w:hAnsi="Times New Roman" w:cs="Times New Roman"/>
                <w:lang w:val="sl-SI"/>
              </w:rPr>
            </w:pPr>
            <w:r>
              <w:rPr>
                <w:rFonts w:ascii="Times New Roman" w:eastAsia="Times New Roman" w:hAnsi="Times New Roman" w:cs="Times New Roman"/>
                <w:lang w:val="sl-SI"/>
              </w:rPr>
              <w:t>52. teden</w:t>
            </w:r>
          </w:p>
        </w:tc>
        <w:tc>
          <w:tcPr>
            <w:tcW w:w="2268" w:type="dxa"/>
            <w:tcBorders>
              <w:top w:val="single" w:sz="7" w:space="0" w:color="000000"/>
              <w:left w:val="single" w:sz="7" w:space="0" w:color="000000"/>
              <w:bottom w:val="single" w:sz="7" w:space="0" w:color="000000"/>
              <w:right w:val="single" w:sz="7" w:space="0" w:color="000000"/>
            </w:tcBorders>
          </w:tcPr>
          <w:p w14:paraId="334004AB" w14:textId="77777777" w:rsidR="00180CD6" w:rsidRDefault="00180CD6" w:rsidP="00EA4D6E">
            <w:pPr>
              <w:pStyle w:val="TableParagraph"/>
              <w:spacing w:line="246"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lang w:val="sl-SI"/>
              </w:rPr>
              <w:t>69,7 %</w:t>
            </w:r>
          </w:p>
        </w:tc>
        <w:tc>
          <w:tcPr>
            <w:tcW w:w="1812" w:type="dxa"/>
            <w:tcBorders>
              <w:top w:val="single" w:sz="7" w:space="0" w:color="000000"/>
              <w:left w:val="single" w:sz="7" w:space="0" w:color="000000"/>
              <w:bottom w:val="single" w:sz="7" w:space="0" w:color="000000"/>
              <w:right w:val="single" w:sz="7" w:space="0" w:color="000000"/>
            </w:tcBorders>
          </w:tcPr>
          <w:p w14:paraId="39FFCFEA" w14:textId="77777777" w:rsidR="00180CD6" w:rsidRDefault="00180CD6" w:rsidP="00EA4D6E">
            <w:pPr>
              <w:pStyle w:val="TableParagraph"/>
              <w:spacing w:line="246"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lang w:val="sl-SI"/>
              </w:rPr>
              <w:t>60,5 %</w:t>
            </w:r>
          </w:p>
        </w:tc>
        <w:tc>
          <w:tcPr>
            <w:tcW w:w="1732" w:type="dxa"/>
            <w:tcBorders>
              <w:top w:val="single" w:sz="7" w:space="0" w:color="000000"/>
              <w:left w:val="single" w:sz="7" w:space="0" w:color="000000"/>
              <w:bottom w:val="single" w:sz="7" w:space="0" w:color="000000"/>
              <w:right w:val="single" w:sz="7" w:space="0" w:color="000000"/>
            </w:tcBorders>
          </w:tcPr>
          <w:p w14:paraId="25D81BE7" w14:textId="77777777" w:rsidR="00180CD6" w:rsidRDefault="00180CD6" w:rsidP="00EA4D6E">
            <w:pPr>
              <w:pStyle w:val="TableParagraph"/>
              <w:spacing w:line="246" w:lineRule="exact"/>
              <w:ind w:left="142"/>
              <w:jc w:val="center"/>
              <w:rPr>
                <w:rFonts w:ascii="Times New Roman" w:eastAsia="Times New Roman" w:hAnsi="Times New Roman" w:cs="Times New Roman"/>
                <w:lang w:val="sl-SI"/>
              </w:rPr>
            </w:pPr>
            <w:r>
              <w:rPr>
                <w:rFonts w:ascii="Times New Roman" w:eastAsia="Times New Roman" w:hAnsi="Times New Roman" w:cs="Times New Roman"/>
                <w:lang w:val="sl-SI"/>
              </w:rPr>
              <w:t>0,420</w:t>
            </w:r>
          </w:p>
        </w:tc>
      </w:tr>
      <w:tr w:rsidR="00180CD6" w14:paraId="671C0E9F" w14:textId="77777777" w:rsidTr="00EA4D6E">
        <w:trPr>
          <w:jc w:val="center"/>
        </w:trPr>
        <w:tc>
          <w:tcPr>
            <w:tcW w:w="3368" w:type="dxa"/>
            <w:tcBorders>
              <w:top w:val="single" w:sz="7" w:space="0" w:color="000000"/>
              <w:left w:val="single" w:sz="7" w:space="0" w:color="000000"/>
              <w:bottom w:val="single" w:sz="7" w:space="0" w:color="000000"/>
              <w:right w:val="single" w:sz="7" w:space="0" w:color="000000"/>
            </w:tcBorders>
          </w:tcPr>
          <w:p w14:paraId="694D7018" w14:textId="77777777" w:rsidR="00180CD6" w:rsidRDefault="00180CD6" w:rsidP="00EA4D6E">
            <w:pPr>
              <w:pStyle w:val="TableParagraph"/>
              <w:spacing w:line="251" w:lineRule="exact"/>
              <w:ind w:left="-1"/>
              <w:rPr>
                <w:rFonts w:ascii="Times New Roman" w:eastAsia="Times New Roman" w:hAnsi="Times New Roman" w:cs="Times New Roman"/>
                <w:lang w:val="sl-SI"/>
              </w:rPr>
            </w:pPr>
            <w:r>
              <w:rPr>
                <w:rFonts w:ascii="Times New Roman" w:eastAsia="Times New Roman" w:hAnsi="Times New Roman" w:cs="Times New Roman"/>
                <w:b/>
                <w:bCs/>
                <w:spacing w:val="-1"/>
                <w:lang w:val="sl-SI"/>
              </w:rPr>
              <w:t>Prenehanje z imunomodulatorji</w:t>
            </w:r>
            <w:r>
              <w:rPr>
                <w:rFonts w:ascii="Times New Roman" w:eastAsia="Times New Roman" w:hAnsi="Times New Roman" w:cs="Times New Roman"/>
                <w:b/>
                <w:bCs/>
                <w:spacing w:val="-1"/>
                <w:vertAlign w:val="superscript"/>
                <w:lang w:val="sl-SI"/>
              </w:rPr>
              <w:t>2</w:t>
            </w:r>
          </w:p>
        </w:tc>
        <w:tc>
          <w:tcPr>
            <w:tcW w:w="2268" w:type="dxa"/>
            <w:tcBorders>
              <w:top w:val="single" w:sz="7" w:space="0" w:color="000000"/>
              <w:left w:val="single" w:sz="7" w:space="0" w:color="000000"/>
              <w:bottom w:val="single" w:sz="7" w:space="0" w:color="000000"/>
              <w:right w:val="single" w:sz="7" w:space="0" w:color="000000"/>
            </w:tcBorders>
          </w:tcPr>
          <w:p w14:paraId="5AD233A4" w14:textId="77777777" w:rsidR="00180CD6" w:rsidRDefault="00180CD6" w:rsidP="00EA4D6E">
            <w:pPr>
              <w:pStyle w:val="TableParagraph"/>
              <w:spacing w:line="251"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60</w:t>
            </w:r>
          </w:p>
        </w:tc>
        <w:tc>
          <w:tcPr>
            <w:tcW w:w="1812" w:type="dxa"/>
            <w:tcBorders>
              <w:top w:val="single" w:sz="7" w:space="0" w:color="000000"/>
              <w:left w:val="single" w:sz="7" w:space="0" w:color="000000"/>
              <w:bottom w:val="single" w:sz="7" w:space="0" w:color="000000"/>
              <w:right w:val="single" w:sz="7" w:space="0" w:color="000000"/>
            </w:tcBorders>
          </w:tcPr>
          <w:p w14:paraId="4D13FC22" w14:textId="77777777" w:rsidR="00180CD6" w:rsidRDefault="00180CD6" w:rsidP="00EA4D6E">
            <w:pPr>
              <w:pStyle w:val="TableParagraph"/>
              <w:spacing w:line="251"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57</w:t>
            </w:r>
          </w:p>
        </w:tc>
        <w:tc>
          <w:tcPr>
            <w:tcW w:w="1732" w:type="dxa"/>
            <w:tcBorders>
              <w:top w:val="single" w:sz="7" w:space="0" w:color="000000"/>
              <w:left w:val="single" w:sz="7" w:space="0" w:color="000000"/>
              <w:bottom w:val="single" w:sz="7" w:space="0" w:color="000000"/>
              <w:right w:val="single" w:sz="7" w:space="0" w:color="000000"/>
            </w:tcBorders>
          </w:tcPr>
          <w:p w14:paraId="12BC913A" w14:textId="77777777" w:rsidR="00180CD6" w:rsidRDefault="00180CD6" w:rsidP="00EA4D6E">
            <w:pPr>
              <w:ind w:left="142"/>
              <w:jc w:val="center"/>
              <w:rPr>
                <w:lang w:val="sl-SI"/>
              </w:rPr>
            </w:pPr>
          </w:p>
        </w:tc>
      </w:tr>
      <w:tr w:rsidR="00180CD6" w14:paraId="60CED243" w14:textId="77777777" w:rsidTr="00EA4D6E">
        <w:trPr>
          <w:jc w:val="center"/>
        </w:trPr>
        <w:tc>
          <w:tcPr>
            <w:tcW w:w="3368" w:type="dxa"/>
            <w:tcBorders>
              <w:top w:val="single" w:sz="7" w:space="0" w:color="000000"/>
              <w:left w:val="single" w:sz="7" w:space="0" w:color="000000"/>
              <w:bottom w:val="single" w:sz="7" w:space="0" w:color="000000"/>
              <w:right w:val="single" w:sz="7" w:space="0" w:color="000000"/>
            </w:tcBorders>
          </w:tcPr>
          <w:p w14:paraId="3A69DE93" w14:textId="77777777" w:rsidR="00180CD6" w:rsidRDefault="00180CD6" w:rsidP="00EA4D6E">
            <w:pPr>
              <w:pStyle w:val="TableParagraph"/>
              <w:spacing w:line="246" w:lineRule="exact"/>
              <w:ind w:left="-1"/>
              <w:rPr>
                <w:rFonts w:ascii="Times New Roman" w:eastAsia="Times New Roman" w:hAnsi="Times New Roman" w:cs="Times New Roman"/>
                <w:lang w:val="sl-SI"/>
              </w:rPr>
            </w:pPr>
            <w:r>
              <w:rPr>
                <w:rFonts w:ascii="Times New Roman" w:eastAsia="Times New Roman" w:hAnsi="Times New Roman" w:cs="Times New Roman"/>
                <w:lang w:val="sl-SI"/>
              </w:rPr>
              <w:t>52. teden</w:t>
            </w:r>
          </w:p>
        </w:tc>
        <w:tc>
          <w:tcPr>
            <w:tcW w:w="2268" w:type="dxa"/>
            <w:tcBorders>
              <w:top w:val="single" w:sz="7" w:space="0" w:color="000000"/>
              <w:left w:val="single" w:sz="7" w:space="0" w:color="000000"/>
              <w:bottom w:val="single" w:sz="7" w:space="0" w:color="000000"/>
              <w:right w:val="single" w:sz="7" w:space="0" w:color="000000"/>
            </w:tcBorders>
          </w:tcPr>
          <w:p w14:paraId="0A8C8E10" w14:textId="77777777" w:rsidR="00180CD6" w:rsidRDefault="00180CD6" w:rsidP="00EA4D6E">
            <w:pPr>
              <w:pStyle w:val="TableParagraph"/>
              <w:spacing w:line="246"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lang w:val="sl-SI"/>
              </w:rPr>
              <w:t>30,0 %</w:t>
            </w:r>
          </w:p>
        </w:tc>
        <w:tc>
          <w:tcPr>
            <w:tcW w:w="1812" w:type="dxa"/>
            <w:tcBorders>
              <w:top w:val="single" w:sz="7" w:space="0" w:color="000000"/>
              <w:left w:val="single" w:sz="7" w:space="0" w:color="000000"/>
              <w:bottom w:val="single" w:sz="7" w:space="0" w:color="000000"/>
              <w:right w:val="single" w:sz="7" w:space="0" w:color="000000"/>
            </w:tcBorders>
          </w:tcPr>
          <w:p w14:paraId="4D32BB6D" w14:textId="77777777" w:rsidR="00180CD6" w:rsidRDefault="00180CD6" w:rsidP="00EA4D6E">
            <w:pPr>
              <w:pStyle w:val="TableParagraph"/>
              <w:spacing w:line="246"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lang w:val="sl-SI"/>
              </w:rPr>
              <w:t>29,8 %</w:t>
            </w:r>
          </w:p>
        </w:tc>
        <w:tc>
          <w:tcPr>
            <w:tcW w:w="1732" w:type="dxa"/>
            <w:tcBorders>
              <w:top w:val="single" w:sz="7" w:space="0" w:color="000000"/>
              <w:left w:val="single" w:sz="7" w:space="0" w:color="000000"/>
              <w:bottom w:val="single" w:sz="7" w:space="0" w:color="000000"/>
              <w:right w:val="single" w:sz="7" w:space="0" w:color="000000"/>
            </w:tcBorders>
          </w:tcPr>
          <w:p w14:paraId="2E4D269B" w14:textId="77777777" w:rsidR="00180CD6" w:rsidRDefault="00180CD6" w:rsidP="00EA4D6E">
            <w:pPr>
              <w:pStyle w:val="TableParagraph"/>
              <w:spacing w:line="246" w:lineRule="exact"/>
              <w:ind w:left="142"/>
              <w:jc w:val="center"/>
              <w:rPr>
                <w:rFonts w:ascii="Times New Roman" w:eastAsia="Times New Roman" w:hAnsi="Times New Roman" w:cs="Times New Roman"/>
                <w:lang w:val="sl-SI"/>
              </w:rPr>
            </w:pPr>
            <w:r>
              <w:rPr>
                <w:rFonts w:ascii="Times New Roman" w:eastAsia="Times New Roman" w:hAnsi="Times New Roman" w:cs="Times New Roman"/>
                <w:lang w:val="sl-SI"/>
              </w:rPr>
              <w:t>0,983</w:t>
            </w:r>
          </w:p>
        </w:tc>
      </w:tr>
      <w:tr w:rsidR="00180CD6" w14:paraId="40623BE9" w14:textId="77777777" w:rsidTr="00EA4D6E">
        <w:trPr>
          <w:jc w:val="center"/>
        </w:trPr>
        <w:tc>
          <w:tcPr>
            <w:tcW w:w="3368" w:type="dxa"/>
            <w:tcBorders>
              <w:top w:val="single" w:sz="7" w:space="0" w:color="000000"/>
              <w:left w:val="single" w:sz="7" w:space="0" w:color="000000"/>
              <w:bottom w:val="single" w:sz="7" w:space="0" w:color="000000"/>
              <w:right w:val="single" w:sz="7" w:space="0" w:color="000000"/>
            </w:tcBorders>
          </w:tcPr>
          <w:p w14:paraId="796538E4" w14:textId="77777777" w:rsidR="00180CD6" w:rsidRDefault="00180CD6" w:rsidP="00EA4D6E">
            <w:pPr>
              <w:pStyle w:val="TableParagraph"/>
              <w:spacing w:line="251" w:lineRule="exact"/>
              <w:ind w:left="-1"/>
              <w:rPr>
                <w:rFonts w:ascii="Times New Roman" w:eastAsia="Times New Roman" w:hAnsi="Times New Roman" w:cs="Times New Roman"/>
                <w:lang w:val="sl-SI"/>
              </w:rPr>
            </w:pPr>
            <w:r>
              <w:rPr>
                <w:rFonts w:ascii="Times New Roman" w:eastAsia="Times New Roman" w:hAnsi="Times New Roman" w:cs="Times New Roman"/>
                <w:b/>
                <w:bCs/>
                <w:spacing w:val="-1"/>
                <w:lang w:val="sl-SI"/>
              </w:rPr>
              <w:t>Remisija fistule</w:t>
            </w:r>
            <w:r>
              <w:rPr>
                <w:rFonts w:ascii="Times New Roman" w:eastAsia="Times New Roman" w:hAnsi="Times New Roman" w:cs="Times New Roman"/>
                <w:b/>
                <w:bCs/>
                <w:spacing w:val="-1"/>
                <w:vertAlign w:val="superscript"/>
                <w:lang w:val="sl-SI"/>
              </w:rPr>
              <w:t>3</w:t>
            </w:r>
          </w:p>
        </w:tc>
        <w:tc>
          <w:tcPr>
            <w:tcW w:w="2268" w:type="dxa"/>
            <w:tcBorders>
              <w:top w:val="single" w:sz="7" w:space="0" w:color="000000"/>
              <w:left w:val="single" w:sz="7" w:space="0" w:color="000000"/>
              <w:bottom w:val="single" w:sz="7" w:space="0" w:color="000000"/>
              <w:right w:val="single" w:sz="7" w:space="0" w:color="000000"/>
            </w:tcBorders>
          </w:tcPr>
          <w:p w14:paraId="3B4479E4" w14:textId="77777777" w:rsidR="00180CD6" w:rsidRDefault="00180CD6" w:rsidP="00EA4D6E">
            <w:pPr>
              <w:pStyle w:val="TableParagraph"/>
              <w:spacing w:line="251"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15</w:t>
            </w:r>
          </w:p>
        </w:tc>
        <w:tc>
          <w:tcPr>
            <w:tcW w:w="1812" w:type="dxa"/>
            <w:tcBorders>
              <w:top w:val="single" w:sz="7" w:space="0" w:color="000000"/>
              <w:left w:val="single" w:sz="7" w:space="0" w:color="000000"/>
              <w:bottom w:val="single" w:sz="7" w:space="0" w:color="000000"/>
              <w:right w:val="single" w:sz="7" w:space="0" w:color="000000"/>
            </w:tcBorders>
          </w:tcPr>
          <w:p w14:paraId="4D04EB6E" w14:textId="77777777" w:rsidR="00180CD6" w:rsidRDefault="00180CD6" w:rsidP="00EA4D6E">
            <w:pPr>
              <w:pStyle w:val="TableParagraph"/>
              <w:spacing w:line="251"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21</w:t>
            </w:r>
          </w:p>
        </w:tc>
        <w:tc>
          <w:tcPr>
            <w:tcW w:w="1732" w:type="dxa"/>
            <w:tcBorders>
              <w:top w:val="single" w:sz="7" w:space="0" w:color="000000"/>
              <w:left w:val="single" w:sz="7" w:space="0" w:color="000000"/>
              <w:bottom w:val="single" w:sz="7" w:space="0" w:color="000000"/>
              <w:right w:val="single" w:sz="7" w:space="0" w:color="000000"/>
            </w:tcBorders>
          </w:tcPr>
          <w:p w14:paraId="50C8BF5D" w14:textId="77777777" w:rsidR="00180CD6" w:rsidRDefault="00180CD6" w:rsidP="00EA4D6E">
            <w:pPr>
              <w:ind w:left="142"/>
              <w:jc w:val="center"/>
              <w:rPr>
                <w:lang w:val="sl-SI"/>
              </w:rPr>
            </w:pPr>
          </w:p>
        </w:tc>
      </w:tr>
      <w:tr w:rsidR="00180CD6" w14:paraId="3742160B" w14:textId="77777777" w:rsidTr="00EA4D6E">
        <w:trPr>
          <w:jc w:val="center"/>
        </w:trPr>
        <w:tc>
          <w:tcPr>
            <w:tcW w:w="3368" w:type="dxa"/>
            <w:tcBorders>
              <w:top w:val="single" w:sz="7" w:space="0" w:color="000000"/>
              <w:left w:val="single" w:sz="7" w:space="0" w:color="000000"/>
              <w:bottom w:val="single" w:sz="7" w:space="0" w:color="000000"/>
              <w:right w:val="single" w:sz="7" w:space="0" w:color="000000"/>
            </w:tcBorders>
          </w:tcPr>
          <w:p w14:paraId="13A12D6B" w14:textId="77777777" w:rsidR="00180CD6" w:rsidRDefault="00180CD6" w:rsidP="00EA4D6E">
            <w:pPr>
              <w:pStyle w:val="TableParagraph"/>
              <w:spacing w:line="246" w:lineRule="exact"/>
              <w:ind w:left="-1"/>
              <w:rPr>
                <w:rFonts w:ascii="Times New Roman" w:eastAsia="Times New Roman" w:hAnsi="Times New Roman" w:cs="Times New Roman"/>
                <w:lang w:val="sl-SI"/>
              </w:rPr>
            </w:pPr>
            <w:r>
              <w:rPr>
                <w:rFonts w:ascii="Times New Roman" w:eastAsia="Times New Roman" w:hAnsi="Times New Roman" w:cs="Times New Roman"/>
                <w:lang w:val="sl-SI"/>
              </w:rPr>
              <w:t>26. teden</w:t>
            </w:r>
          </w:p>
        </w:tc>
        <w:tc>
          <w:tcPr>
            <w:tcW w:w="2268" w:type="dxa"/>
            <w:tcBorders>
              <w:top w:val="single" w:sz="7" w:space="0" w:color="000000"/>
              <w:left w:val="single" w:sz="7" w:space="0" w:color="000000"/>
              <w:bottom w:val="single" w:sz="7" w:space="0" w:color="000000"/>
              <w:right w:val="single" w:sz="7" w:space="0" w:color="000000"/>
            </w:tcBorders>
          </w:tcPr>
          <w:p w14:paraId="29581832" w14:textId="77777777" w:rsidR="00180CD6" w:rsidRDefault="00180CD6" w:rsidP="00EA4D6E">
            <w:pPr>
              <w:pStyle w:val="TableParagraph"/>
              <w:spacing w:line="246"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lang w:val="sl-SI"/>
              </w:rPr>
              <w:t>46,7 %</w:t>
            </w:r>
          </w:p>
        </w:tc>
        <w:tc>
          <w:tcPr>
            <w:tcW w:w="1812" w:type="dxa"/>
            <w:tcBorders>
              <w:top w:val="single" w:sz="7" w:space="0" w:color="000000"/>
              <w:left w:val="single" w:sz="7" w:space="0" w:color="000000"/>
              <w:bottom w:val="single" w:sz="7" w:space="0" w:color="000000"/>
              <w:right w:val="single" w:sz="7" w:space="0" w:color="000000"/>
            </w:tcBorders>
          </w:tcPr>
          <w:p w14:paraId="33A50417" w14:textId="77777777" w:rsidR="00180CD6" w:rsidRDefault="00180CD6" w:rsidP="00EA4D6E">
            <w:pPr>
              <w:pStyle w:val="TableParagraph"/>
              <w:spacing w:line="246"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lang w:val="sl-SI"/>
              </w:rPr>
              <w:t>38,1 %</w:t>
            </w:r>
          </w:p>
        </w:tc>
        <w:tc>
          <w:tcPr>
            <w:tcW w:w="1732" w:type="dxa"/>
            <w:tcBorders>
              <w:top w:val="single" w:sz="7" w:space="0" w:color="000000"/>
              <w:left w:val="single" w:sz="7" w:space="0" w:color="000000"/>
              <w:bottom w:val="single" w:sz="7" w:space="0" w:color="000000"/>
              <w:right w:val="single" w:sz="7" w:space="0" w:color="000000"/>
            </w:tcBorders>
          </w:tcPr>
          <w:p w14:paraId="5C9ABC99" w14:textId="77777777" w:rsidR="00180CD6" w:rsidRDefault="00180CD6" w:rsidP="00EA4D6E">
            <w:pPr>
              <w:pStyle w:val="TableParagraph"/>
              <w:spacing w:line="246" w:lineRule="exact"/>
              <w:ind w:left="142"/>
              <w:jc w:val="center"/>
              <w:rPr>
                <w:rFonts w:ascii="Times New Roman" w:eastAsia="Times New Roman" w:hAnsi="Times New Roman" w:cs="Times New Roman"/>
                <w:lang w:val="sl-SI"/>
              </w:rPr>
            </w:pPr>
            <w:r>
              <w:rPr>
                <w:rFonts w:ascii="Times New Roman" w:eastAsia="Times New Roman" w:hAnsi="Times New Roman" w:cs="Times New Roman"/>
                <w:lang w:val="sl-SI"/>
              </w:rPr>
              <w:t>0,608</w:t>
            </w:r>
          </w:p>
        </w:tc>
      </w:tr>
      <w:tr w:rsidR="00180CD6" w14:paraId="112E65B8" w14:textId="77777777" w:rsidTr="00EA4D6E">
        <w:trPr>
          <w:jc w:val="center"/>
        </w:trPr>
        <w:tc>
          <w:tcPr>
            <w:tcW w:w="3368" w:type="dxa"/>
            <w:tcBorders>
              <w:top w:val="single" w:sz="7" w:space="0" w:color="000000"/>
              <w:left w:val="single" w:sz="7" w:space="0" w:color="000000"/>
              <w:bottom w:val="single" w:sz="5" w:space="0" w:color="000000"/>
              <w:right w:val="single" w:sz="7" w:space="0" w:color="000000"/>
            </w:tcBorders>
          </w:tcPr>
          <w:p w14:paraId="7D548360" w14:textId="77777777" w:rsidR="00180CD6" w:rsidRDefault="00180CD6" w:rsidP="00EA4D6E">
            <w:pPr>
              <w:pStyle w:val="TableParagraph"/>
              <w:spacing w:line="246" w:lineRule="exact"/>
              <w:ind w:left="-1"/>
              <w:rPr>
                <w:rFonts w:ascii="Times New Roman" w:eastAsia="Times New Roman" w:hAnsi="Times New Roman" w:cs="Times New Roman"/>
                <w:lang w:val="sl-SI"/>
              </w:rPr>
            </w:pPr>
            <w:r>
              <w:rPr>
                <w:rFonts w:ascii="Times New Roman" w:eastAsia="Times New Roman" w:hAnsi="Times New Roman" w:cs="Times New Roman"/>
                <w:lang w:val="sl-SI"/>
              </w:rPr>
              <w:t>52. teden</w:t>
            </w:r>
          </w:p>
        </w:tc>
        <w:tc>
          <w:tcPr>
            <w:tcW w:w="2268" w:type="dxa"/>
            <w:tcBorders>
              <w:top w:val="single" w:sz="7" w:space="0" w:color="000000"/>
              <w:left w:val="single" w:sz="7" w:space="0" w:color="000000"/>
              <w:bottom w:val="single" w:sz="5" w:space="0" w:color="000000"/>
              <w:right w:val="single" w:sz="7" w:space="0" w:color="000000"/>
            </w:tcBorders>
          </w:tcPr>
          <w:p w14:paraId="2E4102D8" w14:textId="77777777" w:rsidR="00180CD6" w:rsidRDefault="00180CD6" w:rsidP="00EA4D6E">
            <w:pPr>
              <w:pStyle w:val="TableParagraph"/>
              <w:spacing w:line="246"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lang w:val="sl-SI"/>
              </w:rPr>
              <w:t>40,0 %</w:t>
            </w:r>
          </w:p>
        </w:tc>
        <w:tc>
          <w:tcPr>
            <w:tcW w:w="1812" w:type="dxa"/>
            <w:tcBorders>
              <w:top w:val="single" w:sz="7" w:space="0" w:color="000000"/>
              <w:left w:val="single" w:sz="7" w:space="0" w:color="000000"/>
              <w:bottom w:val="single" w:sz="5" w:space="0" w:color="000000"/>
              <w:right w:val="single" w:sz="7" w:space="0" w:color="000000"/>
            </w:tcBorders>
          </w:tcPr>
          <w:p w14:paraId="0F16F3CF" w14:textId="77777777" w:rsidR="00180CD6" w:rsidRDefault="00180CD6" w:rsidP="00EA4D6E">
            <w:pPr>
              <w:pStyle w:val="TableParagraph"/>
              <w:spacing w:line="246"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lang w:val="sl-SI"/>
              </w:rPr>
              <w:t>23,8 %</w:t>
            </w:r>
          </w:p>
        </w:tc>
        <w:tc>
          <w:tcPr>
            <w:tcW w:w="1732" w:type="dxa"/>
            <w:tcBorders>
              <w:top w:val="single" w:sz="7" w:space="0" w:color="000000"/>
              <w:left w:val="single" w:sz="7" w:space="0" w:color="000000"/>
              <w:bottom w:val="single" w:sz="5" w:space="0" w:color="000000"/>
              <w:right w:val="single" w:sz="7" w:space="0" w:color="000000"/>
            </w:tcBorders>
          </w:tcPr>
          <w:p w14:paraId="7E940FC8" w14:textId="77777777" w:rsidR="00180CD6" w:rsidRDefault="00180CD6" w:rsidP="00EA4D6E">
            <w:pPr>
              <w:pStyle w:val="TableParagraph"/>
              <w:spacing w:line="246" w:lineRule="exact"/>
              <w:ind w:left="142"/>
              <w:jc w:val="center"/>
              <w:rPr>
                <w:rFonts w:ascii="Times New Roman" w:eastAsia="Times New Roman" w:hAnsi="Times New Roman" w:cs="Times New Roman"/>
                <w:lang w:val="sl-SI"/>
              </w:rPr>
            </w:pPr>
            <w:r>
              <w:rPr>
                <w:rFonts w:ascii="Times New Roman" w:eastAsia="Times New Roman" w:hAnsi="Times New Roman" w:cs="Times New Roman"/>
                <w:lang w:val="sl-SI"/>
              </w:rPr>
              <w:t>0,303</w:t>
            </w:r>
          </w:p>
        </w:tc>
      </w:tr>
    </w:tbl>
    <w:p w14:paraId="3C00F346" w14:textId="77777777" w:rsidR="00180CD6" w:rsidRDefault="00180CD6" w:rsidP="00721C46">
      <w:pPr>
        <w:pStyle w:val="a3"/>
        <w:numPr>
          <w:ilvl w:val="0"/>
          <w:numId w:val="154"/>
        </w:numPr>
        <w:ind w:leftChars="100" w:left="390" w:hanging="170"/>
        <w:rPr>
          <w:lang w:val="sl-SI"/>
        </w:rPr>
      </w:pPr>
      <w:r>
        <w:rPr>
          <w:rFonts w:eastAsia="Times New Roman"/>
          <w:lang w:val="sl-SI"/>
        </w:rPr>
        <w:t>Vrednost p za primerjavo standardnega in majhnega odmerka.</w:t>
      </w:r>
    </w:p>
    <w:p w14:paraId="0B819D73" w14:textId="77777777" w:rsidR="00180CD6" w:rsidRDefault="00180CD6" w:rsidP="00180CD6">
      <w:pPr>
        <w:pStyle w:val="a3"/>
        <w:numPr>
          <w:ilvl w:val="0"/>
          <w:numId w:val="154"/>
        </w:numPr>
        <w:ind w:leftChars="100" w:left="390" w:hanging="170"/>
        <w:rPr>
          <w:lang w:val="sl-SI"/>
        </w:rPr>
      </w:pPr>
      <w:r>
        <w:rPr>
          <w:rFonts w:eastAsia="Times New Roman"/>
          <w:lang w:val="sl-SI"/>
        </w:rPr>
        <w:t>Zdravljenje z imunosupresivi je bilo lahko prekinjeno v 26. tednu ali po njem po presoji raziskovalca, če je bolnik izpolnjeval kriterije kliničnega odziva.</w:t>
      </w:r>
    </w:p>
    <w:p w14:paraId="0681F02A" w14:textId="77777777" w:rsidR="00180CD6" w:rsidRDefault="00180CD6" w:rsidP="00180CD6">
      <w:pPr>
        <w:pStyle w:val="a3"/>
        <w:numPr>
          <w:ilvl w:val="0"/>
          <w:numId w:val="154"/>
        </w:numPr>
        <w:ind w:leftChars="100" w:left="390" w:hanging="170"/>
        <w:rPr>
          <w:lang w:val="sl-SI"/>
        </w:rPr>
      </w:pPr>
      <w:r>
        <w:rPr>
          <w:rFonts w:eastAsia="Times New Roman"/>
          <w:lang w:val="sl-SI"/>
        </w:rPr>
        <w:lastRenderedPageBreak/>
        <w:t>Definiran kot zaprtje vseh fistul, ki so bile prisotne ob začetku študije na vsaj 2 zaporednih obiskih po začetku.</w:t>
      </w:r>
    </w:p>
    <w:p w14:paraId="41E73541" w14:textId="77777777" w:rsidR="00180CD6" w:rsidRDefault="00180CD6" w:rsidP="00180CD6">
      <w:pPr>
        <w:spacing w:before="8" w:line="170" w:lineRule="exact"/>
        <w:rPr>
          <w:sz w:val="17"/>
          <w:szCs w:val="17"/>
          <w:lang w:val="sl-SI"/>
        </w:rPr>
      </w:pPr>
    </w:p>
    <w:p w14:paraId="5DF2C8B7" w14:textId="77777777" w:rsidR="00180CD6" w:rsidRDefault="00180CD6" w:rsidP="00180CD6">
      <w:pPr>
        <w:pStyle w:val="a3"/>
        <w:rPr>
          <w:lang w:val="sl-SI"/>
        </w:rPr>
      </w:pPr>
      <w:r>
        <w:rPr>
          <w:rFonts w:eastAsia="Times New Roman"/>
          <w:lang w:val="sl-SI"/>
        </w:rPr>
        <w:t>V obeh skupinah so opazili statistično pomembno povečanje (izboljšanje) indeksa telesne mase in hitrosti rasti od začetka študije do 26. in 52. tedna.</w:t>
      </w:r>
    </w:p>
    <w:p w14:paraId="460B06F9" w14:textId="77777777" w:rsidR="00180CD6" w:rsidRDefault="00180CD6" w:rsidP="00180CD6">
      <w:pPr>
        <w:spacing w:before="14" w:line="240" w:lineRule="exact"/>
        <w:rPr>
          <w:sz w:val="24"/>
          <w:szCs w:val="24"/>
          <w:lang w:val="sl-SI"/>
        </w:rPr>
      </w:pPr>
    </w:p>
    <w:p w14:paraId="301746EA" w14:textId="77777777" w:rsidR="00180CD6" w:rsidRDefault="00180CD6" w:rsidP="00180CD6">
      <w:pPr>
        <w:pStyle w:val="a3"/>
        <w:rPr>
          <w:lang w:val="sl-SI"/>
        </w:rPr>
      </w:pPr>
      <w:r>
        <w:rPr>
          <w:rFonts w:eastAsia="Times New Roman"/>
          <w:lang w:val="sl-SI"/>
        </w:rPr>
        <w:t>Opazili so tudi statistično in klinično pomembno izboljšanje parametrov kakovosti življenja (vključno z IMPACT III) glede na začetek študije.</w:t>
      </w:r>
    </w:p>
    <w:p w14:paraId="08084B4A" w14:textId="77777777" w:rsidR="00180CD6" w:rsidRDefault="00180CD6" w:rsidP="00180CD6">
      <w:pPr>
        <w:pStyle w:val="a3"/>
        <w:rPr>
          <w:lang w:val="sl-SI"/>
        </w:rPr>
      </w:pPr>
    </w:p>
    <w:p w14:paraId="413D05E9" w14:textId="77777777" w:rsidR="00180CD6" w:rsidRDefault="00180CD6" w:rsidP="00180CD6">
      <w:pPr>
        <w:pStyle w:val="a3"/>
        <w:rPr>
          <w:lang w:val="sl-SI"/>
        </w:rPr>
      </w:pPr>
      <w:r>
        <w:rPr>
          <w:rFonts w:eastAsia="Times New Roman"/>
          <w:lang w:val="sl-SI"/>
        </w:rPr>
        <w:t>Sto bolnikov (n = 100) iz študije Crohnove bolezni pri pediatričnih bolnikih je nadaljevalo v odprti dolgoročni podaljšani študiji. Po 5 letih zdravljenja z adalimumabom se je glede na PCDAI klinična remisija nadaljevala pri 74,0 % (37/50) od 50 bolnikov, ki so ostali v študiji, klinični odziv pa se je nadaljeval pri 92,0 % (46/50) bolnikov, ki so ostali v študiji.</w:t>
      </w:r>
    </w:p>
    <w:p w14:paraId="5D18A60B" w14:textId="77777777" w:rsidR="00180CD6" w:rsidRDefault="00180CD6" w:rsidP="00180CD6">
      <w:pPr>
        <w:spacing w:before="16" w:line="240" w:lineRule="exact"/>
        <w:rPr>
          <w:sz w:val="24"/>
          <w:szCs w:val="24"/>
          <w:lang w:val="sl-SI"/>
        </w:rPr>
      </w:pPr>
    </w:p>
    <w:p w14:paraId="15A6CB24" w14:textId="77777777" w:rsidR="00180CD6" w:rsidRPr="00472D63" w:rsidRDefault="00180CD6" w:rsidP="00180CD6">
      <w:pPr>
        <w:keepNext/>
        <w:rPr>
          <w:rFonts w:ascii="Times New Roman" w:hAnsi="Times New Roman" w:cs="Times New Roman"/>
          <w:bCs/>
          <w:i/>
          <w:lang w:val="sl-SI"/>
        </w:rPr>
      </w:pPr>
      <w:r w:rsidRPr="00472D63">
        <w:rPr>
          <w:rFonts w:ascii="Times New Roman" w:hAnsi="Times New Roman" w:cs="Times New Roman"/>
          <w:i/>
          <w:lang w:val="sl-SI"/>
        </w:rPr>
        <w:t>Ulcerozni kolitis pri pediatričnih bolnikih</w:t>
      </w:r>
    </w:p>
    <w:p w14:paraId="3ACBE112" w14:textId="77777777" w:rsidR="00180CD6" w:rsidRPr="00472D63" w:rsidRDefault="00180CD6" w:rsidP="00180CD6">
      <w:pPr>
        <w:keepNext/>
        <w:rPr>
          <w:rFonts w:ascii="Times New Roman" w:hAnsi="Times New Roman" w:cs="Times New Roman"/>
          <w:bCs/>
          <w:i/>
          <w:lang w:val="sl-SI"/>
        </w:rPr>
      </w:pPr>
    </w:p>
    <w:p w14:paraId="3A8643D6" w14:textId="77777777" w:rsidR="00180CD6" w:rsidRPr="00472D63" w:rsidRDefault="00180CD6" w:rsidP="00180CD6">
      <w:pPr>
        <w:rPr>
          <w:rFonts w:ascii="Times New Roman" w:hAnsi="Times New Roman" w:cs="Times New Roman"/>
          <w:lang w:val="sl-SI"/>
        </w:rPr>
      </w:pPr>
      <w:r w:rsidRPr="00472D63">
        <w:rPr>
          <w:rFonts w:ascii="Times New Roman" w:hAnsi="Times New Roman" w:cs="Times New Roman"/>
          <w:lang w:val="sl-SI"/>
        </w:rPr>
        <w:t>Varnost in učinkovitost zdravila adalimumaba sta bili ocenjeni v multicentrični, randomizirani, dvojno slepi študiji pri 93 pediatričnih bolnikih, starih od 5 do 17 let, z zmernim do hudim ulceroznim kolitisom (ocena Mayo od 6 do 12 z endoskopsko podoceno od 2 do 3 točk, potrjeno s centralno odčitano endoskopijo), ki so imeli nezadosten odziv ali intoleranco na konvencionalno zdravljenje. Približno 16 % bolnikov v študiji je imelo neuspešno predhodno zdravljenje z zaviralci TNF. Bolnikom, ki so ob vključitvi v študijo prejemali kortikosteroide, je bilo po 4. tednu dovoljeno postopno zmanjševanje zdravljenja s kortikosteroidi.</w:t>
      </w:r>
    </w:p>
    <w:p w14:paraId="4BE5297B" w14:textId="77777777" w:rsidR="00180CD6" w:rsidRPr="00472D63" w:rsidRDefault="00180CD6" w:rsidP="00180CD6">
      <w:pPr>
        <w:rPr>
          <w:rFonts w:ascii="Times New Roman" w:hAnsi="Times New Roman" w:cs="Times New Roman"/>
          <w:lang w:val="sl-SI"/>
        </w:rPr>
      </w:pPr>
    </w:p>
    <w:p w14:paraId="31752B20" w14:textId="77777777" w:rsidR="00180CD6" w:rsidRPr="00472D63" w:rsidRDefault="00180CD6" w:rsidP="00180CD6">
      <w:pPr>
        <w:rPr>
          <w:rFonts w:ascii="Times New Roman" w:hAnsi="Times New Roman" w:cs="Times New Roman"/>
          <w:lang w:val="sl-SI"/>
        </w:rPr>
      </w:pPr>
      <w:r w:rsidRPr="00472D63">
        <w:rPr>
          <w:rStyle w:val="normaltextrun"/>
          <w:rFonts w:ascii="Times New Roman" w:hAnsi="Times New Roman" w:cs="Times New Roman"/>
          <w:shd w:val="clear" w:color="auto" w:fill="FFFFFF"/>
          <w:lang w:val="sl-SI"/>
        </w:rPr>
        <w:t xml:space="preserve">V indukcijskem obdobju študije so randomizirali 77 bolnikov v razmerju 3 : 2, tako da so prejemali dvojno slepo zdravljenje z zdravilom adalimumaba z začetnim odmerkom 2,4 mg/kg (največ 160 mg) v 0. tednu in 1. tednu in 1,2 mg/kg (največ 80 mg) v 2. tednu ali z začetnim odmerkom 2,4 mg/kg (največ 160 mg) v 0. tednu, placebom v 1. tednu in 1,2 mg/kg (največ 80 mg) v 2. tednu. Obe skupini sta prejeli odmerek 0,6 mg/kg (največ 40 mg) v 4. tednu in 6. tednu. Po spremembi zasnove študije je preostalih 16 bolnikov, ki so jih vključili v indukcijsko obdobje, </w:t>
      </w:r>
      <w:r w:rsidRPr="00383D29">
        <w:rPr>
          <w:rStyle w:val="normaltextrun"/>
          <w:rFonts w:ascii="Times New Roman" w:hAnsi="Times New Roman" w:cs="Times New Roman"/>
          <w:shd w:val="clear" w:color="auto" w:fill="FFFFFF"/>
          <w:lang w:val="sl-SI"/>
        </w:rPr>
        <w:t>nezaslepljeno</w:t>
      </w:r>
      <w:r>
        <w:rPr>
          <w:rStyle w:val="normaltextrun"/>
          <w:rFonts w:ascii="Times New Roman" w:hAnsi="Times New Roman" w:cs="Times New Roman"/>
          <w:shd w:val="clear" w:color="auto" w:fill="FFFFFF"/>
          <w:lang w:val="sl-SI"/>
        </w:rPr>
        <w:t xml:space="preserve"> </w:t>
      </w:r>
      <w:r w:rsidRPr="00472D63">
        <w:rPr>
          <w:rStyle w:val="normaltextrun"/>
          <w:rFonts w:ascii="Times New Roman" w:hAnsi="Times New Roman" w:cs="Times New Roman"/>
          <w:shd w:val="clear" w:color="auto" w:fill="FFFFFF"/>
          <w:lang w:val="sl-SI"/>
        </w:rPr>
        <w:t>prejemalo zdravljenje z zdravilom adalimumaba z začetnim odmerkom 2,4 mg/kg (največ 160 mg) v 0. tednu in 1. tednu in 1,2 mg/kg (največ 80 mg) v 2. tednu.</w:t>
      </w:r>
      <w:r w:rsidRPr="00472D63">
        <w:rPr>
          <w:rStyle w:val="eop"/>
          <w:rFonts w:ascii="Times New Roman" w:hAnsi="Times New Roman" w:cs="Times New Roman"/>
          <w:shd w:val="clear" w:color="auto" w:fill="FFFFFF"/>
          <w:lang w:val="sl-SI"/>
        </w:rPr>
        <w:t> </w:t>
      </w:r>
    </w:p>
    <w:p w14:paraId="7704437D" w14:textId="77777777" w:rsidR="00180CD6" w:rsidRPr="00472D63" w:rsidRDefault="00180CD6" w:rsidP="00180CD6">
      <w:pPr>
        <w:rPr>
          <w:rFonts w:ascii="Times New Roman" w:hAnsi="Times New Roman" w:cs="Times New Roman"/>
          <w:lang w:val="sl-SI"/>
        </w:rPr>
      </w:pPr>
    </w:p>
    <w:p w14:paraId="799DFC95" w14:textId="77777777" w:rsidR="00180CD6" w:rsidRPr="00472D63" w:rsidRDefault="00180CD6" w:rsidP="00180CD6">
      <w:pPr>
        <w:rPr>
          <w:rStyle w:val="eop"/>
          <w:rFonts w:ascii="Times New Roman" w:hAnsi="Times New Roman" w:cs="Times New Roman"/>
          <w:shd w:val="clear" w:color="auto" w:fill="FFFFFF"/>
          <w:lang w:val="sl-SI"/>
        </w:rPr>
      </w:pPr>
      <w:r w:rsidRPr="008E156D">
        <w:rPr>
          <w:rStyle w:val="normaltextrun"/>
          <w:rFonts w:ascii="Times New Roman" w:hAnsi="Times New Roman" w:cs="Times New Roman"/>
          <w:shd w:val="clear" w:color="auto" w:fill="FFFFFF"/>
          <w:lang w:val="sl-SI"/>
        </w:rPr>
        <w:t xml:space="preserve">V 8. tednu so 62 bolnikov, ki so dosegli klinični odziv po delni oceni Mayo (PMS – Partial Mayo Score; opredeljen kot zmanjšanje PMS </w:t>
      </w:r>
      <w:r w:rsidRPr="008E156D">
        <w:rPr>
          <w:rStyle w:val="normaltextrun"/>
          <w:rFonts w:ascii="Times New Roman" w:hAnsi="Times New Roman" w:cs="Times New Roman" w:hint="eastAsia"/>
          <w:shd w:val="clear" w:color="auto" w:fill="FFFFFF"/>
          <w:lang w:val="sl-SI"/>
        </w:rPr>
        <w:t>≥</w:t>
      </w:r>
      <w:r w:rsidRPr="008E156D">
        <w:rPr>
          <w:rStyle w:val="normaltextrun"/>
          <w:rFonts w:ascii="Times New Roman" w:hAnsi="Times New Roman" w:cs="Times New Roman" w:hint="eastAsia"/>
          <w:shd w:val="clear" w:color="auto" w:fill="FFFFFF"/>
          <w:lang w:val="sl-SI"/>
        </w:rPr>
        <w:t> </w:t>
      </w:r>
      <w:r w:rsidRPr="008E156D">
        <w:rPr>
          <w:rStyle w:val="normaltextrun"/>
          <w:rFonts w:ascii="Times New Roman" w:hAnsi="Times New Roman" w:cs="Times New Roman"/>
          <w:shd w:val="clear" w:color="auto" w:fill="FFFFFF"/>
          <w:lang w:val="sl-SI"/>
        </w:rPr>
        <w:t xml:space="preserve">2 točki in </w:t>
      </w:r>
      <w:r w:rsidRPr="008E156D">
        <w:rPr>
          <w:rStyle w:val="normaltextrun"/>
          <w:rFonts w:ascii="Times New Roman" w:hAnsi="Times New Roman" w:cs="Times New Roman" w:hint="eastAsia"/>
          <w:shd w:val="clear" w:color="auto" w:fill="FFFFFF"/>
          <w:lang w:val="sl-SI"/>
        </w:rPr>
        <w:t>≥</w:t>
      </w:r>
      <w:r w:rsidRPr="008E156D">
        <w:rPr>
          <w:rStyle w:val="normaltextrun"/>
          <w:rFonts w:ascii="Times New Roman" w:hAnsi="Times New Roman" w:cs="Times New Roman" w:hint="eastAsia"/>
          <w:shd w:val="clear" w:color="auto" w:fill="FFFFFF"/>
          <w:lang w:val="sl-SI"/>
        </w:rPr>
        <w:t> </w:t>
      </w:r>
      <w:r w:rsidRPr="008E156D">
        <w:rPr>
          <w:rStyle w:val="normaltextrun"/>
          <w:rFonts w:ascii="Times New Roman" w:hAnsi="Times New Roman" w:cs="Times New Roman"/>
          <w:shd w:val="clear" w:color="auto" w:fill="FFFFFF"/>
          <w:lang w:val="sl-SI"/>
        </w:rPr>
        <w:t>30 % glede na izhodišče), uravnoteženo randomizirali tako, da so prejemali dvojno slepo vzdrževalno zdravljenje z zdravilom adalimumaba z odmerkom 0,6 mg/kg</w:t>
      </w:r>
      <w:r w:rsidRPr="00407F29">
        <w:rPr>
          <w:rStyle w:val="normaltextrun"/>
          <w:rFonts w:ascii="Times New Roman" w:hAnsi="Times New Roman" w:cs="Times New Roman"/>
          <w:shd w:val="clear" w:color="auto" w:fill="FFFFFF"/>
          <w:lang w:val="sl-SI"/>
        </w:rPr>
        <w:t xml:space="preserve"> (največ 40 mg) vsak teden (</w:t>
      </w:r>
      <w:r w:rsidRPr="00407F29">
        <w:rPr>
          <w:rStyle w:val="spellingerror"/>
          <w:rFonts w:ascii="Times New Roman" w:hAnsi="Times New Roman" w:cs="Times New Roman"/>
          <w:shd w:val="clear" w:color="auto" w:fill="FFFFFF"/>
          <w:lang w:val="sl-SI"/>
        </w:rPr>
        <w:t>VT</w:t>
      </w:r>
      <w:r w:rsidRPr="00407F29">
        <w:rPr>
          <w:rStyle w:val="normaltextrun"/>
          <w:rFonts w:ascii="Times New Roman" w:hAnsi="Times New Roman" w:cs="Times New Roman"/>
          <w:shd w:val="clear" w:color="auto" w:fill="FFFFFF"/>
          <w:lang w:val="sl-SI"/>
        </w:rPr>
        <w:t>) ali z vzdrževalnim odmerkom 0,6 mg/kg (največ 40 mg) vsak drugi teden (</w:t>
      </w:r>
      <w:r w:rsidRPr="00407F29">
        <w:rPr>
          <w:rStyle w:val="spellingerror"/>
          <w:rFonts w:ascii="Times New Roman" w:hAnsi="Times New Roman" w:cs="Times New Roman"/>
          <w:shd w:val="clear" w:color="auto" w:fill="FFFFFF"/>
          <w:lang w:val="sl-SI"/>
        </w:rPr>
        <w:t>VDT</w:t>
      </w:r>
      <w:r w:rsidRPr="00407F29">
        <w:rPr>
          <w:rStyle w:val="normaltextrun"/>
          <w:rFonts w:ascii="Times New Roman" w:hAnsi="Times New Roman" w:cs="Times New Roman"/>
          <w:shd w:val="clear" w:color="auto" w:fill="FFFFFF"/>
          <w:lang w:val="sl-SI"/>
        </w:rPr>
        <w:t>). Pred spremembo zasnove študije so 12 dodatnih bolnikov, ki so dosegli klinični odziv po PMS, randomizirali tako, da so prejemali placebo, niso pa jih vključili v</w:t>
      </w:r>
      <w:r w:rsidRPr="00472D63">
        <w:rPr>
          <w:rStyle w:val="normaltextrun"/>
          <w:rFonts w:ascii="Times New Roman" w:hAnsi="Times New Roman" w:cs="Times New Roman"/>
          <w:shd w:val="clear" w:color="auto" w:fill="FFFFFF"/>
          <w:lang w:val="sl-SI"/>
        </w:rPr>
        <w:t xml:space="preserve"> potrditveno analizo učinkovitosti.</w:t>
      </w:r>
    </w:p>
    <w:p w14:paraId="3CEFC8CE" w14:textId="77777777" w:rsidR="00180CD6" w:rsidRPr="00472D63" w:rsidRDefault="00180CD6" w:rsidP="00180CD6">
      <w:pPr>
        <w:rPr>
          <w:rFonts w:ascii="Times New Roman" w:hAnsi="Times New Roman" w:cs="Times New Roman"/>
          <w:lang w:val="sl-SI"/>
        </w:rPr>
      </w:pPr>
    </w:p>
    <w:p w14:paraId="55F7573C" w14:textId="77777777" w:rsidR="00180CD6" w:rsidRPr="00472D63" w:rsidRDefault="00180CD6" w:rsidP="00180CD6">
      <w:pPr>
        <w:rPr>
          <w:rFonts w:ascii="Times New Roman" w:hAnsi="Times New Roman" w:cs="Times New Roman"/>
          <w:lang w:val="sl-SI"/>
        </w:rPr>
      </w:pPr>
      <w:r w:rsidRPr="00472D63">
        <w:rPr>
          <w:rFonts w:ascii="Times New Roman" w:hAnsi="Times New Roman" w:cs="Times New Roman"/>
          <w:lang w:val="sl-SI"/>
        </w:rPr>
        <w:t>Zagon bolezni je bil opredeljen kot povečanje PMS za najmanj 3 točke (za bolnike s PMS od 0 do 2 v 8. tednu), najmanj 2 točki (za bolnike s PMS od 3 do 4 v 8. tednu) ali najmanj 1 točko (za bolnike s PMS od 5 do 6 v 8. tednu). </w:t>
      </w:r>
    </w:p>
    <w:p w14:paraId="0CDA6ED1" w14:textId="77777777" w:rsidR="00180CD6" w:rsidRPr="00472D63" w:rsidRDefault="00180CD6" w:rsidP="00180CD6">
      <w:pPr>
        <w:rPr>
          <w:rFonts w:ascii="Times New Roman" w:hAnsi="Times New Roman" w:cs="Times New Roman"/>
          <w:lang w:val="sl-SI"/>
        </w:rPr>
      </w:pPr>
    </w:p>
    <w:p w14:paraId="32DA0F7C" w14:textId="77777777" w:rsidR="00180CD6" w:rsidRDefault="00180CD6" w:rsidP="00180CD6">
      <w:pPr>
        <w:rPr>
          <w:lang w:val="sl-SI"/>
        </w:rPr>
      </w:pPr>
      <w:r w:rsidRPr="00472D63">
        <w:rPr>
          <w:rFonts w:ascii="Times New Roman" w:hAnsi="Times New Roman" w:cs="Times New Roman"/>
          <w:lang w:val="sl-SI"/>
        </w:rPr>
        <w:t>Bolnike, ki so dosegli merila za zagon bolezni v 12. tednu ali pozneje, so randomizirali tako, da so prejeli ponovni začetni odmerek 2,4 mg/kg (največ 160 mg) ali odmerek 0,6 mg/kg (največ 40 mg) ter potem še naprej prejemali svoj določeni vzdrževalni režim odmerjanja.</w:t>
      </w:r>
    </w:p>
    <w:p w14:paraId="7290CD6D" w14:textId="77777777" w:rsidR="00180CD6" w:rsidRPr="001452D7" w:rsidRDefault="00180CD6" w:rsidP="00180CD6">
      <w:pPr>
        <w:pStyle w:val="gtcbodytext"/>
        <w:spacing w:after="0" w:line="240" w:lineRule="auto"/>
        <w:rPr>
          <w:i/>
          <w:iCs/>
          <w:sz w:val="22"/>
          <w:szCs w:val="22"/>
          <w:u w:val="single"/>
          <w:lang w:val="sl-SI"/>
        </w:rPr>
      </w:pPr>
      <w:r w:rsidRPr="001452D7">
        <w:rPr>
          <w:i/>
          <w:sz w:val="22"/>
          <w:u w:val="single"/>
          <w:lang w:val="sl-SI"/>
        </w:rPr>
        <w:t>Rezultati učinkovitosti</w:t>
      </w:r>
    </w:p>
    <w:p w14:paraId="3825D672" w14:textId="77777777" w:rsidR="00180CD6" w:rsidRPr="00472D63" w:rsidRDefault="00180CD6" w:rsidP="00180CD6">
      <w:pPr>
        <w:rPr>
          <w:rFonts w:ascii="Times New Roman" w:hAnsi="Times New Roman" w:cs="Times New Roman"/>
          <w:lang w:val="sl-SI"/>
        </w:rPr>
      </w:pPr>
    </w:p>
    <w:p w14:paraId="1EA09308" w14:textId="77777777" w:rsidR="00180CD6" w:rsidRPr="00407F29" w:rsidRDefault="00180CD6" w:rsidP="00180CD6">
      <w:pPr>
        <w:rPr>
          <w:rFonts w:ascii="Times New Roman" w:hAnsi="Times New Roman" w:cs="Times New Roman"/>
          <w:lang w:val="sl-SI"/>
        </w:rPr>
      </w:pPr>
      <w:r w:rsidRPr="00407F29">
        <w:rPr>
          <w:rFonts w:ascii="Times New Roman" w:hAnsi="Times New Roman" w:cs="Times New Roman"/>
          <w:lang w:val="sl-SI"/>
        </w:rPr>
        <w:t>Soprimarna opazovana izida v študiji sta bila klinična remisija po PMS (opredeljena kot PMS </w:t>
      </w:r>
      <w:r w:rsidRPr="00407F29">
        <w:rPr>
          <w:rFonts w:ascii="Times New Roman" w:hAnsi="Times New Roman" w:cs="Times New Roman" w:hint="eastAsia"/>
          <w:lang w:val="sl-SI"/>
        </w:rPr>
        <w:t>≤</w:t>
      </w:r>
      <w:r w:rsidRPr="00407F29">
        <w:rPr>
          <w:rFonts w:ascii="Times New Roman" w:hAnsi="Times New Roman" w:cs="Times New Roman" w:hint="eastAsia"/>
          <w:lang w:val="sl-SI"/>
        </w:rPr>
        <w:t> </w:t>
      </w:r>
      <w:r w:rsidRPr="00407F29">
        <w:rPr>
          <w:rFonts w:ascii="Times New Roman" w:hAnsi="Times New Roman" w:cs="Times New Roman"/>
          <w:lang w:val="sl-SI"/>
        </w:rPr>
        <w:t xml:space="preserve">2 brez posamezne podocene &gt; 1) v 8. tednu in klinična remisija po FMS (Full Mayo Score – popolna ocena Mayo) (opredeljena kot ocena Mayo </w:t>
      </w:r>
      <w:r w:rsidRPr="00407F29">
        <w:rPr>
          <w:rFonts w:ascii="Times New Roman" w:hAnsi="Times New Roman" w:cs="Times New Roman" w:hint="eastAsia"/>
          <w:lang w:val="sl-SI"/>
        </w:rPr>
        <w:t>≤</w:t>
      </w:r>
      <w:r w:rsidRPr="00407F29">
        <w:rPr>
          <w:rFonts w:ascii="Times New Roman" w:hAnsi="Times New Roman" w:cs="Times New Roman" w:hint="eastAsia"/>
          <w:lang w:val="sl-SI"/>
        </w:rPr>
        <w:t> </w:t>
      </w:r>
      <w:r w:rsidRPr="00407F29">
        <w:rPr>
          <w:rFonts w:ascii="Times New Roman" w:hAnsi="Times New Roman" w:cs="Times New Roman"/>
          <w:lang w:val="sl-SI"/>
        </w:rPr>
        <w:t>2 brez posamezne podocene &gt; 1) v 52. tednu pri bolnikih, ki so dosegli klinični odziv po PMS v 8. tednu.</w:t>
      </w:r>
    </w:p>
    <w:p w14:paraId="1135558D" w14:textId="77777777" w:rsidR="00180CD6" w:rsidRPr="00472D63" w:rsidRDefault="00180CD6" w:rsidP="00180CD6">
      <w:pPr>
        <w:textAlignment w:val="baseline"/>
        <w:rPr>
          <w:rFonts w:ascii="Times New Roman" w:hAnsi="Times New Roman" w:cs="Times New Roman"/>
          <w:lang w:val="sl-SI" w:eastAsia="en-GB"/>
        </w:rPr>
      </w:pPr>
    </w:p>
    <w:p w14:paraId="461FCC2D" w14:textId="270774B5" w:rsidR="00180CD6" w:rsidRPr="00472D63" w:rsidRDefault="00180CD6" w:rsidP="00180CD6">
      <w:pPr>
        <w:textAlignment w:val="baseline"/>
        <w:rPr>
          <w:rFonts w:ascii="Times New Roman" w:hAnsi="Times New Roman" w:cs="Times New Roman"/>
          <w:lang w:val="sl-SI"/>
        </w:rPr>
      </w:pPr>
      <w:r w:rsidRPr="00472D63">
        <w:rPr>
          <w:rFonts w:ascii="Times New Roman" w:hAnsi="Times New Roman" w:cs="Times New Roman"/>
          <w:lang w:val="sl-SI"/>
        </w:rPr>
        <w:t>Stopnje klinične remisije po PMS v 8. tednu pri bolnikih v vsaki od skupin z dvojno slepim indukcijskim zdravljenjem z zdravilom adalimumaba so predstavljene v preglednici </w:t>
      </w:r>
      <w:r w:rsidR="00407F29">
        <w:rPr>
          <w:rFonts w:ascii="Times New Roman" w:hAnsi="Times New Roman" w:cs="Times New Roman"/>
          <w:lang w:val="sl-SI"/>
        </w:rPr>
        <w:t>21</w:t>
      </w:r>
      <w:r w:rsidRPr="00472D63">
        <w:rPr>
          <w:rFonts w:ascii="Times New Roman" w:hAnsi="Times New Roman" w:cs="Times New Roman"/>
          <w:lang w:val="sl-SI"/>
        </w:rPr>
        <w:t>. </w:t>
      </w:r>
    </w:p>
    <w:p w14:paraId="4CE8BEE7" w14:textId="63828BF8" w:rsidR="00180CD6" w:rsidRPr="00472D63" w:rsidRDefault="00180CD6" w:rsidP="00180CD6">
      <w:pPr>
        <w:pStyle w:val="gtcbodytext"/>
        <w:spacing w:after="0" w:line="480" w:lineRule="auto"/>
        <w:jc w:val="center"/>
        <w:rPr>
          <w:rStyle w:val="normaltextrun"/>
          <w:b/>
          <w:sz w:val="22"/>
          <w:szCs w:val="22"/>
          <w:lang w:val="sl-SI" w:eastAsia="sl-SI"/>
        </w:rPr>
      </w:pPr>
      <w:r w:rsidRPr="00472D63">
        <w:rPr>
          <w:b/>
          <w:sz w:val="22"/>
          <w:lang w:val="sl-SI"/>
        </w:rPr>
        <w:t>Preglednica </w:t>
      </w:r>
      <w:r w:rsidR="00407F29">
        <w:rPr>
          <w:b/>
          <w:sz w:val="22"/>
          <w:lang w:val="sl-SI"/>
        </w:rPr>
        <w:t>21</w:t>
      </w:r>
      <w:r w:rsidRPr="00472D63">
        <w:rPr>
          <w:b/>
          <w:sz w:val="22"/>
          <w:lang w:val="sl-SI"/>
        </w:rPr>
        <w:t>: Klinična remisija po PMS v 8. tednu</w:t>
      </w:r>
    </w:p>
    <w:tbl>
      <w:tblPr>
        <w:tblW w:w="4916" w:type="pct"/>
        <w:jc w:val="center"/>
        <w:tblLook w:val="04A0" w:firstRow="1" w:lastRow="0" w:firstColumn="1" w:lastColumn="0" w:noHBand="0" w:noVBand="1"/>
      </w:tblPr>
      <w:tblGrid>
        <w:gridCol w:w="3300"/>
        <w:gridCol w:w="3034"/>
        <w:gridCol w:w="3089"/>
      </w:tblGrid>
      <w:tr w:rsidR="00180CD6" w:rsidRPr="006A7666" w14:paraId="3BA1CB12" w14:textId="77777777" w:rsidTr="00EA4D6E">
        <w:trPr>
          <w:jc w:val="center"/>
        </w:trPr>
        <w:tc>
          <w:tcPr>
            <w:tcW w:w="1751"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7F0749E" w14:textId="77777777" w:rsidR="00180CD6" w:rsidRPr="00797234" w:rsidRDefault="00180CD6" w:rsidP="00EA4D6E">
            <w:pPr>
              <w:rPr>
                <w:rFonts w:ascii="Times New Roman" w:hAnsi="Times New Roman" w:cs="Times New Roman"/>
                <w:lang w:val="sl-SI"/>
              </w:rPr>
            </w:pPr>
          </w:p>
        </w:tc>
        <w:tc>
          <w:tcPr>
            <w:tcW w:w="1610"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7EB69CEC" w14:textId="77777777" w:rsidR="00180CD6" w:rsidRPr="006A7666" w:rsidRDefault="00180CD6" w:rsidP="00EA4D6E">
            <w:pPr>
              <w:pStyle w:val="paragraph"/>
              <w:spacing w:before="0" w:beforeAutospacing="0" w:after="0" w:afterAutospacing="0"/>
              <w:jc w:val="center"/>
              <w:textAlignment w:val="baseline"/>
              <w:rPr>
                <w:b/>
                <w:bCs/>
                <w:sz w:val="22"/>
                <w:szCs w:val="22"/>
              </w:rPr>
            </w:pPr>
            <w:r>
              <w:rPr>
                <w:rStyle w:val="spellingerror"/>
                <w:b/>
                <w:sz w:val="22"/>
              </w:rPr>
              <w:t>Adalimumab</w:t>
            </w:r>
            <w:r w:rsidRPr="006A7666">
              <w:rPr>
                <w:rStyle w:val="spellingerror"/>
                <w:b/>
                <w:sz w:val="22"/>
                <w:vertAlign w:val="superscript"/>
              </w:rPr>
              <w:t>a</w:t>
            </w:r>
            <w:r w:rsidRPr="006A7666">
              <w:rPr>
                <w:rStyle w:val="eop"/>
                <w:b/>
                <w:sz w:val="22"/>
              </w:rPr>
              <w:t> </w:t>
            </w:r>
          </w:p>
          <w:p w14:paraId="3EAF0D89" w14:textId="77777777" w:rsidR="00180CD6" w:rsidRPr="00797234" w:rsidRDefault="00180CD6" w:rsidP="00EA4D6E">
            <w:pPr>
              <w:jc w:val="center"/>
              <w:rPr>
                <w:rStyle w:val="eop"/>
                <w:rFonts w:ascii="Times New Roman" w:hAnsi="Times New Roman" w:cs="Times New Roman"/>
                <w:b/>
                <w:bCs/>
                <w:lang w:val="sl-SI"/>
              </w:rPr>
            </w:pPr>
            <w:r w:rsidRPr="00797234">
              <w:rPr>
                <w:rStyle w:val="normaltextrun"/>
                <w:rFonts w:ascii="Times New Roman" w:hAnsi="Times New Roman" w:cs="Times New Roman"/>
                <w:b/>
                <w:lang w:val="sl-SI"/>
              </w:rPr>
              <w:t>Največ 160 mg v 0. tednu / Placebo v 1. tednu</w:t>
            </w:r>
            <w:r w:rsidRPr="00797234">
              <w:rPr>
                <w:rStyle w:val="eop"/>
                <w:rFonts w:ascii="Times New Roman" w:hAnsi="Times New Roman" w:cs="Times New Roman"/>
                <w:b/>
                <w:lang w:val="sl-SI"/>
              </w:rPr>
              <w:t> </w:t>
            </w:r>
          </w:p>
          <w:p w14:paraId="5CA707BA" w14:textId="77777777" w:rsidR="00180CD6" w:rsidRPr="00797234" w:rsidRDefault="00180CD6" w:rsidP="00EA4D6E">
            <w:pPr>
              <w:jc w:val="center"/>
              <w:rPr>
                <w:rFonts w:ascii="Times New Roman" w:hAnsi="Times New Roman" w:cs="Times New Roman"/>
                <w:lang w:val="sl-SI"/>
              </w:rPr>
            </w:pPr>
            <w:r w:rsidRPr="00797234">
              <w:rPr>
                <w:rStyle w:val="eop"/>
                <w:rFonts w:ascii="Times New Roman" w:hAnsi="Times New Roman" w:cs="Times New Roman"/>
                <w:lang w:val="sl-SI"/>
              </w:rPr>
              <w:t>N = 30</w:t>
            </w:r>
          </w:p>
        </w:tc>
        <w:tc>
          <w:tcPr>
            <w:tcW w:w="1640"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EE044F0" w14:textId="77777777" w:rsidR="00180CD6" w:rsidRPr="006A7666" w:rsidRDefault="00180CD6" w:rsidP="00EA4D6E">
            <w:pPr>
              <w:pStyle w:val="paragraph"/>
              <w:spacing w:before="0" w:beforeAutospacing="0" w:after="0" w:afterAutospacing="0"/>
              <w:jc w:val="center"/>
              <w:textAlignment w:val="baseline"/>
              <w:rPr>
                <w:b/>
                <w:bCs/>
                <w:sz w:val="22"/>
                <w:szCs w:val="22"/>
              </w:rPr>
            </w:pPr>
            <w:r>
              <w:rPr>
                <w:rStyle w:val="spellingerror"/>
                <w:b/>
                <w:sz w:val="22"/>
              </w:rPr>
              <w:t>Adalimumab</w:t>
            </w:r>
            <w:r w:rsidRPr="006A7666">
              <w:rPr>
                <w:rStyle w:val="spellingerror"/>
                <w:b/>
                <w:sz w:val="22"/>
                <w:vertAlign w:val="superscript"/>
              </w:rPr>
              <w:t>b</w:t>
            </w:r>
            <w:r w:rsidRPr="006A7666">
              <w:rPr>
                <w:rStyle w:val="normaltextrun"/>
                <w:b/>
                <w:sz w:val="22"/>
                <w:vertAlign w:val="superscript"/>
              </w:rPr>
              <w:t>, c</w:t>
            </w:r>
            <w:r w:rsidRPr="006A7666">
              <w:rPr>
                <w:rStyle w:val="eop"/>
                <w:b/>
                <w:sz w:val="22"/>
              </w:rPr>
              <w:t> </w:t>
            </w:r>
          </w:p>
          <w:p w14:paraId="4CC160E9" w14:textId="77777777" w:rsidR="00180CD6" w:rsidRPr="00797234" w:rsidRDefault="00180CD6" w:rsidP="00EA4D6E">
            <w:pPr>
              <w:jc w:val="center"/>
              <w:rPr>
                <w:rStyle w:val="eop"/>
                <w:rFonts w:ascii="Times New Roman" w:hAnsi="Times New Roman" w:cs="Times New Roman"/>
                <w:b/>
                <w:bCs/>
                <w:lang w:val="sl-SI"/>
              </w:rPr>
            </w:pPr>
            <w:r w:rsidRPr="00797234">
              <w:rPr>
                <w:rStyle w:val="normaltextrun"/>
                <w:rFonts w:ascii="Times New Roman" w:hAnsi="Times New Roman" w:cs="Times New Roman"/>
                <w:b/>
                <w:lang w:val="sl-SI"/>
              </w:rPr>
              <w:t>Največ 160 mg v 0. tednu in 1. tednu</w:t>
            </w:r>
            <w:r w:rsidRPr="00797234">
              <w:rPr>
                <w:rStyle w:val="eop"/>
                <w:rFonts w:ascii="Times New Roman" w:hAnsi="Times New Roman" w:cs="Times New Roman"/>
                <w:b/>
                <w:lang w:val="sl-SI"/>
              </w:rPr>
              <w:t> </w:t>
            </w:r>
          </w:p>
          <w:p w14:paraId="31AFAD8D" w14:textId="77777777" w:rsidR="00180CD6" w:rsidRPr="00797234" w:rsidRDefault="00180CD6" w:rsidP="00EA4D6E">
            <w:pPr>
              <w:jc w:val="center"/>
              <w:rPr>
                <w:rFonts w:ascii="Times New Roman" w:hAnsi="Times New Roman" w:cs="Times New Roman"/>
                <w:lang w:val="sl-SI"/>
              </w:rPr>
            </w:pPr>
            <w:r w:rsidRPr="00797234">
              <w:rPr>
                <w:rStyle w:val="eop"/>
                <w:rFonts w:ascii="Times New Roman" w:hAnsi="Times New Roman" w:cs="Times New Roman"/>
                <w:lang w:val="sl-SI"/>
              </w:rPr>
              <w:t>N = 47</w:t>
            </w:r>
          </w:p>
        </w:tc>
      </w:tr>
      <w:tr w:rsidR="00180CD6" w:rsidRPr="006A7666" w14:paraId="5A5FEB7B" w14:textId="77777777" w:rsidTr="00EA4D6E">
        <w:trPr>
          <w:jc w:val="center"/>
        </w:trPr>
        <w:tc>
          <w:tcPr>
            <w:tcW w:w="1751"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8F84B01" w14:textId="77777777" w:rsidR="00180CD6" w:rsidRPr="00797234" w:rsidRDefault="00180CD6" w:rsidP="00EA4D6E">
            <w:pPr>
              <w:rPr>
                <w:rFonts w:ascii="Times New Roman" w:hAnsi="Times New Roman" w:cs="Times New Roman"/>
                <w:lang w:val="sl-SI"/>
              </w:rPr>
            </w:pPr>
            <w:r w:rsidRPr="00797234">
              <w:rPr>
                <w:rFonts w:ascii="Times New Roman" w:hAnsi="Times New Roman" w:cs="Times New Roman"/>
                <w:lang w:val="sl-SI"/>
              </w:rPr>
              <w:t>Klinična remisija</w:t>
            </w:r>
          </w:p>
        </w:tc>
        <w:tc>
          <w:tcPr>
            <w:tcW w:w="1610"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78623A8E" w14:textId="77777777" w:rsidR="00180CD6" w:rsidRPr="00797234" w:rsidRDefault="00180CD6" w:rsidP="00EA4D6E">
            <w:pPr>
              <w:jc w:val="center"/>
              <w:rPr>
                <w:rFonts w:ascii="Times New Roman" w:hAnsi="Times New Roman" w:cs="Times New Roman"/>
                <w:lang w:val="sl-SI"/>
              </w:rPr>
            </w:pPr>
            <w:r w:rsidRPr="00797234">
              <w:rPr>
                <w:rFonts w:ascii="Times New Roman" w:hAnsi="Times New Roman" w:cs="Times New Roman"/>
                <w:lang w:val="sl-SI"/>
              </w:rPr>
              <w:t>13/30 (43,3%)</w:t>
            </w:r>
          </w:p>
        </w:tc>
        <w:tc>
          <w:tcPr>
            <w:tcW w:w="1640"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B6D4794" w14:textId="77777777" w:rsidR="00180CD6" w:rsidRPr="00797234" w:rsidRDefault="00180CD6" w:rsidP="00EA4D6E">
            <w:pPr>
              <w:jc w:val="center"/>
              <w:rPr>
                <w:rFonts w:ascii="Times New Roman" w:hAnsi="Times New Roman" w:cs="Times New Roman"/>
                <w:vertAlign w:val="superscript"/>
                <w:lang w:val="sl-SI"/>
              </w:rPr>
            </w:pPr>
            <w:r w:rsidRPr="00797234">
              <w:rPr>
                <w:rFonts w:ascii="Times New Roman" w:hAnsi="Times New Roman" w:cs="Times New Roman"/>
                <w:lang w:val="sl-SI"/>
              </w:rPr>
              <w:t>28/47 (59,6 %)</w:t>
            </w:r>
          </w:p>
        </w:tc>
      </w:tr>
      <w:tr w:rsidR="00180CD6" w:rsidRPr="00652F18" w14:paraId="3022FF92" w14:textId="77777777" w:rsidTr="00EA4D6E">
        <w:trPr>
          <w:trHeight w:val="1867"/>
          <w:jc w:val="center"/>
        </w:trPr>
        <w:tc>
          <w:tcPr>
            <w:tcW w:w="5000" w:type="pct"/>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2CD9AB1F" w14:textId="77777777" w:rsidR="00180CD6" w:rsidRPr="006A7666" w:rsidRDefault="00180CD6" w:rsidP="00EA4D6E">
            <w:pPr>
              <w:pStyle w:val="paragraph"/>
              <w:spacing w:before="0" w:beforeAutospacing="0" w:after="0" w:afterAutospacing="0"/>
              <w:textAlignment w:val="baseline"/>
              <w:rPr>
                <w:sz w:val="22"/>
                <w:szCs w:val="22"/>
              </w:rPr>
            </w:pPr>
            <w:r w:rsidRPr="006A7666">
              <w:rPr>
                <w:rStyle w:val="normaltextrun"/>
                <w:sz w:val="22"/>
                <w:vertAlign w:val="superscript"/>
              </w:rPr>
              <w:t>a </w:t>
            </w:r>
            <w:r>
              <w:rPr>
                <w:rStyle w:val="normaltextrun"/>
                <w:sz w:val="22"/>
              </w:rPr>
              <w:t>Adalimumaba</w:t>
            </w:r>
            <w:r w:rsidRPr="006A7666">
              <w:rPr>
                <w:rStyle w:val="normaltextrun"/>
                <w:sz w:val="22"/>
              </w:rPr>
              <w:t xml:space="preserve"> 2,4 mg/kg (največ 160 mg) v 0. tednu, placebo v 1. tednu in </w:t>
            </w:r>
            <w:r>
              <w:rPr>
                <w:rStyle w:val="normaltextrun"/>
                <w:sz w:val="22"/>
              </w:rPr>
              <w:t>adalimumaba</w:t>
            </w:r>
            <w:r w:rsidRPr="006A7666">
              <w:rPr>
                <w:rStyle w:val="normaltextrun"/>
                <w:sz w:val="22"/>
              </w:rPr>
              <w:t xml:space="preserve"> 1,2 mg/kg (največ 80 mg) v 2. tednu</w:t>
            </w:r>
            <w:r w:rsidRPr="006A7666">
              <w:rPr>
                <w:rStyle w:val="eop"/>
                <w:sz w:val="22"/>
              </w:rPr>
              <w:t> </w:t>
            </w:r>
          </w:p>
          <w:p w14:paraId="35868B25" w14:textId="77777777" w:rsidR="00180CD6" w:rsidRPr="006A7666" w:rsidRDefault="00180CD6" w:rsidP="00EA4D6E">
            <w:pPr>
              <w:pStyle w:val="paragraph"/>
              <w:spacing w:before="0" w:beforeAutospacing="0" w:after="0" w:afterAutospacing="0"/>
              <w:textAlignment w:val="baseline"/>
              <w:rPr>
                <w:sz w:val="22"/>
                <w:szCs w:val="22"/>
              </w:rPr>
            </w:pPr>
            <w:r w:rsidRPr="006A7666">
              <w:rPr>
                <w:rStyle w:val="normaltextrun"/>
                <w:sz w:val="22"/>
                <w:vertAlign w:val="superscript"/>
              </w:rPr>
              <w:t>b </w:t>
            </w:r>
            <w:r>
              <w:rPr>
                <w:rStyle w:val="normaltextrun"/>
                <w:sz w:val="22"/>
              </w:rPr>
              <w:t>Adalimumaba</w:t>
            </w:r>
            <w:r w:rsidRPr="006A7666">
              <w:rPr>
                <w:rStyle w:val="normaltextrun"/>
                <w:sz w:val="22"/>
              </w:rPr>
              <w:t xml:space="preserve"> 2,4 mg/kg (največ 160 mg) v 0. tednu in 1. tednu in </w:t>
            </w:r>
            <w:r>
              <w:rPr>
                <w:rStyle w:val="normaltextrun"/>
                <w:sz w:val="22"/>
              </w:rPr>
              <w:t>adalimumaba</w:t>
            </w:r>
            <w:r w:rsidRPr="006A7666">
              <w:rPr>
                <w:rStyle w:val="normaltextrun"/>
                <w:sz w:val="22"/>
              </w:rPr>
              <w:t xml:space="preserve"> 1,2 mg/kg (največ 80 mg) v 2. tednu</w:t>
            </w:r>
            <w:r w:rsidRPr="006A7666">
              <w:rPr>
                <w:rStyle w:val="eop"/>
                <w:sz w:val="22"/>
              </w:rPr>
              <w:t> </w:t>
            </w:r>
          </w:p>
          <w:p w14:paraId="0594DDD7" w14:textId="77777777" w:rsidR="00180CD6" w:rsidRPr="006A7666" w:rsidRDefault="00180CD6" w:rsidP="00EA4D6E">
            <w:pPr>
              <w:pStyle w:val="paragraph"/>
              <w:spacing w:before="0" w:beforeAutospacing="0" w:after="0" w:afterAutospacing="0"/>
              <w:textAlignment w:val="baseline"/>
              <w:rPr>
                <w:sz w:val="22"/>
                <w:szCs w:val="22"/>
              </w:rPr>
            </w:pPr>
            <w:r w:rsidRPr="006A7666">
              <w:rPr>
                <w:rStyle w:val="normaltextrun"/>
                <w:sz w:val="22"/>
                <w:vertAlign w:val="superscript"/>
              </w:rPr>
              <w:t>c</w:t>
            </w:r>
            <w:r w:rsidRPr="006A7666">
              <w:rPr>
                <w:rStyle w:val="normaltextrun"/>
                <w:sz w:val="22"/>
              </w:rPr>
              <w:t xml:space="preserve"> Ni vključeno </w:t>
            </w:r>
            <w:r w:rsidRPr="00383D29">
              <w:rPr>
                <w:rStyle w:val="normaltextrun"/>
                <w:sz w:val="22"/>
              </w:rPr>
              <w:t>nezaslepljeno</w:t>
            </w:r>
            <w:r w:rsidRPr="006A7666">
              <w:rPr>
                <w:rStyle w:val="normaltextrun"/>
                <w:sz w:val="22"/>
              </w:rPr>
              <w:t xml:space="preserve"> zdravljenje z začetnim odmerkom zdravila </w:t>
            </w:r>
            <w:r>
              <w:rPr>
                <w:rStyle w:val="normaltextrun"/>
                <w:sz w:val="22"/>
              </w:rPr>
              <w:t>adalimumaba</w:t>
            </w:r>
            <w:r w:rsidRPr="006A7666">
              <w:rPr>
                <w:rStyle w:val="normaltextrun"/>
                <w:sz w:val="22"/>
              </w:rPr>
              <w:t xml:space="preserve"> 2,4 mg/kg (največ 160 mg) v 0. tednu in 1. tednu in 1,2 mg/kg (največ 80 mg) v 2. tednu</w:t>
            </w:r>
          </w:p>
          <w:p w14:paraId="3B0F3AF3" w14:textId="77777777" w:rsidR="00180CD6" w:rsidRPr="006A7666" w:rsidRDefault="00180CD6" w:rsidP="00EA4D6E">
            <w:pPr>
              <w:pStyle w:val="paragraph"/>
              <w:spacing w:before="0" w:beforeAutospacing="0" w:after="0" w:afterAutospacing="0"/>
              <w:textAlignment w:val="baseline"/>
              <w:rPr>
                <w:sz w:val="22"/>
                <w:szCs w:val="22"/>
              </w:rPr>
            </w:pPr>
            <w:r w:rsidRPr="006A7666">
              <w:rPr>
                <w:rStyle w:val="normaltextrun"/>
                <w:sz w:val="22"/>
              </w:rPr>
              <w:t>Opomba 1: Obe indukcijski skupini sta prejeli odmerek 0,6 mg/kg (največ 40 mg) v 4. tednu in 6. tednu</w:t>
            </w:r>
            <w:r w:rsidRPr="006A7666">
              <w:rPr>
                <w:rStyle w:val="eop"/>
                <w:sz w:val="22"/>
              </w:rPr>
              <w:t> </w:t>
            </w:r>
          </w:p>
          <w:p w14:paraId="52555ECF" w14:textId="77777777" w:rsidR="00180CD6" w:rsidRPr="0028193B" w:rsidRDefault="00180CD6" w:rsidP="00EA4D6E">
            <w:pPr>
              <w:pStyle w:val="paragraph"/>
              <w:spacing w:before="0" w:beforeAutospacing="0" w:after="0" w:afterAutospacing="0"/>
              <w:textAlignment w:val="baseline"/>
              <w:rPr>
                <w:sz w:val="22"/>
                <w:szCs w:val="22"/>
              </w:rPr>
            </w:pPr>
            <w:r w:rsidRPr="0028193B">
              <w:rPr>
                <w:rStyle w:val="normaltextrun"/>
                <w:sz w:val="22"/>
              </w:rPr>
              <w:t>Opomba 2: Bolnike z manjkajočimi vrednostmi v 8. tednu so obravnavali, kot da niso dosegli opazovanega izida</w:t>
            </w:r>
            <w:r w:rsidRPr="0028193B">
              <w:rPr>
                <w:rStyle w:val="eop"/>
                <w:sz w:val="22"/>
              </w:rPr>
              <w:t> </w:t>
            </w:r>
          </w:p>
        </w:tc>
      </w:tr>
    </w:tbl>
    <w:p w14:paraId="49B34BBF" w14:textId="77777777" w:rsidR="00180CD6" w:rsidRPr="00797234" w:rsidRDefault="00180CD6" w:rsidP="00180CD6">
      <w:pPr>
        <w:rPr>
          <w:rFonts w:ascii="Times New Roman" w:hAnsi="Times New Roman" w:cs="Times New Roman"/>
          <w:lang w:val="sl-SI"/>
        </w:rPr>
      </w:pPr>
    </w:p>
    <w:p w14:paraId="7E6DB1B4" w14:textId="6FA34DE4" w:rsidR="00180CD6" w:rsidRPr="00407F29" w:rsidRDefault="00180CD6" w:rsidP="00180CD6">
      <w:pPr>
        <w:rPr>
          <w:rFonts w:ascii="Times New Roman" w:hAnsi="Times New Roman" w:cs="Times New Roman"/>
          <w:lang w:val="sl-SI"/>
        </w:rPr>
      </w:pPr>
      <w:r w:rsidRPr="00407F29">
        <w:rPr>
          <w:rStyle w:val="normaltextrun"/>
          <w:rFonts w:ascii="Times New Roman" w:hAnsi="Times New Roman" w:cs="Times New Roman"/>
          <w:shd w:val="clear" w:color="auto" w:fill="FFFFFF"/>
          <w:lang w:val="sl-SI"/>
        </w:rPr>
        <w:t xml:space="preserve">V 52. tednu so pri bolnikih, ki so prejemali zdravilo adalimumaba z dvojno slepim vzdrževalnim odmerkom največ 40 mg </w:t>
      </w:r>
      <w:r w:rsidRPr="00407F29">
        <w:rPr>
          <w:rStyle w:val="spellingerror"/>
          <w:rFonts w:ascii="Times New Roman" w:hAnsi="Times New Roman" w:cs="Times New Roman"/>
          <w:shd w:val="clear" w:color="auto" w:fill="FFFFFF"/>
          <w:lang w:val="sl-SI"/>
        </w:rPr>
        <w:t xml:space="preserve">vsak </w:t>
      </w:r>
      <w:r w:rsidR="00760D1B">
        <w:rPr>
          <w:rStyle w:val="spellingerror"/>
          <w:rFonts w:ascii="Times New Roman" w:hAnsi="Times New Roman" w:cs="Times New Roman"/>
          <w:shd w:val="clear" w:color="auto" w:fill="FFFFFF"/>
          <w:lang w:val="sl-SI"/>
        </w:rPr>
        <w:t xml:space="preserve">drugi </w:t>
      </w:r>
      <w:r w:rsidRPr="00407F29">
        <w:rPr>
          <w:rStyle w:val="spellingerror"/>
          <w:rFonts w:ascii="Times New Roman" w:hAnsi="Times New Roman" w:cs="Times New Roman"/>
          <w:shd w:val="clear" w:color="auto" w:fill="FFFFFF"/>
          <w:lang w:val="sl-SI"/>
        </w:rPr>
        <w:t>teden</w:t>
      </w:r>
      <w:r w:rsidRPr="00407F29">
        <w:rPr>
          <w:rStyle w:val="normaltextrun"/>
          <w:rFonts w:ascii="Times New Roman" w:hAnsi="Times New Roman" w:cs="Times New Roman"/>
          <w:shd w:val="clear" w:color="auto" w:fill="FFFFFF"/>
          <w:lang w:val="sl-SI"/>
        </w:rPr>
        <w:t xml:space="preserve"> (0,6 mg/kg) oziroma največ 40 mg </w:t>
      </w:r>
      <w:r w:rsidRPr="00407F29">
        <w:rPr>
          <w:rStyle w:val="spellingerror"/>
          <w:rFonts w:ascii="Times New Roman" w:hAnsi="Times New Roman" w:cs="Times New Roman"/>
          <w:shd w:val="clear" w:color="auto" w:fill="FFFFFF"/>
          <w:lang w:val="sl-SI"/>
        </w:rPr>
        <w:t>vsak teden</w:t>
      </w:r>
      <w:r w:rsidRPr="00407F29">
        <w:rPr>
          <w:rStyle w:val="normaltextrun"/>
          <w:rFonts w:ascii="Times New Roman" w:hAnsi="Times New Roman" w:cs="Times New Roman"/>
          <w:shd w:val="clear" w:color="auto" w:fill="FFFFFF"/>
          <w:lang w:val="sl-SI"/>
        </w:rPr>
        <w:t xml:space="preserve"> (0,6 mg/kg</w:t>
      </w:r>
      <w:r w:rsidR="00AB70ED">
        <w:rPr>
          <w:rStyle w:val="normaltextrun"/>
          <w:rFonts w:ascii="Times New Roman" w:hAnsi="Times New Roman" w:cs="Times New Roman"/>
          <w:shd w:val="clear" w:color="auto" w:fill="FFFFFF"/>
          <w:lang w:val="sl-SI"/>
        </w:rPr>
        <w:t>)</w:t>
      </w:r>
      <w:r w:rsidRPr="00407F29">
        <w:rPr>
          <w:rStyle w:val="normaltextrun"/>
          <w:rFonts w:ascii="Times New Roman" w:hAnsi="Times New Roman" w:cs="Times New Roman"/>
          <w:shd w:val="clear" w:color="auto" w:fill="FFFFFF"/>
          <w:lang w:val="sl-SI"/>
        </w:rPr>
        <w:t xml:space="preserve">, ocenili klinično </w:t>
      </w:r>
      <w:r w:rsidRPr="008E156D">
        <w:rPr>
          <w:rStyle w:val="normaltextrun"/>
          <w:rFonts w:ascii="Times New Roman" w:hAnsi="Times New Roman" w:cs="Times New Roman"/>
          <w:shd w:val="clear" w:color="auto" w:fill="FFFFFF"/>
          <w:lang w:val="sl-SI"/>
        </w:rPr>
        <w:t xml:space="preserve">remisijo po FMS pri bolnikih z odzivom v 8. tednu, klinični odziv po FMS (opredeljen kot zmanjšanje ocene Mayo </w:t>
      </w:r>
      <w:r w:rsidRPr="008E156D">
        <w:rPr>
          <w:rStyle w:val="normaltextrun"/>
          <w:rFonts w:ascii="Times New Roman" w:hAnsi="Times New Roman" w:cs="Times New Roman" w:hint="eastAsia"/>
          <w:shd w:val="clear" w:color="auto" w:fill="FFFFFF"/>
          <w:lang w:val="sl-SI"/>
        </w:rPr>
        <w:t>≥</w:t>
      </w:r>
      <w:r w:rsidRPr="008E156D">
        <w:rPr>
          <w:rStyle w:val="normaltextrun"/>
          <w:rFonts w:ascii="Times New Roman" w:hAnsi="Times New Roman" w:cs="Times New Roman" w:hint="eastAsia"/>
          <w:shd w:val="clear" w:color="auto" w:fill="FFFFFF"/>
          <w:lang w:val="sl-SI"/>
        </w:rPr>
        <w:t> </w:t>
      </w:r>
      <w:r w:rsidRPr="008E156D">
        <w:rPr>
          <w:rStyle w:val="normaltextrun"/>
          <w:rFonts w:ascii="Times New Roman" w:hAnsi="Times New Roman" w:cs="Times New Roman"/>
          <w:shd w:val="clear" w:color="auto" w:fill="FFFFFF"/>
          <w:lang w:val="sl-SI"/>
        </w:rPr>
        <w:t xml:space="preserve">3 točke in </w:t>
      </w:r>
      <w:r w:rsidRPr="008E156D">
        <w:rPr>
          <w:rStyle w:val="normaltextrun"/>
          <w:rFonts w:ascii="Times New Roman" w:hAnsi="Times New Roman" w:cs="Times New Roman" w:hint="eastAsia"/>
          <w:shd w:val="clear" w:color="auto" w:fill="FFFFFF"/>
          <w:lang w:val="sl-SI"/>
        </w:rPr>
        <w:t>≥</w:t>
      </w:r>
      <w:r w:rsidRPr="008E156D">
        <w:rPr>
          <w:rStyle w:val="normaltextrun"/>
          <w:rFonts w:ascii="Times New Roman" w:hAnsi="Times New Roman" w:cs="Times New Roman" w:hint="eastAsia"/>
          <w:shd w:val="clear" w:color="auto" w:fill="FFFFFF"/>
          <w:lang w:val="sl-SI"/>
        </w:rPr>
        <w:t> </w:t>
      </w:r>
      <w:r w:rsidRPr="008E156D">
        <w:rPr>
          <w:rStyle w:val="normaltextrun"/>
          <w:rFonts w:ascii="Times New Roman" w:hAnsi="Times New Roman" w:cs="Times New Roman"/>
          <w:shd w:val="clear" w:color="auto" w:fill="FFFFFF"/>
          <w:lang w:val="sl-SI"/>
        </w:rPr>
        <w:t xml:space="preserve">30 % glede na izhodišče) pri bolnikih z odzivom v 8. tednu, sluznično celjenje po FMS (opredeljeno kot endoskopsko oceno Mayo </w:t>
      </w:r>
      <w:r w:rsidRPr="008E156D">
        <w:rPr>
          <w:rStyle w:val="normaltextrun"/>
          <w:rFonts w:ascii="Times New Roman" w:hAnsi="Times New Roman" w:cs="Times New Roman" w:hint="eastAsia"/>
          <w:shd w:val="clear" w:color="auto" w:fill="FFFFFF"/>
          <w:lang w:val="sl-SI"/>
        </w:rPr>
        <w:t>≤</w:t>
      </w:r>
      <w:r w:rsidRPr="008E156D">
        <w:rPr>
          <w:rStyle w:val="normaltextrun"/>
          <w:rFonts w:ascii="Times New Roman" w:hAnsi="Times New Roman" w:cs="Times New Roman" w:hint="eastAsia"/>
          <w:shd w:val="clear" w:color="auto" w:fill="FFFFFF"/>
          <w:lang w:val="sl-SI"/>
        </w:rPr>
        <w:t> </w:t>
      </w:r>
      <w:r w:rsidRPr="008E156D">
        <w:rPr>
          <w:rStyle w:val="normaltextrun"/>
          <w:rFonts w:ascii="Times New Roman" w:hAnsi="Times New Roman" w:cs="Times New Roman"/>
          <w:shd w:val="clear" w:color="auto" w:fill="FFFFFF"/>
          <w:lang w:val="sl-SI"/>
        </w:rPr>
        <w:t>1) pri bolnikih z odzivom v 8. tednu, klinično remisijo po FMS pri bolnikih z remisijo v 8. tednu in delež udeležencev z remisijo brez kortikosteroidov po FMS pri</w:t>
      </w:r>
      <w:r w:rsidRPr="00407F29">
        <w:rPr>
          <w:rStyle w:val="normaltextrun"/>
          <w:rFonts w:ascii="Times New Roman" w:hAnsi="Times New Roman" w:cs="Times New Roman"/>
          <w:shd w:val="clear" w:color="auto" w:fill="FFFFFF"/>
          <w:lang w:val="sl-SI"/>
        </w:rPr>
        <w:t xml:space="preserve"> bolnikih z odzivom v 8. tednu (preglednica </w:t>
      </w:r>
      <w:r w:rsidR="00407F29" w:rsidRPr="00407F29">
        <w:rPr>
          <w:rStyle w:val="normaltextrun"/>
          <w:rFonts w:ascii="Times New Roman" w:hAnsi="Times New Roman" w:cs="Times New Roman"/>
          <w:shd w:val="clear" w:color="auto" w:fill="FFFFFF"/>
          <w:lang w:val="sl-SI"/>
        </w:rPr>
        <w:t>22</w:t>
      </w:r>
      <w:r w:rsidRPr="00407F29">
        <w:rPr>
          <w:rStyle w:val="normaltextrun"/>
          <w:rFonts w:ascii="Times New Roman" w:hAnsi="Times New Roman" w:cs="Times New Roman"/>
          <w:shd w:val="clear" w:color="auto" w:fill="FFFFFF"/>
          <w:lang w:val="sl-SI"/>
        </w:rPr>
        <w:t>).</w:t>
      </w:r>
    </w:p>
    <w:p w14:paraId="514745FE" w14:textId="77777777" w:rsidR="00180CD6" w:rsidRPr="00797234" w:rsidRDefault="00180CD6" w:rsidP="00180CD6">
      <w:pPr>
        <w:jc w:val="center"/>
        <w:textAlignment w:val="baseline"/>
        <w:rPr>
          <w:rFonts w:ascii="Times New Roman" w:hAnsi="Times New Roman" w:cs="Times New Roman"/>
          <w:b/>
          <w:lang w:val="sl-SI" w:eastAsia="en-GB"/>
        </w:rPr>
      </w:pPr>
    </w:p>
    <w:p w14:paraId="36550800" w14:textId="1EF9A6BD" w:rsidR="00180CD6" w:rsidRDefault="00180CD6" w:rsidP="00180CD6">
      <w:pPr>
        <w:jc w:val="center"/>
        <w:textAlignment w:val="baseline"/>
        <w:rPr>
          <w:rFonts w:ascii="Times New Roman" w:hAnsi="Times New Roman" w:cs="Times New Roman"/>
          <w:b/>
          <w:lang w:val="sl-SI"/>
        </w:rPr>
      </w:pPr>
      <w:r w:rsidRPr="00797234">
        <w:rPr>
          <w:rFonts w:ascii="Times New Roman" w:hAnsi="Times New Roman" w:cs="Times New Roman"/>
          <w:b/>
          <w:lang w:val="sl-SI"/>
        </w:rPr>
        <w:t>Preglednica </w:t>
      </w:r>
      <w:r w:rsidR="00407F29">
        <w:rPr>
          <w:rFonts w:ascii="Times New Roman" w:hAnsi="Times New Roman" w:cs="Times New Roman"/>
          <w:b/>
          <w:lang w:val="sl-SI"/>
        </w:rPr>
        <w:t>22</w:t>
      </w:r>
      <w:r w:rsidRPr="00797234">
        <w:rPr>
          <w:rFonts w:ascii="Times New Roman" w:hAnsi="Times New Roman" w:cs="Times New Roman"/>
          <w:b/>
          <w:lang w:val="sl-SI"/>
        </w:rPr>
        <w:t>: Rezu</w:t>
      </w:r>
      <w:r w:rsidR="00407F29">
        <w:rPr>
          <w:rFonts w:ascii="Times New Roman" w:hAnsi="Times New Roman" w:cs="Times New Roman"/>
          <w:b/>
          <w:lang w:val="sl-SI"/>
        </w:rPr>
        <w:t>ltati učinkovitosti v 52. tednu</w:t>
      </w:r>
    </w:p>
    <w:p w14:paraId="1A43B1D4" w14:textId="77777777" w:rsidR="00407F29" w:rsidRPr="00797234" w:rsidRDefault="00407F29" w:rsidP="00180CD6">
      <w:pPr>
        <w:jc w:val="center"/>
        <w:textAlignment w:val="baseline"/>
        <w:rPr>
          <w:rFonts w:ascii="Times New Roman" w:hAnsi="Times New Roman" w:cs="Times New Roman"/>
          <w:b/>
          <w:lang w:val="sl-SI"/>
        </w:rPr>
      </w:pPr>
    </w:p>
    <w:tbl>
      <w:tblPr>
        <w:tblW w:w="949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46"/>
        <w:gridCol w:w="3000"/>
        <w:gridCol w:w="3344"/>
      </w:tblGrid>
      <w:tr w:rsidR="00180CD6" w:rsidRPr="00AC7013" w14:paraId="4442D1CC" w14:textId="77777777" w:rsidTr="00EA4D6E">
        <w:trPr>
          <w:trHeight w:val="248"/>
          <w:jc w:val="center"/>
        </w:trPr>
        <w:tc>
          <w:tcPr>
            <w:tcW w:w="3146" w:type="dxa"/>
            <w:tcBorders>
              <w:top w:val="single" w:sz="6" w:space="0" w:color="auto"/>
              <w:left w:val="single" w:sz="6" w:space="0" w:color="auto"/>
              <w:bottom w:val="single" w:sz="6" w:space="0" w:color="auto"/>
              <w:right w:val="single" w:sz="6" w:space="0" w:color="auto"/>
            </w:tcBorders>
            <w:hideMark/>
          </w:tcPr>
          <w:p w14:paraId="7720C2F6" w14:textId="77777777" w:rsidR="00180CD6" w:rsidRPr="00797234" w:rsidRDefault="00180CD6" w:rsidP="00EA4D6E">
            <w:pPr>
              <w:jc w:val="center"/>
              <w:textAlignment w:val="baseline"/>
              <w:rPr>
                <w:rFonts w:ascii="Times New Roman" w:hAnsi="Times New Roman" w:cs="Times New Roman"/>
                <w:lang w:val="sl-SI" w:eastAsia="en-GB"/>
              </w:rPr>
            </w:pPr>
          </w:p>
        </w:tc>
        <w:tc>
          <w:tcPr>
            <w:tcW w:w="3000" w:type="dxa"/>
            <w:tcBorders>
              <w:top w:val="single" w:sz="6" w:space="0" w:color="auto"/>
              <w:left w:val="nil"/>
              <w:bottom w:val="single" w:sz="6" w:space="0" w:color="auto"/>
              <w:right w:val="single" w:sz="6" w:space="0" w:color="auto"/>
            </w:tcBorders>
            <w:vAlign w:val="center"/>
            <w:hideMark/>
          </w:tcPr>
          <w:p w14:paraId="3EE444D6" w14:textId="77777777" w:rsidR="00180CD6" w:rsidRPr="00797234" w:rsidRDefault="00180CD6" w:rsidP="00EA4D6E">
            <w:pPr>
              <w:jc w:val="center"/>
              <w:textAlignment w:val="baseline"/>
              <w:rPr>
                <w:rFonts w:ascii="Times New Roman" w:hAnsi="Times New Roman" w:cs="Times New Roman"/>
                <w:lang w:val="sl-SI"/>
              </w:rPr>
            </w:pPr>
            <w:r>
              <w:rPr>
                <w:rFonts w:ascii="Times New Roman" w:hAnsi="Times New Roman" w:cs="Times New Roman"/>
                <w:b/>
                <w:lang w:val="sl-SI"/>
              </w:rPr>
              <w:t>Adalimumab</w:t>
            </w:r>
            <w:r w:rsidRPr="00797234">
              <w:rPr>
                <w:rFonts w:ascii="Times New Roman" w:hAnsi="Times New Roman" w:cs="Times New Roman"/>
                <w:b/>
                <w:vertAlign w:val="superscript"/>
                <w:lang w:val="sl-SI"/>
              </w:rPr>
              <w:t>a</w:t>
            </w:r>
            <w:r w:rsidRPr="00797234">
              <w:rPr>
                <w:rFonts w:ascii="Times New Roman" w:hAnsi="Times New Roman" w:cs="Times New Roman"/>
                <w:b/>
                <w:lang w:val="sl-SI"/>
              </w:rPr>
              <w:t> </w:t>
            </w:r>
            <w:r w:rsidRPr="00797234">
              <w:rPr>
                <w:rFonts w:ascii="Times New Roman" w:hAnsi="Times New Roman" w:cs="Times New Roman"/>
                <w:lang w:val="sl-SI"/>
              </w:rPr>
              <w:t> </w:t>
            </w:r>
          </w:p>
          <w:p w14:paraId="5631AE1E" w14:textId="77777777" w:rsidR="00180CD6" w:rsidRPr="00797234" w:rsidRDefault="00180CD6" w:rsidP="00EA4D6E">
            <w:pPr>
              <w:jc w:val="center"/>
              <w:textAlignment w:val="baseline"/>
              <w:rPr>
                <w:rFonts w:ascii="Times New Roman" w:hAnsi="Times New Roman" w:cs="Times New Roman"/>
                <w:lang w:val="sl-SI"/>
              </w:rPr>
            </w:pPr>
            <w:r w:rsidRPr="00797234">
              <w:rPr>
                <w:rFonts w:ascii="Times New Roman" w:hAnsi="Times New Roman" w:cs="Times New Roman"/>
                <w:b/>
                <w:lang w:val="sl-SI"/>
              </w:rPr>
              <w:t>Največ 40 mg vsak drugi teden</w:t>
            </w:r>
            <w:r w:rsidRPr="00797234">
              <w:rPr>
                <w:rFonts w:ascii="Times New Roman" w:hAnsi="Times New Roman" w:cs="Times New Roman"/>
                <w:lang w:val="sl-SI"/>
              </w:rPr>
              <w:t> </w:t>
            </w:r>
          </w:p>
          <w:p w14:paraId="4AF18FB6" w14:textId="77777777" w:rsidR="00180CD6" w:rsidRPr="00797234" w:rsidRDefault="00180CD6" w:rsidP="00EA4D6E">
            <w:pPr>
              <w:jc w:val="center"/>
              <w:textAlignment w:val="baseline"/>
              <w:rPr>
                <w:rFonts w:ascii="Times New Roman" w:hAnsi="Times New Roman" w:cs="Times New Roman"/>
                <w:lang w:val="sl-SI"/>
              </w:rPr>
            </w:pPr>
            <w:r w:rsidRPr="00797234">
              <w:rPr>
                <w:rFonts w:ascii="Times New Roman" w:hAnsi="Times New Roman" w:cs="Times New Roman"/>
                <w:lang w:val="sl-SI"/>
              </w:rPr>
              <w:t>N = 31</w:t>
            </w:r>
          </w:p>
        </w:tc>
        <w:tc>
          <w:tcPr>
            <w:tcW w:w="3344" w:type="dxa"/>
            <w:tcBorders>
              <w:top w:val="single" w:sz="6" w:space="0" w:color="auto"/>
              <w:left w:val="nil"/>
              <w:bottom w:val="single" w:sz="6" w:space="0" w:color="auto"/>
              <w:right w:val="single" w:sz="6" w:space="0" w:color="auto"/>
            </w:tcBorders>
            <w:vAlign w:val="center"/>
            <w:hideMark/>
          </w:tcPr>
          <w:p w14:paraId="302318A7" w14:textId="77777777" w:rsidR="00180CD6" w:rsidRPr="00797234" w:rsidRDefault="00180CD6" w:rsidP="00EA4D6E">
            <w:pPr>
              <w:jc w:val="center"/>
              <w:textAlignment w:val="baseline"/>
              <w:rPr>
                <w:rFonts w:ascii="Times New Roman" w:hAnsi="Times New Roman" w:cs="Times New Roman"/>
                <w:lang w:val="sl-SI"/>
              </w:rPr>
            </w:pPr>
            <w:r>
              <w:rPr>
                <w:rFonts w:ascii="Times New Roman" w:hAnsi="Times New Roman" w:cs="Times New Roman"/>
                <w:b/>
                <w:lang w:val="sl-SI"/>
              </w:rPr>
              <w:t>Adalimumab</w:t>
            </w:r>
            <w:r w:rsidRPr="00797234">
              <w:rPr>
                <w:rFonts w:ascii="Times New Roman" w:hAnsi="Times New Roman" w:cs="Times New Roman"/>
                <w:b/>
                <w:vertAlign w:val="superscript"/>
                <w:lang w:val="sl-SI"/>
              </w:rPr>
              <w:t>b</w:t>
            </w:r>
            <w:r w:rsidRPr="00797234">
              <w:rPr>
                <w:rFonts w:ascii="Times New Roman" w:hAnsi="Times New Roman" w:cs="Times New Roman"/>
                <w:b/>
                <w:lang w:val="sl-SI"/>
              </w:rPr>
              <w:t> </w:t>
            </w:r>
            <w:r w:rsidRPr="00797234">
              <w:rPr>
                <w:rFonts w:ascii="Times New Roman" w:hAnsi="Times New Roman" w:cs="Times New Roman"/>
                <w:lang w:val="sl-SI"/>
              </w:rPr>
              <w:t> </w:t>
            </w:r>
          </w:p>
          <w:p w14:paraId="4D7588D9" w14:textId="77777777" w:rsidR="00180CD6" w:rsidRPr="00797234" w:rsidRDefault="00180CD6" w:rsidP="00EA4D6E">
            <w:pPr>
              <w:jc w:val="center"/>
              <w:textAlignment w:val="baseline"/>
              <w:rPr>
                <w:rFonts w:ascii="Times New Roman" w:hAnsi="Times New Roman" w:cs="Times New Roman"/>
                <w:lang w:val="sl-SI"/>
              </w:rPr>
            </w:pPr>
            <w:r w:rsidRPr="00797234">
              <w:rPr>
                <w:rFonts w:ascii="Times New Roman" w:hAnsi="Times New Roman" w:cs="Times New Roman"/>
                <w:b/>
                <w:lang w:val="sl-SI"/>
              </w:rPr>
              <w:t>Največ 40 mg vsak teden</w:t>
            </w:r>
            <w:r w:rsidRPr="00797234">
              <w:rPr>
                <w:rFonts w:ascii="Times New Roman" w:hAnsi="Times New Roman" w:cs="Times New Roman"/>
                <w:lang w:val="sl-SI"/>
              </w:rPr>
              <w:t> </w:t>
            </w:r>
          </w:p>
          <w:p w14:paraId="310FBFEE" w14:textId="77777777" w:rsidR="00180CD6" w:rsidRPr="00797234" w:rsidRDefault="00180CD6" w:rsidP="00EA4D6E">
            <w:pPr>
              <w:jc w:val="center"/>
              <w:textAlignment w:val="baseline"/>
              <w:rPr>
                <w:rFonts w:ascii="Times New Roman" w:hAnsi="Times New Roman" w:cs="Times New Roman"/>
                <w:lang w:val="sl-SI"/>
              </w:rPr>
            </w:pPr>
            <w:r w:rsidRPr="00797234">
              <w:rPr>
                <w:rFonts w:ascii="Times New Roman" w:hAnsi="Times New Roman" w:cs="Times New Roman"/>
                <w:lang w:val="sl-SI"/>
              </w:rPr>
              <w:t>N = 31</w:t>
            </w:r>
          </w:p>
        </w:tc>
      </w:tr>
      <w:tr w:rsidR="00180CD6" w:rsidRPr="006A7666" w14:paraId="1FD1ACA9" w14:textId="77777777" w:rsidTr="00EA4D6E">
        <w:trPr>
          <w:trHeight w:val="155"/>
          <w:jc w:val="center"/>
        </w:trPr>
        <w:tc>
          <w:tcPr>
            <w:tcW w:w="3146" w:type="dxa"/>
            <w:tcBorders>
              <w:top w:val="nil"/>
              <w:left w:val="single" w:sz="6" w:space="0" w:color="auto"/>
              <w:bottom w:val="single" w:sz="6" w:space="0" w:color="auto"/>
              <w:right w:val="single" w:sz="6" w:space="0" w:color="auto"/>
            </w:tcBorders>
            <w:vAlign w:val="center"/>
            <w:hideMark/>
          </w:tcPr>
          <w:p w14:paraId="52774BC3" w14:textId="77777777" w:rsidR="00180CD6" w:rsidRPr="00797234" w:rsidRDefault="00180CD6" w:rsidP="00EA4D6E">
            <w:pPr>
              <w:textAlignment w:val="baseline"/>
              <w:rPr>
                <w:rFonts w:ascii="Times New Roman" w:hAnsi="Times New Roman" w:cs="Times New Roman"/>
                <w:lang w:val="sl-SI"/>
              </w:rPr>
            </w:pPr>
            <w:r w:rsidRPr="00797234">
              <w:rPr>
                <w:rFonts w:ascii="Times New Roman" w:hAnsi="Times New Roman" w:cs="Times New Roman"/>
                <w:lang w:val="sl-SI"/>
              </w:rPr>
              <w:t>Klinična remisija pri bolnikih z odzivom po PMS v 8. tednu </w:t>
            </w:r>
          </w:p>
        </w:tc>
        <w:tc>
          <w:tcPr>
            <w:tcW w:w="3000" w:type="dxa"/>
            <w:tcBorders>
              <w:top w:val="nil"/>
              <w:left w:val="nil"/>
              <w:bottom w:val="single" w:sz="6" w:space="0" w:color="auto"/>
              <w:right w:val="single" w:sz="6" w:space="0" w:color="auto"/>
            </w:tcBorders>
            <w:vAlign w:val="center"/>
            <w:hideMark/>
          </w:tcPr>
          <w:p w14:paraId="45A24AB6" w14:textId="77777777" w:rsidR="00180CD6" w:rsidRPr="00797234" w:rsidRDefault="00180CD6" w:rsidP="00EA4D6E">
            <w:pPr>
              <w:jc w:val="center"/>
              <w:textAlignment w:val="baseline"/>
              <w:rPr>
                <w:rFonts w:ascii="Times New Roman" w:hAnsi="Times New Roman" w:cs="Times New Roman"/>
                <w:lang w:val="sl-SI"/>
              </w:rPr>
            </w:pPr>
            <w:r w:rsidRPr="00797234">
              <w:rPr>
                <w:rFonts w:ascii="Times New Roman" w:hAnsi="Times New Roman" w:cs="Times New Roman"/>
                <w:lang w:val="sl-SI"/>
              </w:rPr>
              <w:t>9/31 (29,0 %) </w:t>
            </w:r>
          </w:p>
        </w:tc>
        <w:tc>
          <w:tcPr>
            <w:tcW w:w="3344" w:type="dxa"/>
            <w:tcBorders>
              <w:top w:val="nil"/>
              <w:left w:val="nil"/>
              <w:bottom w:val="single" w:sz="6" w:space="0" w:color="auto"/>
              <w:right w:val="single" w:sz="6" w:space="0" w:color="auto"/>
            </w:tcBorders>
            <w:vAlign w:val="center"/>
            <w:hideMark/>
          </w:tcPr>
          <w:p w14:paraId="7E18FDE8" w14:textId="77777777" w:rsidR="00180CD6" w:rsidRPr="00797234" w:rsidRDefault="00180CD6" w:rsidP="00EA4D6E">
            <w:pPr>
              <w:jc w:val="center"/>
              <w:textAlignment w:val="baseline"/>
              <w:rPr>
                <w:rFonts w:ascii="Times New Roman" w:hAnsi="Times New Roman" w:cs="Times New Roman"/>
                <w:lang w:val="sl-SI"/>
              </w:rPr>
            </w:pPr>
            <w:r w:rsidRPr="00797234">
              <w:rPr>
                <w:rFonts w:ascii="Times New Roman" w:hAnsi="Times New Roman" w:cs="Times New Roman"/>
                <w:lang w:val="sl-SI"/>
              </w:rPr>
              <w:t>14/31 (45,2 %)</w:t>
            </w:r>
          </w:p>
        </w:tc>
      </w:tr>
      <w:tr w:rsidR="00180CD6" w:rsidRPr="006A7666" w14:paraId="3BE693E0" w14:textId="77777777" w:rsidTr="00EA4D6E">
        <w:trPr>
          <w:trHeight w:val="150"/>
          <w:jc w:val="center"/>
        </w:trPr>
        <w:tc>
          <w:tcPr>
            <w:tcW w:w="3146" w:type="dxa"/>
            <w:tcBorders>
              <w:top w:val="nil"/>
              <w:left w:val="single" w:sz="6" w:space="0" w:color="auto"/>
              <w:bottom w:val="single" w:sz="6" w:space="0" w:color="auto"/>
              <w:right w:val="single" w:sz="6" w:space="0" w:color="auto"/>
            </w:tcBorders>
            <w:vAlign w:val="center"/>
            <w:hideMark/>
          </w:tcPr>
          <w:p w14:paraId="49D9A124" w14:textId="77777777" w:rsidR="00180CD6" w:rsidRPr="00797234" w:rsidRDefault="00180CD6" w:rsidP="00EA4D6E">
            <w:pPr>
              <w:textAlignment w:val="baseline"/>
              <w:rPr>
                <w:rFonts w:ascii="Times New Roman" w:hAnsi="Times New Roman" w:cs="Times New Roman"/>
                <w:lang w:val="sl-SI"/>
              </w:rPr>
            </w:pPr>
            <w:r w:rsidRPr="00797234">
              <w:rPr>
                <w:rFonts w:ascii="Times New Roman" w:hAnsi="Times New Roman" w:cs="Times New Roman"/>
                <w:lang w:val="sl-SI"/>
              </w:rPr>
              <w:t>Klinični odziv pri bolnikih z odzivom po PMS v 8. tednu </w:t>
            </w:r>
          </w:p>
        </w:tc>
        <w:tc>
          <w:tcPr>
            <w:tcW w:w="3000" w:type="dxa"/>
            <w:tcBorders>
              <w:top w:val="nil"/>
              <w:left w:val="nil"/>
              <w:bottom w:val="single" w:sz="6" w:space="0" w:color="auto"/>
              <w:right w:val="single" w:sz="6" w:space="0" w:color="auto"/>
            </w:tcBorders>
            <w:vAlign w:val="center"/>
            <w:hideMark/>
          </w:tcPr>
          <w:p w14:paraId="3D07C270" w14:textId="77777777" w:rsidR="00180CD6" w:rsidRPr="00797234" w:rsidRDefault="00180CD6" w:rsidP="00EA4D6E">
            <w:pPr>
              <w:jc w:val="center"/>
              <w:textAlignment w:val="baseline"/>
              <w:rPr>
                <w:rFonts w:ascii="Times New Roman" w:hAnsi="Times New Roman" w:cs="Times New Roman"/>
                <w:lang w:val="sl-SI"/>
              </w:rPr>
            </w:pPr>
            <w:r w:rsidRPr="00797234">
              <w:rPr>
                <w:rFonts w:ascii="Times New Roman" w:hAnsi="Times New Roman" w:cs="Times New Roman"/>
                <w:lang w:val="sl-SI"/>
              </w:rPr>
              <w:t>19/31 (61,3 %) </w:t>
            </w:r>
          </w:p>
        </w:tc>
        <w:tc>
          <w:tcPr>
            <w:tcW w:w="3344" w:type="dxa"/>
            <w:tcBorders>
              <w:top w:val="nil"/>
              <w:left w:val="nil"/>
              <w:bottom w:val="single" w:sz="6" w:space="0" w:color="auto"/>
              <w:right w:val="single" w:sz="6" w:space="0" w:color="auto"/>
            </w:tcBorders>
            <w:vAlign w:val="center"/>
            <w:hideMark/>
          </w:tcPr>
          <w:p w14:paraId="6DBB0CCA" w14:textId="77777777" w:rsidR="00180CD6" w:rsidRPr="00797234" w:rsidRDefault="00180CD6" w:rsidP="00EA4D6E">
            <w:pPr>
              <w:jc w:val="center"/>
              <w:textAlignment w:val="baseline"/>
              <w:rPr>
                <w:rFonts w:ascii="Times New Roman" w:hAnsi="Times New Roman" w:cs="Times New Roman"/>
                <w:lang w:val="sl-SI"/>
              </w:rPr>
            </w:pPr>
            <w:r w:rsidRPr="00797234">
              <w:rPr>
                <w:rFonts w:ascii="Times New Roman" w:hAnsi="Times New Roman" w:cs="Times New Roman"/>
                <w:lang w:val="sl-SI"/>
              </w:rPr>
              <w:t>21/31 (67,7 %) </w:t>
            </w:r>
          </w:p>
        </w:tc>
      </w:tr>
      <w:tr w:rsidR="00180CD6" w:rsidRPr="006A7666" w14:paraId="23679FA2" w14:textId="77777777" w:rsidTr="00EA4D6E">
        <w:trPr>
          <w:trHeight w:val="206"/>
          <w:jc w:val="center"/>
        </w:trPr>
        <w:tc>
          <w:tcPr>
            <w:tcW w:w="3146" w:type="dxa"/>
            <w:tcBorders>
              <w:top w:val="nil"/>
              <w:left w:val="single" w:sz="6" w:space="0" w:color="auto"/>
              <w:bottom w:val="single" w:sz="6" w:space="0" w:color="auto"/>
              <w:right w:val="single" w:sz="6" w:space="0" w:color="auto"/>
            </w:tcBorders>
            <w:vAlign w:val="center"/>
            <w:hideMark/>
          </w:tcPr>
          <w:p w14:paraId="17C3C0D5" w14:textId="77777777" w:rsidR="00180CD6" w:rsidRPr="00797234" w:rsidRDefault="00180CD6" w:rsidP="00EA4D6E">
            <w:pPr>
              <w:textAlignment w:val="baseline"/>
              <w:rPr>
                <w:rFonts w:ascii="Times New Roman" w:hAnsi="Times New Roman" w:cs="Times New Roman"/>
                <w:lang w:val="sl-SI"/>
              </w:rPr>
            </w:pPr>
            <w:r w:rsidRPr="00797234">
              <w:rPr>
                <w:rFonts w:ascii="Times New Roman" w:hAnsi="Times New Roman" w:cs="Times New Roman"/>
                <w:lang w:val="sl-SI"/>
              </w:rPr>
              <w:t>Sluznično celjenje pri bolnikih z odzivom po PMS v 8. tednu </w:t>
            </w:r>
          </w:p>
        </w:tc>
        <w:tc>
          <w:tcPr>
            <w:tcW w:w="3000" w:type="dxa"/>
            <w:tcBorders>
              <w:top w:val="nil"/>
              <w:left w:val="nil"/>
              <w:bottom w:val="single" w:sz="6" w:space="0" w:color="auto"/>
              <w:right w:val="single" w:sz="6" w:space="0" w:color="auto"/>
            </w:tcBorders>
            <w:vAlign w:val="center"/>
            <w:hideMark/>
          </w:tcPr>
          <w:p w14:paraId="4BC977A8" w14:textId="77777777" w:rsidR="00180CD6" w:rsidRPr="00797234" w:rsidRDefault="00180CD6" w:rsidP="00EA4D6E">
            <w:pPr>
              <w:jc w:val="center"/>
              <w:textAlignment w:val="baseline"/>
              <w:rPr>
                <w:rFonts w:ascii="Times New Roman" w:hAnsi="Times New Roman" w:cs="Times New Roman"/>
                <w:lang w:val="sl-SI"/>
              </w:rPr>
            </w:pPr>
            <w:r w:rsidRPr="00797234">
              <w:rPr>
                <w:rFonts w:ascii="Times New Roman" w:hAnsi="Times New Roman" w:cs="Times New Roman"/>
                <w:lang w:val="sl-SI"/>
              </w:rPr>
              <w:t>12/31 (38,7 %) </w:t>
            </w:r>
          </w:p>
        </w:tc>
        <w:tc>
          <w:tcPr>
            <w:tcW w:w="3344" w:type="dxa"/>
            <w:tcBorders>
              <w:top w:val="nil"/>
              <w:left w:val="nil"/>
              <w:bottom w:val="single" w:sz="6" w:space="0" w:color="auto"/>
              <w:right w:val="single" w:sz="6" w:space="0" w:color="auto"/>
            </w:tcBorders>
            <w:vAlign w:val="center"/>
            <w:hideMark/>
          </w:tcPr>
          <w:p w14:paraId="0B003E6D" w14:textId="77777777" w:rsidR="00180CD6" w:rsidRPr="00797234" w:rsidRDefault="00180CD6" w:rsidP="00EA4D6E">
            <w:pPr>
              <w:jc w:val="center"/>
              <w:textAlignment w:val="baseline"/>
              <w:rPr>
                <w:rFonts w:ascii="Times New Roman" w:hAnsi="Times New Roman" w:cs="Times New Roman"/>
                <w:lang w:val="sl-SI"/>
              </w:rPr>
            </w:pPr>
            <w:r w:rsidRPr="00797234">
              <w:rPr>
                <w:rFonts w:ascii="Times New Roman" w:hAnsi="Times New Roman" w:cs="Times New Roman"/>
                <w:lang w:val="sl-SI"/>
              </w:rPr>
              <w:t>16/31 (51,6 %) </w:t>
            </w:r>
          </w:p>
        </w:tc>
      </w:tr>
      <w:tr w:rsidR="00180CD6" w:rsidRPr="006A7666" w14:paraId="1F2AAEC3" w14:textId="77777777" w:rsidTr="00EA4D6E">
        <w:trPr>
          <w:trHeight w:val="204"/>
          <w:jc w:val="center"/>
        </w:trPr>
        <w:tc>
          <w:tcPr>
            <w:tcW w:w="3146" w:type="dxa"/>
            <w:tcBorders>
              <w:top w:val="nil"/>
              <w:left w:val="single" w:sz="6" w:space="0" w:color="auto"/>
              <w:bottom w:val="single" w:sz="6" w:space="0" w:color="auto"/>
              <w:right w:val="single" w:sz="6" w:space="0" w:color="auto"/>
            </w:tcBorders>
            <w:vAlign w:val="center"/>
            <w:hideMark/>
          </w:tcPr>
          <w:p w14:paraId="5963E0FE" w14:textId="77777777" w:rsidR="00180CD6" w:rsidRPr="00797234" w:rsidRDefault="00180CD6" w:rsidP="00EA4D6E">
            <w:pPr>
              <w:textAlignment w:val="baseline"/>
              <w:rPr>
                <w:rFonts w:ascii="Times New Roman" w:hAnsi="Times New Roman" w:cs="Times New Roman"/>
                <w:lang w:val="sl-SI"/>
              </w:rPr>
            </w:pPr>
            <w:r w:rsidRPr="00797234">
              <w:rPr>
                <w:rFonts w:ascii="Times New Roman" w:hAnsi="Times New Roman" w:cs="Times New Roman"/>
                <w:lang w:val="sl-SI"/>
              </w:rPr>
              <w:t>Klinična remisija pri bolnikih z remisijo po PMS v 8. tednu </w:t>
            </w:r>
          </w:p>
        </w:tc>
        <w:tc>
          <w:tcPr>
            <w:tcW w:w="3000" w:type="dxa"/>
            <w:tcBorders>
              <w:top w:val="nil"/>
              <w:left w:val="nil"/>
              <w:bottom w:val="single" w:sz="6" w:space="0" w:color="auto"/>
              <w:right w:val="single" w:sz="6" w:space="0" w:color="auto"/>
            </w:tcBorders>
            <w:vAlign w:val="center"/>
            <w:hideMark/>
          </w:tcPr>
          <w:p w14:paraId="67BB53A0" w14:textId="77777777" w:rsidR="00180CD6" w:rsidRPr="00797234" w:rsidRDefault="00180CD6" w:rsidP="00EA4D6E">
            <w:pPr>
              <w:jc w:val="center"/>
              <w:textAlignment w:val="baseline"/>
              <w:rPr>
                <w:rFonts w:ascii="Times New Roman" w:hAnsi="Times New Roman" w:cs="Times New Roman"/>
                <w:lang w:val="sl-SI"/>
              </w:rPr>
            </w:pPr>
            <w:r w:rsidRPr="00797234">
              <w:rPr>
                <w:rFonts w:ascii="Times New Roman" w:hAnsi="Times New Roman" w:cs="Times New Roman"/>
                <w:lang w:val="sl-SI"/>
              </w:rPr>
              <w:t>9/21 (42,9 %) </w:t>
            </w:r>
          </w:p>
        </w:tc>
        <w:tc>
          <w:tcPr>
            <w:tcW w:w="3344" w:type="dxa"/>
            <w:tcBorders>
              <w:top w:val="nil"/>
              <w:left w:val="nil"/>
              <w:bottom w:val="single" w:sz="6" w:space="0" w:color="auto"/>
              <w:right w:val="single" w:sz="6" w:space="0" w:color="auto"/>
            </w:tcBorders>
            <w:vAlign w:val="center"/>
            <w:hideMark/>
          </w:tcPr>
          <w:p w14:paraId="18841BC9" w14:textId="77777777" w:rsidR="00180CD6" w:rsidRPr="00797234" w:rsidRDefault="00180CD6" w:rsidP="00EA4D6E">
            <w:pPr>
              <w:jc w:val="center"/>
              <w:textAlignment w:val="baseline"/>
              <w:rPr>
                <w:rFonts w:ascii="Times New Roman" w:hAnsi="Times New Roman" w:cs="Times New Roman"/>
                <w:lang w:val="sl-SI"/>
              </w:rPr>
            </w:pPr>
            <w:r w:rsidRPr="00797234">
              <w:rPr>
                <w:rFonts w:ascii="Times New Roman" w:hAnsi="Times New Roman" w:cs="Times New Roman"/>
                <w:lang w:val="sl-SI"/>
              </w:rPr>
              <w:t>10/22 (45,5 %) </w:t>
            </w:r>
          </w:p>
        </w:tc>
      </w:tr>
      <w:tr w:rsidR="00180CD6" w:rsidRPr="006A7666" w14:paraId="25B128C5" w14:textId="77777777" w:rsidTr="00EA4D6E">
        <w:trPr>
          <w:trHeight w:val="274"/>
          <w:jc w:val="center"/>
        </w:trPr>
        <w:tc>
          <w:tcPr>
            <w:tcW w:w="3146" w:type="dxa"/>
            <w:tcBorders>
              <w:top w:val="nil"/>
              <w:left w:val="single" w:sz="6" w:space="0" w:color="auto"/>
              <w:bottom w:val="single" w:sz="6" w:space="0" w:color="auto"/>
              <w:right w:val="single" w:sz="6" w:space="0" w:color="auto"/>
            </w:tcBorders>
            <w:vAlign w:val="center"/>
            <w:hideMark/>
          </w:tcPr>
          <w:p w14:paraId="437F1FEB" w14:textId="77777777" w:rsidR="00180CD6" w:rsidRPr="00797234" w:rsidRDefault="00180CD6" w:rsidP="00EA4D6E">
            <w:pPr>
              <w:textAlignment w:val="baseline"/>
              <w:rPr>
                <w:rFonts w:ascii="Times New Roman" w:hAnsi="Times New Roman" w:cs="Times New Roman"/>
                <w:lang w:val="sl-SI"/>
              </w:rPr>
            </w:pPr>
            <w:r w:rsidRPr="00797234">
              <w:rPr>
                <w:rFonts w:ascii="Times New Roman" w:hAnsi="Times New Roman" w:cs="Times New Roman"/>
                <w:lang w:val="sl-SI"/>
              </w:rPr>
              <w:t>Remisija brez kortikosteroidov pri bolnikih z odzivom po PMS v 8. tednu</w:t>
            </w:r>
            <w:r w:rsidRPr="00797234">
              <w:rPr>
                <w:rFonts w:ascii="Times New Roman" w:hAnsi="Times New Roman" w:cs="Times New Roman"/>
                <w:vertAlign w:val="superscript"/>
                <w:lang w:val="sl-SI"/>
              </w:rPr>
              <w:t>c</w:t>
            </w:r>
            <w:r w:rsidRPr="00797234">
              <w:rPr>
                <w:rFonts w:ascii="Times New Roman" w:hAnsi="Times New Roman" w:cs="Times New Roman"/>
                <w:lang w:val="sl-SI"/>
              </w:rPr>
              <w:t> </w:t>
            </w:r>
          </w:p>
        </w:tc>
        <w:tc>
          <w:tcPr>
            <w:tcW w:w="3000" w:type="dxa"/>
            <w:tcBorders>
              <w:top w:val="nil"/>
              <w:left w:val="nil"/>
              <w:bottom w:val="single" w:sz="6" w:space="0" w:color="auto"/>
              <w:right w:val="single" w:sz="6" w:space="0" w:color="auto"/>
            </w:tcBorders>
            <w:vAlign w:val="center"/>
            <w:hideMark/>
          </w:tcPr>
          <w:p w14:paraId="7EF8533C" w14:textId="77777777" w:rsidR="00180CD6" w:rsidRPr="00797234" w:rsidRDefault="00180CD6" w:rsidP="00EA4D6E">
            <w:pPr>
              <w:jc w:val="center"/>
              <w:textAlignment w:val="baseline"/>
              <w:rPr>
                <w:rFonts w:ascii="Times New Roman" w:hAnsi="Times New Roman" w:cs="Times New Roman"/>
                <w:lang w:val="sl-SI"/>
              </w:rPr>
            </w:pPr>
            <w:r w:rsidRPr="00797234">
              <w:rPr>
                <w:rFonts w:ascii="Times New Roman" w:hAnsi="Times New Roman" w:cs="Times New Roman"/>
                <w:lang w:val="sl-SI"/>
              </w:rPr>
              <w:t>4/13 (30,8 %) </w:t>
            </w:r>
          </w:p>
        </w:tc>
        <w:tc>
          <w:tcPr>
            <w:tcW w:w="3344" w:type="dxa"/>
            <w:tcBorders>
              <w:top w:val="nil"/>
              <w:left w:val="nil"/>
              <w:bottom w:val="single" w:sz="6" w:space="0" w:color="auto"/>
              <w:right w:val="single" w:sz="6" w:space="0" w:color="auto"/>
            </w:tcBorders>
            <w:vAlign w:val="center"/>
            <w:hideMark/>
          </w:tcPr>
          <w:p w14:paraId="179E0EF9" w14:textId="77777777" w:rsidR="00180CD6" w:rsidRPr="00797234" w:rsidRDefault="00180CD6" w:rsidP="00EA4D6E">
            <w:pPr>
              <w:jc w:val="center"/>
              <w:textAlignment w:val="baseline"/>
              <w:rPr>
                <w:rFonts w:ascii="Times New Roman" w:hAnsi="Times New Roman" w:cs="Times New Roman"/>
                <w:lang w:val="sl-SI"/>
              </w:rPr>
            </w:pPr>
            <w:r w:rsidRPr="00797234">
              <w:rPr>
                <w:rFonts w:ascii="Times New Roman" w:hAnsi="Times New Roman" w:cs="Times New Roman"/>
                <w:lang w:val="sl-SI"/>
              </w:rPr>
              <w:t>5/16 (31,3 %) </w:t>
            </w:r>
          </w:p>
        </w:tc>
      </w:tr>
      <w:tr w:rsidR="00180CD6" w:rsidRPr="00652F18" w14:paraId="1FEBFA7C" w14:textId="77777777" w:rsidTr="00EA4D6E">
        <w:trPr>
          <w:trHeight w:val="410"/>
          <w:jc w:val="center"/>
        </w:trPr>
        <w:tc>
          <w:tcPr>
            <w:tcW w:w="9490" w:type="dxa"/>
            <w:gridSpan w:val="3"/>
            <w:tcBorders>
              <w:top w:val="nil"/>
              <w:left w:val="single" w:sz="6" w:space="0" w:color="auto"/>
              <w:bottom w:val="single" w:sz="6" w:space="0" w:color="auto"/>
              <w:right w:val="single" w:sz="6" w:space="0" w:color="auto"/>
            </w:tcBorders>
            <w:hideMark/>
          </w:tcPr>
          <w:p w14:paraId="1875DDE4" w14:textId="77777777" w:rsidR="00180CD6" w:rsidRPr="00797234" w:rsidRDefault="00180CD6" w:rsidP="00EA4D6E">
            <w:pPr>
              <w:textAlignment w:val="baseline"/>
              <w:rPr>
                <w:rFonts w:ascii="Times New Roman" w:hAnsi="Times New Roman" w:cs="Times New Roman"/>
                <w:lang w:val="sl-SI"/>
              </w:rPr>
            </w:pPr>
            <w:r w:rsidRPr="00797234">
              <w:rPr>
                <w:rFonts w:ascii="Times New Roman" w:hAnsi="Times New Roman" w:cs="Times New Roman"/>
                <w:vertAlign w:val="superscript"/>
                <w:lang w:val="sl-SI"/>
              </w:rPr>
              <w:t>a </w:t>
            </w:r>
            <w:r>
              <w:rPr>
                <w:rFonts w:ascii="Times New Roman" w:hAnsi="Times New Roman" w:cs="Times New Roman"/>
                <w:lang w:val="sl-SI"/>
              </w:rPr>
              <w:t>Adalimumaba</w:t>
            </w:r>
            <w:r w:rsidRPr="00797234">
              <w:rPr>
                <w:rFonts w:ascii="Times New Roman" w:hAnsi="Times New Roman" w:cs="Times New Roman"/>
                <w:lang w:val="sl-SI"/>
              </w:rPr>
              <w:t xml:space="preserve"> 0,6 mg/kg (največ 40 mg) vsak drugi teden </w:t>
            </w:r>
          </w:p>
          <w:p w14:paraId="7CCE42E0" w14:textId="77777777" w:rsidR="00180CD6" w:rsidRPr="00797234" w:rsidRDefault="00180CD6" w:rsidP="00EA4D6E">
            <w:pPr>
              <w:textAlignment w:val="baseline"/>
              <w:rPr>
                <w:rFonts w:ascii="Times New Roman" w:hAnsi="Times New Roman" w:cs="Times New Roman"/>
                <w:lang w:val="sl-SI"/>
              </w:rPr>
            </w:pPr>
            <w:r w:rsidRPr="00797234">
              <w:rPr>
                <w:rFonts w:ascii="Times New Roman" w:hAnsi="Times New Roman" w:cs="Times New Roman"/>
                <w:vertAlign w:val="superscript"/>
                <w:lang w:val="sl-SI"/>
              </w:rPr>
              <w:t>b </w:t>
            </w:r>
            <w:r>
              <w:rPr>
                <w:rFonts w:ascii="Times New Roman" w:hAnsi="Times New Roman" w:cs="Times New Roman"/>
                <w:lang w:val="sl-SI"/>
              </w:rPr>
              <w:t>Adalimumaba</w:t>
            </w:r>
            <w:r w:rsidRPr="00797234">
              <w:rPr>
                <w:rFonts w:ascii="Times New Roman" w:hAnsi="Times New Roman" w:cs="Times New Roman"/>
                <w:lang w:val="sl-SI"/>
              </w:rPr>
              <w:t xml:space="preserve"> 0,6 mg/kg (največ 40 mg) vsak teden </w:t>
            </w:r>
          </w:p>
          <w:p w14:paraId="0FE87D6B" w14:textId="77777777" w:rsidR="00180CD6" w:rsidRPr="00797234" w:rsidRDefault="00180CD6" w:rsidP="00EA4D6E">
            <w:pPr>
              <w:textAlignment w:val="baseline"/>
              <w:rPr>
                <w:rFonts w:ascii="Times New Roman" w:hAnsi="Times New Roman" w:cs="Times New Roman"/>
                <w:lang w:val="sl-SI"/>
              </w:rPr>
            </w:pPr>
            <w:r w:rsidRPr="00797234">
              <w:rPr>
                <w:rFonts w:ascii="Times New Roman" w:hAnsi="Times New Roman" w:cs="Times New Roman"/>
                <w:vertAlign w:val="superscript"/>
                <w:lang w:val="sl-SI"/>
              </w:rPr>
              <w:t>c</w:t>
            </w:r>
            <w:r w:rsidRPr="00797234">
              <w:rPr>
                <w:rFonts w:ascii="Times New Roman" w:hAnsi="Times New Roman" w:cs="Times New Roman"/>
                <w:lang w:val="sl-SI"/>
              </w:rPr>
              <w:t> Pri bolnikih, ki so ob izhodišču sočasno prejemali kortikosteroide </w:t>
            </w:r>
          </w:p>
          <w:p w14:paraId="65203707" w14:textId="77777777" w:rsidR="00180CD6" w:rsidRPr="00797234" w:rsidRDefault="00180CD6" w:rsidP="00EA4D6E">
            <w:pPr>
              <w:textAlignment w:val="baseline"/>
              <w:rPr>
                <w:rFonts w:ascii="Times New Roman" w:hAnsi="Times New Roman" w:cs="Times New Roman"/>
                <w:lang w:val="sl-SI"/>
              </w:rPr>
            </w:pPr>
            <w:r w:rsidRPr="00797234">
              <w:rPr>
                <w:rFonts w:ascii="Times New Roman" w:hAnsi="Times New Roman" w:cs="Times New Roman"/>
                <w:lang w:val="sl-SI"/>
              </w:rPr>
              <w:t>Opomba: Bolnike z manjkajočimi vrednostmi v 52. tednu ali tiste, ki so bili randomizirani za prejemanje ponovnega začetnega odmerka ali vzdrževalnega zdravljenja, so obravnavali kot neodzivne glede opazovanih izidov v 52. tednu </w:t>
            </w:r>
          </w:p>
        </w:tc>
      </w:tr>
    </w:tbl>
    <w:p w14:paraId="3AF532F3" w14:textId="77777777" w:rsidR="00180CD6" w:rsidRPr="00797234" w:rsidRDefault="00180CD6" w:rsidP="00180CD6">
      <w:pPr>
        <w:rPr>
          <w:rFonts w:ascii="Times New Roman" w:hAnsi="Times New Roman" w:cs="Times New Roman"/>
          <w:lang w:val="sl-SI"/>
        </w:rPr>
      </w:pPr>
    </w:p>
    <w:p w14:paraId="6BB06E30" w14:textId="6906EF2A" w:rsidR="00180CD6" w:rsidRPr="00407F29" w:rsidRDefault="00180CD6" w:rsidP="00180CD6">
      <w:pPr>
        <w:rPr>
          <w:rFonts w:ascii="Times New Roman" w:hAnsi="Times New Roman" w:cs="Times New Roman"/>
          <w:lang w:val="sl-SI"/>
        </w:rPr>
      </w:pPr>
      <w:r w:rsidRPr="00407F29">
        <w:rPr>
          <w:rFonts w:ascii="Times New Roman" w:hAnsi="Times New Roman" w:cs="Times New Roman"/>
          <w:lang w:val="sl-SI"/>
        </w:rPr>
        <w:lastRenderedPageBreak/>
        <w:t xml:space="preserve">Dodatni eksploracijski opazovani izidi učinkovitosti so zajemali klinični odziv po kazalniku aktivnosti </w:t>
      </w:r>
      <w:r w:rsidRPr="008E156D">
        <w:rPr>
          <w:rFonts w:ascii="Times New Roman" w:hAnsi="Times New Roman" w:cs="Times New Roman"/>
          <w:lang w:val="sl-SI"/>
        </w:rPr>
        <w:t xml:space="preserve">ulceroznega kolitisa pri pediatričnih bolnikih (PUCAI – Paediatric Ulcerative Colitis Activity Index) (opredeljen kot zmanjšanje kazalnika PUCAI </w:t>
      </w:r>
      <w:r w:rsidRPr="008E156D">
        <w:rPr>
          <w:rFonts w:ascii="Times New Roman" w:hAnsi="Times New Roman" w:cs="Times New Roman" w:hint="eastAsia"/>
          <w:lang w:val="sl-SI"/>
        </w:rPr>
        <w:t>≥</w:t>
      </w:r>
      <w:r w:rsidRPr="008E156D">
        <w:rPr>
          <w:rFonts w:ascii="Times New Roman" w:hAnsi="Times New Roman" w:cs="Times New Roman" w:hint="eastAsia"/>
          <w:lang w:val="sl-SI"/>
        </w:rPr>
        <w:t> </w:t>
      </w:r>
      <w:r w:rsidRPr="008E156D">
        <w:rPr>
          <w:rFonts w:ascii="Times New Roman" w:hAnsi="Times New Roman" w:cs="Times New Roman"/>
          <w:lang w:val="sl-SI"/>
        </w:rPr>
        <w:t>20 točk glede na izhodišče) in klinično remisijo po kazalniku PUCAI (opredeljena kot zmanjšanje kazalnika PUCAI &lt; 10) v 8. tednu in 52. tednu</w:t>
      </w:r>
      <w:r w:rsidRPr="00407F29">
        <w:rPr>
          <w:rFonts w:ascii="Times New Roman" w:hAnsi="Times New Roman" w:cs="Times New Roman"/>
          <w:lang w:val="sl-SI"/>
        </w:rPr>
        <w:t xml:space="preserve"> (preglednica </w:t>
      </w:r>
      <w:r w:rsidR="00407F29">
        <w:rPr>
          <w:rFonts w:ascii="Times New Roman" w:hAnsi="Times New Roman" w:cs="Times New Roman"/>
          <w:lang w:val="sl-SI"/>
        </w:rPr>
        <w:t>23</w:t>
      </w:r>
      <w:r w:rsidRPr="00407F29">
        <w:rPr>
          <w:rFonts w:ascii="Times New Roman" w:hAnsi="Times New Roman" w:cs="Times New Roman"/>
          <w:lang w:val="sl-SI"/>
        </w:rPr>
        <w:t>).</w:t>
      </w:r>
    </w:p>
    <w:p w14:paraId="6A802670" w14:textId="77777777" w:rsidR="00180CD6" w:rsidRPr="00797234" w:rsidRDefault="00180CD6" w:rsidP="00180CD6">
      <w:pPr>
        <w:rPr>
          <w:rFonts w:ascii="Times New Roman" w:hAnsi="Times New Roman" w:cs="Times New Roman"/>
          <w:lang w:val="sl-SI"/>
        </w:rPr>
      </w:pPr>
    </w:p>
    <w:tbl>
      <w:tblPr>
        <w:tblW w:w="9538" w:type="dxa"/>
        <w:jc w:val="center"/>
        <w:tblCellMar>
          <w:left w:w="0" w:type="dxa"/>
          <w:right w:w="0" w:type="dxa"/>
        </w:tblCellMar>
        <w:tblLook w:val="04A0" w:firstRow="1" w:lastRow="0" w:firstColumn="1" w:lastColumn="0" w:noHBand="0" w:noVBand="1"/>
      </w:tblPr>
      <w:tblGrid>
        <w:gridCol w:w="3969"/>
        <w:gridCol w:w="2835"/>
        <w:gridCol w:w="2734"/>
      </w:tblGrid>
      <w:tr w:rsidR="00180CD6" w:rsidRPr="00652F18" w14:paraId="1F538874" w14:textId="77777777" w:rsidTr="00EA4D6E">
        <w:trPr>
          <w:trHeight w:val="60"/>
          <w:jc w:val="center"/>
        </w:trPr>
        <w:tc>
          <w:tcPr>
            <w:tcW w:w="9538" w:type="dxa"/>
            <w:gridSpan w:val="3"/>
            <w:tcMar>
              <w:top w:w="0" w:type="dxa"/>
              <w:left w:w="108" w:type="dxa"/>
              <w:bottom w:w="0" w:type="dxa"/>
              <w:right w:w="108" w:type="dxa"/>
            </w:tcMar>
          </w:tcPr>
          <w:p w14:paraId="514F9265" w14:textId="0BC0006F" w:rsidR="00180CD6" w:rsidRDefault="00407F29" w:rsidP="00EA4D6E">
            <w:pPr>
              <w:jc w:val="center"/>
              <w:rPr>
                <w:rFonts w:ascii="Times New Roman" w:hAnsi="Times New Roman" w:cs="Times New Roman"/>
                <w:b/>
                <w:lang w:val="sl-SI"/>
              </w:rPr>
            </w:pPr>
            <w:r>
              <w:rPr>
                <w:rFonts w:ascii="Times New Roman" w:hAnsi="Times New Roman" w:cs="Times New Roman"/>
                <w:b/>
                <w:lang w:val="sl-SI"/>
              </w:rPr>
              <w:t>Preglednica 2</w:t>
            </w:r>
            <w:r w:rsidR="00180CD6" w:rsidRPr="00797234">
              <w:rPr>
                <w:rFonts w:ascii="Times New Roman" w:hAnsi="Times New Roman" w:cs="Times New Roman"/>
                <w:b/>
                <w:lang w:val="sl-SI"/>
              </w:rPr>
              <w:t>3: Rezultati eksploracijskih opazovanih izidov po kazalniku PUCAI</w:t>
            </w:r>
          </w:p>
          <w:p w14:paraId="74B00242" w14:textId="77777777" w:rsidR="00180CD6" w:rsidRPr="00797234" w:rsidRDefault="00180CD6" w:rsidP="00EA4D6E">
            <w:pPr>
              <w:jc w:val="center"/>
              <w:rPr>
                <w:rFonts w:ascii="Times New Roman" w:hAnsi="Times New Roman" w:cs="Times New Roman"/>
                <w:b/>
                <w:bCs/>
                <w:lang w:val="sl-SI"/>
              </w:rPr>
            </w:pPr>
          </w:p>
        </w:tc>
      </w:tr>
      <w:tr w:rsidR="00180CD6" w:rsidRPr="006A7666" w14:paraId="0020D197" w14:textId="77777777" w:rsidTr="00EA4D6E">
        <w:trPr>
          <w:trHeight w:val="265"/>
          <w:jc w:val="center"/>
        </w:trPr>
        <w:tc>
          <w:tcPr>
            <w:tcW w:w="3969" w:type="dxa"/>
            <w:vMerge w:val="restart"/>
            <w:tcBorders>
              <w:top w:val="single" w:sz="4" w:space="0" w:color="auto"/>
              <w:left w:val="single" w:sz="8" w:space="0" w:color="auto"/>
              <w:right w:val="single" w:sz="4" w:space="0" w:color="auto"/>
            </w:tcBorders>
            <w:tcMar>
              <w:top w:w="0" w:type="dxa"/>
              <w:left w:w="108" w:type="dxa"/>
              <w:bottom w:w="0" w:type="dxa"/>
              <w:right w:w="108" w:type="dxa"/>
            </w:tcMar>
          </w:tcPr>
          <w:p w14:paraId="62A681F6" w14:textId="77777777" w:rsidR="00180CD6" w:rsidRPr="00797234" w:rsidRDefault="00180CD6" w:rsidP="00EA4D6E">
            <w:pPr>
              <w:rPr>
                <w:rFonts w:ascii="Times New Roman" w:hAnsi="Times New Roman" w:cs="Times New Roman"/>
                <w:lang w:val="sl-SI"/>
              </w:rPr>
            </w:pPr>
          </w:p>
        </w:tc>
        <w:tc>
          <w:tcPr>
            <w:tcW w:w="5569"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8D4A092" w14:textId="77777777" w:rsidR="00180CD6" w:rsidRPr="00797234" w:rsidRDefault="00180CD6" w:rsidP="00EA4D6E">
            <w:pPr>
              <w:jc w:val="center"/>
              <w:rPr>
                <w:rFonts w:ascii="Times New Roman" w:hAnsi="Times New Roman" w:cs="Times New Roman"/>
                <w:b/>
                <w:bCs/>
                <w:lang w:val="sl-SI"/>
              </w:rPr>
            </w:pPr>
            <w:r w:rsidRPr="00797234">
              <w:rPr>
                <w:rFonts w:ascii="Times New Roman" w:hAnsi="Times New Roman" w:cs="Times New Roman"/>
                <w:b/>
                <w:lang w:val="sl-SI"/>
              </w:rPr>
              <w:t>8. teden</w:t>
            </w:r>
          </w:p>
        </w:tc>
      </w:tr>
      <w:tr w:rsidR="00180CD6" w:rsidRPr="006A7666" w14:paraId="6E422C14" w14:textId="77777777" w:rsidTr="00EA4D6E">
        <w:trPr>
          <w:trHeight w:val="1042"/>
          <w:jc w:val="center"/>
        </w:trPr>
        <w:tc>
          <w:tcPr>
            <w:tcW w:w="3969" w:type="dxa"/>
            <w:vMerge/>
            <w:tcBorders>
              <w:left w:val="single" w:sz="8" w:space="0" w:color="auto"/>
              <w:bottom w:val="single" w:sz="4" w:space="0" w:color="auto"/>
              <w:right w:val="single" w:sz="8" w:space="0" w:color="auto"/>
            </w:tcBorders>
            <w:tcMar>
              <w:top w:w="0" w:type="dxa"/>
              <w:left w:w="108" w:type="dxa"/>
              <w:bottom w:w="0" w:type="dxa"/>
              <w:right w:w="108" w:type="dxa"/>
            </w:tcMar>
          </w:tcPr>
          <w:p w14:paraId="06154B73" w14:textId="77777777" w:rsidR="00180CD6" w:rsidRPr="00797234" w:rsidRDefault="00180CD6" w:rsidP="00EA4D6E">
            <w:pPr>
              <w:rPr>
                <w:rFonts w:ascii="Times New Roman" w:hAnsi="Times New Roman" w:cs="Times New Roman"/>
                <w:lang w:val="sl-SI"/>
              </w:rPr>
            </w:pPr>
          </w:p>
        </w:tc>
        <w:tc>
          <w:tcPr>
            <w:tcW w:w="2835"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79FC3A17" w14:textId="77777777" w:rsidR="00180CD6" w:rsidRPr="00797234" w:rsidRDefault="00180CD6" w:rsidP="00EA4D6E">
            <w:pPr>
              <w:jc w:val="center"/>
              <w:rPr>
                <w:rFonts w:ascii="Times New Roman" w:hAnsi="Times New Roman" w:cs="Times New Roman"/>
                <w:b/>
                <w:bCs/>
                <w:vertAlign w:val="superscript"/>
                <w:lang w:val="sl-SI"/>
              </w:rPr>
            </w:pPr>
            <w:r>
              <w:rPr>
                <w:rFonts w:ascii="Times New Roman" w:hAnsi="Times New Roman" w:cs="Times New Roman"/>
                <w:b/>
                <w:lang w:val="sl-SI"/>
              </w:rPr>
              <w:t>Adalimumaba</w:t>
            </w:r>
            <w:r w:rsidRPr="00797234">
              <w:rPr>
                <w:rFonts w:ascii="Times New Roman" w:hAnsi="Times New Roman" w:cs="Times New Roman"/>
                <w:b/>
                <w:vertAlign w:val="superscript"/>
                <w:lang w:val="sl-SI"/>
              </w:rPr>
              <w:t>a</w:t>
            </w:r>
          </w:p>
          <w:p w14:paraId="5C4D7F39" w14:textId="77777777" w:rsidR="00180CD6" w:rsidRPr="00797234" w:rsidRDefault="00180CD6" w:rsidP="00EA4D6E">
            <w:pPr>
              <w:jc w:val="center"/>
              <w:rPr>
                <w:rFonts w:ascii="Times New Roman" w:hAnsi="Times New Roman" w:cs="Times New Roman"/>
                <w:b/>
                <w:bCs/>
                <w:lang w:val="sl-SI"/>
              </w:rPr>
            </w:pPr>
            <w:r w:rsidRPr="00797234">
              <w:rPr>
                <w:rFonts w:ascii="Times New Roman" w:hAnsi="Times New Roman" w:cs="Times New Roman"/>
                <w:b/>
                <w:lang w:val="sl-SI"/>
              </w:rPr>
              <w:t>Največ 160 mg v 0. tednu / Placebo v 1. tednu</w:t>
            </w:r>
          </w:p>
          <w:p w14:paraId="241692F0" w14:textId="77777777" w:rsidR="00180CD6" w:rsidRPr="00797234" w:rsidRDefault="00180CD6" w:rsidP="00EA4D6E">
            <w:pPr>
              <w:jc w:val="center"/>
              <w:rPr>
                <w:rFonts w:ascii="Times New Roman" w:hAnsi="Times New Roman" w:cs="Times New Roman"/>
                <w:lang w:val="sl-SI"/>
              </w:rPr>
            </w:pPr>
            <w:r w:rsidRPr="00797234">
              <w:rPr>
                <w:rFonts w:ascii="Times New Roman" w:hAnsi="Times New Roman" w:cs="Times New Roman"/>
                <w:lang w:val="sl-SI"/>
              </w:rPr>
              <w:t>N = 30</w:t>
            </w:r>
          </w:p>
        </w:tc>
        <w:tc>
          <w:tcPr>
            <w:tcW w:w="2734"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110FC3E0" w14:textId="77777777" w:rsidR="00180CD6" w:rsidRPr="00797234" w:rsidRDefault="00180CD6" w:rsidP="00EA4D6E">
            <w:pPr>
              <w:jc w:val="center"/>
              <w:rPr>
                <w:rFonts w:ascii="Times New Roman" w:hAnsi="Times New Roman" w:cs="Times New Roman"/>
                <w:b/>
                <w:bCs/>
                <w:vertAlign w:val="superscript"/>
                <w:lang w:val="sl-SI"/>
              </w:rPr>
            </w:pPr>
            <w:r>
              <w:rPr>
                <w:rFonts w:ascii="Times New Roman" w:hAnsi="Times New Roman" w:cs="Times New Roman"/>
                <w:b/>
                <w:lang w:val="sl-SI"/>
              </w:rPr>
              <w:t>Adalimumaba</w:t>
            </w:r>
            <w:r w:rsidRPr="00797234">
              <w:rPr>
                <w:rFonts w:ascii="Times New Roman" w:hAnsi="Times New Roman" w:cs="Times New Roman"/>
                <w:b/>
                <w:vertAlign w:val="superscript"/>
                <w:lang w:val="sl-SI"/>
              </w:rPr>
              <w:t>b,c</w:t>
            </w:r>
          </w:p>
          <w:p w14:paraId="24DA352E" w14:textId="77777777" w:rsidR="00180CD6" w:rsidRPr="00797234" w:rsidRDefault="00180CD6" w:rsidP="00EA4D6E">
            <w:pPr>
              <w:jc w:val="center"/>
              <w:rPr>
                <w:rFonts w:ascii="Times New Roman" w:hAnsi="Times New Roman" w:cs="Times New Roman"/>
                <w:b/>
                <w:bCs/>
                <w:lang w:val="sl-SI"/>
              </w:rPr>
            </w:pPr>
            <w:r w:rsidRPr="00797234">
              <w:rPr>
                <w:rFonts w:ascii="Times New Roman" w:hAnsi="Times New Roman" w:cs="Times New Roman"/>
                <w:b/>
                <w:lang w:val="sl-SI"/>
              </w:rPr>
              <w:t>Največ 160 mg v 0. tednu in 1. tednu</w:t>
            </w:r>
          </w:p>
          <w:p w14:paraId="6236E027" w14:textId="77777777" w:rsidR="00180CD6" w:rsidRPr="00797234" w:rsidRDefault="00180CD6" w:rsidP="00EA4D6E">
            <w:pPr>
              <w:jc w:val="center"/>
              <w:rPr>
                <w:rFonts w:ascii="Times New Roman" w:hAnsi="Times New Roman" w:cs="Times New Roman"/>
                <w:lang w:val="sl-SI"/>
              </w:rPr>
            </w:pPr>
            <w:r w:rsidRPr="00797234">
              <w:rPr>
                <w:rFonts w:ascii="Times New Roman" w:hAnsi="Times New Roman" w:cs="Times New Roman"/>
                <w:lang w:val="sl-SI"/>
              </w:rPr>
              <w:t>N = 47</w:t>
            </w:r>
          </w:p>
        </w:tc>
      </w:tr>
      <w:tr w:rsidR="00180CD6" w:rsidRPr="006A7666" w14:paraId="09F84866" w14:textId="77777777" w:rsidTr="00EA4D6E">
        <w:trPr>
          <w:trHeight w:val="202"/>
          <w:jc w:val="center"/>
        </w:trPr>
        <w:tc>
          <w:tcPr>
            <w:tcW w:w="396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A1FB64" w14:textId="77777777" w:rsidR="00180CD6" w:rsidRPr="00797234" w:rsidRDefault="00180CD6" w:rsidP="00EA4D6E">
            <w:pPr>
              <w:rPr>
                <w:rFonts w:ascii="Times New Roman" w:hAnsi="Times New Roman" w:cs="Times New Roman"/>
                <w:lang w:val="sl-SI"/>
              </w:rPr>
            </w:pPr>
            <w:r w:rsidRPr="00797234">
              <w:rPr>
                <w:rFonts w:ascii="Times New Roman" w:hAnsi="Times New Roman" w:cs="Times New Roman"/>
                <w:lang w:val="sl-SI"/>
              </w:rPr>
              <w:t>Klinična remisija po PUCAI</w:t>
            </w:r>
          </w:p>
        </w:tc>
        <w:tc>
          <w:tcPr>
            <w:tcW w:w="28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0361C8C" w14:textId="77777777" w:rsidR="00180CD6" w:rsidRPr="00797234" w:rsidRDefault="00180CD6" w:rsidP="00EA4D6E">
            <w:pPr>
              <w:jc w:val="center"/>
              <w:rPr>
                <w:rFonts w:ascii="Times New Roman" w:hAnsi="Times New Roman" w:cs="Times New Roman"/>
                <w:lang w:val="sl-SI"/>
              </w:rPr>
            </w:pPr>
            <w:r w:rsidRPr="00797234">
              <w:rPr>
                <w:rFonts w:ascii="Times New Roman" w:hAnsi="Times New Roman" w:cs="Times New Roman"/>
                <w:lang w:val="sl-SI"/>
              </w:rPr>
              <w:t>10/30 (33,3 %)</w:t>
            </w:r>
          </w:p>
        </w:tc>
        <w:tc>
          <w:tcPr>
            <w:tcW w:w="27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6F1EC06" w14:textId="77777777" w:rsidR="00180CD6" w:rsidRPr="00797234" w:rsidRDefault="00180CD6" w:rsidP="00EA4D6E">
            <w:pPr>
              <w:jc w:val="center"/>
              <w:rPr>
                <w:rFonts w:ascii="Times New Roman" w:hAnsi="Times New Roman" w:cs="Times New Roman"/>
                <w:lang w:val="sl-SI"/>
              </w:rPr>
            </w:pPr>
            <w:r w:rsidRPr="00797234">
              <w:rPr>
                <w:rFonts w:ascii="Times New Roman" w:hAnsi="Times New Roman" w:cs="Times New Roman"/>
                <w:lang w:val="sl-SI"/>
              </w:rPr>
              <w:t>22/47 (46,8 %)</w:t>
            </w:r>
          </w:p>
        </w:tc>
      </w:tr>
      <w:tr w:rsidR="00180CD6" w:rsidRPr="006A7666" w14:paraId="6253EC9D" w14:textId="77777777" w:rsidTr="00EA4D6E">
        <w:trPr>
          <w:trHeight w:val="238"/>
          <w:jc w:val="center"/>
        </w:trPr>
        <w:tc>
          <w:tcPr>
            <w:tcW w:w="396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FE1699" w14:textId="77777777" w:rsidR="00180CD6" w:rsidRPr="00797234" w:rsidRDefault="00180CD6" w:rsidP="00EA4D6E">
            <w:pPr>
              <w:rPr>
                <w:rFonts w:ascii="Times New Roman" w:hAnsi="Times New Roman" w:cs="Times New Roman"/>
                <w:lang w:val="sl-SI"/>
              </w:rPr>
            </w:pPr>
            <w:r w:rsidRPr="00797234">
              <w:rPr>
                <w:rFonts w:ascii="Times New Roman" w:hAnsi="Times New Roman" w:cs="Times New Roman"/>
                <w:lang w:val="sl-SI"/>
              </w:rPr>
              <w:t>Klinični odziv po PUCAI</w:t>
            </w:r>
          </w:p>
        </w:tc>
        <w:tc>
          <w:tcPr>
            <w:tcW w:w="28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2B59F21" w14:textId="77777777" w:rsidR="00180CD6" w:rsidRPr="00797234" w:rsidRDefault="00180CD6" w:rsidP="00EA4D6E">
            <w:pPr>
              <w:jc w:val="center"/>
              <w:rPr>
                <w:rFonts w:ascii="Times New Roman" w:hAnsi="Times New Roman" w:cs="Times New Roman"/>
                <w:lang w:val="sl-SI"/>
              </w:rPr>
            </w:pPr>
            <w:r w:rsidRPr="00797234">
              <w:rPr>
                <w:rFonts w:ascii="Times New Roman" w:hAnsi="Times New Roman" w:cs="Times New Roman"/>
                <w:lang w:val="sl-SI"/>
              </w:rPr>
              <w:t>15/30 (50,0 %)</w:t>
            </w:r>
          </w:p>
        </w:tc>
        <w:tc>
          <w:tcPr>
            <w:tcW w:w="27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CA6B3FE" w14:textId="77777777" w:rsidR="00180CD6" w:rsidRPr="00797234" w:rsidRDefault="00180CD6" w:rsidP="00EA4D6E">
            <w:pPr>
              <w:jc w:val="center"/>
              <w:rPr>
                <w:rFonts w:ascii="Times New Roman" w:hAnsi="Times New Roman" w:cs="Times New Roman"/>
                <w:lang w:val="sl-SI"/>
              </w:rPr>
            </w:pPr>
            <w:r w:rsidRPr="00797234">
              <w:rPr>
                <w:rFonts w:ascii="Times New Roman" w:hAnsi="Times New Roman" w:cs="Times New Roman"/>
                <w:lang w:val="sl-SI"/>
              </w:rPr>
              <w:t>32/47 (68,1 %)</w:t>
            </w:r>
          </w:p>
        </w:tc>
      </w:tr>
      <w:tr w:rsidR="00180CD6" w:rsidRPr="006A7666" w14:paraId="2733CD01" w14:textId="77777777" w:rsidTr="00EA4D6E">
        <w:trPr>
          <w:trHeight w:val="238"/>
          <w:jc w:val="center"/>
        </w:trPr>
        <w:tc>
          <w:tcPr>
            <w:tcW w:w="3969" w:type="dxa"/>
            <w:vMerge w:val="restart"/>
            <w:tcBorders>
              <w:top w:val="nil"/>
              <w:left w:val="single" w:sz="8" w:space="0" w:color="auto"/>
              <w:right w:val="single" w:sz="8" w:space="0" w:color="auto"/>
            </w:tcBorders>
            <w:tcMar>
              <w:top w:w="0" w:type="dxa"/>
              <w:left w:w="108" w:type="dxa"/>
              <w:bottom w:w="0" w:type="dxa"/>
              <w:right w:w="108" w:type="dxa"/>
            </w:tcMar>
          </w:tcPr>
          <w:p w14:paraId="48A93EF7" w14:textId="77777777" w:rsidR="00180CD6" w:rsidRPr="00797234" w:rsidRDefault="00180CD6" w:rsidP="00EA4D6E">
            <w:pPr>
              <w:rPr>
                <w:rFonts w:ascii="Times New Roman" w:hAnsi="Times New Roman" w:cs="Times New Roman"/>
                <w:lang w:val="sl-SI"/>
              </w:rPr>
            </w:pPr>
          </w:p>
        </w:tc>
        <w:tc>
          <w:tcPr>
            <w:tcW w:w="5569" w:type="dxa"/>
            <w:gridSpan w:val="2"/>
            <w:tcBorders>
              <w:top w:val="nil"/>
              <w:left w:val="nil"/>
              <w:bottom w:val="single" w:sz="4" w:space="0" w:color="auto"/>
              <w:right w:val="single" w:sz="8" w:space="0" w:color="auto"/>
            </w:tcBorders>
            <w:tcMar>
              <w:top w:w="0" w:type="dxa"/>
              <w:left w:w="108" w:type="dxa"/>
              <w:bottom w:w="0" w:type="dxa"/>
              <w:right w:w="108" w:type="dxa"/>
            </w:tcMar>
          </w:tcPr>
          <w:p w14:paraId="1FE17435" w14:textId="77777777" w:rsidR="00180CD6" w:rsidRPr="00797234" w:rsidRDefault="00180CD6" w:rsidP="00EA4D6E">
            <w:pPr>
              <w:jc w:val="center"/>
              <w:rPr>
                <w:rFonts w:ascii="Times New Roman" w:hAnsi="Times New Roman" w:cs="Times New Roman"/>
                <w:b/>
                <w:bCs/>
                <w:lang w:val="sl-SI"/>
              </w:rPr>
            </w:pPr>
            <w:r w:rsidRPr="00797234">
              <w:rPr>
                <w:rFonts w:ascii="Times New Roman" w:hAnsi="Times New Roman" w:cs="Times New Roman"/>
                <w:b/>
                <w:lang w:val="sl-SI"/>
              </w:rPr>
              <w:t>52. teden</w:t>
            </w:r>
          </w:p>
        </w:tc>
      </w:tr>
      <w:tr w:rsidR="00180CD6" w:rsidRPr="00AC7013" w14:paraId="664E118F" w14:textId="77777777" w:rsidTr="00EA4D6E">
        <w:trPr>
          <w:trHeight w:val="238"/>
          <w:jc w:val="center"/>
        </w:trPr>
        <w:tc>
          <w:tcPr>
            <w:tcW w:w="3969" w:type="dxa"/>
            <w:vMerge/>
            <w:tcBorders>
              <w:left w:val="single" w:sz="8" w:space="0" w:color="auto"/>
              <w:bottom w:val="single" w:sz="4" w:space="0" w:color="auto"/>
              <w:right w:val="single" w:sz="8" w:space="0" w:color="auto"/>
            </w:tcBorders>
            <w:tcMar>
              <w:top w:w="0" w:type="dxa"/>
              <w:left w:w="108" w:type="dxa"/>
              <w:bottom w:w="0" w:type="dxa"/>
              <w:right w:w="108" w:type="dxa"/>
            </w:tcMar>
          </w:tcPr>
          <w:p w14:paraId="094C583D" w14:textId="77777777" w:rsidR="00180CD6" w:rsidRPr="00797234" w:rsidRDefault="00180CD6" w:rsidP="00EA4D6E">
            <w:pPr>
              <w:rPr>
                <w:rFonts w:ascii="Times New Roman" w:hAnsi="Times New Roman" w:cs="Times New Roman"/>
                <w:lang w:val="sl-SI"/>
              </w:rPr>
            </w:pPr>
          </w:p>
        </w:tc>
        <w:tc>
          <w:tcPr>
            <w:tcW w:w="2835" w:type="dxa"/>
            <w:tcBorders>
              <w:top w:val="nil"/>
              <w:left w:val="nil"/>
              <w:bottom w:val="single" w:sz="4" w:space="0" w:color="auto"/>
              <w:right w:val="single" w:sz="8" w:space="0" w:color="auto"/>
            </w:tcBorders>
            <w:tcMar>
              <w:top w:w="0" w:type="dxa"/>
              <w:left w:w="108" w:type="dxa"/>
              <w:bottom w:w="0" w:type="dxa"/>
              <w:right w:w="108" w:type="dxa"/>
            </w:tcMar>
          </w:tcPr>
          <w:p w14:paraId="50E1CA77" w14:textId="77777777" w:rsidR="00180CD6" w:rsidRPr="00797234" w:rsidRDefault="00180CD6" w:rsidP="00EA4D6E">
            <w:pPr>
              <w:jc w:val="center"/>
              <w:rPr>
                <w:rFonts w:ascii="Times New Roman" w:hAnsi="Times New Roman" w:cs="Times New Roman"/>
                <w:b/>
                <w:bCs/>
                <w:vertAlign w:val="superscript"/>
                <w:lang w:val="sl-SI"/>
              </w:rPr>
            </w:pPr>
            <w:r>
              <w:rPr>
                <w:rFonts w:ascii="Times New Roman" w:hAnsi="Times New Roman" w:cs="Times New Roman"/>
                <w:b/>
                <w:lang w:val="sl-SI"/>
              </w:rPr>
              <w:t>Adalimumaba</w:t>
            </w:r>
            <w:r w:rsidRPr="00797234">
              <w:rPr>
                <w:rFonts w:ascii="Times New Roman" w:hAnsi="Times New Roman" w:cs="Times New Roman"/>
                <w:b/>
                <w:vertAlign w:val="superscript"/>
                <w:lang w:val="sl-SI"/>
              </w:rPr>
              <w:t>d</w:t>
            </w:r>
          </w:p>
          <w:p w14:paraId="01211AD0" w14:textId="77777777" w:rsidR="00180CD6" w:rsidRPr="00797234" w:rsidRDefault="00180CD6" w:rsidP="00EA4D6E">
            <w:pPr>
              <w:jc w:val="center"/>
              <w:rPr>
                <w:rFonts w:ascii="Times New Roman" w:hAnsi="Times New Roman" w:cs="Times New Roman"/>
                <w:b/>
                <w:bCs/>
                <w:lang w:val="sl-SI"/>
              </w:rPr>
            </w:pPr>
            <w:r w:rsidRPr="00797234">
              <w:rPr>
                <w:rFonts w:ascii="Times New Roman" w:hAnsi="Times New Roman" w:cs="Times New Roman"/>
                <w:b/>
                <w:lang w:val="sl-SI"/>
              </w:rPr>
              <w:t>Največ 40 mg vsak drugi teden</w:t>
            </w:r>
          </w:p>
          <w:p w14:paraId="6E0E6065" w14:textId="77777777" w:rsidR="00180CD6" w:rsidRPr="00797234" w:rsidRDefault="00180CD6" w:rsidP="00EA4D6E">
            <w:pPr>
              <w:jc w:val="center"/>
              <w:rPr>
                <w:rFonts w:ascii="Times New Roman" w:hAnsi="Times New Roman" w:cs="Times New Roman"/>
                <w:lang w:val="sl-SI"/>
              </w:rPr>
            </w:pPr>
            <w:r w:rsidRPr="00797234">
              <w:rPr>
                <w:rFonts w:ascii="Times New Roman" w:hAnsi="Times New Roman" w:cs="Times New Roman"/>
                <w:lang w:val="sl-SI"/>
              </w:rPr>
              <w:t>N = 31</w:t>
            </w:r>
          </w:p>
        </w:tc>
        <w:tc>
          <w:tcPr>
            <w:tcW w:w="2734" w:type="dxa"/>
            <w:tcBorders>
              <w:top w:val="nil"/>
              <w:left w:val="nil"/>
              <w:bottom w:val="single" w:sz="4" w:space="0" w:color="auto"/>
              <w:right w:val="single" w:sz="8" w:space="0" w:color="auto"/>
            </w:tcBorders>
            <w:tcMar>
              <w:top w:w="0" w:type="dxa"/>
              <w:left w:w="108" w:type="dxa"/>
              <w:bottom w:w="0" w:type="dxa"/>
              <w:right w:w="108" w:type="dxa"/>
            </w:tcMar>
          </w:tcPr>
          <w:p w14:paraId="389503CB" w14:textId="77777777" w:rsidR="00180CD6" w:rsidRPr="00797234" w:rsidRDefault="00180CD6" w:rsidP="00EA4D6E">
            <w:pPr>
              <w:jc w:val="center"/>
              <w:rPr>
                <w:rFonts w:ascii="Times New Roman" w:hAnsi="Times New Roman" w:cs="Times New Roman"/>
                <w:b/>
                <w:bCs/>
                <w:vertAlign w:val="superscript"/>
                <w:lang w:val="sl-SI"/>
              </w:rPr>
            </w:pPr>
            <w:r>
              <w:rPr>
                <w:rFonts w:ascii="Times New Roman" w:hAnsi="Times New Roman" w:cs="Times New Roman"/>
                <w:b/>
                <w:lang w:val="sl-SI"/>
              </w:rPr>
              <w:t>Adalimumaba</w:t>
            </w:r>
            <w:r w:rsidRPr="00797234">
              <w:rPr>
                <w:rFonts w:ascii="Times New Roman" w:hAnsi="Times New Roman" w:cs="Times New Roman"/>
                <w:b/>
                <w:vertAlign w:val="superscript"/>
                <w:lang w:val="sl-SI"/>
              </w:rPr>
              <w:t>e</w:t>
            </w:r>
          </w:p>
          <w:p w14:paraId="47BF66ED" w14:textId="77777777" w:rsidR="00180CD6" w:rsidRPr="00797234" w:rsidRDefault="00180CD6" w:rsidP="00EA4D6E">
            <w:pPr>
              <w:jc w:val="center"/>
              <w:rPr>
                <w:rFonts w:ascii="Times New Roman" w:hAnsi="Times New Roman" w:cs="Times New Roman"/>
                <w:b/>
                <w:bCs/>
                <w:lang w:val="sl-SI"/>
              </w:rPr>
            </w:pPr>
            <w:r w:rsidRPr="00797234">
              <w:rPr>
                <w:rFonts w:ascii="Times New Roman" w:hAnsi="Times New Roman" w:cs="Times New Roman"/>
                <w:b/>
                <w:lang w:val="sl-SI"/>
              </w:rPr>
              <w:t>Največ 40 mg vsak teden</w:t>
            </w:r>
          </w:p>
          <w:p w14:paraId="14DC6652" w14:textId="77777777" w:rsidR="00180CD6" w:rsidRPr="00797234" w:rsidRDefault="00180CD6" w:rsidP="00EA4D6E">
            <w:pPr>
              <w:jc w:val="center"/>
              <w:rPr>
                <w:rFonts w:ascii="Times New Roman" w:hAnsi="Times New Roman" w:cs="Times New Roman"/>
                <w:lang w:val="sl-SI"/>
              </w:rPr>
            </w:pPr>
            <w:r w:rsidRPr="00797234">
              <w:rPr>
                <w:rFonts w:ascii="Times New Roman" w:hAnsi="Times New Roman" w:cs="Times New Roman"/>
                <w:lang w:val="sl-SI"/>
              </w:rPr>
              <w:t>N = 31</w:t>
            </w:r>
          </w:p>
        </w:tc>
      </w:tr>
      <w:tr w:rsidR="00180CD6" w:rsidRPr="006A7666" w14:paraId="23DA8836" w14:textId="77777777" w:rsidTr="00EA4D6E">
        <w:trPr>
          <w:trHeight w:val="238"/>
          <w:jc w:val="center"/>
        </w:trPr>
        <w:tc>
          <w:tcPr>
            <w:tcW w:w="3969"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5C047683" w14:textId="77777777" w:rsidR="00180CD6" w:rsidRPr="00797234" w:rsidRDefault="00180CD6" w:rsidP="00EA4D6E">
            <w:pPr>
              <w:rPr>
                <w:rFonts w:ascii="Times New Roman" w:hAnsi="Times New Roman" w:cs="Times New Roman"/>
                <w:lang w:val="sl-SI"/>
              </w:rPr>
            </w:pPr>
            <w:r w:rsidRPr="00797234">
              <w:rPr>
                <w:rFonts w:ascii="Times New Roman" w:hAnsi="Times New Roman" w:cs="Times New Roman"/>
                <w:lang w:val="sl-SI"/>
              </w:rPr>
              <w:t>Klinična remisija po PUCAI pri bolnikih z odzivom po PMS v 8. tednu</w:t>
            </w:r>
          </w:p>
        </w:tc>
        <w:tc>
          <w:tcPr>
            <w:tcW w:w="2835" w:type="dxa"/>
            <w:tcBorders>
              <w:top w:val="nil"/>
              <w:left w:val="nil"/>
              <w:bottom w:val="single" w:sz="4" w:space="0" w:color="auto"/>
              <w:right w:val="single" w:sz="8" w:space="0" w:color="auto"/>
            </w:tcBorders>
            <w:tcMar>
              <w:top w:w="0" w:type="dxa"/>
              <w:left w:w="108" w:type="dxa"/>
              <w:bottom w:w="0" w:type="dxa"/>
              <w:right w:w="108" w:type="dxa"/>
            </w:tcMar>
          </w:tcPr>
          <w:p w14:paraId="32435815" w14:textId="77777777" w:rsidR="00180CD6" w:rsidRPr="00797234" w:rsidRDefault="00180CD6" w:rsidP="00EA4D6E">
            <w:pPr>
              <w:jc w:val="center"/>
              <w:rPr>
                <w:rFonts w:ascii="Times New Roman" w:hAnsi="Times New Roman" w:cs="Times New Roman"/>
                <w:lang w:val="sl-SI"/>
              </w:rPr>
            </w:pPr>
            <w:r w:rsidRPr="00797234">
              <w:rPr>
                <w:rFonts w:ascii="Times New Roman" w:hAnsi="Times New Roman" w:cs="Times New Roman"/>
                <w:lang w:val="sl-SI"/>
              </w:rPr>
              <w:t>14/31 (45,2 %)</w:t>
            </w:r>
          </w:p>
        </w:tc>
        <w:tc>
          <w:tcPr>
            <w:tcW w:w="2734" w:type="dxa"/>
            <w:tcBorders>
              <w:top w:val="nil"/>
              <w:left w:val="nil"/>
              <w:bottom w:val="single" w:sz="4" w:space="0" w:color="auto"/>
              <w:right w:val="single" w:sz="8" w:space="0" w:color="auto"/>
            </w:tcBorders>
            <w:tcMar>
              <w:top w:w="0" w:type="dxa"/>
              <w:left w:w="108" w:type="dxa"/>
              <w:bottom w:w="0" w:type="dxa"/>
              <w:right w:w="108" w:type="dxa"/>
            </w:tcMar>
          </w:tcPr>
          <w:p w14:paraId="5C96E4F6" w14:textId="77777777" w:rsidR="00180CD6" w:rsidRPr="00797234" w:rsidRDefault="00180CD6" w:rsidP="00EA4D6E">
            <w:pPr>
              <w:jc w:val="center"/>
              <w:rPr>
                <w:rFonts w:ascii="Times New Roman" w:hAnsi="Times New Roman" w:cs="Times New Roman"/>
                <w:lang w:val="sl-SI"/>
              </w:rPr>
            </w:pPr>
            <w:r w:rsidRPr="00797234">
              <w:rPr>
                <w:rFonts w:ascii="Times New Roman" w:hAnsi="Times New Roman" w:cs="Times New Roman"/>
                <w:lang w:val="sl-SI"/>
              </w:rPr>
              <w:t>18/31 (58,1 %)</w:t>
            </w:r>
          </w:p>
        </w:tc>
      </w:tr>
      <w:tr w:rsidR="00180CD6" w:rsidRPr="006A7666" w14:paraId="43C0A135" w14:textId="77777777" w:rsidTr="00EA4D6E">
        <w:trPr>
          <w:trHeight w:val="238"/>
          <w:jc w:val="center"/>
        </w:trPr>
        <w:tc>
          <w:tcPr>
            <w:tcW w:w="3969"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11A8471A" w14:textId="77777777" w:rsidR="00180CD6" w:rsidRPr="00797234" w:rsidRDefault="00180CD6" w:rsidP="00EA4D6E">
            <w:pPr>
              <w:rPr>
                <w:rFonts w:ascii="Times New Roman" w:hAnsi="Times New Roman" w:cs="Times New Roman"/>
                <w:lang w:val="sl-SI"/>
              </w:rPr>
            </w:pPr>
            <w:r w:rsidRPr="00797234">
              <w:rPr>
                <w:rFonts w:ascii="Times New Roman" w:hAnsi="Times New Roman" w:cs="Times New Roman"/>
                <w:lang w:val="sl-SI"/>
              </w:rPr>
              <w:t>Klinični odziv po PUCAI pri bolnikih z odzivom po PMS v 8. tednu</w:t>
            </w:r>
          </w:p>
        </w:tc>
        <w:tc>
          <w:tcPr>
            <w:tcW w:w="2835" w:type="dxa"/>
            <w:tcBorders>
              <w:top w:val="nil"/>
              <w:left w:val="nil"/>
              <w:bottom w:val="single" w:sz="4" w:space="0" w:color="auto"/>
              <w:right w:val="single" w:sz="8" w:space="0" w:color="auto"/>
            </w:tcBorders>
            <w:tcMar>
              <w:top w:w="0" w:type="dxa"/>
              <w:left w:w="108" w:type="dxa"/>
              <w:bottom w:w="0" w:type="dxa"/>
              <w:right w:w="108" w:type="dxa"/>
            </w:tcMar>
          </w:tcPr>
          <w:p w14:paraId="7FBC6EDB" w14:textId="77777777" w:rsidR="00180CD6" w:rsidRPr="00797234" w:rsidRDefault="00180CD6" w:rsidP="00EA4D6E">
            <w:pPr>
              <w:jc w:val="center"/>
              <w:rPr>
                <w:rFonts w:ascii="Times New Roman" w:hAnsi="Times New Roman" w:cs="Times New Roman"/>
                <w:lang w:val="sl-SI"/>
              </w:rPr>
            </w:pPr>
            <w:r w:rsidRPr="00797234">
              <w:rPr>
                <w:rFonts w:ascii="Times New Roman" w:hAnsi="Times New Roman" w:cs="Times New Roman"/>
                <w:lang w:val="sl-SI"/>
              </w:rPr>
              <w:t>18/31 (58,1 %)</w:t>
            </w:r>
          </w:p>
        </w:tc>
        <w:tc>
          <w:tcPr>
            <w:tcW w:w="2734" w:type="dxa"/>
            <w:tcBorders>
              <w:top w:val="nil"/>
              <w:left w:val="nil"/>
              <w:bottom w:val="single" w:sz="4" w:space="0" w:color="auto"/>
              <w:right w:val="single" w:sz="8" w:space="0" w:color="auto"/>
            </w:tcBorders>
            <w:tcMar>
              <w:top w:w="0" w:type="dxa"/>
              <w:left w:w="108" w:type="dxa"/>
              <w:bottom w:w="0" w:type="dxa"/>
              <w:right w:w="108" w:type="dxa"/>
            </w:tcMar>
          </w:tcPr>
          <w:p w14:paraId="7AF5D385" w14:textId="77777777" w:rsidR="00180CD6" w:rsidRPr="00797234" w:rsidRDefault="00180CD6" w:rsidP="00EA4D6E">
            <w:pPr>
              <w:jc w:val="center"/>
              <w:rPr>
                <w:rFonts w:ascii="Times New Roman" w:hAnsi="Times New Roman" w:cs="Times New Roman"/>
                <w:lang w:val="sl-SI"/>
              </w:rPr>
            </w:pPr>
            <w:r w:rsidRPr="00797234">
              <w:rPr>
                <w:rFonts w:ascii="Times New Roman" w:hAnsi="Times New Roman" w:cs="Times New Roman"/>
                <w:lang w:val="sl-SI"/>
              </w:rPr>
              <w:t>16/31 (51,6 %)</w:t>
            </w:r>
          </w:p>
        </w:tc>
      </w:tr>
      <w:tr w:rsidR="00180CD6" w:rsidRPr="00652F18" w14:paraId="3BB2CE94" w14:textId="77777777" w:rsidTr="00EA4D6E">
        <w:trPr>
          <w:trHeight w:val="533"/>
          <w:jc w:val="center"/>
        </w:trPr>
        <w:tc>
          <w:tcPr>
            <w:tcW w:w="9538" w:type="dxa"/>
            <w:gridSpan w:val="3"/>
            <w:tcBorders>
              <w:top w:val="nil"/>
              <w:left w:val="single" w:sz="8" w:space="0" w:color="auto"/>
              <w:bottom w:val="single" w:sz="4" w:space="0" w:color="auto"/>
              <w:right w:val="single" w:sz="8" w:space="0" w:color="auto"/>
            </w:tcBorders>
            <w:tcMar>
              <w:top w:w="0" w:type="dxa"/>
              <w:left w:w="108" w:type="dxa"/>
              <w:bottom w:w="0" w:type="dxa"/>
              <w:right w:w="108" w:type="dxa"/>
            </w:tcMar>
          </w:tcPr>
          <w:p w14:paraId="4FF54CE3" w14:textId="77777777" w:rsidR="00180CD6" w:rsidRPr="00797234" w:rsidRDefault="00180CD6" w:rsidP="00EA4D6E">
            <w:pPr>
              <w:rPr>
                <w:rStyle w:val="eop"/>
                <w:rFonts w:ascii="Times New Roman" w:hAnsi="Times New Roman" w:cs="Times New Roman"/>
                <w:lang w:val="sl-SI"/>
              </w:rPr>
            </w:pPr>
            <w:r w:rsidRPr="00797234">
              <w:rPr>
                <w:rFonts w:ascii="Times New Roman" w:hAnsi="Times New Roman" w:cs="Times New Roman"/>
                <w:vertAlign w:val="superscript"/>
                <w:lang w:val="sl-SI"/>
              </w:rPr>
              <w:t>a</w:t>
            </w:r>
            <w:r w:rsidRPr="00797234">
              <w:rPr>
                <w:rFonts w:ascii="Times New Roman" w:hAnsi="Times New Roman" w:cs="Times New Roman"/>
                <w:lang w:val="sl-SI"/>
              </w:rPr>
              <w:t xml:space="preserve"> </w:t>
            </w:r>
            <w:r>
              <w:rPr>
                <w:rStyle w:val="normaltextrun"/>
              </w:rPr>
              <w:t>A</w:t>
            </w:r>
            <w:r>
              <w:rPr>
                <w:rStyle w:val="normaltextrun"/>
                <w:rFonts w:ascii="Times New Roman" w:hAnsi="Times New Roman" w:cs="Times New Roman"/>
                <w:lang w:val="sl-SI"/>
              </w:rPr>
              <w:t>dalimumaba</w:t>
            </w:r>
            <w:r w:rsidRPr="00797234">
              <w:rPr>
                <w:rStyle w:val="normaltextrun"/>
                <w:rFonts w:ascii="Times New Roman" w:hAnsi="Times New Roman" w:cs="Times New Roman"/>
                <w:lang w:val="sl-SI"/>
              </w:rPr>
              <w:t xml:space="preserve"> 2,4 mg/kg (največ 160 mg) v 0. tednu, placebo v 1. tednu in </w:t>
            </w:r>
            <w:r>
              <w:rPr>
                <w:rStyle w:val="normaltextrun"/>
                <w:rFonts w:ascii="Times New Roman" w:hAnsi="Times New Roman" w:cs="Times New Roman"/>
                <w:lang w:val="sl-SI"/>
              </w:rPr>
              <w:t>adalimumaba</w:t>
            </w:r>
            <w:r w:rsidRPr="00797234">
              <w:rPr>
                <w:rStyle w:val="normaltextrun"/>
                <w:rFonts w:ascii="Times New Roman" w:hAnsi="Times New Roman" w:cs="Times New Roman"/>
                <w:lang w:val="sl-SI"/>
              </w:rPr>
              <w:t xml:space="preserve"> 1,2 mg/kg (največ 80 mg) v 2. tednu</w:t>
            </w:r>
            <w:r w:rsidRPr="00797234">
              <w:rPr>
                <w:rStyle w:val="eop"/>
                <w:rFonts w:ascii="Times New Roman" w:hAnsi="Times New Roman" w:cs="Times New Roman"/>
                <w:lang w:val="sl-SI"/>
              </w:rPr>
              <w:t> </w:t>
            </w:r>
          </w:p>
          <w:p w14:paraId="10938A1E" w14:textId="77777777" w:rsidR="00180CD6" w:rsidRPr="006A7666" w:rsidRDefault="00180CD6" w:rsidP="00EA4D6E">
            <w:pPr>
              <w:pStyle w:val="paragraph"/>
              <w:spacing w:before="0" w:beforeAutospacing="0" w:after="0" w:afterAutospacing="0"/>
              <w:textAlignment w:val="baseline"/>
              <w:rPr>
                <w:rStyle w:val="eop"/>
                <w:sz w:val="22"/>
                <w:szCs w:val="22"/>
              </w:rPr>
            </w:pPr>
            <w:r w:rsidRPr="006A7666">
              <w:rPr>
                <w:sz w:val="22"/>
                <w:vertAlign w:val="superscript"/>
              </w:rPr>
              <w:t>b</w:t>
            </w:r>
            <w:r w:rsidRPr="006A7666">
              <w:rPr>
                <w:rStyle w:val="normaltextrun"/>
                <w:sz w:val="22"/>
                <w:vertAlign w:val="superscript"/>
              </w:rPr>
              <w:t> </w:t>
            </w:r>
            <w:r>
              <w:rPr>
                <w:rStyle w:val="normaltextrun"/>
                <w:sz w:val="22"/>
              </w:rPr>
              <w:t>Adalimumaba</w:t>
            </w:r>
            <w:r w:rsidRPr="006A7666">
              <w:rPr>
                <w:rStyle w:val="normaltextrun"/>
                <w:sz w:val="22"/>
              </w:rPr>
              <w:t xml:space="preserve"> 2,4 mg/kg (največ 160 mg) v 0. tednu in 1. tednu in </w:t>
            </w:r>
            <w:r>
              <w:rPr>
                <w:rStyle w:val="normaltextrun"/>
                <w:sz w:val="22"/>
              </w:rPr>
              <w:t>adalimumaba</w:t>
            </w:r>
            <w:r w:rsidRPr="006A7666">
              <w:rPr>
                <w:rStyle w:val="normaltextrun"/>
                <w:sz w:val="22"/>
              </w:rPr>
              <w:t xml:space="preserve"> 1,2 mg/kg (največ 80 mg) v 2. tednu</w:t>
            </w:r>
            <w:r w:rsidRPr="006A7666">
              <w:rPr>
                <w:rStyle w:val="eop"/>
                <w:sz w:val="22"/>
              </w:rPr>
              <w:t> </w:t>
            </w:r>
          </w:p>
          <w:p w14:paraId="072658B9" w14:textId="77777777" w:rsidR="00180CD6" w:rsidRPr="006A7666" w:rsidRDefault="00180CD6" w:rsidP="00EA4D6E">
            <w:pPr>
              <w:pStyle w:val="paragraph"/>
              <w:spacing w:before="0" w:beforeAutospacing="0" w:after="0" w:afterAutospacing="0"/>
              <w:textAlignment w:val="baseline"/>
              <w:rPr>
                <w:rStyle w:val="normaltextrun"/>
                <w:sz w:val="22"/>
                <w:szCs w:val="22"/>
              </w:rPr>
            </w:pPr>
            <w:r w:rsidRPr="006A7666">
              <w:rPr>
                <w:rStyle w:val="normaltextrun"/>
                <w:sz w:val="22"/>
                <w:vertAlign w:val="superscript"/>
              </w:rPr>
              <w:t>c</w:t>
            </w:r>
            <w:r w:rsidRPr="006A7666">
              <w:rPr>
                <w:rStyle w:val="normaltextrun"/>
                <w:sz w:val="22"/>
              </w:rPr>
              <w:t xml:space="preserve"> Ni vključeno </w:t>
            </w:r>
            <w:r w:rsidRPr="00724B90">
              <w:rPr>
                <w:rStyle w:val="normaltextrun"/>
                <w:sz w:val="22"/>
              </w:rPr>
              <w:t>nezaslepljeno</w:t>
            </w:r>
            <w:r w:rsidRPr="006A7666">
              <w:rPr>
                <w:rStyle w:val="normaltextrun"/>
                <w:sz w:val="22"/>
              </w:rPr>
              <w:t xml:space="preserve"> zdravljenje z začetnim odmerkom zdravila </w:t>
            </w:r>
            <w:r>
              <w:rPr>
                <w:rStyle w:val="normaltextrun"/>
                <w:sz w:val="22"/>
              </w:rPr>
              <w:t>adalimumaba</w:t>
            </w:r>
            <w:r w:rsidRPr="006A7666">
              <w:rPr>
                <w:rStyle w:val="normaltextrun"/>
                <w:sz w:val="22"/>
              </w:rPr>
              <w:t xml:space="preserve"> 2,4 mg/kg (največ 160 mg) v 0. tednu in 1. tednu in 1,2 mg/kg (največ 80 mg) v 2. tednu</w:t>
            </w:r>
          </w:p>
          <w:p w14:paraId="6526710B" w14:textId="77777777" w:rsidR="00180CD6" w:rsidRPr="006A7666" w:rsidRDefault="00180CD6" w:rsidP="00EA4D6E">
            <w:pPr>
              <w:pStyle w:val="paragraph"/>
              <w:spacing w:before="0" w:beforeAutospacing="0" w:after="0" w:afterAutospacing="0"/>
              <w:textAlignment w:val="baseline"/>
              <w:rPr>
                <w:sz w:val="22"/>
                <w:szCs w:val="22"/>
              </w:rPr>
            </w:pPr>
            <w:r w:rsidRPr="006A7666">
              <w:rPr>
                <w:rStyle w:val="normaltextrun"/>
                <w:sz w:val="22"/>
                <w:vertAlign w:val="superscript"/>
              </w:rPr>
              <w:t>d</w:t>
            </w:r>
            <w:r w:rsidRPr="006A7666">
              <w:rPr>
                <w:sz w:val="22"/>
              </w:rPr>
              <w:t xml:space="preserve"> </w:t>
            </w:r>
            <w:r>
              <w:rPr>
                <w:sz w:val="22"/>
              </w:rPr>
              <w:t>Adalimumaba</w:t>
            </w:r>
            <w:r w:rsidRPr="006A7666">
              <w:rPr>
                <w:sz w:val="22"/>
              </w:rPr>
              <w:t xml:space="preserve"> 0,6 mg/kg (največ 40 mg) vsak drugi teden</w:t>
            </w:r>
          </w:p>
          <w:p w14:paraId="0ECBA9E9" w14:textId="77777777" w:rsidR="00180CD6" w:rsidRPr="00797234" w:rsidRDefault="00180CD6" w:rsidP="00EA4D6E">
            <w:pPr>
              <w:rPr>
                <w:rFonts w:ascii="Times New Roman" w:hAnsi="Times New Roman" w:cs="Times New Roman"/>
                <w:lang w:val="sl-SI"/>
              </w:rPr>
            </w:pPr>
            <w:r w:rsidRPr="00797234">
              <w:rPr>
                <w:rFonts w:ascii="Times New Roman" w:hAnsi="Times New Roman" w:cs="Times New Roman"/>
                <w:vertAlign w:val="superscript"/>
                <w:lang w:val="sl-SI"/>
              </w:rPr>
              <w:t>e</w:t>
            </w:r>
            <w:r w:rsidRPr="00797234">
              <w:rPr>
                <w:rFonts w:ascii="Times New Roman" w:hAnsi="Times New Roman" w:cs="Times New Roman"/>
                <w:lang w:val="sl-SI"/>
              </w:rPr>
              <w:t xml:space="preserve"> </w:t>
            </w:r>
            <w:r>
              <w:rPr>
                <w:rFonts w:ascii="Times New Roman" w:hAnsi="Times New Roman" w:cs="Times New Roman"/>
                <w:lang w:val="sl-SI"/>
              </w:rPr>
              <w:t>Adalimumaba</w:t>
            </w:r>
            <w:r w:rsidRPr="00797234">
              <w:rPr>
                <w:rFonts w:ascii="Times New Roman" w:hAnsi="Times New Roman" w:cs="Times New Roman"/>
                <w:lang w:val="sl-SI"/>
              </w:rPr>
              <w:t xml:space="preserve"> 0,6 mg/kg (največ 40 mg) vsak teden</w:t>
            </w:r>
          </w:p>
          <w:p w14:paraId="36420D3D" w14:textId="77777777" w:rsidR="00180CD6" w:rsidRPr="006A7666" w:rsidRDefault="00180CD6" w:rsidP="00EA4D6E">
            <w:pPr>
              <w:pStyle w:val="paragraph"/>
              <w:spacing w:before="0" w:beforeAutospacing="0" w:after="0" w:afterAutospacing="0"/>
              <w:textAlignment w:val="baseline"/>
              <w:rPr>
                <w:sz w:val="22"/>
                <w:szCs w:val="22"/>
              </w:rPr>
            </w:pPr>
            <w:r w:rsidRPr="006A7666">
              <w:rPr>
                <w:rStyle w:val="normaltextrun"/>
                <w:sz w:val="22"/>
              </w:rPr>
              <w:t>Opomba 1: Obe indukcijski skupini sta prejeli odmerek 0,6 mg/kg (največ 40 mg) v 4. tednu in 6. tednu</w:t>
            </w:r>
            <w:r w:rsidRPr="006A7666">
              <w:rPr>
                <w:rStyle w:val="eop"/>
                <w:sz w:val="22"/>
              </w:rPr>
              <w:t> </w:t>
            </w:r>
          </w:p>
          <w:p w14:paraId="1F029C7A" w14:textId="77777777" w:rsidR="00180CD6" w:rsidRPr="006A7666" w:rsidRDefault="00180CD6" w:rsidP="00EA4D6E">
            <w:pPr>
              <w:pStyle w:val="paragraph"/>
              <w:spacing w:before="0" w:beforeAutospacing="0" w:after="0" w:afterAutospacing="0"/>
              <w:textAlignment w:val="baseline"/>
              <w:rPr>
                <w:rStyle w:val="eop"/>
                <w:sz w:val="22"/>
                <w:szCs w:val="22"/>
              </w:rPr>
            </w:pPr>
            <w:r w:rsidRPr="006A7666">
              <w:rPr>
                <w:rStyle w:val="normaltextrun"/>
                <w:sz w:val="22"/>
              </w:rPr>
              <w:t>Opomba 2: Bolnike z manjkajočimi vrednostmi v 8. tednu so obravnavali, kot da niso dosegli opazovanih izidov</w:t>
            </w:r>
            <w:r w:rsidRPr="006A7666">
              <w:rPr>
                <w:rStyle w:val="eop"/>
                <w:sz w:val="22"/>
              </w:rPr>
              <w:t> </w:t>
            </w:r>
          </w:p>
          <w:p w14:paraId="4239BA74" w14:textId="77777777" w:rsidR="00180CD6" w:rsidRPr="0028193B" w:rsidRDefault="00180CD6" w:rsidP="00EA4D6E">
            <w:pPr>
              <w:pStyle w:val="paragraph"/>
              <w:spacing w:before="0" w:beforeAutospacing="0" w:after="0" w:afterAutospacing="0"/>
              <w:textAlignment w:val="baseline"/>
              <w:rPr>
                <w:sz w:val="22"/>
                <w:szCs w:val="22"/>
              </w:rPr>
            </w:pPr>
            <w:r w:rsidRPr="006A7666">
              <w:rPr>
                <w:rStyle w:val="eop"/>
                <w:sz w:val="22"/>
              </w:rPr>
              <w:t xml:space="preserve">Opomba 3: </w:t>
            </w:r>
            <w:r w:rsidRPr="006A7666">
              <w:rPr>
                <w:sz w:val="22"/>
              </w:rPr>
              <w:t xml:space="preserve">Bolnike z manjkajočimi vrednostmi v 52. tednu ali tiste, ki so bili </w:t>
            </w:r>
            <w:r w:rsidRPr="0028193B">
              <w:rPr>
                <w:sz w:val="22"/>
              </w:rPr>
              <w:t>randomizirani za prejemanje ponovnega začetnega odmerka ali vzdrževalnega zdravljenja, so obravnavali kot neodzivne glede opazovanih izidov v 52. tednu</w:t>
            </w:r>
          </w:p>
        </w:tc>
      </w:tr>
    </w:tbl>
    <w:p w14:paraId="55ABE6D2" w14:textId="77777777" w:rsidR="00180CD6" w:rsidRPr="00797234" w:rsidRDefault="00180CD6" w:rsidP="00180CD6">
      <w:pPr>
        <w:rPr>
          <w:rFonts w:ascii="Times New Roman" w:hAnsi="Times New Roman" w:cs="Times New Roman"/>
          <w:lang w:val="sl-SI"/>
        </w:rPr>
      </w:pPr>
    </w:p>
    <w:p w14:paraId="3EC2E513" w14:textId="77777777" w:rsidR="00180CD6" w:rsidRPr="00797234" w:rsidRDefault="00180CD6" w:rsidP="00180CD6">
      <w:pPr>
        <w:rPr>
          <w:rFonts w:ascii="Times New Roman" w:hAnsi="Times New Roman" w:cs="Times New Roman"/>
          <w:lang w:val="sl-SI"/>
        </w:rPr>
      </w:pPr>
      <w:r w:rsidRPr="00797234">
        <w:rPr>
          <w:rFonts w:ascii="Times New Roman" w:hAnsi="Times New Roman" w:cs="Times New Roman"/>
          <w:lang w:val="sl-SI"/>
        </w:rPr>
        <w:t xml:space="preserve">Od bolnikov, zdravljenih z zdravilom </w:t>
      </w:r>
      <w:r>
        <w:rPr>
          <w:rFonts w:ascii="Times New Roman" w:hAnsi="Times New Roman" w:cs="Times New Roman"/>
          <w:lang w:val="sl-SI"/>
        </w:rPr>
        <w:t>adalimumaba</w:t>
      </w:r>
      <w:r w:rsidRPr="00797234">
        <w:rPr>
          <w:rFonts w:ascii="Times New Roman" w:hAnsi="Times New Roman" w:cs="Times New Roman"/>
          <w:lang w:val="sl-SI"/>
        </w:rPr>
        <w:t>, ki so med vzdrževalnim obdobjem prejeli ponovno zdravljenje z začetnim odmerkom, sta 2/6 (33 %) dosegla klinični odziv po FMS v 52. tednu.</w:t>
      </w:r>
    </w:p>
    <w:p w14:paraId="55DADB20" w14:textId="77777777" w:rsidR="00180CD6" w:rsidRPr="00797234" w:rsidRDefault="00180CD6" w:rsidP="00180CD6">
      <w:pPr>
        <w:rPr>
          <w:rFonts w:ascii="Times New Roman" w:hAnsi="Times New Roman" w:cs="Times New Roman"/>
          <w:lang w:val="sl-SI"/>
        </w:rPr>
      </w:pPr>
    </w:p>
    <w:p w14:paraId="48153091" w14:textId="77777777" w:rsidR="00180CD6" w:rsidRPr="001452D7" w:rsidRDefault="00180CD6" w:rsidP="00180CD6">
      <w:pPr>
        <w:keepNext/>
        <w:rPr>
          <w:rFonts w:ascii="Times New Roman" w:hAnsi="Times New Roman" w:cs="Times New Roman"/>
          <w:bCs/>
          <w:i/>
          <w:u w:val="single"/>
          <w:lang w:val="sl-SI"/>
        </w:rPr>
      </w:pPr>
      <w:r w:rsidRPr="001452D7">
        <w:rPr>
          <w:rFonts w:ascii="Times New Roman" w:hAnsi="Times New Roman" w:cs="Times New Roman"/>
          <w:i/>
          <w:u w:val="single"/>
          <w:lang w:val="sl-SI"/>
        </w:rPr>
        <w:t>Kakovost življenja</w:t>
      </w:r>
    </w:p>
    <w:p w14:paraId="6FF511A0" w14:textId="77777777" w:rsidR="00180CD6" w:rsidRPr="00797234" w:rsidRDefault="00180CD6" w:rsidP="00180CD6">
      <w:pPr>
        <w:keepNext/>
        <w:rPr>
          <w:rFonts w:ascii="Times New Roman" w:hAnsi="Times New Roman" w:cs="Times New Roman"/>
          <w:bCs/>
          <w:i/>
          <w:lang w:val="sl-SI"/>
        </w:rPr>
      </w:pPr>
    </w:p>
    <w:p w14:paraId="27B216FF" w14:textId="77777777" w:rsidR="00180CD6" w:rsidRPr="00797234" w:rsidRDefault="00180CD6" w:rsidP="00180CD6">
      <w:pPr>
        <w:keepNext/>
        <w:rPr>
          <w:rFonts w:ascii="Times New Roman" w:hAnsi="Times New Roman" w:cs="Times New Roman"/>
          <w:lang w:val="sl-SI"/>
        </w:rPr>
      </w:pPr>
      <w:r w:rsidRPr="00797234">
        <w:rPr>
          <w:rFonts w:ascii="Times New Roman" w:hAnsi="Times New Roman" w:cs="Times New Roman"/>
          <w:lang w:val="sl-SI"/>
        </w:rPr>
        <w:t xml:space="preserve">V skupinah, zdravljenih z zdravilom </w:t>
      </w:r>
      <w:r>
        <w:rPr>
          <w:rFonts w:ascii="Times New Roman" w:hAnsi="Times New Roman" w:cs="Times New Roman"/>
          <w:lang w:val="sl-SI"/>
        </w:rPr>
        <w:t>adalimumaba</w:t>
      </w:r>
      <w:r w:rsidRPr="00797234">
        <w:rPr>
          <w:rFonts w:ascii="Times New Roman" w:hAnsi="Times New Roman" w:cs="Times New Roman"/>
          <w:lang w:val="sl-SI"/>
        </w:rPr>
        <w:t xml:space="preserve">, so klinično pomembna izboljšanja glede na izhodišče opažali z vprašalnikom IMPACT III in vprašalnikom za negovalce o zmanjšanju delovne storilnosti in dejavnosti (WPAI – Work Productivity and Activity Impairment). </w:t>
      </w:r>
    </w:p>
    <w:p w14:paraId="7628EF74" w14:textId="77777777" w:rsidR="00180CD6" w:rsidRPr="00797234" w:rsidRDefault="00180CD6" w:rsidP="00180CD6">
      <w:pPr>
        <w:keepNext/>
        <w:rPr>
          <w:rFonts w:ascii="Times New Roman" w:hAnsi="Times New Roman" w:cs="Times New Roman"/>
          <w:lang w:val="sl-SI"/>
        </w:rPr>
      </w:pPr>
    </w:p>
    <w:p w14:paraId="1B772589" w14:textId="7575A0C6" w:rsidR="00180CD6" w:rsidRDefault="00180CD6" w:rsidP="00180CD6">
      <w:pPr>
        <w:rPr>
          <w:rFonts w:ascii="Times New Roman" w:hAnsi="Times New Roman" w:cs="Times New Roman"/>
          <w:lang w:val="sl-SI"/>
        </w:rPr>
      </w:pPr>
      <w:r w:rsidRPr="00797234">
        <w:rPr>
          <w:rFonts w:ascii="Times New Roman" w:hAnsi="Times New Roman" w:cs="Times New Roman"/>
          <w:lang w:val="sl-SI"/>
        </w:rPr>
        <w:t>Klinično pomembna povečanja (izboljšanje) hitrosti rasti glede na izhodišče so opažali pri skupinah, zdravljenih z adalimumabom, klinično pomembna povečanja (izboljšanje) indeksa telesne mase glede na izhodišče so opažali pri udeležencih, ki so prejemali visoki vzdrževalni odmerek naj</w:t>
      </w:r>
      <w:r w:rsidRPr="00797234">
        <w:rPr>
          <w:rStyle w:val="normaltextrun"/>
          <w:rFonts w:ascii="Times New Roman" w:hAnsi="Times New Roman" w:cs="Times New Roman"/>
          <w:lang w:val="sl-SI"/>
        </w:rPr>
        <w:t>več</w:t>
      </w:r>
      <w:r>
        <w:rPr>
          <w:rFonts w:ascii="Times New Roman" w:hAnsi="Times New Roman" w:cs="Times New Roman"/>
          <w:lang w:val="sl-SI"/>
        </w:rPr>
        <w:t xml:space="preserve"> 40 mg (0,6 mg/kg) vsak teden.</w:t>
      </w:r>
    </w:p>
    <w:p w14:paraId="1B924F11" w14:textId="77777777" w:rsidR="00180CD6" w:rsidRPr="00797234" w:rsidRDefault="00180CD6" w:rsidP="00180CD6">
      <w:pPr>
        <w:rPr>
          <w:rFonts w:ascii="Times New Roman" w:hAnsi="Times New Roman" w:cs="Times New Roman"/>
          <w:lang w:val="sl-SI"/>
        </w:rPr>
      </w:pPr>
    </w:p>
    <w:p w14:paraId="11A5250B" w14:textId="77777777" w:rsidR="00180CD6" w:rsidRDefault="00180CD6" w:rsidP="00180CD6">
      <w:pPr>
        <w:pStyle w:val="a3"/>
        <w:rPr>
          <w:rFonts w:eastAsia="Times New Roman"/>
          <w:lang w:val="sl-SI"/>
        </w:rPr>
      </w:pPr>
      <w:r>
        <w:rPr>
          <w:rFonts w:eastAsia="Times New Roman"/>
          <w:i/>
          <w:iCs/>
          <w:spacing w:val="-1"/>
          <w:lang w:val="sl-SI"/>
        </w:rPr>
        <w:lastRenderedPageBreak/>
        <w:t>Uveitis pri pediatričnih bolnikih</w:t>
      </w:r>
    </w:p>
    <w:p w14:paraId="078ADCC2" w14:textId="77777777" w:rsidR="00180CD6" w:rsidRDefault="00180CD6" w:rsidP="00180CD6">
      <w:pPr>
        <w:pStyle w:val="a3"/>
        <w:rPr>
          <w:sz w:val="24"/>
          <w:szCs w:val="24"/>
          <w:lang w:val="sl-SI"/>
        </w:rPr>
      </w:pPr>
    </w:p>
    <w:p w14:paraId="7543B612" w14:textId="77777777" w:rsidR="00180CD6" w:rsidRDefault="00180CD6" w:rsidP="00180CD6">
      <w:pPr>
        <w:pStyle w:val="a3"/>
        <w:rPr>
          <w:lang w:val="sl-SI"/>
        </w:rPr>
      </w:pPr>
      <w:r>
        <w:rPr>
          <w:rFonts w:eastAsia="Times New Roman"/>
          <w:lang w:val="sl-SI"/>
        </w:rPr>
        <w:t>Varnost in učinkovitost adalimumaba sta bili ocenjeni v randomizirani, dvojno slepi, kontrolirani študiji pri 90 pediatričnih bolnikih, starih od 2 do manj kot 18 let, z aktivnim neinfekcijskim anteriornim uveitisom, povezanim z juvenilnim idiopatskim artritisom, ki se niso odzvali na zdravljenje z metotreksatom, ki je trajalo vsaj 12 tednov. Bolniki so prejeli placebo ali 20 mg adalimumaba (če so tehtali manj kot 30 kg) ali 40 mg adalimumaba (če so tehtali 30 kg ali več) vsak drugi teden v kombinaciji z izhodiščnim odmerkom metotreksata.</w:t>
      </w:r>
    </w:p>
    <w:p w14:paraId="41ACC833" w14:textId="77777777" w:rsidR="00180CD6" w:rsidRDefault="00180CD6" w:rsidP="00180CD6">
      <w:pPr>
        <w:pStyle w:val="a3"/>
        <w:rPr>
          <w:lang w:val="sl-SI"/>
        </w:rPr>
      </w:pPr>
      <w:r>
        <w:rPr>
          <w:rFonts w:eastAsia="Times New Roman"/>
          <w:lang w:val="sl-SI"/>
        </w:rPr>
        <w:t>Primarni opazovani dogodek je bil “čas do neuspeha zdravljenja”. Merila, s katerimi so določali neuspeh zdravljenja so bila poslabšanje ali vztrajno ne-izboljšanje očesnega vnetja, delno izboljšanje z razvojem trajnih sočasnih očesnih bolezni ali poslabšanjem sočasnih očesnih bolezni, nedovoljena uporaba sočasnih zdravil ter prekinitev zdravljenja za daljše časovno obdobje.</w:t>
      </w:r>
    </w:p>
    <w:p w14:paraId="1C892984" w14:textId="77777777" w:rsidR="00180CD6" w:rsidRDefault="00180CD6" w:rsidP="00180CD6">
      <w:pPr>
        <w:pStyle w:val="a3"/>
        <w:rPr>
          <w:sz w:val="24"/>
          <w:szCs w:val="24"/>
          <w:lang w:val="sl-SI"/>
        </w:rPr>
      </w:pPr>
    </w:p>
    <w:p w14:paraId="550A7063" w14:textId="77777777" w:rsidR="00180CD6" w:rsidRDefault="00180CD6" w:rsidP="00180CD6">
      <w:pPr>
        <w:pStyle w:val="a3"/>
        <w:rPr>
          <w:rFonts w:eastAsia="Times New Roman"/>
          <w:lang w:val="sl-SI"/>
        </w:rPr>
      </w:pPr>
      <w:r>
        <w:rPr>
          <w:rFonts w:eastAsia="Times New Roman"/>
          <w:i/>
          <w:iCs/>
          <w:spacing w:val="-1"/>
          <w:u w:val="single" w:color="000000"/>
          <w:lang w:val="sl-SI"/>
        </w:rPr>
        <w:t>Klinični odziv</w:t>
      </w:r>
    </w:p>
    <w:p w14:paraId="0C867217" w14:textId="77777777" w:rsidR="00180CD6" w:rsidRDefault="00180CD6" w:rsidP="00180CD6">
      <w:pPr>
        <w:pStyle w:val="a3"/>
        <w:rPr>
          <w:sz w:val="20"/>
          <w:szCs w:val="20"/>
          <w:lang w:val="sl-SI"/>
        </w:rPr>
      </w:pPr>
    </w:p>
    <w:p w14:paraId="1CD393F4" w14:textId="77777777" w:rsidR="00180CD6" w:rsidRDefault="00180CD6" w:rsidP="00180CD6">
      <w:pPr>
        <w:pStyle w:val="a3"/>
        <w:rPr>
          <w:lang w:val="sl-SI"/>
        </w:rPr>
      </w:pPr>
      <w:r>
        <w:rPr>
          <w:rFonts w:eastAsia="Times New Roman"/>
          <w:lang w:val="sl-SI"/>
        </w:rPr>
        <w:t>Adalimumab je značilno podaljšal čas do neuspeha zdravljenja v primerjavi s placebom (glejte sliko 2, p &lt; 0,0001 iz testa log-rank). Mediani čas do neuspeha zdravljenja je bil 24,1 tedna za bolnike, ki so se zdravili s placebom, medtem ko mediani čas do neuspeha zdravljenja pri bolnikih, ki so bili zdravljeni z adalimumabom, ni bilo mogoče oceniti, ker je bilo zdravljenje neuspešno pri manj kot polovici teh bolnikov. Adalimumab je značilno zmanjšal tveganje za neuspeh zdravljenja za 75 % glede na placebo, kot prikazuje razmerje ogroženosti (HR = 0,25 [95-% IZ: 0,12, 0,49]).</w:t>
      </w:r>
    </w:p>
    <w:p w14:paraId="7BDFC8EF" w14:textId="77777777" w:rsidR="00180CD6" w:rsidRDefault="00180CD6" w:rsidP="00180CD6">
      <w:pPr>
        <w:spacing w:line="200" w:lineRule="exact"/>
        <w:rPr>
          <w:sz w:val="20"/>
          <w:szCs w:val="20"/>
          <w:lang w:val="sl-SI"/>
        </w:rPr>
      </w:pPr>
    </w:p>
    <w:p w14:paraId="532C7C19" w14:textId="77777777" w:rsidR="00180CD6" w:rsidRDefault="00180CD6" w:rsidP="00180CD6">
      <w:pPr>
        <w:pStyle w:val="a3"/>
        <w:jc w:val="center"/>
        <w:rPr>
          <w:b/>
          <w:lang w:val="sl-SI"/>
        </w:rPr>
      </w:pPr>
      <w:r>
        <w:rPr>
          <w:rFonts w:eastAsia="Times New Roman"/>
          <w:b/>
          <w:bCs/>
          <w:lang w:val="sl-SI"/>
        </w:rPr>
        <w:t>Slika 2: Kaplan-Meierjeve krivulje povzemajo čas do neuspeha zdravljenja v študiji uveitisa pri pediatričnih bolnikih</w:t>
      </w:r>
    </w:p>
    <w:p w14:paraId="6CA1ADE9" w14:textId="77777777" w:rsidR="00180CD6" w:rsidRDefault="00180CD6" w:rsidP="00180CD6">
      <w:pPr>
        <w:spacing w:before="16" w:line="240" w:lineRule="exact"/>
        <w:rPr>
          <w:sz w:val="24"/>
          <w:szCs w:val="24"/>
          <w:lang w:val="sl-SI"/>
        </w:rPr>
      </w:pPr>
    </w:p>
    <w:p w14:paraId="1199B3E4" w14:textId="77777777" w:rsidR="00180CD6" w:rsidRDefault="00180CD6" w:rsidP="00180CD6">
      <w:pPr>
        <w:ind w:left="687" w:right="10920"/>
        <w:rPr>
          <w:rFonts w:ascii="Times New Roman" w:eastAsia="Times New Roman" w:hAnsi="Times New Roman" w:cs="Times New Roman"/>
          <w:sz w:val="20"/>
          <w:szCs w:val="20"/>
          <w:lang w:val="sl-SI"/>
        </w:rPr>
      </w:pPr>
      <w:r w:rsidRPr="007F6B22">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64" behindDoc="0" locked="0" layoutInCell="1" allowOverlap="1" wp14:anchorId="1B33A491" wp14:editId="273D1D5A">
                <wp:simplePos x="0" y="0"/>
                <wp:positionH relativeFrom="column">
                  <wp:posOffset>400050</wp:posOffset>
                </wp:positionH>
                <wp:positionV relativeFrom="paragraph">
                  <wp:posOffset>3537585</wp:posOffset>
                </wp:positionV>
                <wp:extent cx="455613" cy="273050"/>
                <wp:effectExtent l="0" t="0" r="1905" b="0"/>
                <wp:wrapNone/>
                <wp:docPr id="4065"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613" cy="2730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4DB4EFE" w14:textId="77777777" w:rsidR="00180CD6" w:rsidRDefault="00180CD6" w:rsidP="00180CD6">
                            <w:pPr>
                              <w:pStyle w:val="af1"/>
                              <w:kinsoku w:val="0"/>
                              <w:overflowPunct w:val="0"/>
                              <w:spacing w:before="0" w:beforeAutospacing="0" w:after="0" w:afterAutospacing="0"/>
                              <w:jc w:val="center"/>
                              <w:textAlignment w:val="baseline"/>
                            </w:pPr>
                            <w:r>
                              <w:rPr>
                                <w:rFonts w:ascii="Times New Roman" w:eastAsiaTheme="minorEastAsia" w:hAnsi="Times New Roman" w:cs="Times New Roman"/>
                                <w:color w:val="000000" w:themeColor="text1"/>
                                <w:kern w:val="24"/>
                                <w:sz w:val="16"/>
                                <w:szCs w:val="16"/>
                              </w:rPr>
                              <w:t>A</w:t>
                            </w:r>
                          </w:p>
                          <w:p w14:paraId="7C725A56" w14:textId="77777777" w:rsidR="00180CD6" w:rsidRDefault="00180CD6" w:rsidP="00180CD6">
                            <w:pPr>
                              <w:pStyle w:val="af1"/>
                              <w:kinsoku w:val="0"/>
                              <w:overflowPunct w:val="0"/>
                              <w:spacing w:before="0" w:beforeAutospacing="0" w:after="0" w:afterAutospacing="0"/>
                              <w:jc w:val="center"/>
                              <w:textAlignment w:val="baseline"/>
                            </w:pPr>
                            <w:r>
                              <w:rPr>
                                <w:rFonts w:ascii="Times New Roman" w:eastAsia="Times New Roman" w:hAnsi="Times New Roman" w:cs="Times New Roman"/>
                                <w:color w:val="000000" w:themeColor="text1"/>
                                <w:kern w:val="24"/>
                                <w:sz w:val="16"/>
                                <w:szCs w:val="16"/>
                                <w:lang w:val="bg-BG"/>
                              </w:rPr>
                              <w:t>Р</w:t>
                            </w:r>
                          </w:p>
                        </w:txbxContent>
                      </wps:txbx>
                      <wps:bodyPr vert="horz" wrap="square" lIns="0" tIns="0" rIns="0" bIns="0" numCol="1" anchor="t" anchorCtr="0" compatLnSpc="1">
                        <a:prstTxWarp prst="textNoShape">
                          <a:avLst/>
                        </a:prstTxWarp>
                      </wps:bodyPr>
                    </wps:wsp>
                  </a:graphicData>
                </a:graphic>
              </wp:anchor>
            </w:drawing>
          </mc:Choice>
          <mc:Fallback>
            <w:pict>
              <v:shape w14:anchorId="1B33A491" id="_x0000_s1039" type="#_x0000_t202" style="position:absolute;left:0;text-align:left;margin-left:31.5pt;margin-top:278.55pt;width:35.9pt;height:21.5pt;z-index:2516583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" stroked="f" strokeweight=".5pt">
                <v:textbox inset="0,0,0,0">
                  <w:txbxContent>
                    <w:p w14:paraId="54DB4EFE" w14:textId="77777777" w:rsidR="00180CD6" w:rsidRDefault="00180CD6" w:rsidP="00180CD6">
                      <w:pPr>
                        <w:pStyle w:val="af1"/>
                        <w:kinsoku w:val="0"/>
                        <w:overflowPunct w:val="0"/>
                        <w:spacing w:before="0" w:beforeAutospacing="0" w:after="0" w:afterAutospacing="0"/>
                        <w:jc w:val="center"/>
                        <w:textAlignment w:val="baseline"/>
                      </w:pPr>
                      <w:r>
                        <w:rPr>
                          <w:rFonts w:ascii="Times New Roman" w:eastAsiaTheme="minorEastAsia" w:hAnsi="Times New Roman" w:cs="Times New Roman"/>
                          <w:color w:val="000000" w:themeColor="text1"/>
                          <w:kern w:val="24"/>
                          <w:sz w:val="16"/>
                          <w:szCs w:val="16"/>
                        </w:rPr>
                        <w:t>A</w:t>
                      </w:r>
                    </w:p>
                    <w:p w14:paraId="7C725A56" w14:textId="77777777" w:rsidR="00180CD6" w:rsidRDefault="00180CD6" w:rsidP="00180CD6">
                      <w:pPr>
                        <w:pStyle w:val="af1"/>
                        <w:kinsoku w:val="0"/>
                        <w:overflowPunct w:val="0"/>
                        <w:spacing w:before="0" w:beforeAutospacing="0" w:after="0" w:afterAutospacing="0"/>
                        <w:jc w:val="center"/>
                        <w:textAlignment w:val="baseline"/>
                      </w:pPr>
                      <w:r>
                        <w:rPr>
                          <w:rFonts w:ascii="Times New Roman" w:eastAsia="Times New Roman" w:hAnsi="Times New Roman" w:cs="Times New Roman"/>
                          <w:color w:val="000000" w:themeColor="text1"/>
                          <w:kern w:val="24"/>
                          <w:sz w:val="16"/>
                          <w:szCs w:val="16"/>
                          <w:lang w:val="bg-BG"/>
                        </w:rPr>
                        <w:t>Р</w:t>
                      </w:r>
                    </w:p>
                  </w:txbxContent>
                </v:textbox>
              </v:shape>
            </w:pict>
          </mc:Fallback>
        </mc:AlternateContent>
      </w:r>
      <w:r>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63" behindDoc="0" locked="0" layoutInCell="1" allowOverlap="1" wp14:anchorId="6E9BD4E4" wp14:editId="6B432ECE">
                <wp:simplePos x="0" y="0"/>
                <wp:positionH relativeFrom="column">
                  <wp:posOffset>400050</wp:posOffset>
                </wp:positionH>
                <wp:positionV relativeFrom="paragraph">
                  <wp:posOffset>17780</wp:posOffset>
                </wp:positionV>
                <wp:extent cx="224790" cy="3225800"/>
                <wp:effectExtent l="0" t="0" r="3810" b="0"/>
                <wp:wrapNone/>
                <wp:docPr id="4076" name="Text Box 4076"/>
                <wp:cNvGraphicFramePr/>
                <a:graphic xmlns:a="http://schemas.openxmlformats.org/drawingml/2006/main">
                  <a:graphicData uri="http://schemas.microsoft.com/office/word/2010/wordprocessingShape">
                    <wps:wsp>
                      <wps:cNvSpPr txBox="1"/>
                      <wps:spPr>
                        <a:xfrm>
                          <a:off x="0" y="0"/>
                          <a:ext cx="224790" cy="32258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FC61261" w14:textId="77777777" w:rsidR="00180CD6" w:rsidRDefault="00180CD6" w:rsidP="00180CD6">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sl-SI"/>
                              </w:rPr>
                              <w:t>1,0</w:t>
                            </w:r>
                          </w:p>
                          <w:p w14:paraId="3CBBCB23"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0B6CC487"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66BC151B"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58829123" w14:textId="77777777" w:rsidR="00180CD6" w:rsidRDefault="00180CD6" w:rsidP="00180CD6">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sl-SI"/>
                              </w:rPr>
                              <w:t>0,8</w:t>
                            </w:r>
                          </w:p>
                          <w:p w14:paraId="2406CDDF"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3414BBE7"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1A79693B"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3EC6CDE2" w14:textId="77777777" w:rsidR="00180CD6" w:rsidRDefault="00180CD6" w:rsidP="00180CD6">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sl-SI"/>
                              </w:rPr>
                              <w:t>0,6</w:t>
                            </w:r>
                          </w:p>
                          <w:p w14:paraId="6BD51B95"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69902414"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59C50455"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76440E63" w14:textId="77777777" w:rsidR="00180CD6" w:rsidRDefault="00180CD6" w:rsidP="00180CD6">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sl-SI"/>
                              </w:rPr>
                              <w:t>0,4</w:t>
                            </w:r>
                          </w:p>
                          <w:p w14:paraId="2BE8E02E"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1FED1410"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65276B00" w14:textId="77777777" w:rsidR="00180CD6" w:rsidRDefault="00180CD6" w:rsidP="00180CD6">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sl-SI"/>
                              </w:rPr>
                              <w:t>0.2</w:t>
                            </w:r>
                          </w:p>
                          <w:p w14:paraId="3440B9E4"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32281FF8"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485F3327"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073A32A4" w14:textId="77777777" w:rsidR="00180CD6" w:rsidRDefault="00180CD6" w:rsidP="00180CD6">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sl-SI"/>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BD4E4" id="Text Box 4076" o:spid="_x0000_s1040" type="#_x0000_t202" style="position:absolute;left:0;text-align:left;margin-left:31.5pt;margin-top:1.4pt;width:17.7pt;height:254pt;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" fillcolor="white [3212]" stroked="f" strokeweight=".5pt">
                <v:textbox inset="0,0,0,0">
                  <w:txbxContent>
                    <w:p w14:paraId="0FC61261" w14:textId="77777777" w:rsidR="00180CD6" w:rsidRDefault="00180CD6" w:rsidP="00180CD6">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sl-SI"/>
                        </w:rPr>
                        <w:t>1,0</w:t>
                      </w:r>
                    </w:p>
                    <w:p w14:paraId="3CBBCB23"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0B6CC487"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66BC151B"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58829123" w14:textId="77777777" w:rsidR="00180CD6" w:rsidRDefault="00180CD6" w:rsidP="00180CD6">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sl-SI"/>
                        </w:rPr>
                        <w:t>0,8</w:t>
                      </w:r>
                    </w:p>
                    <w:p w14:paraId="2406CDDF"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3414BBE7"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1A79693B"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3EC6CDE2" w14:textId="77777777" w:rsidR="00180CD6" w:rsidRDefault="00180CD6" w:rsidP="00180CD6">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sl-SI"/>
                        </w:rPr>
                        <w:t>0,6</w:t>
                      </w:r>
                    </w:p>
                    <w:p w14:paraId="6BD51B95"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69902414"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59C50455"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76440E63" w14:textId="77777777" w:rsidR="00180CD6" w:rsidRDefault="00180CD6" w:rsidP="00180CD6">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sl-SI"/>
                        </w:rPr>
                        <w:t>0,4</w:t>
                      </w:r>
                    </w:p>
                    <w:p w14:paraId="2BE8E02E"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1FED1410"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65276B00" w14:textId="77777777" w:rsidR="00180CD6" w:rsidRDefault="00180CD6" w:rsidP="00180CD6">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sl-SI"/>
                        </w:rPr>
                        <w:t>0.2</w:t>
                      </w:r>
                    </w:p>
                    <w:p w14:paraId="3440B9E4"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32281FF8"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485F3327" w14:textId="77777777" w:rsidR="00180CD6" w:rsidRDefault="00180CD6" w:rsidP="00180CD6">
                      <w:pPr>
                        <w:spacing w:line="276" w:lineRule="auto"/>
                        <w:jc w:val="right"/>
                        <w:rPr>
                          <w:rFonts w:ascii="Times New Roman" w:eastAsia="Times New Roman" w:hAnsi="Times New Roman" w:cs="Times New Roman"/>
                          <w:sz w:val="18"/>
                          <w:szCs w:val="18"/>
                          <w:lang w:val="sl-SI"/>
                        </w:rPr>
                      </w:pPr>
                    </w:p>
                    <w:p w14:paraId="073A32A4" w14:textId="77777777" w:rsidR="00180CD6" w:rsidRDefault="00180CD6" w:rsidP="00180CD6">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sl-SI"/>
                        </w:rPr>
                        <w:t>0,0</w:t>
                      </w:r>
                    </w:p>
                  </w:txbxContent>
                </v:textbox>
              </v:shape>
            </w:pict>
          </mc:Fallback>
        </mc:AlternateContent>
      </w:r>
      <w:r>
        <w:rPr>
          <w:rFonts w:eastAsiaTheme="minorHAnsi"/>
          <w:noProof/>
          <w:lang w:eastAsia="ko-KR"/>
        </w:rPr>
        <mc:AlternateContent>
          <mc:Choice Requires="wps">
            <w:drawing>
              <wp:anchor distT="0" distB="0" distL="114300" distR="114300" simplePos="0" relativeHeight="251658362" behindDoc="1" locked="0" layoutInCell="1" allowOverlap="1" wp14:anchorId="0B6777F8" wp14:editId="1B722490">
                <wp:simplePos x="0" y="0"/>
                <wp:positionH relativeFrom="page">
                  <wp:posOffset>805218</wp:posOffset>
                </wp:positionH>
                <wp:positionV relativeFrom="paragraph">
                  <wp:posOffset>473938</wp:posOffset>
                </wp:positionV>
                <wp:extent cx="329508" cy="3203594"/>
                <wp:effectExtent l="0" t="0" r="13970" b="15875"/>
                <wp:wrapNone/>
                <wp:docPr id="4094" name="Text Box 3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08" cy="3203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BEA0BC" w14:textId="77777777" w:rsidR="00180CD6" w:rsidRDefault="00180CD6" w:rsidP="00180CD6">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sl-SI"/>
                              </w:rPr>
                              <w:t>VERJETNOST NEUSPEHA ZDRAVLJENJA</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777F8" id="_x0000_s1041" type="#_x0000_t202" style="position:absolute;left:0;text-align:left;margin-left:63.4pt;margin-top:37.3pt;width:25.95pt;height:252.25pt;z-index:-25165811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" filled="f" stroked="f">
                <v:textbox style="layout-flow:vertical;mso-layout-flow-alt:bottom-to-top" inset="0,0,0,0">
                  <w:txbxContent>
                    <w:p w14:paraId="73BEA0BC" w14:textId="77777777" w:rsidR="00180CD6" w:rsidRDefault="00180CD6" w:rsidP="00180CD6">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sl-SI"/>
                        </w:rPr>
                        <w:t>VERJETNOST NEUSPEHA ZDRAVLJENJA</w:t>
                      </w:r>
                    </w:p>
                  </w:txbxContent>
                </v:textbox>
                <w10:wrap anchorx="page"/>
              </v:shape>
            </w:pict>
          </mc:Fallback>
        </mc:AlternateContent>
      </w:r>
      <w:r>
        <w:rPr>
          <w:noProof/>
          <w:lang w:eastAsia="ko-KR"/>
        </w:rPr>
        <w:drawing>
          <wp:inline distT="0" distB="0" distL="0" distR="0" wp14:anchorId="04F15606" wp14:editId="397DD003">
            <wp:extent cx="5345188" cy="3810000"/>
            <wp:effectExtent l="0" t="0" r="8255" b="0"/>
            <wp:docPr id="4095"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0891" name="Picture 29"/>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346651" cy="3811043"/>
                    </a:xfrm>
                    <a:prstGeom prst="rect">
                      <a:avLst/>
                    </a:prstGeom>
                    <a:noFill/>
                    <a:ln>
                      <a:noFill/>
                    </a:ln>
                  </pic:spPr>
                </pic:pic>
              </a:graphicData>
            </a:graphic>
          </wp:inline>
        </w:drawing>
      </w:r>
      <w:r w:rsidRPr="009D4E53">
        <w:rPr>
          <w:noProof/>
          <w:lang w:val="sl-SI" w:eastAsia="ko-KR"/>
        </w:rPr>
        <w:t xml:space="preserve"> </w:t>
      </w:r>
    </w:p>
    <w:p w14:paraId="5096E933" w14:textId="77777777" w:rsidR="00180CD6" w:rsidRDefault="00180CD6" w:rsidP="00180CD6">
      <w:pPr>
        <w:spacing w:before="36"/>
        <w:ind w:left="479"/>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ČAS (TEDNI)</w:t>
      </w:r>
    </w:p>
    <w:p w14:paraId="487D2C48" w14:textId="77777777" w:rsidR="00180CD6" w:rsidRDefault="00180CD6" w:rsidP="00180CD6">
      <w:pPr>
        <w:pStyle w:val="a3"/>
        <w:rPr>
          <w:lang w:val="sl-SI"/>
        </w:rPr>
      </w:pPr>
      <w:r>
        <w:rPr>
          <w:noProof/>
          <w:lang w:eastAsia="ko-KR"/>
        </w:rPr>
        <w:drawing>
          <wp:anchor distT="0" distB="0" distL="114300" distR="114300" simplePos="0" relativeHeight="251658361" behindDoc="1" locked="0" layoutInCell="1" allowOverlap="1" wp14:anchorId="2AA1E6E5" wp14:editId="2023B6EF">
            <wp:simplePos x="0" y="0"/>
            <wp:positionH relativeFrom="page">
              <wp:posOffset>5091430</wp:posOffset>
            </wp:positionH>
            <wp:positionV relativeFrom="paragraph">
              <wp:posOffset>67310</wp:posOffset>
            </wp:positionV>
            <wp:extent cx="452755" cy="86995"/>
            <wp:effectExtent l="0" t="0" r="0" b="0"/>
            <wp:wrapNone/>
            <wp:docPr id="4096" name="그림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83341" name="Picture 3874"/>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52755" cy="8699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lang w:val="sl-SI"/>
        </w:rPr>
        <w:t>Zdravljenje</w:t>
      </w:r>
      <w:r>
        <w:rPr>
          <w:rFonts w:eastAsia="Times New Roman"/>
          <w:lang w:val="sl-SI"/>
        </w:rPr>
        <w:tab/>
      </w:r>
      <w:r>
        <w:rPr>
          <w:rFonts w:eastAsia="Times New Roman"/>
          <w:lang w:val="sl-SI"/>
        </w:rPr>
        <w:tab/>
      </w:r>
      <w:r>
        <w:rPr>
          <w:rFonts w:eastAsia="Times New Roman"/>
          <w:lang w:val="sl-SI"/>
        </w:rPr>
        <w:tab/>
      </w:r>
      <w:r>
        <w:rPr>
          <w:rFonts w:eastAsia="Times New Roman"/>
          <w:lang w:val="sl-SI"/>
        </w:rPr>
        <w:tab/>
      </w:r>
      <w:r>
        <w:rPr>
          <w:rFonts w:eastAsia="Times New Roman"/>
          <w:lang w:val="sl-SI"/>
        </w:rPr>
        <w:tab/>
      </w:r>
      <w:r>
        <w:rPr>
          <w:noProof/>
          <w:lang w:eastAsia="ko-KR"/>
        </w:rPr>
        <w:drawing>
          <wp:inline distT="0" distB="0" distL="0" distR="0" wp14:anchorId="152DBD34" wp14:editId="16C02738">
            <wp:extent cx="457200" cy="127000"/>
            <wp:effectExtent l="0" t="0" r="0" b="0"/>
            <wp:docPr id="4097"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63580" name="Picture 30"/>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 cy="127000"/>
                    </a:xfrm>
                    <a:prstGeom prst="rect">
                      <a:avLst/>
                    </a:prstGeom>
                    <a:noFill/>
                    <a:ln>
                      <a:noFill/>
                    </a:ln>
                  </pic:spPr>
                </pic:pic>
              </a:graphicData>
            </a:graphic>
          </wp:inline>
        </w:drawing>
      </w:r>
      <w:r>
        <w:rPr>
          <w:rFonts w:eastAsia="Times New Roman"/>
          <w:lang w:val="sl-SI"/>
        </w:rPr>
        <w:t xml:space="preserve"> Placebo</w:t>
      </w:r>
      <w:r>
        <w:rPr>
          <w:rFonts w:eastAsia="Times New Roman"/>
          <w:lang w:val="sl-SI"/>
        </w:rPr>
        <w:tab/>
      </w:r>
      <w:r>
        <w:rPr>
          <w:rFonts w:eastAsia="Times New Roman"/>
          <w:lang w:val="sl-SI"/>
        </w:rPr>
        <w:tab/>
        <w:t xml:space="preserve">     Adalimumab</w:t>
      </w:r>
    </w:p>
    <w:p w14:paraId="0518AF6F" w14:textId="77777777" w:rsidR="00180CD6" w:rsidRPr="0030421B" w:rsidRDefault="00180CD6" w:rsidP="00180CD6">
      <w:pPr>
        <w:rPr>
          <w:rFonts w:ascii="Times New Roman" w:hAnsi="Times New Roman" w:cs="Times New Roman"/>
          <w:lang w:val="sl-SI"/>
        </w:rPr>
      </w:pPr>
      <w:r w:rsidRPr="0030421B">
        <w:rPr>
          <w:rFonts w:ascii="Times New Roman" w:eastAsia="Times New Roman" w:hAnsi="Times New Roman" w:cs="Times New Roman"/>
          <w:lang w:val="sl-SI"/>
        </w:rPr>
        <w:t>Opomba: P = placebo (število rizičnih preiskovancev); A = adalimumab (število rizičnih preiskovancev).</w:t>
      </w:r>
    </w:p>
    <w:p w14:paraId="1F0EF0AB" w14:textId="21CADACA" w:rsidR="00180CD6" w:rsidRDefault="00180CD6" w:rsidP="00180CD6">
      <w:pPr>
        <w:rPr>
          <w:lang w:val="sl-SI"/>
        </w:rPr>
      </w:pPr>
    </w:p>
    <w:p w14:paraId="7D720D11" w14:textId="77777777" w:rsidR="00616315" w:rsidRDefault="00616315" w:rsidP="0030421B">
      <w:pPr>
        <w:widowControl/>
        <w:numPr>
          <w:ilvl w:val="1"/>
          <w:numId w:val="119"/>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Farmakokinetične lastnosti</w:t>
      </w:r>
    </w:p>
    <w:p w14:paraId="1B6C51BE" w14:textId="77777777" w:rsidR="00616315" w:rsidRDefault="00616315" w:rsidP="00616315">
      <w:pPr>
        <w:spacing w:before="9" w:line="240" w:lineRule="exact"/>
        <w:rPr>
          <w:sz w:val="24"/>
          <w:szCs w:val="24"/>
          <w:lang w:val="sl-SI"/>
        </w:rPr>
      </w:pPr>
    </w:p>
    <w:p w14:paraId="2588B693" w14:textId="77777777" w:rsidR="00616315" w:rsidRDefault="00616315" w:rsidP="00616315">
      <w:pPr>
        <w:pStyle w:val="a3"/>
        <w:rPr>
          <w:u w:val="single"/>
          <w:lang w:val="sl-SI"/>
        </w:rPr>
      </w:pPr>
      <w:r>
        <w:rPr>
          <w:rFonts w:eastAsia="Times New Roman"/>
          <w:u w:val="single" w:color="000000"/>
          <w:lang w:val="sl-SI"/>
        </w:rPr>
        <w:t>Absorpcija in porazdelitev</w:t>
      </w:r>
    </w:p>
    <w:p w14:paraId="08D0E2FF" w14:textId="77777777" w:rsidR="00616315" w:rsidRDefault="00616315" w:rsidP="00616315">
      <w:pPr>
        <w:spacing w:before="1" w:line="180" w:lineRule="exact"/>
        <w:rPr>
          <w:sz w:val="18"/>
          <w:szCs w:val="18"/>
          <w:lang w:val="sl-SI"/>
        </w:rPr>
      </w:pPr>
    </w:p>
    <w:p w14:paraId="50A10FF3" w14:textId="77777777" w:rsidR="00616315" w:rsidRDefault="00616315" w:rsidP="00616315">
      <w:pPr>
        <w:pStyle w:val="a3"/>
        <w:rPr>
          <w:lang w:val="sl-SI"/>
        </w:rPr>
      </w:pPr>
      <w:r>
        <w:rPr>
          <w:rFonts w:eastAsia="Times New Roman"/>
          <w:lang w:val="sl-SI"/>
        </w:rPr>
        <w:t>Po subkutani uporabi enega samega 40 mg odmerka sta bili absorpcija in distribucija adalimumaba počasni in največja koncentracija v serumu je bila dosežena približno 5 dni po uporabi. Povprečna absolutna biološka uporabnost adalimumaba, ocenjena iz treh študij po enem 40 mg odmerku subkutano, je 64 %. Po enem samem intravenskem odmerku od 0,25 do 10 mg/kg so bile koncentracije sorazmerne odmerku. Po odmerkih 0,5 mg/kg (~40 mg) je bil očistek od 11 do 15 ml/uro, volumen distribucije (V</w:t>
      </w:r>
      <w:r>
        <w:rPr>
          <w:rFonts w:eastAsia="Times New Roman"/>
          <w:sz w:val="14"/>
          <w:szCs w:val="14"/>
          <w:lang w:val="sl-SI"/>
        </w:rPr>
        <w:t>ss</w:t>
      </w:r>
      <w:r>
        <w:rPr>
          <w:rFonts w:eastAsia="Times New Roman"/>
          <w:lang w:val="sl-SI"/>
        </w:rPr>
        <w:t>) od 5 do 6 litrov in povprečni razpolovni čas terminalne faze približno dva tedna. Koncentracije adalimumaba v sinovijski tekočini več bolnikov z revmatoidnim artritisom so bile od 31 do 96 % tistih v serumu.</w:t>
      </w:r>
    </w:p>
    <w:p w14:paraId="4DEDC9C6" w14:textId="77777777" w:rsidR="00616315" w:rsidRDefault="00616315" w:rsidP="00616315">
      <w:pPr>
        <w:spacing w:before="14" w:line="240" w:lineRule="exact"/>
        <w:rPr>
          <w:sz w:val="24"/>
          <w:szCs w:val="24"/>
          <w:lang w:val="sl-SI"/>
        </w:rPr>
      </w:pPr>
    </w:p>
    <w:p w14:paraId="36628B5E" w14:textId="77777777" w:rsidR="00616315" w:rsidRDefault="00616315" w:rsidP="00616315">
      <w:pPr>
        <w:pStyle w:val="a3"/>
        <w:rPr>
          <w:lang w:val="sl-SI"/>
        </w:rPr>
      </w:pPr>
      <w:r>
        <w:rPr>
          <w:rFonts w:eastAsia="Times New Roman"/>
          <w:lang w:val="sl-SI"/>
        </w:rPr>
        <w:t>Po subkutani uporabi 40 mg adalimumaba vsak drugi teden pri odraslih bolnikih z revmatoidnim artritisom (RA) so bile povprečne najmanjše koncentracije v stanju dinamičnega ravnovesja približno 5 </w:t>
      </w:r>
      <w:r>
        <w:rPr>
          <w:rFonts w:ascii="Symbol" w:eastAsia="Symbol" w:hAnsi="Symbol" w:cs="Symbol"/>
          <w:lang w:val="sl-SI"/>
        </w:rPr>
        <w:sym w:font="Symbol" w:char="F06D"/>
      </w:r>
      <w:r>
        <w:rPr>
          <w:rFonts w:eastAsia="Times New Roman"/>
          <w:lang w:val="sl-SI"/>
        </w:rPr>
        <w:t>g/ml (brez sočasne uporabe metotreksata) in od 8 do 9 </w:t>
      </w:r>
      <w:r>
        <w:rPr>
          <w:rFonts w:ascii="Symbol" w:eastAsia="Symbol" w:hAnsi="Symbol" w:cs="Symbol"/>
          <w:lang w:val="sl-SI"/>
        </w:rPr>
        <w:sym w:font="Symbol" w:char="F06D"/>
      </w:r>
      <w:r>
        <w:rPr>
          <w:rFonts w:eastAsia="Times New Roman"/>
          <w:lang w:val="sl-SI"/>
        </w:rPr>
        <w:t>g/ml (s sočasno uporabo metotreksata). Najmanjše koncentracije adalimumaba v serumu v stanju dinamičnega ravnovesja so naraščale približno sorazmerno odmerku po 20, 40 in 80 mg subkutano vsak drugi teden in vsak teden.</w:t>
      </w:r>
    </w:p>
    <w:p w14:paraId="7D897833" w14:textId="77777777" w:rsidR="00616315" w:rsidRDefault="00616315" w:rsidP="00616315">
      <w:pPr>
        <w:spacing w:before="8" w:line="240" w:lineRule="exact"/>
        <w:rPr>
          <w:sz w:val="24"/>
          <w:szCs w:val="24"/>
          <w:lang w:val="sl-SI"/>
        </w:rPr>
      </w:pPr>
    </w:p>
    <w:p w14:paraId="5FB01380" w14:textId="77777777" w:rsidR="00616315" w:rsidRDefault="00616315" w:rsidP="00616315">
      <w:pPr>
        <w:pStyle w:val="a3"/>
        <w:rPr>
          <w:lang w:val="sl-SI"/>
        </w:rPr>
      </w:pPr>
      <w:r>
        <w:rPr>
          <w:rFonts w:eastAsia="Times New Roman"/>
          <w:lang w:val="sl-SI"/>
        </w:rPr>
        <w:t>Pri odraslih bolnikih s psoriazo je bila povprečna najmanjša koncentracija v stanju dinamičnega ravnovesja 5 </w:t>
      </w:r>
      <w:r>
        <w:rPr>
          <w:rFonts w:ascii="Symbol" w:eastAsia="Symbol" w:hAnsi="Symbol" w:cs="Symbol"/>
          <w:lang w:val="sl-SI"/>
        </w:rPr>
        <w:sym w:font="Symbol" w:char="F06D"/>
      </w:r>
      <w:r>
        <w:rPr>
          <w:rFonts w:eastAsia="Times New Roman"/>
          <w:lang w:val="sl-SI"/>
        </w:rPr>
        <w:t>g/ml med monoterapijo z adalimumabom 40 mg vsak drugi teden.</w:t>
      </w:r>
    </w:p>
    <w:p w14:paraId="00E8F15E" w14:textId="77777777" w:rsidR="00616315" w:rsidRDefault="00616315" w:rsidP="00616315">
      <w:pPr>
        <w:spacing w:before="11" w:line="240" w:lineRule="exact"/>
        <w:rPr>
          <w:sz w:val="24"/>
          <w:szCs w:val="24"/>
          <w:lang w:val="sl-SI"/>
        </w:rPr>
      </w:pPr>
    </w:p>
    <w:p w14:paraId="07776146" w14:textId="77777777" w:rsidR="00616315" w:rsidRDefault="00616315" w:rsidP="00616315">
      <w:pPr>
        <w:pStyle w:val="a3"/>
        <w:rPr>
          <w:lang w:val="sl-SI"/>
        </w:rPr>
      </w:pPr>
      <w:r>
        <w:rPr>
          <w:rFonts w:eastAsia="Times New Roman"/>
          <w:lang w:val="sl-SI"/>
        </w:rPr>
        <w:t xml:space="preserve">Pri odraslih bolnikih s hidradenitis suppurativa doseže odmerek 160 mg adalimumaba na 0. teden, ki mu sledi 80 mg adalimumaba 2. teden, </w:t>
      </w:r>
      <w:r>
        <w:rPr>
          <w:lang w:val="sl-SI"/>
        </w:rPr>
        <w:t>najmanjšo</w:t>
      </w:r>
      <w:r w:rsidRPr="0046564D">
        <w:rPr>
          <w:lang w:val="sl-SI"/>
        </w:rPr>
        <w:t xml:space="preserve"> </w:t>
      </w:r>
      <w:r>
        <w:rPr>
          <w:rFonts w:eastAsia="Times New Roman"/>
          <w:lang w:val="sl-SI"/>
        </w:rPr>
        <w:t xml:space="preserve">koncentracijo adalimumaba v serumu približno 7 do 8 μg/ml v 2. tednu in v 4. tednu. </w:t>
      </w:r>
      <w:r>
        <w:rPr>
          <w:lang w:val="sl-SI"/>
        </w:rPr>
        <w:t>Najmanjša</w:t>
      </w:r>
      <w:r w:rsidRPr="0046564D">
        <w:rPr>
          <w:lang w:val="sl-SI"/>
        </w:rPr>
        <w:t xml:space="preserve"> </w:t>
      </w:r>
      <w:r>
        <w:rPr>
          <w:rFonts w:eastAsia="Times New Roman"/>
          <w:lang w:val="sl-SI"/>
        </w:rPr>
        <w:t>koncentracija v stanju dinamičnega ravnovesja je bila približno 8 do 10 μg/ml med 12. tednom in 36. tednom pri zdravljenju z odmerkom 40 mg adalimumaba vsak teden.</w:t>
      </w:r>
    </w:p>
    <w:p w14:paraId="09DB7AF2" w14:textId="77777777" w:rsidR="00616315" w:rsidRDefault="00616315" w:rsidP="00616315">
      <w:pPr>
        <w:spacing w:before="13" w:line="240" w:lineRule="exact"/>
        <w:rPr>
          <w:sz w:val="24"/>
          <w:szCs w:val="24"/>
          <w:lang w:val="sl-SI"/>
        </w:rPr>
      </w:pPr>
    </w:p>
    <w:p w14:paraId="44085873" w14:textId="77777777" w:rsidR="00616315" w:rsidRDefault="00616315" w:rsidP="00616315">
      <w:pPr>
        <w:pStyle w:val="a3"/>
        <w:rPr>
          <w:lang w:val="sl-SI"/>
        </w:rPr>
      </w:pPr>
      <w:r>
        <w:rPr>
          <w:rFonts w:eastAsia="Times New Roman"/>
          <w:lang w:val="sl-SI"/>
        </w:rPr>
        <w:t>Izpostavljenost adalimumabu pri mladostnikih s HS je bila napovedana z uporabo populacijskega farmakokinetičnega modeliranja in simulacije, ki temelji na farmakokinetiki indikacij pri drugih pediatričnih bolnikih (psoriaza pri pediatričnih bolnikih, juvenilni idiopatski artritis, Crohnova bolezen pri pediatričnih bolnikih in artritis, povezan z entezitisom). Priporočena shema odmerjanja pri mladostnikih s HS je 40 mg vsak drugi teden. Ker lahko velikost telesa vpliva na izpostavljenost adalimumabu, lahko mladostnikom z večjo telesno maso in nezadostnim odzivom na zdravljenje koristi jemanje priporočenega odmerka za odrasle, 40 mg vsak teden.</w:t>
      </w:r>
    </w:p>
    <w:p w14:paraId="0F361902" w14:textId="77777777" w:rsidR="00616315" w:rsidRDefault="00616315" w:rsidP="00616315">
      <w:pPr>
        <w:spacing w:before="13" w:line="240" w:lineRule="exact"/>
        <w:rPr>
          <w:sz w:val="24"/>
          <w:szCs w:val="24"/>
          <w:lang w:val="sl-SI"/>
        </w:rPr>
      </w:pPr>
    </w:p>
    <w:p w14:paraId="296A246A" w14:textId="77777777" w:rsidR="00616315" w:rsidRDefault="00616315" w:rsidP="00616315">
      <w:pPr>
        <w:pStyle w:val="a3"/>
        <w:rPr>
          <w:lang w:val="sl-SI"/>
        </w:rPr>
      </w:pPr>
      <w:r>
        <w:rPr>
          <w:rFonts w:eastAsia="Times New Roman"/>
          <w:lang w:val="sl-SI"/>
        </w:rPr>
        <w:t>Pri bolnikih s Crohnovo boleznijo doseže polnilni odmerek 80 mg adalimumaba na 0. teden, ki mu sledi 40 mg adalimumaba 2. teden, med obdobjem indukcije najmanjšo koncentracijo v serumu približno 5,5 </w:t>
      </w:r>
      <w:r>
        <w:rPr>
          <w:rFonts w:ascii="Symbol" w:eastAsia="Symbol" w:hAnsi="Symbol" w:cs="Symbol"/>
          <w:lang w:val="sl-SI"/>
        </w:rPr>
        <w:sym w:font="Symbol" w:char="F06D"/>
      </w:r>
      <w:r>
        <w:rPr>
          <w:rFonts w:eastAsia="Times New Roman"/>
          <w:lang w:val="sl-SI"/>
        </w:rPr>
        <w:t>g/ml. Polnilni odmerek 160 mg adalimumaba na 0. teden, ki mu sledi 80 mg adalimumaba 2. teden, doseže med obdobjem indukcije najmanjšo koncentracijo v serumu približno 12 </w:t>
      </w:r>
      <w:r>
        <w:rPr>
          <w:rFonts w:ascii="Symbol" w:eastAsia="Symbol" w:hAnsi="Symbol" w:cs="Symbol"/>
          <w:lang w:val="sl-SI"/>
        </w:rPr>
        <w:sym w:font="Symbol" w:char="F06D"/>
      </w:r>
      <w:r>
        <w:rPr>
          <w:rFonts w:eastAsia="Times New Roman"/>
          <w:lang w:val="sl-SI"/>
        </w:rPr>
        <w:t xml:space="preserve">g/ml. Pri bolnikih s Crohnovo boleznijo, ki so dobivali vzdrževalni odmerek 40 mg adalimumaba vsak drugi teden, so ugotovili </w:t>
      </w:r>
      <w:r>
        <w:rPr>
          <w:lang w:val="sl-SI"/>
        </w:rPr>
        <w:t>najmanjšo</w:t>
      </w:r>
      <w:r w:rsidRPr="0046564D">
        <w:rPr>
          <w:lang w:val="sl-SI"/>
        </w:rPr>
        <w:t xml:space="preserve"> </w:t>
      </w:r>
      <w:r>
        <w:rPr>
          <w:rFonts w:eastAsia="Times New Roman"/>
          <w:lang w:val="sl-SI"/>
        </w:rPr>
        <w:t>koncentracijo v stanju dinamičnega ravnovesja približno 7 </w:t>
      </w:r>
      <w:r>
        <w:rPr>
          <w:rFonts w:ascii="Symbol" w:eastAsia="Symbol" w:hAnsi="Symbol" w:cs="Symbol"/>
          <w:lang w:val="sl-SI"/>
        </w:rPr>
        <w:sym w:font="Symbol" w:char="F06D"/>
      </w:r>
      <w:r>
        <w:rPr>
          <w:rFonts w:eastAsia="Times New Roman"/>
          <w:lang w:val="sl-SI"/>
        </w:rPr>
        <w:t>g/ml.</w:t>
      </w:r>
    </w:p>
    <w:p w14:paraId="6803C34F" w14:textId="77777777" w:rsidR="00616315" w:rsidRDefault="00616315" w:rsidP="00616315">
      <w:pPr>
        <w:spacing w:before="11" w:line="240" w:lineRule="exact"/>
        <w:rPr>
          <w:sz w:val="24"/>
          <w:szCs w:val="24"/>
          <w:lang w:val="sl-SI"/>
        </w:rPr>
      </w:pPr>
    </w:p>
    <w:p w14:paraId="73688E81" w14:textId="77777777" w:rsidR="00616315" w:rsidRDefault="00616315" w:rsidP="00616315">
      <w:pPr>
        <w:pStyle w:val="a3"/>
        <w:rPr>
          <w:lang w:val="sl-SI"/>
        </w:rPr>
      </w:pPr>
      <w:r>
        <w:rPr>
          <w:rFonts w:eastAsia="Times New Roman"/>
          <w:lang w:val="sl-SI"/>
        </w:rPr>
        <w:t>Pediatrični bolniki z zmerno do hudo Crohnovo boleznijo so odvisno od njihove telesne mase (več ali manj od 40 kg) dobivali odprt začetni odmerek adalimumaba 160/80 mg v 0. tednu in 80/40 mg v 2. tednu. V 4. tednu so bili bolniki randomizirani 1 : 1 bodisi v skupino s standardnim vzdrževalnim odmerkom (40/20 mg vsak drugi teden) ali v skupino z majhnim vzdrževalnim odmerkom (20/10 mg vsak drugi teden), odvisno od njihove telesne mase. Povprečne (± SD) serumske koncentracije adalimumaba, dosežene v 4. tednu, so bile 15,7 ± 6,6 </w:t>
      </w:r>
      <w:r>
        <w:rPr>
          <w:rFonts w:ascii="Symbol" w:eastAsia="Symbol" w:hAnsi="Symbol" w:cs="Symbol"/>
          <w:lang w:val="sl-SI"/>
        </w:rPr>
        <w:sym w:font="Symbol" w:char="F06D"/>
      </w:r>
      <w:r>
        <w:rPr>
          <w:rFonts w:eastAsia="Times New Roman"/>
          <w:lang w:val="sl-SI"/>
        </w:rPr>
        <w:t>g/ml pri bolnikih ≥ 40 kg (160/80 mg) in 10,6 ± 6,1 </w:t>
      </w:r>
      <w:r>
        <w:rPr>
          <w:rFonts w:ascii="Symbol" w:eastAsia="Symbol" w:hAnsi="Symbol" w:cs="Symbol"/>
          <w:lang w:val="sl-SI"/>
        </w:rPr>
        <w:sym w:font="Symbol" w:char="F06D"/>
      </w:r>
      <w:r>
        <w:rPr>
          <w:rFonts w:eastAsia="Times New Roman"/>
          <w:lang w:val="sl-SI"/>
        </w:rPr>
        <w:t>g/ml pri bolnikih &lt; 40 kg (80/40 mg).</w:t>
      </w:r>
    </w:p>
    <w:p w14:paraId="0D2FDEC8" w14:textId="77777777" w:rsidR="00616315" w:rsidRDefault="00616315" w:rsidP="00616315">
      <w:pPr>
        <w:spacing w:before="7" w:line="240" w:lineRule="exact"/>
        <w:rPr>
          <w:sz w:val="24"/>
          <w:szCs w:val="24"/>
          <w:lang w:val="sl-SI"/>
        </w:rPr>
      </w:pPr>
    </w:p>
    <w:p w14:paraId="00825223" w14:textId="77777777" w:rsidR="00616315" w:rsidRDefault="00616315" w:rsidP="00616315">
      <w:pPr>
        <w:pStyle w:val="a3"/>
        <w:rPr>
          <w:lang w:val="sl-SI"/>
        </w:rPr>
      </w:pPr>
      <w:r>
        <w:rPr>
          <w:rFonts w:eastAsia="Times New Roman"/>
          <w:lang w:val="sl-SI"/>
        </w:rPr>
        <w:t>Pri bolnikih, ki so ostali na svoji randomizirani terapiji, so bile povprečne najmanjše koncentracije adalimumaba v 52. tednu 9,5 ± 5,6 </w:t>
      </w:r>
      <w:r>
        <w:rPr>
          <w:rFonts w:ascii="Symbol" w:eastAsia="Symbol" w:hAnsi="Symbol" w:cs="Symbol"/>
          <w:lang w:val="sl-SI"/>
        </w:rPr>
        <w:sym w:font="Symbol" w:char="F06D"/>
      </w:r>
      <w:r>
        <w:rPr>
          <w:rFonts w:eastAsia="Times New Roman"/>
          <w:lang w:val="sl-SI"/>
        </w:rPr>
        <w:t>g/ml v skupini s standardnim odmerkom in 3,5 ± 2,2 </w:t>
      </w:r>
      <w:r>
        <w:rPr>
          <w:rFonts w:ascii="Symbol" w:eastAsia="Symbol" w:hAnsi="Symbol" w:cs="Symbol"/>
          <w:lang w:val="sl-SI"/>
        </w:rPr>
        <w:sym w:font="Symbol" w:char="F06D"/>
      </w:r>
      <w:r>
        <w:rPr>
          <w:rFonts w:eastAsia="Times New Roman"/>
          <w:lang w:val="sl-SI"/>
        </w:rPr>
        <w:t>g/ml v skupini z majhnim odmerkom. Povprečne najmanjše koncentracije so se pri bolnikih, ki so 52 tednov še naprej prejemali zdravljenje z adalimumabom vsak drugi teden, ohranile. Pri bolnikih, ki so prešli iz režima vsak drugi teden na režim vsak teden, so bile povprečne (± SD) serumske koncentracije adalimumaba v 52. tednu 15,3 ± 11,4 μg/ml (40/20 mg, tedensko) in 6,7 ± 3,5 μg/ml (20/10 mg, tedensko).</w:t>
      </w:r>
    </w:p>
    <w:p w14:paraId="2295B407" w14:textId="77777777" w:rsidR="00616315" w:rsidRDefault="00616315" w:rsidP="00616315">
      <w:pPr>
        <w:spacing w:before="11" w:line="240" w:lineRule="exact"/>
        <w:rPr>
          <w:sz w:val="24"/>
          <w:szCs w:val="24"/>
          <w:lang w:val="sl-SI"/>
        </w:rPr>
      </w:pPr>
    </w:p>
    <w:p w14:paraId="64282392" w14:textId="77777777" w:rsidR="00616315" w:rsidRDefault="00616315" w:rsidP="00616315">
      <w:pPr>
        <w:pStyle w:val="a3"/>
        <w:rPr>
          <w:rFonts w:eastAsia="Times New Roman"/>
          <w:lang w:val="sl-SI"/>
        </w:rPr>
      </w:pPr>
      <w:r>
        <w:rPr>
          <w:rFonts w:eastAsia="Times New Roman"/>
          <w:lang w:val="sl-SI"/>
        </w:rPr>
        <w:t>Pri bolnikih z ulceroznim kolitisom doseže polnilni odmerek 160 mg adalimumaba v 0. tednu, ki mu sledi 80 mg adalimumaba 2. teden, med obdobjem indukcije najmanjšo koncentracijo v serumu približno 12 </w:t>
      </w:r>
      <w:r>
        <w:rPr>
          <w:rFonts w:ascii="Symbol" w:eastAsia="Symbol" w:hAnsi="Symbol" w:cs="Symbol"/>
          <w:lang w:val="sl-SI"/>
        </w:rPr>
        <w:sym w:font="Symbol" w:char="F06D"/>
      </w:r>
      <w:r>
        <w:rPr>
          <w:rFonts w:eastAsia="Times New Roman"/>
          <w:lang w:val="sl-SI"/>
        </w:rPr>
        <w:t>g/ml. Pri bolnikih z ulceroznim kolitisom, ki so dobivali vzdrževalni odmerek 40 mg adalimumaba vsak drugi teden, so ugotovili povprečno najmanjšo koncentracijo v stanju dinamičnega ravnovesja približno 8 </w:t>
      </w:r>
      <w:r>
        <w:rPr>
          <w:rFonts w:ascii="Symbol" w:eastAsia="Symbol" w:hAnsi="Symbol" w:cs="Symbol"/>
          <w:lang w:val="sl-SI"/>
        </w:rPr>
        <w:sym w:font="Symbol" w:char="F06D"/>
      </w:r>
      <w:r>
        <w:rPr>
          <w:rFonts w:eastAsia="Times New Roman"/>
          <w:lang w:val="sl-SI"/>
        </w:rPr>
        <w:t>g/ml.</w:t>
      </w:r>
    </w:p>
    <w:p w14:paraId="72E971C3" w14:textId="77777777" w:rsidR="00616315" w:rsidRDefault="00616315" w:rsidP="00616315">
      <w:pPr>
        <w:pStyle w:val="a3"/>
        <w:rPr>
          <w:lang w:val="sl-SI"/>
        </w:rPr>
      </w:pPr>
    </w:p>
    <w:p w14:paraId="00BE4692" w14:textId="77777777" w:rsidR="00616315" w:rsidRPr="00797234" w:rsidRDefault="00616315" w:rsidP="00616315">
      <w:pPr>
        <w:rPr>
          <w:rFonts w:ascii="Times New Roman" w:hAnsi="Times New Roman" w:cs="Times New Roman"/>
          <w:lang w:val="sl-SI"/>
        </w:rPr>
      </w:pPr>
      <w:r w:rsidRPr="00797234">
        <w:rPr>
          <w:rFonts w:ascii="Times New Roman" w:hAnsi="Times New Roman" w:cs="Times New Roman"/>
          <w:lang w:val="sl-SI"/>
        </w:rPr>
        <w:t>Potem ko so pediatričnim bolnikom z ulceroznim kolitisom subkutano aplicirali odmerek na osnovi telesne mase, in sicer 0,6 mg/kg (največ 40 mg) vsak drugi teden, je bila povprečna najmanjša koncentracija adalimumaba v serumu v stanju dinamičnega ravnovesja v 52. tednu 5,01 ± 3,28 µg/ml. Pri bolnikih, ki so prejemali 0,6 mg/kg (največ 40 mg) vsak teden, je bila povprečna (±SD) najmanjša koncentracija adalimumaba v serumu v stanju dinamičnega ravnovesja v 52. tednu 15,7 ± 5,60 μg/ml.</w:t>
      </w:r>
    </w:p>
    <w:p w14:paraId="1EA604EA" w14:textId="77777777" w:rsidR="00616315" w:rsidRPr="00F95D6D" w:rsidRDefault="00616315" w:rsidP="00616315">
      <w:pPr>
        <w:spacing w:before="14" w:line="240" w:lineRule="exact"/>
        <w:rPr>
          <w:sz w:val="24"/>
          <w:szCs w:val="24"/>
          <w:lang w:val="sl-SI"/>
        </w:rPr>
      </w:pPr>
    </w:p>
    <w:p w14:paraId="62174F7C" w14:textId="77777777" w:rsidR="00616315" w:rsidRDefault="00616315" w:rsidP="00616315">
      <w:pPr>
        <w:pStyle w:val="a3"/>
        <w:rPr>
          <w:lang w:val="sl-SI"/>
        </w:rPr>
      </w:pPr>
      <w:r>
        <w:rPr>
          <w:rFonts w:eastAsia="Times New Roman"/>
          <w:spacing w:val="-2"/>
          <w:lang w:val="sl-SI"/>
        </w:rPr>
        <w:t>Pri odraslih bolnikih z uveitisom je polnilni odmerek 80 mg adalimumaba v 0. tednu, ki mu je sledil odmerek 40 mg adalimumaba vsak drugi teden z začetkom v 1. tednu, povzročil povprečno koncentracijo v stanju dinamičnega ravnovesja približno 8 do 10 </w:t>
      </w:r>
      <w:r>
        <w:rPr>
          <w:rFonts w:ascii="Symbol" w:eastAsia="Symbol" w:hAnsi="Symbol" w:cs="Symbol"/>
          <w:spacing w:val="-2"/>
          <w:lang w:val="sl-SI"/>
        </w:rPr>
        <w:sym w:font="Symbol" w:char="F06D"/>
      </w:r>
      <w:r>
        <w:rPr>
          <w:rFonts w:eastAsia="Times New Roman"/>
          <w:spacing w:val="-2"/>
          <w:lang w:val="sl-SI"/>
        </w:rPr>
        <w:t>g/ml.</w:t>
      </w:r>
    </w:p>
    <w:p w14:paraId="33514285" w14:textId="77777777" w:rsidR="00616315" w:rsidRDefault="00616315" w:rsidP="00616315">
      <w:pPr>
        <w:spacing w:before="13" w:line="240" w:lineRule="exact"/>
        <w:rPr>
          <w:sz w:val="24"/>
          <w:szCs w:val="24"/>
          <w:lang w:val="sl-SI"/>
        </w:rPr>
      </w:pPr>
    </w:p>
    <w:p w14:paraId="4F71AADA" w14:textId="77777777" w:rsidR="00616315" w:rsidRDefault="00616315" w:rsidP="00616315">
      <w:pPr>
        <w:pStyle w:val="a3"/>
        <w:rPr>
          <w:lang w:val="sl-SI"/>
        </w:rPr>
      </w:pPr>
      <w:r>
        <w:rPr>
          <w:rFonts w:eastAsia="Times New Roman"/>
          <w:lang w:val="sl-SI"/>
        </w:rPr>
        <w:t>Izpostavljenost adalimumabu pri pediatričnih bolnikih z uveitisom je bila napovedana z uporabo populacijskega farmakokinetičnega modeliranja in simulacije, ki temelji na farmakokinetiki indikacij pri drugih pediatričnih bolnikih (psoriaza pri pediatričnih bolnikih, juvenilni idiopatski artritis, Crohnova bolezen pri pediatričnih bolnikih in artritis, povezan z entezitisom). Klinični podatki o izpostavljenosti pri uporabi polnilnega odmerka pri otrocih, mlajših od 6 let, niso na voljo. Napovedane izpostavljenosti nakazujejo, da lahko polnilni odmerek v odsotnosti metotreksata povzroči začetno povečanje sistemske izpostavljenosti.</w:t>
      </w:r>
    </w:p>
    <w:p w14:paraId="56B4526C" w14:textId="77777777" w:rsidR="00616315" w:rsidRDefault="00616315" w:rsidP="00616315">
      <w:pPr>
        <w:spacing w:before="13" w:line="240" w:lineRule="exact"/>
        <w:rPr>
          <w:sz w:val="24"/>
          <w:szCs w:val="24"/>
          <w:lang w:val="sl-SI"/>
        </w:rPr>
      </w:pPr>
    </w:p>
    <w:p w14:paraId="5ECAE248" w14:textId="77777777" w:rsidR="00616315" w:rsidRDefault="00616315" w:rsidP="00616315">
      <w:pPr>
        <w:pStyle w:val="a3"/>
        <w:rPr>
          <w:lang w:val="sl-SI"/>
        </w:rPr>
      </w:pPr>
      <w:r>
        <w:rPr>
          <w:rFonts w:eastAsia="Times New Roman"/>
          <w:lang w:val="sl-SI"/>
        </w:rPr>
        <w:t>Populacijsko farmakokinetično in farmakokinetično/farmakodinamično modeliranje in simulacija so za adalimumab napovedali primerljivo izpostavljenost in učinkovitost pri bolnikih, zdravljenih z 80 mg vsak drugi teden v primerjavi s 40 mg vsak teden (vključno z odraslimi bolniki z RA, HS, UC, CD ali Ps, mladostniki s HS in pediatričnimi bolniki ≥ 40 kg s CD</w:t>
      </w:r>
      <w:r>
        <w:rPr>
          <w:lang w:val="sl-SI"/>
        </w:rPr>
        <w:t xml:space="preserve"> in UC</w:t>
      </w:r>
      <w:r>
        <w:rPr>
          <w:rFonts w:eastAsia="Times New Roman"/>
          <w:lang w:val="sl-SI"/>
        </w:rPr>
        <w:t>).</w:t>
      </w:r>
    </w:p>
    <w:p w14:paraId="2857D753" w14:textId="77777777" w:rsidR="00616315" w:rsidRDefault="00616315" w:rsidP="00616315">
      <w:pPr>
        <w:spacing w:before="13" w:line="240" w:lineRule="exact"/>
        <w:rPr>
          <w:sz w:val="24"/>
          <w:szCs w:val="24"/>
          <w:lang w:val="sl-SI"/>
        </w:rPr>
      </w:pPr>
    </w:p>
    <w:p w14:paraId="4CEC4599" w14:textId="77777777" w:rsidR="00616315" w:rsidRDefault="00616315" w:rsidP="00616315">
      <w:pPr>
        <w:pStyle w:val="a3"/>
        <w:rPr>
          <w:u w:val="single"/>
          <w:lang w:val="sl-SI"/>
        </w:rPr>
      </w:pPr>
      <w:r>
        <w:rPr>
          <w:rFonts w:eastAsia="Times New Roman"/>
          <w:u w:val="single" w:color="000000"/>
          <w:lang w:val="sl-SI"/>
        </w:rPr>
        <w:t>Razmerje med izpostavljenostjo in odzivom pri pediatrični populaciji</w:t>
      </w:r>
    </w:p>
    <w:p w14:paraId="1F36CC23" w14:textId="77777777" w:rsidR="00616315" w:rsidRDefault="00616315" w:rsidP="00616315">
      <w:pPr>
        <w:pStyle w:val="a3"/>
        <w:rPr>
          <w:lang w:val="sl-SI"/>
        </w:rPr>
      </w:pPr>
    </w:p>
    <w:p w14:paraId="14420E1E" w14:textId="77777777" w:rsidR="00616315" w:rsidRDefault="00616315" w:rsidP="00616315">
      <w:pPr>
        <w:pStyle w:val="a3"/>
        <w:rPr>
          <w:lang w:val="sl-SI"/>
        </w:rPr>
      </w:pPr>
      <w:r>
        <w:rPr>
          <w:rFonts w:eastAsia="Times New Roman"/>
          <w:lang w:val="sl-SI"/>
        </w:rPr>
        <w:t>Na podlagi podatkov iz kliničnih preskušanj pri bolnikih z juvenilnim idiopatskim artritisom (JIA) (poliartikularnim idiopatskim artritisom (pJIA) in z artritisom, povezanim z entezitisom (ERA)) je bilo dokazano razmerje med izpostavljenostjo in odzivom med plazemskimi koncentracijami in PedACR (PedACR - American College of Rheumatology pediatric) odzivom. Navidezna koncentracija adalimumaba v plazmi, ki doseže polovico največje verjetnosti Ped ACR 50 odziva (EC50) je bila 3 μg/ml (95-% IZ: 1–6 μg/ml).</w:t>
      </w:r>
    </w:p>
    <w:p w14:paraId="45245F9A" w14:textId="77777777" w:rsidR="00616315" w:rsidRDefault="00616315" w:rsidP="00616315">
      <w:pPr>
        <w:spacing w:before="13" w:line="240" w:lineRule="exact"/>
        <w:rPr>
          <w:sz w:val="24"/>
          <w:szCs w:val="24"/>
          <w:lang w:val="sl-SI"/>
        </w:rPr>
      </w:pPr>
    </w:p>
    <w:p w14:paraId="1F747475" w14:textId="77777777" w:rsidR="00616315" w:rsidRDefault="00616315" w:rsidP="00616315">
      <w:pPr>
        <w:pStyle w:val="a3"/>
        <w:rPr>
          <w:lang w:val="sl-SI"/>
        </w:rPr>
      </w:pPr>
      <w:r>
        <w:rPr>
          <w:rFonts w:eastAsia="Times New Roman"/>
          <w:lang w:val="sl-SI"/>
        </w:rPr>
        <w:t>Razmerji med izpostavljenostjo in odzivom med koncentracijo adalimumaba in učinkovitostjo pri pediatričnih bolnikih s hudo kronično psoriazo v plakih sta bili za PASI 75 (PASI – Psoriasis Area and Severity Index) in za PGA (PGA – Physician's Global Assessment) čisto ali minimalno. PASI 75 in PGA čisto ali minimalno, sta se povečevali z zvečanjem koncentracije adalimumaba, obe s podobno navidezno EC50, za približno 4,5 μg/ml (95-% IZ 0,4–47,6 in 1,9–10,5).</w:t>
      </w:r>
    </w:p>
    <w:p w14:paraId="51A47A5B" w14:textId="77777777" w:rsidR="00616315" w:rsidRDefault="00616315" w:rsidP="00616315">
      <w:pPr>
        <w:spacing w:before="13" w:line="240" w:lineRule="exact"/>
        <w:rPr>
          <w:sz w:val="24"/>
          <w:szCs w:val="24"/>
          <w:lang w:val="sl-SI"/>
        </w:rPr>
      </w:pPr>
    </w:p>
    <w:p w14:paraId="2DF6C456" w14:textId="77777777" w:rsidR="00616315" w:rsidRDefault="00616315" w:rsidP="00616315">
      <w:pPr>
        <w:pStyle w:val="a3"/>
        <w:rPr>
          <w:u w:val="single"/>
          <w:lang w:val="sl-SI"/>
        </w:rPr>
      </w:pPr>
      <w:r>
        <w:rPr>
          <w:rFonts w:eastAsia="Times New Roman"/>
          <w:u w:val="single" w:color="000000"/>
          <w:lang w:val="sl-SI"/>
        </w:rPr>
        <w:t>Izločanje</w:t>
      </w:r>
    </w:p>
    <w:p w14:paraId="6ED6D175" w14:textId="77777777" w:rsidR="00616315" w:rsidRDefault="00616315" w:rsidP="00616315">
      <w:pPr>
        <w:spacing w:before="1" w:line="180" w:lineRule="exact"/>
        <w:rPr>
          <w:sz w:val="18"/>
          <w:szCs w:val="18"/>
          <w:lang w:val="sl-SI"/>
        </w:rPr>
      </w:pPr>
    </w:p>
    <w:p w14:paraId="422E7AE0" w14:textId="77777777" w:rsidR="00616315" w:rsidRDefault="00616315" w:rsidP="00616315">
      <w:pPr>
        <w:pStyle w:val="a3"/>
        <w:rPr>
          <w:lang w:val="sl-SI"/>
        </w:rPr>
      </w:pPr>
      <w:r>
        <w:rPr>
          <w:rFonts w:eastAsia="Times New Roman"/>
          <w:lang w:val="sl-SI"/>
        </w:rPr>
        <w:t>Analize populacijske farmakokinetike s podatki za več kot 1300 bolnikov z revmatoidnim artritisom so pokazale trend k večjemu navideznemu očistku adalimumaba z večanjem telesne mase. Po korekciji za razlike v teži se je izkazalo, da spol in starost po vsem sodeč minimalno vplivata na očistek adalimumaba. Ugotovljeno je bilo, da so koncentracije prostega adalimumaba (tistega, ki ni vezan na protitelesa proti adalimumabu) v serumu manjše pri bolnikih, ki imajo merljivo raven protiteles proti adalimumabu.</w:t>
      </w:r>
    </w:p>
    <w:p w14:paraId="0C2CC981" w14:textId="77777777" w:rsidR="00616315" w:rsidRDefault="00616315" w:rsidP="00616315">
      <w:pPr>
        <w:spacing w:before="13" w:line="240" w:lineRule="exact"/>
        <w:rPr>
          <w:sz w:val="24"/>
          <w:szCs w:val="24"/>
          <w:lang w:val="sl-SI"/>
        </w:rPr>
      </w:pPr>
    </w:p>
    <w:p w14:paraId="2D3B2372" w14:textId="77777777" w:rsidR="00616315" w:rsidRDefault="00616315" w:rsidP="00616315">
      <w:pPr>
        <w:pStyle w:val="a3"/>
        <w:rPr>
          <w:u w:val="single"/>
          <w:lang w:val="sl-SI"/>
        </w:rPr>
      </w:pPr>
      <w:r>
        <w:rPr>
          <w:rFonts w:eastAsia="Times New Roman"/>
          <w:u w:val="single" w:color="000000"/>
          <w:lang w:val="sl-SI"/>
        </w:rPr>
        <w:t>Okvara jeter ali ledvic</w:t>
      </w:r>
    </w:p>
    <w:p w14:paraId="50CB8E20" w14:textId="77777777" w:rsidR="00616315" w:rsidRDefault="00616315" w:rsidP="00616315">
      <w:pPr>
        <w:spacing w:before="1" w:line="180" w:lineRule="exact"/>
        <w:rPr>
          <w:sz w:val="18"/>
          <w:szCs w:val="18"/>
          <w:lang w:val="sl-SI"/>
        </w:rPr>
      </w:pPr>
    </w:p>
    <w:p w14:paraId="2C1846EE" w14:textId="77777777" w:rsidR="00616315" w:rsidRDefault="00616315" w:rsidP="00616315">
      <w:pPr>
        <w:pStyle w:val="a3"/>
        <w:rPr>
          <w:lang w:val="sl-SI"/>
        </w:rPr>
      </w:pPr>
      <w:r>
        <w:rPr>
          <w:rFonts w:eastAsia="Times New Roman"/>
          <w:lang w:val="sl-SI"/>
        </w:rPr>
        <w:lastRenderedPageBreak/>
        <w:t>Adalimumaba niso proučili pri bolnikih z okvaro jeter ali ledvic.</w:t>
      </w:r>
    </w:p>
    <w:p w14:paraId="3A65E21E" w14:textId="77777777" w:rsidR="00616315" w:rsidRPr="00F50A7D" w:rsidRDefault="00616315" w:rsidP="00616315">
      <w:pPr>
        <w:spacing w:before="18" w:line="240" w:lineRule="exact"/>
        <w:rPr>
          <w:sz w:val="24"/>
          <w:szCs w:val="24"/>
          <w:lang w:val="sl-SI"/>
        </w:rPr>
      </w:pPr>
    </w:p>
    <w:p w14:paraId="71A06194" w14:textId="77777777" w:rsidR="00616315" w:rsidRDefault="00616315" w:rsidP="0030421B">
      <w:pPr>
        <w:widowControl/>
        <w:numPr>
          <w:ilvl w:val="1"/>
          <w:numId w:val="119"/>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Predklinični podatki o varnosti</w:t>
      </w:r>
    </w:p>
    <w:p w14:paraId="30CC4BF3" w14:textId="77777777" w:rsidR="00616315" w:rsidRDefault="00616315" w:rsidP="00616315">
      <w:pPr>
        <w:spacing w:before="6" w:line="240" w:lineRule="exact"/>
        <w:rPr>
          <w:sz w:val="24"/>
          <w:szCs w:val="24"/>
          <w:lang w:val="sl-SI"/>
        </w:rPr>
      </w:pPr>
    </w:p>
    <w:p w14:paraId="288A7362" w14:textId="77777777" w:rsidR="00616315" w:rsidRDefault="00616315" w:rsidP="00616315">
      <w:pPr>
        <w:pStyle w:val="a3"/>
        <w:rPr>
          <w:lang w:val="sl-SI"/>
        </w:rPr>
      </w:pPr>
      <w:r>
        <w:rPr>
          <w:rFonts w:eastAsia="Times New Roman"/>
          <w:lang w:val="sl-SI"/>
        </w:rPr>
        <w:t>Predklinični podatki na osnovi študij toksičnosti posameznih odmerkov, toksičnosti pri ponavljajočih se odmerkih in genotoksičnosti ne kažejo posebnega tveganja za človeka.</w:t>
      </w:r>
    </w:p>
    <w:p w14:paraId="627942BA" w14:textId="77777777" w:rsidR="00616315" w:rsidRDefault="00616315" w:rsidP="00616315">
      <w:pPr>
        <w:spacing w:before="12" w:line="240" w:lineRule="exact"/>
        <w:rPr>
          <w:sz w:val="24"/>
          <w:szCs w:val="24"/>
          <w:lang w:val="sl-SI"/>
        </w:rPr>
      </w:pPr>
    </w:p>
    <w:p w14:paraId="6101C863" w14:textId="77777777" w:rsidR="00616315" w:rsidRDefault="00616315" w:rsidP="00616315">
      <w:pPr>
        <w:pStyle w:val="a3"/>
        <w:rPr>
          <w:lang w:val="sl-SI"/>
        </w:rPr>
      </w:pPr>
      <w:r>
        <w:rPr>
          <w:rFonts w:eastAsia="Times New Roman"/>
          <w:lang w:val="sl-SI"/>
        </w:rPr>
        <w:t>Raziskava embrio-fetalne razvojne toksičnosti/perinatalnega razvoja je bila narejena pri opicah Cynomolgus z odmerki 0, 30 in 100 mg/kg (od 9 do 17 opic na skupino) in ni pokazala znakov okvare plodov zaradi adalimumaba. Z adalimumabom niso bile narejene niti raziskave kancerogenosti, niti standardne ocene plodnosti ter poporodne toksičnosti, in sicer zato, ker ni ustreznih modelov za protitelo z omejeno navzkrižno reaktivnostjo z glodalskim TNF, in zaradi nastanka nevtralizirajočih protiteles pri glodalcih.</w:t>
      </w:r>
    </w:p>
    <w:p w14:paraId="1C71709C" w14:textId="77777777" w:rsidR="00616315" w:rsidRDefault="00616315" w:rsidP="00616315">
      <w:pPr>
        <w:rPr>
          <w:rFonts w:ascii="Times New Roman" w:eastAsia="Times New Roman" w:hAnsi="Times New Roman"/>
          <w:lang w:val="sl-SI"/>
        </w:rPr>
      </w:pPr>
    </w:p>
    <w:p w14:paraId="46F9C0B3" w14:textId="77777777" w:rsidR="00616315" w:rsidRDefault="00616315" w:rsidP="00616315">
      <w:pPr>
        <w:rPr>
          <w:rFonts w:ascii="Times New Roman" w:eastAsia="Times New Roman" w:hAnsi="Times New Roman"/>
          <w:lang w:val="sl-SI"/>
        </w:rPr>
      </w:pPr>
    </w:p>
    <w:p w14:paraId="76627D6C" w14:textId="77777777" w:rsidR="00616315" w:rsidRDefault="00616315" w:rsidP="0030421B">
      <w:pPr>
        <w:widowControl/>
        <w:numPr>
          <w:ilvl w:val="0"/>
          <w:numId w:val="117"/>
        </w:numPr>
        <w:tabs>
          <w:tab w:val="left" w:pos="567"/>
        </w:tabs>
        <w:spacing w:line="260" w:lineRule="exact"/>
        <w:ind w:left="0"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FARMACEVTSKI PODATKI</w:t>
      </w:r>
    </w:p>
    <w:p w14:paraId="3B7295BD" w14:textId="77777777" w:rsidR="00616315" w:rsidRDefault="00616315" w:rsidP="00616315">
      <w:pPr>
        <w:spacing w:before="13" w:line="240" w:lineRule="exact"/>
        <w:rPr>
          <w:sz w:val="24"/>
          <w:szCs w:val="24"/>
          <w:lang w:val="sl-SI"/>
        </w:rPr>
      </w:pPr>
    </w:p>
    <w:p w14:paraId="35E75717" w14:textId="77777777" w:rsidR="00616315" w:rsidRDefault="00616315" w:rsidP="0030421B">
      <w:pPr>
        <w:widowControl/>
        <w:numPr>
          <w:ilvl w:val="1"/>
          <w:numId w:val="120"/>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Seznam pomožnih snovi</w:t>
      </w:r>
    </w:p>
    <w:p w14:paraId="0704E89F" w14:textId="77777777" w:rsidR="00616315" w:rsidRDefault="00616315" w:rsidP="00616315">
      <w:pPr>
        <w:spacing w:line="240" w:lineRule="exact"/>
        <w:rPr>
          <w:sz w:val="24"/>
          <w:szCs w:val="24"/>
          <w:lang w:val="sl-SI"/>
        </w:rPr>
      </w:pPr>
    </w:p>
    <w:p w14:paraId="625CD860" w14:textId="77777777" w:rsidR="00616315" w:rsidRDefault="00616315" w:rsidP="00616315">
      <w:pPr>
        <w:pStyle w:val="a3"/>
        <w:rPr>
          <w:lang w:val="sl-SI"/>
        </w:rPr>
      </w:pPr>
      <w:r>
        <w:rPr>
          <w:rFonts w:eastAsia="Times New Roman"/>
          <w:lang w:val="sl-SI"/>
        </w:rPr>
        <w:t>ocetna kislina</w:t>
      </w:r>
    </w:p>
    <w:p w14:paraId="1EE5D90E" w14:textId="77777777" w:rsidR="00616315" w:rsidRDefault="00616315" w:rsidP="00616315">
      <w:pPr>
        <w:pStyle w:val="a3"/>
        <w:rPr>
          <w:lang w:val="sl-SI"/>
        </w:rPr>
      </w:pPr>
      <w:r>
        <w:rPr>
          <w:rFonts w:eastAsia="Times New Roman"/>
          <w:lang w:val="sl-SI"/>
        </w:rPr>
        <w:t>natrijev acetat trihidrat</w:t>
      </w:r>
    </w:p>
    <w:p w14:paraId="72C4C36D" w14:textId="77777777" w:rsidR="00616315" w:rsidRDefault="00616315" w:rsidP="00616315">
      <w:pPr>
        <w:pStyle w:val="a3"/>
        <w:rPr>
          <w:lang w:val="sl-SI"/>
        </w:rPr>
      </w:pPr>
      <w:r>
        <w:rPr>
          <w:rFonts w:eastAsia="Times New Roman"/>
          <w:lang w:val="sl-SI"/>
        </w:rPr>
        <w:t>glicin</w:t>
      </w:r>
    </w:p>
    <w:p w14:paraId="018A2888" w14:textId="77777777" w:rsidR="00616315" w:rsidRDefault="00616315" w:rsidP="00616315">
      <w:pPr>
        <w:pStyle w:val="a3"/>
        <w:rPr>
          <w:lang w:val="sl-SI"/>
        </w:rPr>
      </w:pPr>
      <w:r>
        <w:rPr>
          <w:rFonts w:eastAsia="Times New Roman"/>
          <w:lang w:val="sl-SI"/>
        </w:rPr>
        <w:t>polisorbat 80</w:t>
      </w:r>
    </w:p>
    <w:p w14:paraId="2C41ADAB" w14:textId="77777777" w:rsidR="00616315" w:rsidRDefault="00616315" w:rsidP="00616315">
      <w:pPr>
        <w:pStyle w:val="a3"/>
        <w:rPr>
          <w:lang w:val="sl-SI"/>
        </w:rPr>
      </w:pPr>
      <w:r>
        <w:rPr>
          <w:rFonts w:eastAsia="Times New Roman"/>
          <w:lang w:val="sl-SI"/>
        </w:rPr>
        <w:t>voda za injekcije</w:t>
      </w:r>
    </w:p>
    <w:p w14:paraId="6EB03ECE" w14:textId="77777777" w:rsidR="00616315" w:rsidRDefault="00616315" w:rsidP="00616315">
      <w:pPr>
        <w:spacing w:line="240" w:lineRule="exact"/>
        <w:rPr>
          <w:sz w:val="24"/>
          <w:szCs w:val="24"/>
          <w:lang w:val="sl-SI"/>
        </w:rPr>
      </w:pPr>
    </w:p>
    <w:p w14:paraId="7A664753" w14:textId="77777777" w:rsidR="00616315" w:rsidRDefault="00616315" w:rsidP="0030421B">
      <w:pPr>
        <w:widowControl/>
        <w:numPr>
          <w:ilvl w:val="1"/>
          <w:numId w:val="120"/>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Inkompatibilnosti</w:t>
      </w:r>
    </w:p>
    <w:p w14:paraId="40CB45B2" w14:textId="77777777" w:rsidR="00616315" w:rsidRDefault="00616315" w:rsidP="00616315">
      <w:pPr>
        <w:spacing w:line="240" w:lineRule="exact"/>
        <w:rPr>
          <w:sz w:val="24"/>
          <w:szCs w:val="24"/>
          <w:lang w:val="sl-SI"/>
        </w:rPr>
      </w:pPr>
    </w:p>
    <w:p w14:paraId="513D91F5" w14:textId="77777777" w:rsidR="00616315" w:rsidRDefault="00616315" w:rsidP="00616315">
      <w:pPr>
        <w:pStyle w:val="a3"/>
        <w:rPr>
          <w:lang w:val="sl-SI"/>
        </w:rPr>
      </w:pPr>
      <w:r>
        <w:rPr>
          <w:rFonts w:eastAsia="Times New Roman"/>
          <w:lang w:val="sl-SI"/>
        </w:rPr>
        <w:t>V primeru pomanjkanja študij kompatibilnosti zdravila ne smemo mešati z drugimi zdravili.</w:t>
      </w:r>
    </w:p>
    <w:p w14:paraId="42154B1B" w14:textId="77777777" w:rsidR="00616315" w:rsidRDefault="00616315" w:rsidP="00616315">
      <w:pPr>
        <w:spacing w:line="240" w:lineRule="exact"/>
        <w:rPr>
          <w:sz w:val="24"/>
          <w:szCs w:val="24"/>
          <w:lang w:val="sl-SI"/>
        </w:rPr>
      </w:pPr>
    </w:p>
    <w:p w14:paraId="45EF2240" w14:textId="77777777" w:rsidR="00616315" w:rsidRDefault="00616315" w:rsidP="0030421B">
      <w:pPr>
        <w:widowControl/>
        <w:numPr>
          <w:ilvl w:val="1"/>
          <w:numId w:val="120"/>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Rok uporabnosti</w:t>
      </w:r>
    </w:p>
    <w:p w14:paraId="0201CA1E" w14:textId="77777777" w:rsidR="00616315" w:rsidRDefault="00616315" w:rsidP="00616315">
      <w:pPr>
        <w:spacing w:line="240" w:lineRule="exact"/>
        <w:rPr>
          <w:sz w:val="24"/>
          <w:szCs w:val="24"/>
          <w:lang w:val="sl-SI"/>
        </w:rPr>
      </w:pPr>
    </w:p>
    <w:p w14:paraId="19B3A4B6" w14:textId="3081409D" w:rsidR="00616315" w:rsidRDefault="005D729C" w:rsidP="00616315">
      <w:pPr>
        <w:pStyle w:val="a3"/>
        <w:rPr>
          <w:lang w:val="sl-SI"/>
        </w:rPr>
      </w:pPr>
      <w:r>
        <w:rPr>
          <w:rFonts w:eastAsia="Times New Roman"/>
          <w:lang w:val="sl-SI"/>
        </w:rPr>
        <w:t>3 leti</w:t>
      </w:r>
      <w:r w:rsidDel="005D729C">
        <w:rPr>
          <w:rFonts w:eastAsia="Times New Roman"/>
          <w:lang w:val="sl-SI"/>
        </w:rPr>
        <w:t xml:space="preserve"> </w:t>
      </w:r>
    </w:p>
    <w:p w14:paraId="1BC29C5C" w14:textId="77777777" w:rsidR="00616315" w:rsidRDefault="00616315" w:rsidP="00616315">
      <w:pPr>
        <w:spacing w:line="240" w:lineRule="exact"/>
        <w:rPr>
          <w:sz w:val="24"/>
          <w:szCs w:val="24"/>
          <w:lang w:val="sl-SI"/>
        </w:rPr>
      </w:pPr>
    </w:p>
    <w:p w14:paraId="13F52F6B" w14:textId="77777777" w:rsidR="00616315" w:rsidRDefault="00616315" w:rsidP="0030421B">
      <w:pPr>
        <w:widowControl/>
        <w:numPr>
          <w:ilvl w:val="1"/>
          <w:numId w:val="120"/>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Posebna navodila za shranjevanje</w:t>
      </w:r>
    </w:p>
    <w:p w14:paraId="4028E5FA" w14:textId="77777777" w:rsidR="00616315" w:rsidRDefault="00616315" w:rsidP="00616315">
      <w:pPr>
        <w:spacing w:line="260" w:lineRule="exact"/>
        <w:rPr>
          <w:sz w:val="26"/>
          <w:szCs w:val="26"/>
          <w:lang w:val="sl-SI"/>
        </w:rPr>
      </w:pPr>
    </w:p>
    <w:p w14:paraId="7C0B73F2" w14:textId="77777777" w:rsidR="00616315" w:rsidRDefault="00616315" w:rsidP="00616315">
      <w:pPr>
        <w:pStyle w:val="a3"/>
        <w:rPr>
          <w:lang w:val="sl-SI"/>
        </w:rPr>
      </w:pPr>
      <w:r>
        <w:rPr>
          <w:rFonts w:eastAsia="Times New Roman"/>
          <w:lang w:val="sl-SI"/>
        </w:rPr>
        <w:t>Shranjujte v hladilniku (2 </w:t>
      </w:r>
      <w:r>
        <w:rPr>
          <w:rFonts w:ascii="Symbol" w:eastAsia="Symbol" w:hAnsi="Symbol" w:cs="Symbol"/>
          <w:lang w:val="sl-SI"/>
        </w:rPr>
        <w:sym w:font="Symbol" w:char="F0B0"/>
      </w:r>
      <w:r>
        <w:rPr>
          <w:rFonts w:eastAsia="Times New Roman"/>
          <w:lang w:val="sl-SI"/>
        </w:rPr>
        <w:t>C do 8 </w:t>
      </w:r>
      <w:r>
        <w:rPr>
          <w:rFonts w:ascii="Symbol" w:eastAsia="Symbol" w:hAnsi="Symbol" w:cs="Symbol"/>
          <w:lang w:val="sl-SI"/>
        </w:rPr>
        <w:sym w:font="Symbol" w:char="F0B0"/>
      </w:r>
      <w:r>
        <w:rPr>
          <w:rFonts w:eastAsia="Times New Roman"/>
          <w:lang w:val="sl-SI"/>
        </w:rPr>
        <w:t xml:space="preserve">C). Ne zamrzujte. </w:t>
      </w:r>
    </w:p>
    <w:p w14:paraId="5E6BF9BB" w14:textId="77777777" w:rsidR="00616315" w:rsidRDefault="00616315" w:rsidP="00616315">
      <w:pPr>
        <w:pStyle w:val="a3"/>
        <w:rPr>
          <w:lang w:val="sl-SI"/>
        </w:rPr>
      </w:pPr>
      <w:r>
        <w:rPr>
          <w:rFonts w:eastAsia="Times New Roman"/>
          <w:lang w:val="sl-SI"/>
        </w:rPr>
        <w:t>Napolnjeno injekcijsko brizgo ali napolnjen injekcijski peresnik shranjujte v zunanji ovojnini za zagotovitev zaščite pred svetlobo.</w:t>
      </w:r>
    </w:p>
    <w:p w14:paraId="6F586DA5" w14:textId="77777777" w:rsidR="00616315" w:rsidRDefault="00616315" w:rsidP="00616315">
      <w:pPr>
        <w:spacing w:line="240" w:lineRule="exact"/>
        <w:rPr>
          <w:sz w:val="24"/>
          <w:szCs w:val="24"/>
          <w:lang w:val="sl-SI"/>
        </w:rPr>
      </w:pPr>
    </w:p>
    <w:p w14:paraId="2E7356AB" w14:textId="1F3B24BB" w:rsidR="00616315" w:rsidRDefault="00616315" w:rsidP="00616315">
      <w:pPr>
        <w:pStyle w:val="a3"/>
        <w:rPr>
          <w:lang w:val="sl-SI"/>
        </w:rPr>
      </w:pPr>
      <w:r>
        <w:rPr>
          <w:rFonts w:eastAsia="Times New Roman"/>
          <w:lang w:val="sl-SI"/>
        </w:rPr>
        <w:t xml:space="preserve">Posamezno napolnjena injekcijska brizga ali napolnjen injekcijski peresnik zdravila Yuflyma se lahko shranjuje pri temperaturi največ do 25 °C za obdobje do </w:t>
      </w:r>
      <w:r w:rsidR="005D729C">
        <w:rPr>
          <w:rFonts w:eastAsia="Times New Roman"/>
          <w:lang w:val="sl-SI"/>
        </w:rPr>
        <w:t>31 </w:t>
      </w:r>
      <w:r>
        <w:rPr>
          <w:rFonts w:eastAsia="Times New Roman"/>
          <w:lang w:val="sl-SI"/>
        </w:rPr>
        <w:t xml:space="preserve">dni. Napolnjena injekcijska brizga ali napolnjen injekcijski peresnik morata biti zaščitena pred svetlobo. Če se ne uporabita v </w:t>
      </w:r>
      <w:r w:rsidR="005D729C">
        <w:rPr>
          <w:rFonts w:eastAsia="Times New Roman"/>
          <w:lang w:val="sl-SI"/>
        </w:rPr>
        <w:t>31 </w:t>
      </w:r>
      <w:r>
        <w:rPr>
          <w:rFonts w:eastAsia="Times New Roman"/>
          <w:lang w:val="sl-SI"/>
        </w:rPr>
        <w:t>dneh, ju je treba zavreči.</w:t>
      </w:r>
    </w:p>
    <w:p w14:paraId="19D09E30" w14:textId="77777777" w:rsidR="00616315" w:rsidRDefault="00616315" w:rsidP="00616315">
      <w:pPr>
        <w:spacing w:line="240" w:lineRule="exact"/>
        <w:rPr>
          <w:sz w:val="24"/>
          <w:szCs w:val="24"/>
          <w:lang w:val="sl-SI"/>
        </w:rPr>
      </w:pPr>
    </w:p>
    <w:p w14:paraId="73515686" w14:textId="77777777" w:rsidR="00616315" w:rsidRDefault="00616315" w:rsidP="0030421B">
      <w:pPr>
        <w:widowControl/>
        <w:numPr>
          <w:ilvl w:val="1"/>
          <w:numId w:val="120"/>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Vrsta ovojnine in vsebina</w:t>
      </w:r>
    </w:p>
    <w:p w14:paraId="127150A3" w14:textId="77777777" w:rsidR="00616315" w:rsidRDefault="00616315" w:rsidP="00616315">
      <w:pPr>
        <w:pStyle w:val="a4"/>
        <w:spacing w:line="240" w:lineRule="exact"/>
        <w:rPr>
          <w:sz w:val="24"/>
          <w:szCs w:val="24"/>
          <w:lang w:val="sl-SI"/>
        </w:rPr>
      </w:pPr>
    </w:p>
    <w:p w14:paraId="202F3DBB" w14:textId="6ADD9D48" w:rsidR="00616315" w:rsidRDefault="00616315" w:rsidP="00616315">
      <w:pPr>
        <w:pStyle w:val="a3"/>
        <w:rPr>
          <w:u w:val="single"/>
          <w:lang w:val="sl-SI"/>
        </w:rPr>
      </w:pPr>
      <w:r>
        <w:rPr>
          <w:rFonts w:eastAsia="Times New Roman"/>
          <w:u w:val="single"/>
          <w:lang w:val="sl-SI"/>
        </w:rPr>
        <w:t xml:space="preserve">Zdravilo Yuflyma </w:t>
      </w:r>
      <w:r w:rsidR="002874E0">
        <w:rPr>
          <w:rFonts w:eastAsia="Times New Roman"/>
          <w:u w:val="single"/>
          <w:lang w:val="sl-SI"/>
        </w:rPr>
        <w:t>8</w:t>
      </w:r>
      <w:r>
        <w:rPr>
          <w:rFonts w:eastAsia="Times New Roman"/>
          <w:u w:val="single"/>
          <w:lang w:val="sl-SI"/>
        </w:rPr>
        <w:t>0 mg raztopina za injiciranje v napolnjeni injekcijski brizgi</w:t>
      </w:r>
    </w:p>
    <w:p w14:paraId="4F5FF178" w14:textId="77777777" w:rsidR="00616315" w:rsidRDefault="00616315" w:rsidP="00616315">
      <w:pPr>
        <w:pStyle w:val="a3"/>
        <w:rPr>
          <w:u w:val="single"/>
          <w:lang w:val="sl-SI"/>
        </w:rPr>
      </w:pPr>
    </w:p>
    <w:p w14:paraId="2EBF6DD3" w14:textId="77777777" w:rsidR="00616315" w:rsidRDefault="00616315" w:rsidP="00616315">
      <w:pPr>
        <w:pStyle w:val="a3"/>
        <w:rPr>
          <w:lang w:val="sl-SI"/>
        </w:rPr>
      </w:pPr>
      <w:r>
        <w:rPr>
          <w:rFonts w:eastAsia="Times New Roman"/>
          <w:lang w:val="sl-SI"/>
        </w:rPr>
        <w:t>Raztopina za injiciranje v napolnjeni injekcijski brizgi (steklo tipa I) z batnim zamaškom (bromobutilna guma) in iglo s ščitnikom za iglo (termoplastični elastomer).</w:t>
      </w:r>
    </w:p>
    <w:p w14:paraId="00E4FA58" w14:textId="77777777" w:rsidR="00616315" w:rsidRDefault="00616315" w:rsidP="00616315">
      <w:pPr>
        <w:spacing w:line="240" w:lineRule="exact"/>
        <w:rPr>
          <w:sz w:val="24"/>
          <w:szCs w:val="24"/>
          <w:lang w:val="sl-SI"/>
        </w:rPr>
      </w:pPr>
    </w:p>
    <w:p w14:paraId="6B64A868" w14:textId="77777777" w:rsidR="00616315" w:rsidRDefault="00616315" w:rsidP="00616315">
      <w:pPr>
        <w:pStyle w:val="a3"/>
        <w:rPr>
          <w:lang w:val="sl-SI"/>
        </w:rPr>
      </w:pPr>
      <w:r>
        <w:rPr>
          <w:rFonts w:eastAsia="Times New Roman"/>
          <w:lang w:val="sl-SI"/>
        </w:rPr>
        <w:t>Pakiranja:</w:t>
      </w:r>
    </w:p>
    <w:p w14:paraId="3ED69FBA" w14:textId="1245D5DF" w:rsidR="00616315" w:rsidRPr="00337BB0" w:rsidRDefault="00616315" w:rsidP="002874E0">
      <w:pPr>
        <w:pStyle w:val="a3"/>
        <w:numPr>
          <w:ilvl w:val="0"/>
          <w:numId w:val="16"/>
        </w:numPr>
        <w:ind w:left="660" w:hanging="660"/>
        <w:rPr>
          <w:lang w:val="sl-SI"/>
        </w:rPr>
      </w:pPr>
      <w:r>
        <w:rPr>
          <w:rFonts w:eastAsia="Times New Roman"/>
          <w:lang w:val="sl-SI"/>
        </w:rPr>
        <w:t>1 napolnjena injekcijska brizga (0,</w:t>
      </w:r>
      <w:r w:rsidR="002874E0">
        <w:rPr>
          <w:rFonts w:eastAsia="Times New Roman"/>
          <w:lang w:val="sl-SI"/>
        </w:rPr>
        <w:t>8</w:t>
      </w:r>
      <w:r>
        <w:rPr>
          <w:rFonts w:eastAsia="Times New Roman"/>
          <w:lang w:val="sl-SI"/>
        </w:rPr>
        <w:t xml:space="preserve"> ml sterilne raztopine) </w:t>
      </w:r>
      <w:r w:rsidRPr="00337BB0">
        <w:rPr>
          <w:rFonts w:eastAsia="Times New Roman"/>
          <w:lang w:val="sl-SI"/>
        </w:rPr>
        <w:t>z 2 alkohnima zložencema.</w:t>
      </w:r>
    </w:p>
    <w:p w14:paraId="4ABA6D0C" w14:textId="77777777" w:rsidR="00616315" w:rsidRDefault="00616315" w:rsidP="00616315">
      <w:pPr>
        <w:spacing w:before="13" w:line="240" w:lineRule="exact"/>
        <w:rPr>
          <w:sz w:val="24"/>
          <w:szCs w:val="24"/>
          <w:lang w:val="sl-SI"/>
        </w:rPr>
      </w:pPr>
    </w:p>
    <w:p w14:paraId="6CF65453" w14:textId="246CBB77" w:rsidR="00616315" w:rsidRPr="00337BB0" w:rsidRDefault="00616315" w:rsidP="00616315">
      <w:pPr>
        <w:pStyle w:val="a3"/>
        <w:rPr>
          <w:u w:val="single"/>
          <w:lang w:val="sl-SI"/>
        </w:rPr>
      </w:pPr>
      <w:r>
        <w:rPr>
          <w:rFonts w:eastAsia="Times New Roman"/>
          <w:u w:val="single"/>
          <w:lang w:val="sl-SI"/>
        </w:rPr>
        <w:t xml:space="preserve">Zdravilo Yuflyma </w:t>
      </w:r>
      <w:r w:rsidR="002874E0">
        <w:rPr>
          <w:rFonts w:eastAsia="Times New Roman"/>
          <w:u w:val="single"/>
          <w:lang w:val="sl-SI"/>
        </w:rPr>
        <w:t>8</w:t>
      </w:r>
      <w:r>
        <w:rPr>
          <w:rFonts w:eastAsia="Times New Roman"/>
          <w:u w:val="single"/>
          <w:lang w:val="sl-SI"/>
        </w:rPr>
        <w:t xml:space="preserve">0 mg raztopina za </w:t>
      </w:r>
      <w:r w:rsidRPr="00337BB0">
        <w:rPr>
          <w:rFonts w:eastAsia="Times New Roman"/>
          <w:u w:val="single"/>
          <w:lang w:val="sl-SI"/>
        </w:rPr>
        <w:t>injiciranje v napolnjeni injekcijski brizgi s ščitnikom za iglo</w:t>
      </w:r>
    </w:p>
    <w:p w14:paraId="410DF4BB" w14:textId="77777777" w:rsidR="00616315" w:rsidRPr="00337BB0" w:rsidRDefault="00616315" w:rsidP="00616315">
      <w:pPr>
        <w:pStyle w:val="a3"/>
        <w:rPr>
          <w:u w:val="single"/>
          <w:lang w:val="sl-SI"/>
        </w:rPr>
      </w:pPr>
    </w:p>
    <w:p w14:paraId="4F727815" w14:textId="77777777" w:rsidR="00616315" w:rsidRPr="00337BB0" w:rsidRDefault="00616315" w:rsidP="00616315">
      <w:pPr>
        <w:pStyle w:val="a3"/>
        <w:rPr>
          <w:lang w:val="sl-SI"/>
        </w:rPr>
      </w:pPr>
      <w:r w:rsidRPr="00337BB0">
        <w:rPr>
          <w:rFonts w:eastAsia="Times New Roman"/>
          <w:lang w:val="sl-SI"/>
        </w:rPr>
        <w:lastRenderedPageBreak/>
        <w:t>Brizga je izdelana iz stekla tipa I z batnim zamaškom (brombutilna guma) in igle s ščitnikom za iglo (termoplastični elastomer).</w:t>
      </w:r>
    </w:p>
    <w:p w14:paraId="7575A8C6" w14:textId="77777777" w:rsidR="00616315" w:rsidRPr="00337BB0" w:rsidRDefault="00616315" w:rsidP="00616315">
      <w:pPr>
        <w:spacing w:line="240" w:lineRule="exact"/>
        <w:rPr>
          <w:sz w:val="24"/>
          <w:szCs w:val="24"/>
          <w:lang w:val="sl-SI"/>
        </w:rPr>
      </w:pPr>
    </w:p>
    <w:p w14:paraId="3DD8AA64" w14:textId="77777777" w:rsidR="00616315" w:rsidRPr="00337BB0" w:rsidRDefault="00616315" w:rsidP="00616315">
      <w:pPr>
        <w:pStyle w:val="a3"/>
        <w:rPr>
          <w:lang w:val="sl-SI"/>
        </w:rPr>
      </w:pPr>
      <w:r w:rsidRPr="00337BB0">
        <w:rPr>
          <w:rFonts w:eastAsia="Times New Roman"/>
          <w:lang w:val="sl-SI"/>
        </w:rPr>
        <w:t>Pakiranja:</w:t>
      </w:r>
    </w:p>
    <w:p w14:paraId="3997FEC4" w14:textId="5FA8704A" w:rsidR="00616315" w:rsidRPr="00FA6851" w:rsidRDefault="00616315" w:rsidP="002874E0">
      <w:pPr>
        <w:pStyle w:val="a3"/>
        <w:numPr>
          <w:ilvl w:val="0"/>
          <w:numId w:val="16"/>
        </w:numPr>
        <w:ind w:left="660" w:hanging="660"/>
        <w:rPr>
          <w:lang w:val="sl-SI"/>
        </w:rPr>
      </w:pPr>
      <w:r w:rsidRPr="00337BB0">
        <w:rPr>
          <w:rFonts w:eastAsia="Times New Roman"/>
          <w:lang w:val="sl-SI"/>
        </w:rPr>
        <w:t>1 napolnjena injekcijska brizga s ščitnikom za iglo (0,</w:t>
      </w:r>
      <w:r w:rsidR="002874E0">
        <w:rPr>
          <w:rFonts w:eastAsia="Times New Roman"/>
          <w:lang w:val="sl-SI"/>
        </w:rPr>
        <w:t>8</w:t>
      </w:r>
      <w:r w:rsidRPr="00337BB0">
        <w:rPr>
          <w:rFonts w:eastAsia="Times New Roman"/>
          <w:lang w:val="sl-SI"/>
        </w:rPr>
        <w:t> ml sterilne raztopine) z 2 alkoholnima zložencema.</w:t>
      </w:r>
    </w:p>
    <w:p w14:paraId="17156DE3" w14:textId="77777777" w:rsidR="00616315" w:rsidRPr="00337BB0" w:rsidRDefault="00616315" w:rsidP="00616315">
      <w:pPr>
        <w:pStyle w:val="a3"/>
        <w:numPr>
          <w:ilvl w:val="0"/>
          <w:numId w:val="0"/>
        </w:numPr>
        <w:rPr>
          <w:lang w:val="sl-SI"/>
        </w:rPr>
      </w:pPr>
    </w:p>
    <w:p w14:paraId="2C255849" w14:textId="07172320" w:rsidR="00616315" w:rsidRDefault="00616315" w:rsidP="00616315">
      <w:pPr>
        <w:pStyle w:val="a3"/>
        <w:rPr>
          <w:u w:val="single"/>
          <w:lang w:val="sl-SI"/>
        </w:rPr>
      </w:pPr>
      <w:r>
        <w:rPr>
          <w:rFonts w:eastAsia="Times New Roman"/>
          <w:u w:val="single"/>
          <w:lang w:val="sl-SI"/>
        </w:rPr>
        <w:t xml:space="preserve">Zdravilo Yuflyma </w:t>
      </w:r>
      <w:r w:rsidR="002874E0">
        <w:rPr>
          <w:rFonts w:eastAsia="Times New Roman"/>
          <w:u w:val="single"/>
          <w:lang w:val="sl-SI"/>
        </w:rPr>
        <w:t>8</w:t>
      </w:r>
      <w:r>
        <w:rPr>
          <w:rFonts w:eastAsia="Times New Roman"/>
          <w:u w:val="single"/>
          <w:lang w:val="sl-SI"/>
        </w:rPr>
        <w:t>0 mg raztopina za injiciranje v napolnjenem injekcijskem peresniku</w:t>
      </w:r>
    </w:p>
    <w:p w14:paraId="2FB8B28D" w14:textId="77777777" w:rsidR="00616315" w:rsidRDefault="00616315" w:rsidP="00616315">
      <w:pPr>
        <w:pStyle w:val="a3"/>
        <w:rPr>
          <w:u w:val="single"/>
          <w:lang w:val="sl-SI"/>
        </w:rPr>
      </w:pPr>
    </w:p>
    <w:p w14:paraId="5BA69061" w14:textId="77777777" w:rsidR="00616315" w:rsidRDefault="00616315" w:rsidP="00616315">
      <w:pPr>
        <w:pStyle w:val="a3"/>
        <w:rPr>
          <w:lang w:val="sl-SI"/>
        </w:rPr>
      </w:pPr>
      <w:r>
        <w:rPr>
          <w:rFonts w:eastAsia="Times New Roman"/>
          <w:lang w:val="sl-SI"/>
        </w:rPr>
        <w:t>Raztopina za injiciranje v napolnjenem injekcijskem peresniku za uporabo pri bolniku, ki vsebuje napolnjeno injekcijsko brizgo. Brizga v peresniku je izdelana iz stekla tipa I z batnim zamaškom (iz brombutilne gume) in igle s ščitnikom za iglo (termoplastični elastomer).</w:t>
      </w:r>
    </w:p>
    <w:p w14:paraId="1FFDCC2E" w14:textId="77777777" w:rsidR="00616315" w:rsidRDefault="00616315" w:rsidP="00616315">
      <w:pPr>
        <w:spacing w:line="240" w:lineRule="exact"/>
        <w:rPr>
          <w:sz w:val="24"/>
          <w:szCs w:val="24"/>
          <w:lang w:val="sl-SI"/>
        </w:rPr>
      </w:pPr>
    </w:p>
    <w:p w14:paraId="668ECC9C" w14:textId="77777777" w:rsidR="00616315" w:rsidRDefault="00616315" w:rsidP="00616315">
      <w:pPr>
        <w:pStyle w:val="a3"/>
        <w:rPr>
          <w:lang w:val="sl-SI"/>
        </w:rPr>
      </w:pPr>
      <w:r>
        <w:rPr>
          <w:rFonts w:eastAsia="Times New Roman"/>
          <w:lang w:val="sl-SI"/>
        </w:rPr>
        <w:t>Pakiranja:</w:t>
      </w:r>
    </w:p>
    <w:p w14:paraId="0F4C7CF4" w14:textId="6F61F20A" w:rsidR="00616315" w:rsidRPr="00D14272" w:rsidRDefault="00616315" w:rsidP="00616315">
      <w:pPr>
        <w:pStyle w:val="a3"/>
        <w:numPr>
          <w:ilvl w:val="1"/>
          <w:numId w:val="16"/>
        </w:numPr>
        <w:ind w:left="660" w:hanging="660"/>
        <w:rPr>
          <w:lang w:val="sl-SI"/>
        </w:rPr>
      </w:pPr>
      <w:r>
        <w:rPr>
          <w:rFonts w:eastAsia="Times New Roman"/>
          <w:lang w:val="sl-SI"/>
        </w:rPr>
        <w:t>1 napolnjen injekcijski peresnik (0,</w:t>
      </w:r>
      <w:r w:rsidR="002874E0">
        <w:rPr>
          <w:rFonts w:eastAsia="Times New Roman"/>
          <w:lang w:val="sl-SI"/>
        </w:rPr>
        <w:t>8</w:t>
      </w:r>
      <w:r>
        <w:rPr>
          <w:rFonts w:eastAsia="Times New Roman"/>
          <w:lang w:val="sl-SI"/>
        </w:rPr>
        <w:t xml:space="preserve"> ml sterilne raztopine) z </w:t>
      </w:r>
      <w:r w:rsidRPr="00D14272">
        <w:rPr>
          <w:rFonts w:eastAsia="Times New Roman"/>
          <w:lang w:val="sl-SI"/>
        </w:rPr>
        <w:t>2 alkoholnima zložencema.</w:t>
      </w:r>
    </w:p>
    <w:p w14:paraId="5426FC2D" w14:textId="7BED55A3" w:rsidR="00616315" w:rsidRPr="00D14272" w:rsidRDefault="002874E0" w:rsidP="002874E0">
      <w:pPr>
        <w:pStyle w:val="a3"/>
        <w:numPr>
          <w:ilvl w:val="1"/>
          <w:numId w:val="16"/>
        </w:numPr>
        <w:ind w:left="660" w:hanging="660"/>
        <w:rPr>
          <w:lang w:val="sl-SI"/>
        </w:rPr>
      </w:pPr>
      <w:r>
        <w:rPr>
          <w:rFonts w:eastAsia="Times New Roman"/>
          <w:lang w:val="sl-SI"/>
        </w:rPr>
        <w:t>3</w:t>
      </w:r>
      <w:r w:rsidR="00616315" w:rsidRPr="00D14272">
        <w:rPr>
          <w:rFonts w:eastAsia="Times New Roman"/>
          <w:lang w:val="sl-SI"/>
        </w:rPr>
        <w:t xml:space="preserve"> napolnjena injekcijska peresnika (0,</w:t>
      </w:r>
      <w:r>
        <w:rPr>
          <w:rFonts w:eastAsia="Times New Roman"/>
          <w:lang w:val="sl-SI"/>
        </w:rPr>
        <w:t>8</w:t>
      </w:r>
      <w:r w:rsidR="00616315" w:rsidRPr="00D14272">
        <w:rPr>
          <w:rFonts w:eastAsia="Times New Roman"/>
          <w:lang w:val="sl-SI"/>
        </w:rPr>
        <w:t xml:space="preserve"> ml sterilne raztopine) z </w:t>
      </w:r>
      <w:r w:rsidR="00DC3700">
        <w:rPr>
          <w:rFonts w:eastAsia="Times New Roman"/>
          <w:lang w:val="sl-SI"/>
        </w:rPr>
        <w:t>4</w:t>
      </w:r>
      <w:r w:rsidR="00DC3700" w:rsidRPr="00D14272">
        <w:rPr>
          <w:rFonts w:eastAsia="Times New Roman"/>
          <w:lang w:val="sl-SI"/>
        </w:rPr>
        <w:t xml:space="preserve"> </w:t>
      </w:r>
      <w:r w:rsidR="00616315" w:rsidRPr="00D14272">
        <w:rPr>
          <w:rFonts w:eastAsia="Times New Roman"/>
          <w:lang w:val="sl-SI"/>
        </w:rPr>
        <w:t>alkoholnim</w:t>
      </w:r>
      <w:r w:rsidR="00DC3700" w:rsidRPr="00D14272">
        <w:rPr>
          <w:rFonts w:eastAsia="Times New Roman"/>
          <w:lang w:val="sl-SI"/>
        </w:rPr>
        <w:t>a</w:t>
      </w:r>
      <w:r w:rsidR="00616315" w:rsidRPr="00D14272">
        <w:rPr>
          <w:rFonts w:eastAsia="Times New Roman"/>
          <w:lang w:val="sl-SI"/>
        </w:rPr>
        <w:t xml:space="preserve"> zložencem</w:t>
      </w:r>
      <w:r w:rsidR="00DC3700" w:rsidRPr="00D14272">
        <w:rPr>
          <w:rFonts w:eastAsia="Times New Roman"/>
          <w:lang w:val="sl-SI"/>
        </w:rPr>
        <w:t>a</w:t>
      </w:r>
      <w:r w:rsidR="00616315" w:rsidRPr="00D14272">
        <w:rPr>
          <w:rFonts w:eastAsia="Times New Roman"/>
          <w:lang w:val="sl-SI"/>
        </w:rPr>
        <w:t>.</w:t>
      </w:r>
    </w:p>
    <w:p w14:paraId="76A538F0" w14:textId="77777777" w:rsidR="00616315" w:rsidRPr="00D14272" w:rsidRDefault="00616315" w:rsidP="00616315">
      <w:pPr>
        <w:spacing w:before="10" w:line="240" w:lineRule="exact"/>
        <w:rPr>
          <w:sz w:val="24"/>
          <w:szCs w:val="24"/>
          <w:lang w:val="sl-SI"/>
        </w:rPr>
      </w:pPr>
    </w:p>
    <w:p w14:paraId="3B865349" w14:textId="77777777" w:rsidR="00616315" w:rsidRDefault="00616315" w:rsidP="00616315">
      <w:pPr>
        <w:pStyle w:val="a3"/>
        <w:rPr>
          <w:lang w:val="sl-SI"/>
        </w:rPr>
      </w:pPr>
      <w:r w:rsidRPr="00D14272">
        <w:rPr>
          <w:rFonts w:eastAsia="Times New Roman"/>
          <w:lang w:val="sl-SI"/>
        </w:rPr>
        <w:t>Na trgu morda ni vseh navedenih pakiranj.</w:t>
      </w:r>
    </w:p>
    <w:p w14:paraId="2B35FA5A" w14:textId="77777777" w:rsidR="00616315" w:rsidRDefault="00616315" w:rsidP="00616315">
      <w:pPr>
        <w:widowControl/>
        <w:tabs>
          <w:tab w:val="left" w:pos="567"/>
        </w:tabs>
        <w:spacing w:line="260" w:lineRule="exact"/>
        <w:rPr>
          <w:rFonts w:ascii="Times New Roman" w:eastAsia="Times New Roman" w:hAnsi="Times New Roman" w:cs="Times New Roman"/>
          <w:b/>
          <w:noProof/>
          <w:lang w:val="sl-SI"/>
        </w:rPr>
      </w:pPr>
    </w:p>
    <w:p w14:paraId="50D21893" w14:textId="77777777" w:rsidR="00616315" w:rsidRDefault="00616315" w:rsidP="0030421B">
      <w:pPr>
        <w:widowControl/>
        <w:numPr>
          <w:ilvl w:val="1"/>
          <w:numId w:val="120"/>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Posebni varnostni ukrepi za odstranjevanje</w:t>
      </w:r>
    </w:p>
    <w:p w14:paraId="27059CFD" w14:textId="77777777" w:rsidR="00616315" w:rsidRDefault="00616315" w:rsidP="00616315">
      <w:pPr>
        <w:tabs>
          <w:tab w:val="left" w:pos="2267"/>
        </w:tabs>
        <w:spacing w:before="12" w:line="240" w:lineRule="exact"/>
        <w:rPr>
          <w:sz w:val="24"/>
          <w:szCs w:val="24"/>
          <w:lang w:val="sl-SI"/>
        </w:rPr>
      </w:pPr>
      <w:r>
        <w:rPr>
          <w:sz w:val="24"/>
          <w:szCs w:val="24"/>
          <w:lang w:val="sl-SI"/>
        </w:rPr>
        <w:tab/>
      </w:r>
    </w:p>
    <w:p w14:paraId="1D646ABB" w14:textId="77777777" w:rsidR="00616315" w:rsidRDefault="00616315" w:rsidP="00616315">
      <w:pPr>
        <w:pStyle w:val="a3"/>
        <w:rPr>
          <w:lang w:val="sl-SI"/>
        </w:rPr>
      </w:pPr>
      <w:r>
        <w:rPr>
          <w:rFonts w:eastAsia="Times New Roman"/>
          <w:lang w:val="sl-SI"/>
        </w:rPr>
        <w:t xml:space="preserve">Neuporabljeno zdravilo ali odpadni material zavrzite v skladu z lokalnimi predpisi. </w:t>
      </w:r>
    </w:p>
    <w:p w14:paraId="305F5317" w14:textId="77777777" w:rsidR="00616315" w:rsidRDefault="00616315" w:rsidP="00616315">
      <w:pPr>
        <w:spacing w:line="200" w:lineRule="exact"/>
        <w:rPr>
          <w:sz w:val="20"/>
          <w:szCs w:val="20"/>
          <w:lang w:val="sl-SI"/>
        </w:rPr>
      </w:pPr>
    </w:p>
    <w:p w14:paraId="540353F3" w14:textId="77777777" w:rsidR="00616315" w:rsidRDefault="00616315" w:rsidP="00616315">
      <w:pPr>
        <w:widowControl/>
        <w:tabs>
          <w:tab w:val="left" w:pos="567"/>
        </w:tabs>
        <w:spacing w:line="260" w:lineRule="exact"/>
        <w:rPr>
          <w:rFonts w:ascii="Times New Roman" w:eastAsia="Times New Roman" w:hAnsi="Times New Roman" w:cs="Times New Roman"/>
          <w:b/>
          <w:noProof/>
          <w:lang w:val="sl-SI"/>
        </w:rPr>
      </w:pPr>
    </w:p>
    <w:p w14:paraId="1EB86CC4" w14:textId="77777777" w:rsidR="00616315" w:rsidRDefault="00616315" w:rsidP="0030421B">
      <w:pPr>
        <w:widowControl/>
        <w:numPr>
          <w:ilvl w:val="0"/>
          <w:numId w:val="117"/>
        </w:numPr>
        <w:tabs>
          <w:tab w:val="left" w:pos="567"/>
        </w:tabs>
        <w:spacing w:line="260" w:lineRule="exact"/>
        <w:ind w:left="0"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IMETNIK DOVOLJENJA ZA PROMET Z ZDRAVILOM</w:t>
      </w:r>
    </w:p>
    <w:p w14:paraId="24316CBA" w14:textId="77777777" w:rsidR="00616315" w:rsidRDefault="00616315" w:rsidP="00616315">
      <w:pPr>
        <w:spacing w:before="12" w:line="240" w:lineRule="exact"/>
        <w:rPr>
          <w:sz w:val="24"/>
          <w:szCs w:val="24"/>
          <w:lang w:val="sl-SI"/>
        </w:rPr>
      </w:pPr>
    </w:p>
    <w:p w14:paraId="1724E707" w14:textId="77777777" w:rsidR="00616315" w:rsidRDefault="00616315" w:rsidP="00616315">
      <w:pPr>
        <w:pStyle w:val="a3"/>
        <w:rPr>
          <w:lang w:val="sl-SI"/>
        </w:rPr>
      </w:pPr>
      <w:r>
        <w:rPr>
          <w:lang w:val="sl-SI"/>
        </w:rPr>
        <w:t xml:space="preserve">Celltrion Healthcare Hungary Kft. </w:t>
      </w:r>
    </w:p>
    <w:p w14:paraId="7DBFA7A5" w14:textId="77777777" w:rsidR="00616315" w:rsidRDefault="00616315" w:rsidP="00616315">
      <w:pPr>
        <w:pStyle w:val="a3"/>
        <w:rPr>
          <w:lang w:val="sl-SI"/>
        </w:rPr>
      </w:pPr>
      <w:r>
        <w:rPr>
          <w:lang w:val="sl-SI"/>
        </w:rPr>
        <w:t>1062 Budapest</w:t>
      </w:r>
    </w:p>
    <w:p w14:paraId="3C8F564F" w14:textId="77777777" w:rsidR="00616315" w:rsidRDefault="00616315" w:rsidP="00616315">
      <w:pPr>
        <w:pStyle w:val="a3"/>
        <w:rPr>
          <w:lang w:val="sl-SI"/>
        </w:rPr>
      </w:pPr>
      <w:r>
        <w:rPr>
          <w:lang w:val="sl-SI"/>
        </w:rPr>
        <w:t>Váci út 1-3. WestEnd Office Building B torony</w:t>
      </w:r>
    </w:p>
    <w:p w14:paraId="61EEE7CB" w14:textId="77777777" w:rsidR="00616315" w:rsidRDefault="00616315" w:rsidP="00616315">
      <w:pPr>
        <w:pStyle w:val="a3"/>
        <w:rPr>
          <w:lang w:val="sl-SI"/>
        </w:rPr>
      </w:pPr>
      <w:r>
        <w:rPr>
          <w:rFonts w:eastAsia="Times New Roman"/>
          <w:lang w:val="sl-SI"/>
        </w:rPr>
        <w:t>Madžarska</w:t>
      </w:r>
    </w:p>
    <w:p w14:paraId="253F4172" w14:textId="77777777" w:rsidR="00616315" w:rsidRDefault="00616315" w:rsidP="00616315">
      <w:pPr>
        <w:spacing w:line="200" w:lineRule="exact"/>
        <w:rPr>
          <w:sz w:val="20"/>
          <w:szCs w:val="20"/>
          <w:lang w:val="sl-SI"/>
        </w:rPr>
      </w:pPr>
    </w:p>
    <w:p w14:paraId="06BE7F12" w14:textId="77777777" w:rsidR="00616315" w:rsidRDefault="00616315" w:rsidP="00616315">
      <w:pPr>
        <w:spacing w:line="200" w:lineRule="exact"/>
        <w:rPr>
          <w:sz w:val="20"/>
          <w:szCs w:val="20"/>
          <w:lang w:val="sl-SI"/>
        </w:rPr>
      </w:pPr>
    </w:p>
    <w:p w14:paraId="551D820C" w14:textId="77777777" w:rsidR="00616315" w:rsidRDefault="00616315" w:rsidP="0030421B">
      <w:pPr>
        <w:widowControl/>
        <w:numPr>
          <w:ilvl w:val="0"/>
          <w:numId w:val="117"/>
        </w:numPr>
        <w:tabs>
          <w:tab w:val="left" w:pos="567"/>
        </w:tabs>
        <w:spacing w:line="260" w:lineRule="exact"/>
        <w:ind w:left="0"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ŠTEVILKA (ŠTEVILKE) DOVOLJENJA (DOVOLJENJ) ZA PROMET Z ZDRAVILOM</w:t>
      </w:r>
    </w:p>
    <w:p w14:paraId="6812DC26" w14:textId="77777777" w:rsidR="00616315" w:rsidRDefault="00616315" w:rsidP="00616315">
      <w:pPr>
        <w:spacing w:before="9" w:line="240" w:lineRule="exact"/>
        <w:rPr>
          <w:sz w:val="24"/>
          <w:szCs w:val="24"/>
          <w:lang w:val="sl-SI"/>
        </w:rPr>
      </w:pPr>
    </w:p>
    <w:p w14:paraId="36949D2F" w14:textId="0DB3F680" w:rsidR="00616315" w:rsidRDefault="00616315" w:rsidP="00616315">
      <w:pPr>
        <w:pStyle w:val="a3"/>
        <w:rPr>
          <w:u w:val="single"/>
          <w:lang w:val="sl-SI"/>
        </w:rPr>
      </w:pPr>
      <w:r>
        <w:rPr>
          <w:rFonts w:eastAsia="Times New Roman"/>
          <w:u w:val="single" w:color="000000"/>
          <w:lang w:val="sl-SI"/>
        </w:rPr>
        <w:t xml:space="preserve">Yuflyma </w:t>
      </w:r>
      <w:r w:rsidR="002874E0">
        <w:rPr>
          <w:rFonts w:eastAsia="Times New Roman"/>
          <w:u w:val="single" w:color="000000"/>
          <w:lang w:val="sl-SI"/>
        </w:rPr>
        <w:t>8</w:t>
      </w:r>
      <w:r>
        <w:rPr>
          <w:rFonts w:eastAsia="Times New Roman"/>
          <w:u w:val="single" w:color="000000"/>
          <w:lang w:val="sl-SI"/>
        </w:rPr>
        <w:t>0 mg raztopina za injiciranje v napolnjeni injekcijski brizgi</w:t>
      </w:r>
    </w:p>
    <w:p w14:paraId="7E5EE5D1" w14:textId="77777777" w:rsidR="00616315" w:rsidRDefault="00616315" w:rsidP="00616315">
      <w:pPr>
        <w:pStyle w:val="a3"/>
        <w:rPr>
          <w:lang w:val="sl-SI"/>
        </w:rPr>
      </w:pPr>
    </w:p>
    <w:p w14:paraId="307FA8AB" w14:textId="06DFCC33" w:rsidR="00616315" w:rsidRDefault="00616315" w:rsidP="002874E0">
      <w:pPr>
        <w:pStyle w:val="a3"/>
        <w:rPr>
          <w:lang w:val="sl-SI"/>
        </w:rPr>
      </w:pPr>
      <w:r>
        <w:rPr>
          <w:rFonts w:eastAsia="Times New Roman"/>
          <w:lang w:val="sl-SI"/>
        </w:rPr>
        <w:t>EU/</w:t>
      </w:r>
      <w:r>
        <w:rPr>
          <w:rFonts w:eastAsia="Times New Roman" w:cs="Verdana"/>
          <w:color w:val="000000"/>
          <w:lang w:val="sl-SI"/>
        </w:rPr>
        <w:t>1/20/1513/0</w:t>
      </w:r>
      <w:r w:rsidR="002874E0">
        <w:rPr>
          <w:rFonts w:eastAsia="Times New Roman" w:cs="Verdana"/>
          <w:color w:val="000000"/>
          <w:lang w:val="sl-SI"/>
        </w:rPr>
        <w:t>13</w:t>
      </w:r>
    </w:p>
    <w:p w14:paraId="2C767526" w14:textId="77777777" w:rsidR="00616315" w:rsidRDefault="00616315" w:rsidP="00616315">
      <w:pPr>
        <w:spacing w:before="14" w:line="240" w:lineRule="exact"/>
        <w:rPr>
          <w:sz w:val="24"/>
          <w:szCs w:val="24"/>
          <w:lang w:val="sl-SI"/>
        </w:rPr>
      </w:pPr>
    </w:p>
    <w:p w14:paraId="57790227" w14:textId="49194471" w:rsidR="00616315" w:rsidRDefault="00616315" w:rsidP="00616315">
      <w:pPr>
        <w:pStyle w:val="a3"/>
        <w:rPr>
          <w:u w:val="single" w:color="000000"/>
          <w:lang w:val="sl-SI"/>
        </w:rPr>
      </w:pPr>
      <w:r>
        <w:rPr>
          <w:rFonts w:eastAsia="Times New Roman"/>
          <w:u w:val="single" w:color="000000"/>
          <w:lang w:val="sl-SI"/>
        </w:rPr>
        <w:t xml:space="preserve">Yuflyma </w:t>
      </w:r>
      <w:r w:rsidR="002874E0">
        <w:rPr>
          <w:rFonts w:eastAsia="Times New Roman"/>
          <w:u w:val="single" w:color="000000"/>
          <w:lang w:val="sl-SI"/>
        </w:rPr>
        <w:t>8</w:t>
      </w:r>
      <w:r>
        <w:rPr>
          <w:rFonts w:eastAsia="Times New Roman"/>
          <w:u w:val="single" w:color="000000"/>
          <w:lang w:val="sl-SI"/>
        </w:rPr>
        <w:t>0 mg raztopina za injiciranje v napolnjeni injekcijski brizgi s ščitnikom za iglo</w:t>
      </w:r>
    </w:p>
    <w:p w14:paraId="585479B8" w14:textId="77777777" w:rsidR="00616315" w:rsidRDefault="00616315" w:rsidP="00616315">
      <w:pPr>
        <w:pStyle w:val="a3"/>
        <w:rPr>
          <w:lang w:val="sl-SI"/>
        </w:rPr>
      </w:pPr>
    </w:p>
    <w:p w14:paraId="22EF3EEF" w14:textId="6157A817" w:rsidR="00616315" w:rsidRDefault="00616315" w:rsidP="002874E0">
      <w:pPr>
        <w:pStyle w:val="a3"/>
        <w:rPr>
          <w:lang w:val="sl-SI"/>
        </w:rPr>
      </w:pPr>
      <w:r>
        <w:rPr>
          <w:rFonts w:eastAsia="Times New Roman" w:cs="Verdana"/>
          <w:color w:val="000000"/>
          <w:lang w:val="sl-SI"/>
        </w:rPr>
        <w:t>EU/1/20/1513</w:t>
      </w:r>
      <w:r>
        <w:rPr>
          <w:rFonts w:eastAsia="Times New Roman"/>
          <w:lang w:val="sl-SI"/>
        </w:rPr>
        <w:t>/0</w:t>
      </w:r>
      <w:r w:rsidR="002874E0">
        <w:rPr>
          <w:rFonts w:eastAsia="Times New Roman"/>
          <w:lang w:val="sl-SI"/>
        </w:rPr>
        <w:t>14</w:t>
      </w:r>
    </w:p>
    <w:p w14:paraId="4F4E1EAE" w14:textId="77777777" w:rsidR="00616315" w:rsidRDefault="00616315" w:rsidP="00616315">
      <w:pPr>
        <w:spacing w:before="14" w:line="240" w:lineRule="exact"/>
        <w:rPr>
          <w:sz w:val="24"/>
          <w:szCs w:val="24"/>
          <w:lang w:val="sl-SI"/>
        </w:rPr>
      </w:pPr>
    </w:p>
    <w:p w14:paraId="02FBDA79" w14:textId="2D68BFEA" w:rsidR="00616315" w:rsidRDefault="00616315" w:rsidP="00616315">
      <w:pPr>
        <w:pStyle w:val="a3"/>
        <w:rPr>
          <w:u w:val="single"/>
          <w:lang w:val="sl-SI"/>
        </w:rPr>
      </w:pPr>
      <w:r>
        <w:rPr>
          <w:rFonts w:eastAsia="Times New Roman"/>
          <w:u w:val="single" w:color="000000"/>
          <w:lang w:val="sl-SI"/>
        </w:rPr>
        <w:t xml:space="preserve">Yuflyma </w:t>
      </w:r>
      <w:r w:rsidR="002874E0">
        <w:rPr>
          <w:rFonts w:eastAsia="Times New Roman"/>
          <w:u w:val="single" w:color="000000"/>
          <w:lang w:val="sl-SI"/>
        </w:rPr>
        <w:t>8</w:t>
      </w:r>
      <w:r>
        <w:rPr>
          <w:rFonts w:eastAsia="Times New Roman"/>
          <w:u w:val="single" w:color="000000"/>
          <w:lang w:val="sl-SI"/>
        </w:rPr>
        <w:t>0 mg raztopina za injiciranje v napolnjenem injekcijskem peresniku</w:t>
      </w:r>
    </w:p>
    <w:p w14:paraId="12F8FE98" w14:textId="77777777" w:rsidR="00616315" w:rsidRDefault="00616315" w:rsidP="00616315">
      <w:pPr>
        <w:pStyle w:val="a3"/>
        <w:rPr>
          <w:lang w:val="sl-SI"/>
        </w:rPr>
      </w:pPr>
    </w:p>
    <w:p w14:paraId="754BCE42" w14:textId="3F49E9DA" w:rsidR="00616315" w:rsidRDefault="00616315" w:rsidP="00616315">
      <w:pPr>
        <w:pStyle w:val="a3"/>
        <w:rPr>
          <w:lang w:val="sl-SI"/>
        </w:rPr>
      </w:pPr>
      <w:r>
        <w:rPr>
          <w:rFonts w:eastAsia="Times New Roman" w:cs="Verdana"/>
          <w:color w:val="000000"/>
          <w:lang w:val="sl-SI"/>
        </w:rPr>
        <w:t>EU/1/20/1513</w:t>
      </w:r>
      <w:r>
        <w:rPr>
          <w:rFonts w:eastAsia="Times New Roman"/>
          <w:lang w:val="sl-SI"/>
        </w:rPr>
        <w:t>/0</w:t>
      </w:r>
      <w:r w:rsidR="002874E0">
        <w:rPr>
          <w:rFonts w:eastAsia="Times New Roman"/>
          <w:lang w:val="sl-SI"/>
        </w:rPr>
        <w:t>15</w:t>
      </w:r>
    </w:p>
    <w:p w14:paraId="0D548008" w14:textId="55F22679" w:rsidR="00616315" w:rsidRDefault="00616315" w:rsidP="002874E0">
      <w:pPr>
        <w:pStyle w:val="a3"/>
        <w:rPr>
          <w:lang w:val="sl-SI"/>
        </w:rPr>
      </w:pPr>
      <w:r>
        <w:rPr>
          <w:rFonts w:eastAsia="Times New Roman" w:cs="Verdana"/>
          <w:color w:val="000000"/>
          <w:lang w:val="sl-SI"/>
        </w:rPr>
        <w:t>EU/1/20/1513/</w:t>
      </w:r>
      <w:r>
        <w:rPr>
          <w:rFonts w:eastAsia="Times New Roman"/>
          <w:lang w:val="sl-SI"/>
        </w:rPr>
        <w:t>01</w:t>
      </w:r>
      <w:r w:rsidR="002874E0">
        <w:rPr>
          <w:rFonts w:eastAsia="Times New Roman"/>
          <w:lang w:val="sl-SI"/>
        </w:rPr>
        <w:t>6</w:t>
      </w:r>
    </w:p>
    <w:p w14:paraId="7DC065B4" w14:textId="77777777" w:rsidR="00616315" w:rsidRDefault="00616315" w:rsidP="00616315">
      <w:pPr>
        <w:pStyle w:val="a3"/>
        <w:rPr>
          <w:lang w:val="sl-SI"/>
        </w:rPr>
      </w:pPr>
    </w:p>
    <w:p w14:paraId="590AB070" w14:textId="77777777" w:rsidR="00616315" w:rsidRDefault="00616315" w:rsidP="00616315">
      <w:pPr>
        <w:spacing w:line="200" w:lineRule="exact"/>
        <w:rPr>
          <w:sz w:val="20"/>
          <w:szCs w:val="20"/>
          <w:lang w:val="sl-SI"/>
        </w:rPr>
      </w:pPr>
    </w:p>
    <w:p w14:paraId="0A1F90E2" w14:textId="77777777" w:rsidR="00616315" w:rsidRDefault="00616315" w:rsidP="0030421B">
      <w:pPr>
        <w:widowControl/>
        <w:numPr>
          <w:ilvl w:val="0"/>
          <w:numId w:val="117"/>
        </w:numPr>
        <w:tabs>
          <w:tab w:val="left" w:pos="567"/>
        </w:tabs>
        <w:spacing w:line="260" w:lineRule="exact"/>
        <w:ind w:left="0"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DATUM PRIDOBITVE/PODALJŠANJA DOVOLJENJA ZA PROMET Z ZDRAVILOM</w:t>
      </w:r>
    </w:p>
    <w:p w14:paraId="7805D98F" w14:textId="77777777" w:rsidR="00616315" w:rsidRDefault="00616315" w:rsidP="00616315">
      <w:pPr>
        <w:widowControl/>
        <w:tabs>
          <w:tab w:val="left" w:pos="567"/>
        </w:tabs>
        <w:spacing w:line="260" w:lineRule="exact"/>
        <w:rPr>
          <w:rFonts w:ascii="Times New Roman" w:eastAsia="Times New Roman" w:hAnsi="Times New Roman" w:cs="Times New Roman"/>
          <w:b/>
          <w:noProof/>
          <w:lang w:val="sl-SI"/>
        </w:rPr>
      </w:pPr>
    </w:p>
    <w:p w14:paraId="13782A47" w14:textId="77777777" w:rsidR="00616315" w:rsidRDefault="00616315" w:rsidP="00616315">
      <w:pPr>
        <w:widowControl/>
        <w:tabs>
          <w:tab w:val="left" w:pos="567"/>
        </w:tabs>
        <w:spacing w:line="260" w:lineRule="exact"/>
        <w:rPr>
          <w:rFonts w:ascii="Times New Roman" w:eastAsia="Times New Roman" w:hAnsi="Times New Roman" w:cs="Times New Roman"/>
          <w:bCs/>
          <w:noProof/>
          <w:lang w:val="sl-SI"/>
        </w:rPr>
      </w:pPr>
      <w:r>
        <w:rPr>
          <w:rFonts w:ascii="Times New Roman" w:eastAsia="Times New Roman" w:hAnsi="Times New Roman" w:cs="Times New Roman"/>
          <w:bCs/>
          <w:noProof/>
          <w:lang w:val="sl-SI"/>
        </w:rPr>
        <w:t xml:space="preserve">Datum prve odobritve: </w:t>
      </w:r>
      <w:r w:rsidRPr="00907360">
        <w:rPr>
          <w:rFonts w:ascii="Times New Roman" w:eastAsia="Times New Roman" w:hAnsi="Times New Roman" w:cs="Times New Roman"/>
          <w:bCs/>
          <w:noProof/>
          <w:lang w:val="sl-SI"/>
        </w:rPr>
        <w:t>11. februarja 2021</w:t>
      </w:r>
    </w:p>
    <w:p w14:paraId="03FAABDB" w14:textId="77777777" w:rsidR="00616315" w:rsidRDefault="00616315" w:rsidP="00616315">
      <w:pPr>
        <w:widowControl/>
        <w:tabs>
          <w:tab w:val="left" w:pos="567"/>
        </w:tabs>
        <w:spacing w:line="260" w:lineRule="exact"/>
        <w:rPr>
          <w:rFonts w:ascii="Times New Roman" w:eastAsia="Times New Roman" w:hAnsi="Times New Roman" w:cs="Times New Roman"/>
          <w:b/>
          <w:noProof/>
          <w:lang w:val="sl-SI"/>
        </w:rPr>
      </w:pPr>
    </w:p>
    <w:p w14:paraId="429F9DAA" w14:textId="77777777" w:rsidR="00616315" w:rsidRDefault="00616315" w:rsidP="00616315">
      <w:pPr>
        <w:widowControl/>
        <w:tabs>
          <w:tab w:val="left" w:pos="567"/>
        </w:tabs>
        <w:spacing w:line="260" w:lineRule="exact"/>
        <w:rPr>
          <w:rFonts w:ascii="Times New Roman" w:eastAsia="Times New Roman" w:hAnsi="Times New Roman" w:cs="Times New Roman"/>
          <w:b/>
          <w:noProof/>
          <w:lang w:val="sl-SI"/>
        </w:rPr>
      </w:pPr>
    </w:p>
    <w:p w14:paraId="007069F0" w14:textId="77777777" w:rsidR="00616315" w:rsidRDefault="00616315" w:rsidP="0030421B">
      <w:pPr>
        <w:widowControl/>
        <w:numPr>
          <w:ilvl w:val="0"/>
          <w:numId w:val="117"/>
        </w:numPr>
        <w:tabs>
          <w:tab w:val="left" w:pos="567"/>
        </w:tabs>
        <w:spacing w:line="260" w:lineRule="exact"/>
        <w:ind w:left="0"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DATUM ZADNJE REVIZIJE BESEDILA</w:t>
      </w:r>
    </w:p>
    <w:p w14:paraId="739CD43B" w14:textId="77777777" w:rsidR="00616315" w:rsidRDefault="00616315" w:rsidP="00616315">
      <w:pPr>
        <w:spacing w:before="12" w:line="240" w:lineRule="exact"/>
        <w:rPr>
          <w:sz w:val="24"/>
          <w:szCs w:val="24"/>
          <w:lang w:val="sl-SI"/>
        </w:rPr>
      </w:pPr>
    </w:p>
    <w:p w14:paraId="6286D68A" w14:textId="77777777" w:rsidR="00616315" w:rsidRDefault="00616315" w:rsidP="00616315">
      <w:pPr>
        <w:pStyle w:val="a3"/>
        <w:rPr>
          <w:lang w:val="sl-SI"/>
        </w:rPr>
      </w:pPr>
      <w:r>
        <w:rPr>
          <w:rFonts w:eastAsia="Times New Roman"/>
          <w:lang w:val="sl-SI"/>
        </w:rPr>
        <w:lastRenderedPageBreak/>
        <w:t xml:space="preserve">Podrobne informacije o zdravilu so objavljene na spletni strani Evropske agencije za zdravila </w:t>
      </w:r>
      <w:hyperlink r:id="rId25" w:history="1">
        <w:r>
          <w:rPr>
            <w:rFonts w:eastAsia="Times New Roman"/>
            <w:color w:val="0000FF"/>
            <w:u w:val="single"/>
            <w:lang w:val="sl-SI"/>
          </w:rPr>
          <w:t>http://www.ema.europa.eu</w:t>
        </w:r>
      </w:hyperlink>
    </w:p>
    <w:p w14:paraId="69E1624B" w14:textId="77777777" w:rsidR="00616315" w:rsidRDefault="00616315" w:rsidP="00616315">
      <w:pPr>
        <w:rPr>
          <w:lang w:val="sl-SI"/>
        </w:rPr>
      </w:pPr>
      <w:r>
        <w:rPr>
          <w:lang w:val="sl-SI"/>
        </w:rPr>
        <w:br w:type="page"/>
      </w:r>
    </w:p>
    <w:p w14:paraId="470980EE" w14:textId="77777777" w:rsidR="0066522E" w:rsidRDefault="0066522E" w:rsidP="0066522E">
      <w:pPr>
        <w:rPr>
          <w:rFonts w:ascii="Times New Roman" w:eastAsia="맑은 고딕" w:hAnsi="Times New Roman" w:cs="Times New Roman"/>
          <w:lang w:val="sl-SI" w:eastAsia="ko-KR"/>
        </w:rPr>
      </w:pPr>
      <w:r>
        <w:rPr>
          <w:rFonts w:ascii="Times New Roman" w:hAnsi="Times New Roman" w:cs="Times New Roman"/>
          <w:noProof/>
          <w:lang w:eastAsia="ko-KR"/>
        </w:rPr>
        <w:lastRenderedPageBreak/>
        <w:drawing>
          <wp:inline distT="0" distB="0" distL="0" distR="0" wp14:anchorId="4746EFA6" wp14:editId="07649816">
            <wp:extent cx="203200" cy="169545"/>
            <wp:effectExtent l="0" t="0" r="6350" b="1905"/>
            <wp:docPr id="3901" name="그림 3901"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41359"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sl-SI"/>
        </w:rPr>
        <w:t>Za to zdravilo se izvaja dodatno spremljanje varnosti. Tako bodo hitreje na voljo nove informacije o njegovi varnosti. Zdravstvene delavce naprošamo, da poročajo o katerem koli domnevnem neželenem učinku zdravila. Glejte poglavje 4.8, kako poročati o neželenih učinkih.</w:t>
      </w:r>
    </w:p>
    <w:p w14:paraId="52A411C9" w14:textId="77777777" w:rsidR="0066522E" w:rsidRDefault="0066522E" w:rsidP="0066522E">
      <w:pPr>
        <w:widowControl/>
        <w:tabs>
          <w:tab w:val="left" w:pos="567"/>
        </w:tabs>
        <w:rPr>
          <w:rFonts w:ascii="Times New Roman" w:eastAsia="Times New Roman" w:hAnsi="Times New Roman" w:cs="Times New Roman"/>
          <w:lang w:val="sl-SI"/>
        </w:rPr>
      </w:pPr>
    </w:p>
    <w:p w14:paraId="7B4B385D" w14:textId="77777777" w:rsidR="0066522E" w:rsidRDefault="0066522E" w:rsidP="0066522E">
      <w:pPr>
        <w:widowControl/>
        <w:tabs>
          <w:tab w:val="left" w:pos="567"/>
        </w:tabs>
        <w:rPr>
          <w:rFonts w:ascii="Times New Roman" w:eastAsia="Times New Roman" w:hAnsi="Times New Roman" w:cs="Times New Roman"/>
          <w:lang w:val="sl-SI"/>
        </w:rPr>
      </w:pPr>
    </w:p>
    <w:p w14:paraId="0FBE3AA7" w14:textId="77777777" w:rsidR="0066522E" w:rsidRDefault="0066522E" w:rsidP="007811C6">
      <w:pPr>
        <w:widowControl/>
        <w:numPr>
          <w:ilvl w:val="0"/>
          <w:numId w:val="145"/>
        </w:numPr>
        <w:tabs>
          <w:tab w:val="left" w:pos="567"/>
        </w:tabs>
        <w:spacing w:line="260" w:lineRule="exact"/>
        <w:ind w:left="0" w:firstLine="0"/>
        <w:rPr>
          <w:rFonts w:ascii="Times New Roman" w:hAnsi="Times New Roman" w:cs="Times New Roman"/>
          <w:noProof/>
          <w:lang w:val="sl-SI"/>
        </w:rPr>
      </w:pPr>
      <w:r>
        <w:rPr>
          <w:rFonts w:ascii="Times New Roman" w:eastAsia="Times New Roman" w:hAnsi="Times New Roman" w:cs="Times New Roman"/>
          <w:b/>
          <w:bCs/>
          <w:noProof/>
          <w:lang w:val="sl-SI"/>
        </w:rPr>
        <w:t>IME ZDRAVILA</w:t>
      </w:r>
    </w:p>
    <w:p w14:paraId="0FDCDDAE" w14:textId="77777777" w:rsidR="0066522E" w:rsidRDefault="0066522E" w:rsidP="0066522E">
      <w:pPr>
        <w:spacing w:line="240" w:lineRule="exact"/>
        <w:rPr>
          <w:rFonts w:ascii="Times New Roman" w:hAnsi="Times New Roman" w:cs="Times New Roman"/>
          <w:lang w:val="sl-SI"/>
        </w:rPr>
      </w:pPr>
    </w:p>
    <w:p w14:paraId="27311ADA" w14:textId="177832E6" w:rsidR="0066522E" w:rsidRDefault="0066522E" w:rsidP="0066522E">
      <w:pPr>
        <w:widowControl/>
        <w:tabs>
          <w:tab w:val="left" w:pos="567"/>
        </w:tabs>
        <w:rPr>
          <w:rFonts w:ascii="Times New Roman" w:eastAsia="Times New Roman" w:hAnsi="Times New Roman" w:cs="Times New Roman"/>
          <w:lang w:val="sl-SI"/>
        </w:rPr>
      </w:pPr>
      <w:r>
        <w:rPr>
          <w:rFonts w:ascii="Times New Roman" w:eastAsia="Times New Roman" w:hAnsi="Times New Roman" w:cs="Times New Roman"/>
          <w:lang w:val="sl-SI"/>
        </w:rPr>
        <w:t xml:space="preserve">Yuflyma </w:t>
      </w:r>
      <w:r w:rsidR="00183CD7">
        <w:rPr>
          <w:rFonts w:ascii="Times New Roman" w:eastAsia="Times New Roman" w:hAnsi="Times New Roman" w:cs="Times New Roman"/>
          <w:lang w:val="sl-SI"/>
        </w:rPr>
        <w:t>20</w:t>
      </w:r>
      <w:r>
        <w:rPr>
          <w:rFonts w:ascii="Times New Roman" w:eastAsia="Times New Roman" w:hAnsi="Times New Roman" w:cs="Times New Roman"/>
          <w:lang w:val="sl-SI"/>
        </w:rPr>
        <w:t> mg raztopina za injiciranje v napolnjeni injekcijski brizgi</w:t>
      </w:r>
    </w:p>
    <w:p w14:paraId="21DFF158" w14:textId="77777777" w:rsidR="0066522E" w:rsidRDefault="0066522E" w:rsidP="0066522E">
      <w:pPr>
        <w:widowControl/>
        <w:tabs>
          <w:tab w:val="left" w:pos="567"/>
        </w:tabs>
        <w:rPr>
          <w:rFonts w:ascii="Times New Roman" w:eastAsia="Times New Roman" w:hAnsi="Times New Roman" w:cs="Times New Roman"/>
          <w:lang w:val="sl-SI"/>
        </w:rPr>
      </w:pPr>
    </w:p>
    <w:p w14:paraId="064F475F" w14:textId="77777777" w:rsidR="0066522E" w:rsidRPr="007811C6" w:rsidRDefault="0066522E" w:rsidP="0066522E">
      <w:pPr>
        <w:widowControl/>
        <w:tabs>
          <w:tab w:val="left" w:pos="567"/>
        </w:tabs>
        <w:spacing w:line="260" w:lineRule="exact"/>
        <w:rPr>
          <w:rFonts w:ascii="Times New Roman" w:eastAsia="Times New Roman" w:hAnsi="Times New Roman" w:cs="Times New Roman"/>
          <w:b/>
          <w:noProof/>
          <w:lang w:val="sl-SI"/>
        </w:rPr>
      </w:pPr>
    </w:p>
    <w:p w14:paraId="2A71AC01" w14:textId="77777777" w:rsidR="0066522E" w:rsidRDefault="0066522E" w:rsidP="007811C6">
      <w:pPr>
        <w:widowControl/>
        <w:numPr>
          <w:ilvl w:val="0"/>
          <w:numId w:val="145"/>
        </w:numPr>
        <w:tabs>
          <w:tab w:val="left" w:pos="567"/>
        </w:tabs>
        <w:spacing w:line="260" w:lineRule="exact"/>
        <w:ind w:left="0" w:firstLine="0"/>
        <w:rPr>
          <w:rFonts w:ascii="Times New Roman" w:hAnsi="Times New Roman" w:cs="Times New Roman"/>
          <w:b/>
          <w:bCs/>
          <w:spacing w:val="-1"/>
          <w:lang w:val="sl-SI"/>
        </w:rPr>
      </w:pPr>
      <w:r>
        <w:rPr>
          <w:rFonts w:ascii="Times New Roman" w:eastAsia="Times New Roman" w:hAnsi="Times New Roman" w:cs="Times New Roman"/>
          <w:b/>
          <w:bCs/>
          <w:noProof/>
          <w:lang w:val="sl-SI"/>
        </w:rPr>
        <w:t>KAKOVOSTNA IN KOLIČINSKA SESTAVA</w:t>
      </w:r>
    </w:p>
    <w:p w14:paraId="65E06772" w14:textId="77777777" w:rsidR="0066522E" w:rsidRDefault="0066522E" w:rsidP="0066522E">
      <w:pPr>
        <w:widowControl/>
        <w:tabs>
          <w:tab w:val="left" w:pos="567"/>
        </w:tabs>
        <w:rPr>
          <w:rFonts w:ascii="Times New Roman" w:eastAsia="Times New Roman" w:hAnsi="Times New Roman" w:cs="Times New Roman"/>
          <w:u w:val="single"/>
          <w:lang w:val="sl-SI"/>
        </w:rPr>
      </w:pPr>
    </w:p>
    <w:p w14:paraId="6CED6C62" w14:textId="79C0720A" w:rsidR="0066522E" w:rsidRDefault="0066522E" w:rsidP="0066522E">
      <w:pPr>
        <w:widowControl/>
        <w:tabs>
          <w:tab w:val="left" w:pos="567"/>
        </w:tabs>
        <w:rPr>
          <w:rFonts w:ascii="Times New Roman" w:eastAsia="Times New Roman" w:hAnsi="Times New Roman" w:cs="Times New Roman"/>
          <w:u w:val="single"/>
          <w:lang w:val="sl-SI"/>
        </w:rPr>
      </w:pPr>
      <w:r>
        <w:rPr>
          <w:rFonts w:ascii="Times New Roman" w:eastAsia="Times New Roman" w:hAnsi="Times New Roman" w:cs="Times New Roman"/>
          <w:u w:val="single"/>
          <w:lang w:val="sl-SI"/>
        </w:rPr>
        <w:t xml:space="preserve">Yuflyma </w:t>
      </w:r>
      <w:r w:rsidR="00183CD7">
        <w:rPr>
          <w:rFonts w:ascii="Times New Roman" w:eastAsia="Times New Roman" w:hAnsi="Times New Roman" w:cs="Times New Roman"/>
          <w:u w:val="single"/>
          <w:lang w:val="sl-SI"/>
        </w:rPr>
        <w:t>20</w:t>
      </w:r>
      <w:r>
        <w:rPr>
          <w:rFonts w:ascii="Times New Roman" w:eastAsia="Times New Roman" w:hAnsi="Times New Roman" w:cs="Times New Roman"/>
          <w:u w:val="single"/>
          <w:lang w:val="sl-SI"/>
        </w:rPr>
        <w:t> mg raztopina za injiciranje v napolnjeni injekcijski brizgi</w:t>
      </w:r>
    </w:p>
    <w:p w14:paraId="6B63E1FC" w14:textId="77777777" w:rsidR="0066522E" w:rsidRDefault="0066522E" w:rsidP="0066522E">
      <w:pPr>
        <w:widowControl/>
        <w:tabs>
          <w:tab w:val="left" w:pos="567"/>
        </w:tabs>
        <w:adjustRightInd w:val="0"/>
        <w:rPr>
          <w:rFonts w:ascii="Times New Roman" w:eastAsia="Times New Roman" w:hAnsi="Times New Roman" w:cs="Times New Roman"/>
          <w:lang w:val="sl-SI"/>
        </w:rPr>
      </w:pPr>
    </w:p>
    <w:p w14:paraId="71E18072" w14:textId="4CDCD31D" w:rsidR="0066522E" w:rsidRDefault="0066522E" w:rsidP="0066522E">
      <w:pPr>
        <w:widowControl/>
        <w:tabs>
          <w:tab w:val="left" w:pos="567"/>
        </w:tabs>
        <w:adjustRightInd w:val="0"/>
        <w:rPr>
          <w:rFonts w:ascii="Times New Roman" w:hAnsi="Times New Roman" w:cs="Times New Roman"/>
          <w:lang w:val="sl-SI"/>
        </w:rPr>
      </w:pPr>
      <w:r>
        <w:rPr>
          <w:rFonts w:ascii="Times New Roman" w:eastAsia="Times New Roman" w:hAnsi="Times New Roman" w:cs="Times New Roman"/>
          <w:lang w:val="sl-SI"/>
        </w:rPr>
        <w:t>Ena 0,</w:t>
      </w:r>
      <w:r w:rsidR="00183CD7">
        <w:rPr>
          <w:rFonts w:ascii="Times New Roman" w:eastAsia="Times New Roman" w:hAnsi="Times New Roman" w:cs="Times New Roman"/>
          <w:lang w:val="sl-SI"/>
        </w:rPr>
        <w:t>2</w:t>
      </w:r>
      <w:r>
        <w:rPr>
          <w:rFonts w:ascii="Times New Roman" w:eastAsia="Times New Roman" w:hAnsi="Times New Roman" w:cs="Times New Roman"/>
          <w:lang w:val="sl-SI"/>
        </w:rPr>
        <w:t xml:space="preserve">-mililitrska napolnjena injekcijska brizga z enkratnim odmerkom vsebuje </w:t>
      </w:r>
      <w:r w:rsidR="00183CD7">
        <w:rPr>
          <w:rFonts w:ascii="Times New Roman" w:eastAsia="Times New Roman" w:hAnsi="Times New Roman" w:cs="Times New Roman"/>
          <w:lang w:val="sl-SI"/>
        </w:rPr>
        <w:t>20</w:t>
      </w:r>
      <w:r>
        <w:rPr>
          <w:rFonts w:ascii="Times New Roman" w:eastAsia="Times New Roman" w:hAnsi="Times New Roman" w:cs="Times New Roman"/>
          <w:lang w:val="sl-SI"/>
        </w:rPr>
        <w:t> mg adalimumaba.</w:t>
      </w:r>
    </w:p>
    <w:p w14:paraId="73099803" w14:textId="77777777" w:rsidR="0066522E" w:rsidRDefault="0066522E" w:rsidP="0066522E">
      <w:pPr>
        <w:spacing w:line="240" w:lineRule="exact"/>
        <w:rPr>
          <w:rFonts w:ascii="Times New Roman" w:hAnsi="Times New Roman" w:cs="Times New Roman"/>
          <w:lang w:val="sl-SI"/>
        </w:rPr>
      </w:pPr>
    </w:p>
    <w:p w14:paraId="4D3504DB" w14:textId="77777777" w:rsidR="0066522E" w:rsidRDefault="0066522E" w:rsidP="0066522E">
      <w:pPr>
        <w:widowControl/>
        <w:tabs>
          <w:tab w:val="left" w:pos="567"/>
        </w:tabs>
        <w:adjustRightInd w:val="0"/>
        <w:rPr>
          <w:rFonts w:ascii="Times New Roman" w:eastAsia="Times New Roman" w:hAnsi="Times New Roman" w:cs="Times New Roman"/>
          <w:lang w:val="sl-SI"/>
        </w:rPr>
      </w:pPr>
      <w:r>
        <w:rPr>
          <w:rFonts w:ascii="Times New Roman" w:eastAsia="Times New Roman" w:hAnsi="Times New Roman" w:cs="Times New Roman"/>
          <w:lang w:val="sl-SI"/>
        </w:rPr>
        <w:t>Adalimumab je rekombinantno humano monoklonsko protitelo, pridobljeno v celicah jajčnika kitajskega hrčka.</w:t>
      </w:r>
    </w:p>
    <w:p w14:paraId="060823E6" w14:textId="77777777" w:rsidR="0066522E" w:rsidRDefault="0066522E" w:rsidP="0066522E">
      <w:pPr>
        <w:widowControl/>
        <w:tabs>
          <w:tab w:val="left" w:pos="567"/>
        </w:tabs>
        <w:adjustRightInd w:val="0"/>
        <w:rPr>
          <w:rFonts w:ascii="Times New Roman" w:eastAsia="Times New Roman" w:hAnsi="Times New Roman" w:cs="Times New Roman"/>
          <w:lang w:val="sl-SI"/>
        </w:rPr>
      </w:pPr>
    </w:p>
    <w:p w14:paraId="0155D5F9" w14:textId="77777777" w:rsidR="0066522E" w:rsidRDefault="0066522E" w:rsidP="0066522E">
      <w:pPr>
        <w:widowControl/>
        <w:tabs>
          <w:tab w:val="left" w:pos="567"/>
        </w:tabs>
        <w:adjustRightInd w:val="0"/>
        <w:rPr>
          <w:rFonts w:ascii="Times New Roman" w:eastAsia="Times New Roman" w:hAnsi="Times New Roman" w:cs="Times New Roman"/>
          <w:lang w:val="sl-SI"/>
        </w:rPr>
      </w:pPr>
      <w:r>
        <w:rPr>
          <w:rFonts w:ascii="Times New Roman" w:eastAsia="Times New Roman" w:hAnsi="Times New Roman" w:cs="Times New Roman"/>
          <w:lang w:val="sl-SI"/>
        </w:rPr>
        <w:t>Za celoten seznam pomožnih snovi glejte poglavje 6.1.</w:t>
      </w:r>
    </w:p>
    <w:p w14:paraId="54FE5366" w14:textId="77777777" w:rsidR="0066522E" w:rsidRDefault="0066522E" w:rsidP="0066522E">
      <w:pPr>
        <w:spacing w:line="260" w:lineRule="exact"/>
        <w:rPr>
          <w:rFonts w:ascii="Times New Roman" w:hAnsi="Times New Roman" w:cs="Times New Roman"/>
          <w:lang w:val="sl-SI"/>
        </w:rPr>
      </w:pPr>
    </w:p>
    <w:p w14:paraId="3BD254C3" w14:textId="77777777" w:rsidR="0066522E" w:rsidRDefault="0066522E" w:rsidP="0066522E">
      <w:pPr>
        <w:spacing w:line="260" w:lineRule="exact"/>
        <w:rPr>
          <w:rFonts w:ascii="Times New Roman" w:hAnsi="Times New Roman" w:cs="Times New Roman"/>
          <w:lang w:val="sl-SI"/>
        </w:rPr>
      </w:pPr>
    </w:p>
    <w:p w14:paraId="0F0A8094" w14:textId="77777777" w:rsidR="0066522E" w:rsidRDefault="0066522E" w:rsidP="007811C6">
      <w:pPr>
        <w:widowControl/>
        <w:numPr>
          <w:ilvl w:val="0"/>
          <w:numId w:val="145"/>
        </w:numPr>
        <w:tabs>
          <w:tab w:val="left" w:pos="567"/>
        </w:tabs>
        <w:spacing w:line="260" w:lineRule="exact"/>
        <w:ind w:left="0" w:firstLine="0"/>
        <w:rPr>
          <w:rFonts w:ascii="Times New Roman" w:hAnsi="Times New Roman" w:cs="Times New Roman"/>
          <w:b/>
          <w:spacing w:val="-1"/>
          <w:lang w:val="sl-SI"/>
        </w:rPr>
      </w:pPr>
      <w:r>
        <w:rPr>
          <w:rFonts w:ascii="Times New Roman" w:eastAsia="Times New Roman" w:hAnsi="Times New Roman" w:cs="Times New Roman"/>
          <w:b/>
          <w:bCs/>
          <w:noProof/>
          <w:lang w:val="sl-SI"/>
        </w:rPr>
        <w:t>FARMACEVTSKA OBLIKA</w:t>
      </w:r>
    </w:p>
    <w:p w14:paraId="20F36909" w14:textId="77777777" w:rsidR="0066522E" w:rsidRDefault="0066522E" w:rsidP="0066522E">
      <w:pPr>
        <w:spacing w:line="240" w:lineRule="exact"/>
        <w:rPr>
          <w:rFonts w:ascii="Times New Roman" w:hAnsi="Times New Roman" w:cs="Times New Roman"/>
          <w:lang w:val="sl-SI"/>
        </w:rPr>
      </w:pPr>
    </w:p>
    <w:p w14:paraId="35114BBF" w14:textId="77777777" w:rsidR="0066522E" w:rsidRDefault="0066522E" w:rsidP="0066522E">
      <w:pPr>
        <w:widowControl/>
        <w:tabs>
          <w:tab w:val="left" w:pos="567"/>
        </w:tabs>
        <w:adjustRightInd w:val="0"/>
        <w:rPr>
          <w:rFonts w:ascii="Times New Roman" w:eastAsia="Times New Roman" w:hAnsi="Times New Roman" w:cs="Times New Roman"/>
          <w:lang w:val="sl-SI"/>
        </w:rPr>
      </w:pPr>
      <w:r>
        <w:rPr>
          <w:rFonts w:ascii="Times New Roman" w:eastAsia="Times New Roman" w:hAnsi="Times New Roman" w:cs="Times New Roman"/>
          <w:lang w:val="sl-SI"/>
        </w:rPr>
        <w:t xml:space="preserve">raztopina za injiciranje (injekcija) </w:t>
      </w:r>
    </w:p>
    <w:p w14:paraId="7393B12E" w14:textId="77777777" w:rsidR="0066522E" w:rsidRDefault="0066522E" w:rsidP="0066522E">
      <w:pPr>
        <w:widowControl/>
        <w:tabs>
          <w:tab w:val="left" w:pos="567"/>
        </w:tabs>
        <w:adjustRightInd w:val="0"/>
        <w:rPr>
          <w:rFonts w:ascii="Times New Roman" w:eastAsia="Times New Roman" w:hAnsi="Times New Roman" w:cs="Times New Roman"/>
          <w:lang w:val="sl-SI"/>
        </w:rPr>
      </w:pPr>
    </w:p>
    <w:p w14:paraId="040126E7" w14:textId="77777777" w:rsidR="0066522E" w:rsidRDefault="0066522E" w:rsidP="0066522E">
      <w:pPr>
        <w:widowControl/>
        <w:tabs>
          <w:tab w:val="left" w:pos="567"/>
        </w:tabs>
        <w:adjustRightInd w:val="0"/>
        <w:rPr>
          <w:rFonts w:ascii="Times New Roman" w:eastAsia="Times New Roman" w:hAnsi="Times New Roman" w:cs="Times New Roman"/>
          <w:lang w:val="sl-SI"/>
        </w:rPr>
      </w:pPr>
      <w:r>
        <w:rPr>
          <w:rFonts w:ascii="Times New Roman" w:eastAsia="Times New Roman" w:hAnsi="Times New Roman" w:cs="Times New Roman"/>
          <w:lang w:val="sl-SI"/>
        </w:rPr>
        <w:t>Bistra do rahlo motna, brezbarvna do bledo rjavkasta raztopina.</w:t>
      </w:r>
    </w:p>
    <w:p w14:paraId="3B3E22B1" w14:textId="77777777" w:rsidR="0066522E" w:rsidRDefault="0066522E" w:rsidP="0066522E">
      <w:pPr>
        <w:spacing w:line="260" w:lineRule="exact"/>
        <w:rPr>
          <w:rFonts w:ascii="Times New Roman" w:hAnsi="Times New Roman" w:cs="Times New Roman"/>
          <w:lang w:val="sl-SI"/>
        </w:rPr>
      </w:pPr>
    </w:p>
    <w:p w14:paraId="59C5B1AC" w14:textId="77777777" w:rsidR="0066522E" w:rsidRDefault="0066522E" w:rsidP="0066522E">
      <w:pPr>
        <w:spacing w:line="260" w:lineRule="exact"/>
        <w:rPr>
          <w:rFonts w:ascii="Times New Roman" w:hAnsi="Times New Roman" w:cs="Times New Roman"/>
          <w:lang w:val="sl-SI"/>
        </w:rPr>
      </w:pPr>
    </w:p>
    <w:p w14:paraId="103DF75E" w14:textId="77777777" w:rsidR="0066522E" w:rsidRDefault="0066522E" w:rsidP="007811C6">
      <w:pPr>
        <w:widowControl/>
        <w:numPr>
          <w:ilvl w:val="0"/>
          <w:numId w:val="145"/>
        </w:numPr>
        <w:tabs>
          <w:tab w:val="left" w:pos="567"/>
        </w:tabs>
        <w:spacing w:line="260" w:lineRule="exact"/>
        <w:ind w:left="0" w:firstLine="0"/>
        <w:rPr>
          <w:rFonts w:ascii="Times New Roman" w:hAnsi="Times New Roman" w:cs="Times New Roman"/>
          <w:b/>
          <w:spacing w:val="-1"/>
          <w:lang w:val="sl-SI"/>
        </w:rPr>
      </w:pPr>
      <w:r>
        <w:rPr>
          <w:rFonts w:ascii="Times New Roman" w:eastAsia="Times New Roman" w:hAnsi="Times New Roman" w:cs="Times New Roman"/>
          <w:b/>
          <w:bCs/>
          <w:noProof/>
          <w:lang w:val="sl-SI"/>
        </w:rPr>
        <w:t>KLINIČNI PODATKI</w:t>
      </w:r>
    </w:p>
    <w:p w14:paraId="3447897F" w14:textId="77777777" w:rsidR="0066522E" w:rsidRDefault="0066522E" w:rsidP="0066522E">
      <w:pPr>
        <w:pStyle w:val="a4"/>
        <w:tabs>
          <w:tab w:val="left" w:pos="672"/>
        </w:tabs>
        <w:rPr>
          <w:rFonts w:ascii="Times New Roman" w:eastAsia="Times New Roman" w:hAnsi="Times New Roman" w:cs="Times New Roman"/>
          <w:b/>
          <w:noProof/>
          <w:lang w:val="sl-SI"/>
        </w:rPr>
      </w:pPr>
    </w:p>
    <w:p w14:paraId="37729764" w14:textId="77777777" w:rsidR="0066522E" w:rsidRDefault="0066522E" w:rsidP="007811C6">
      <w:pPr>
        <w:widowControl/>
        <w:numPr>
          <w:ilvl w:val="1"/>
          <w:numId w:val="146"/>
        </w:numPr>
        <w:tabs>
          <w:tab w:val="left" w:pos="567"/>
        </w:tabs>
        <w:spacing w:line="260" w:lineRule="exact"/>
        <w:ind w:firstLine="0"/>
        <w:rPr>
          <w:rFonts w:ascii="Times New Roman" w:eastAsia="Times New Roman" w:hAnsi="Times New Roman" w:cs="Times New Roman"/>
          <w:lang w:val="sl-SI"/>
        </w:rPr>
      </w:pPr>
      <w:r>
        <w:rPr>
          <w:rFonts w:ascii="Times New Roman" w:eastAsia="Times New Roman" w:hAnsi="Times New Roman" w:cs="Times New Roman"/>
          <w:b/>
          <w:bCs/>
          <w:noProof/>
          <w:lang w:val="sl-SI"/>
        </w:rPr>
        <w:t>Terapevtske indikacije</w:t>
      </w:r>
    </w:p>
    <w:p w14:paraId="4226B164" w14:textId="77777777" w:rsidR="0066522E" w:rsidRDefault="0066522E" w:rsidP="0066522E">
      <w:pPr>
        <w:spacing w:line="240" w:lineRule="exact"/>
        <w:rPr>
          <w:rFonts w:ascii="Times New Roman" w:hAnsi="Times New Roman" w:cs="Times New Roman"/>
          <w:lang w:val="sl-SI"/>
        </w:rPr>
      </w:pPr>
    </w:p>
    <w:p w14:paraId="3C470317" w14:textId="77777777" w:rsidR="0066522E" w:rsidRDefault="0066522E" w:rsidP="0066522E">
      <w:pPr>
        <w:pStyle w:val="a3"/>
        <w:rPr>
          <w:u w:val="single" w:color="000000"/>
          <w:lang w:val="sl-SI"/>
        </w:rPr>
      </w:pPr>
      <w:r>
        <w:rPr>
          <w:rFonts w:eastAsia="Times New Roman"/>
          <w:u w:val="single" w:color="000000"/>
          <w:lang w:val="sl-SI"/>
        </w:rPr>
        <w:t>Juvenilni idiopatski artritis</w:t>
      </w:r>
    </w:p>
    <w:p w14:paraId="0B4E57F5" w14:textId="77777777" w:rsidR="0066522E" w:rsidRDefault="0066522E" w:rsidP="0066522E">
      <w:pPr>
        <w:spacing w:line="180" w:lineRule="exact"/>
        <w:rPr>
          <w:rFonts w:ascii="Times New Roman" w:hAnsi="Times New Roman" w:cs="Times New Roman"/>
          <w:lang w:val="sl-SI"/>
        </w:rPr>
      </w:pPr>
    </w:p>
    <w:p w14:paraId="57911A3C" w14:textId="77777777" w:rsidR="0066522E" w:rsidRDefault="0066522E" w:rsidP="0066522E">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Poliartikularni juvenilni idiopatski artritis</w:t>
      </w:r>
    </w:p>
    <w:p w14:paraId="74A84D87" w14:textId="77777777" w:rsidR="0066522E" w:rsidRDefault="0066522E" w:rsidP="0066522E">
      <w:pPr>
        <w:spacing w:line="240" w:lineRule="exact"/>
        <w:rPr>
          <w:rFonts w:ascii="Times New Roman" w:hAnsi="Times New Roman" w:cs="Times New Roman"/>
          <w:lang w:val="sl-SI"/>
        </w:rPr>
      </w:pPr>
    </w:p>
    <w:p w14:paraId="77B33D29" w14:textId="77777777" w:rsidR="0066522E" w:rsidRDefault="0066522E" w:rsidP="0066522E">
      <w:pPr>
        <w:pStyle w:val="a3"/>
        <w:rPr>
          <w:lang w:val="sl-SI"/>
        </w:rPr>
      </w:pPr>
      <w:r>
        <w:rPr>
          <w:rFonts w:eastAsia="Times New Roman"/>
          <w:lang w:val="sl-SI"/>
        </w:rPr>
        <w:t>Zdravilo Yuflyma je v kombinaciji z metotreksatom indicirano za zdravljenje aktivnega poliartikularnega juvenilnega idiopatskega artritisa pri bolnikih, starih 2 leti ali več, ki se ne odzovejo ustrezno na eno ali več imunomodulirajočih antirevmatičnih zdravil (DMARDs – disease-modifying anti-rheumatic drugs). Zdravilo Yuflyma se lahko daje kot monoterapija v primeru intolerance za metotreksat ali kadar je nadaljnje zdravljenje z metotreksatom neprimerno (za učinkovitost monoterapije glejte poglavje 5.1). Študije z adalimumabom pri bolnikih, mlajših od 2 let, niso bile izvedene.</w:t>
      </w:r>
    </w:p>
    <w:p w14:paraId="323E3752" w14:textId="77777777" w:rsidR="0066522E" w:rsidRPr="00F50A7D" w:rsidRDefault="0066522E" w:rsidP="0066522E">
      <w:pPr>
        <w:spacing w:line="240" w:lineRule="exact"/>
        <w:rPr>
          <w:rFonts w:ascii="Times New Roman" w:hAnsi="Times New Roman" w:cs="Times New Roman"/>
          <w:lang w:val="sl-SI"/>
        </w:rPr>
      </w:pPr>
    </w:p>
    <w:p w14:paraId="17DD0E26" w14:textId="77777777" w:rsidR="0066522E" w:rsidRDefault="0066522E" w:rsidP="0066522E">
      <w:pPr>
        <w:rPr>
          <w:rFonts w:ascii="Times New Roman" w:eastAsia="Times New Roman" w:hAnsi="Times New Roman" w:cs="Times New Roman"/>
          <w:lang w:val="sl-SI"/>
        </w:rPr>
      </w:pPr>
      <w:r>
        <w:rPr>
          <w:rFonts w:ascii="Times New Roman" w:eastAsia="Times New Roman" w:hAnsi="Times New Roman" w:cs="Times New Roman"/>
          <w:i/>
          <w:iCs/>
          <w:lang w:val="sl-SI"/>
        </w:rPr>
        <w:t>Artritis, povezan z entezitisom</w:t>
      </w:r>
    </w:p>
    <w:p w14:paraId="1674749D" w14:textId="77777777" w:rsidR="0066522E" w:rsidRDefault="0066522E" w:rsidP="0066522E">
      <w:pPr>
        <w:spacing w:line="240" w:lineRule="exact"/>
        <w:rPr>
          <w:rFonts w:ascii="Times New Roman" w:hAnsi="Times New Roman" w:cs="Times New Roman"/>
          <w:lang w:val="sl-SI"/>
        </w:rPr>
      </w:pPr>
    </w:p>
    <w:p w14:paraId="0CAA7657" w14:textId="77777777" w:rsidR="0066522E" w:rsidRDefault="0066522E" w:rsidP="0066522E">
      <w:pPr>
        <w:pStyle w:val="a3"/>
        <w:rPr>
          <w:lang w:val="sl-SI"/>
        </w:rPr>
      </w:pPr>
      <w:r>
        <w:rPr>
          <w:rFonts w:eastAsia="Times New Roman"/>
          <w:lang w:val="sl-SI"/>
        </w:rPr>
        <w:t>Zdravilo Yuflyma je indicirano za zdravljenje aktivnega artritisa, povezanega z entezitisom, pri bolnikih, starih 6 let in več, ki so se neustrezno odzvali ali so intolerantni za običajno zdravljenje (glejte poglavje 5.1).</w:t>
      </w:r>
    </w:p>
    <w:p w14:paraId="028AB024" w14:textId="77777777" w:rsidR="0066522E" w:rsidRDefault="0066522E" w:rsidP="0066522E">
      <w:pPr>
        <w:spacing w:line="240" w:lineRule="exact"/>
        <w:rPr>
          <w:rFonts w:ascii="Times New Roman" w:hAnsi="Times New Roman" w:cs="Times New Roman"/>
          <w:lang w:val="sl-SI"/>
        </w:rPr>
      </w:pPr>
    </w:p>
    <w:p w14:paraId="626BEF43" w14:textId="77777777" w:rsidR="0066522E" w:rsidRDefault="0066522E" w:rsidP="0066522E">
      <w:pPr>
        <w:pStyle w:val="a3"/>
        <w:rPr>
          <w:u w:val="single"/>
          <w:lang w:val="sl-SI"/>
        </w:rPr>
      </w:pPr>
      <w:r>
        <w:rPr>
          <w:rFonts w:eastAsia="Times New Roman"/>
          <w:u w:val="single" w:color="000000"/>
          <w:lang w:val="sl-SI"/>
        </w:rPr>
        <w:t>Psoriaza v plakih pri pediatričnih bolnikih</w:t>
      </w:r>
    </w:p>
    <w:p w14:paraId="61C6D2D3" w14:textId="77777777" w:rsidR="0066522E" w:rsidRDefault="0066522E" w:rsidP="0066522E">
      <w:pPr>
        <w:spacing w:line="180" w:lineRule="exact"/>
        <w:rPr>
          <w:rFonts w:ascii="Times New Roman" w:hAnsi="Times New Roman" w:cs="Times New Roman"/>
          <w:lang w:val="sl-SI"/>
        </w:rPr>
      </w:pPr>
    </w:p>
    <w:p w14:paraId="2392E1AA" w14:textId="77777777" w:rsidR="0066522E" w:rsidRDefault="0066522E" w:rsidP="0066522E">
      <w:pPr>
        <w:pStyle w:val="a3"/>
        <w:rPr>
          <w:lang w:val="sl-SI"/>
        </w:rPr>
      </w:pPr>
      <w:r>
        <w:rPr>
          <w:rFonts w:eastAsia="Times New Roman"/>
          <w:lang w:val="sl-SI"/>
        </w:rPr>
        <w:t>Zdravilo Yuflyma je indicirano za zdravljenje hude kronične psoriaze v plakih pri otrocih in mladostnikih, starih 4 leta in več, ki so se neustrezno odzvali na ali niso ustrezni kandidati za topikalno zdravljenje in fototerapije.</w:t>
      </w:r>
    </w:p>
    <w:p w14:paraId="54E7F7A5" w14:textId="77777777" w:rsidR="0066522E" w:rsidRDefault="0066522E" w:rsidP="0066522E">
      <w:pPr>
        <w:spacing w:line="240" w:lineRule="exact"/>
        <w:rPr>
          <w:rFonts w:ascii="Times New Roman" w:hAnsi="Times New Roman" w:cs="Times New Roman"/>
          <w:lang w:val="sl-SI"/>
        </w:rPr>
      </w:pPr>
    </w:p>
    <w:p w14:paraId="02B62CF2" w14:textId="77777777" w:rsidR="0066522E" w:rsidRDefault="0066522E" w:rsidP="0066522E">
      <w:pPr>
        <w:pStyle w:val="a3"/>
        <w:rPr>
          <w:u w:val="single"/>
          <w:lang w:val="sl-SI"/>
        </w:rPr>
      </w:pPr>
      <w:r>
        <w:rPr>
          <w:rFonts w:eastAsia="Times New Roman"/>
          <w:u w:val="single" w:color="000000"/>
          <w:lang w:val="sl-SI"/>
        </w:rPr>
        <w:lastRenderedPageBreak/>
        <w:t>Crohnova bolezen pri pediatričnih bolnikih</w:t>
      </w:r>
    </w:p>
    <w:p w14:paraId="21E6F770" w14:textId="77777777" w:rsidR="0066522E" w:rsidRDefault="0066522E" w:rsidP="0066522E">
      <w:pPr>
        <w:spacing w:line="170" w:lineRule="exact"/>
        <w:rPr>
          <w:rFonts w:ascii="Times New Roman" w:hAnsi="Times New Roman" w:cs="Times New Roman"/>
          <w:lang w:val="sl-SI"/>
        </w:rPr>
      </w:pPr>
    </w:p>
    <w:p w14:paraId="34AF4E05" w14:textId="77777777" w:rsidR="0066522E" w:rsidRDefault="0066522E" w:rsidP="0066522E">
      <w:pPr>
        <w:pStyle w:val="a3"/>
        <w:rPr>
          <w:lang w:val="sl-SI"/>
        </w:rPr>
      </w:pPr>
      <w:r>
        <w:rPr>
          <w:rFonts w:eastAsia="Times New Roman"/>
          <w:lang w:val="sl-SI"/>
        </w:rPr>
        <w:t>Zdravilo Yuflyma je indicirano za zdravljenje zmerno do hudo aktivne Crohnove bolezni pri pediatričnih bolnikih (od 6. leta naprej), ki so se na običajno zdravljenje odzvali nezadostno, vključno s primarnim prehranskim zdravljenjem, kortikosteroidi in/ali imunomodulatorjem, ali ki takšnih zdravljenj ne prenašajo ali imajo kontraindikacije zanj.</w:t>
      </w:r>
    </w:p>
    <w:p w14:paraId="4450E77D" w14:textId="77777777" w:rsidR="0066522E" w:rsidRDefault="0066522E" w:rsidP="0066522E">
      <w:pPr>
        <w:spacing w:line="240" w:lineRule="exact"/>
        <w:rPr>
          <w:rFonts w:ascii="Times New Roman" w:hAnsi="Times New Roman" w:cs="Times New Roman"/>
          <w:lang w:val="sl-SI"/>
        </w:rPr>
      </w:pPr>
    </w:p>
    <w:p w14:paraId="25564BF1" w14:textId="77777777" w:rsidR="0066522E" w:rsidRDefault="0066522E" w:rsidP="0066522E">
      <w:pPr>
        <w:pStyle w:val="a3"/>
        <w:rPr>
          <w:u w:val="single"/>
          <w:lang w:val="sl-SI"/>
        </w:rPr>
      </w:pPr>
      <w:r>
        <w:rPr>
          <w:rFonts w:eastAsia="Times New Roman"/>
          <w:u w:val="single" w:color="000000"/>
          <w:lang w:val="sl-SI"/>
        </w:rPr>
        <w:t>Uveitis pri pediatričnih bolnikih</w:t>
      </w:r>
    </w:p>
    <w:p w14:paraId="7AAC2228" w14:textId="77777777" w:rsidR="0066522E" w:rsidRDefault="0066522E" w:rsidP="0066522E">
      <w:pPr>
        <w:spacing w:line="180" w:lineRule="exact"/>
        <w:rPr>
          <w:rFonts w:ascii="Times New Roman" w:hAnsi="Times New Roman" w:cs="Times New Roman"/>
          <w:lang w:val="sl-SI"/>
        </w:rPr>
      </w:pPr>
    </w:p>
    <w:p w14:paraId="38A74EEB" w14:textId="77777777" w:rsidR="0066522E" w:rsidRDefault="0066522E" w:rsidP="0066522E">
      <w:pPr>
        <w:pStyle w:val="a3"/>
        <w:rPr>
          <w:lang w:val="sl-SI"/>
        </w:rPr>
      </w:pPr>
      <w:r>
        <w:rPr>
          <w:rFonts w:eastAsia="Times New Roman"/>
          <w:lang w:val="sl-SI"/>
        </w:rPr>
        <w:t>Zdravilo Yuflyma je indicirano za zdravljenje pediatričnega kroničnega neinfekcijskega anteriornega uveitisa pri bolnikih, starih 2 leti ali več, ki se na običajno zdravljenje ne odzivajo ustrezno ali ga ne prenašajo ali pri katerih običajno zdravljenje ni primerno.</w:t>
      </w:r>
    </w:p>
    <w:p w14:paraId="058B66EA" w14:textId="77777777" w:rsidR="0066522E" w:rsidRDefault="0066522E" w:rsidP="0066522E">
      <w:pPr>
        <w:spacing w:before="15" w:line="240" w:lineRule="exact"/>
        <w:rPr>
          <w:rFonts w:ascii="Times New Roman" w:hAnsi="Times New Roman" w:cs="Times New Roman"/>
          <w:lang w:val="sl-SI"/>
        </w:rPr>
      </w:pPr>
    </w:p>
    <w:p w14:paraId="4FF7D4CE" w14:textId="77777777" w:rsidR="0066522E" w:rsidRDefault="0066522E" w:rsidP="007811C6">
      <w:pPr>
        <w:widowControl/>
        <w:numPr>
          <w:ilvl w:val="1"/>
          <w:numId w:val="146"/>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Odmerjanje in način uporabe</w:t>
      </w:r>
    </w:p>
    <w:p w14:paraId="71ABCCB5" w14:textId="77777777" w:rsidR="0066522E" w:rsidRDefault="0066522E" w:rsidP="0066522E">
      <w:pPr>
        <w:spacing w:before="9" w:line="240" w:lineRule="exact"/>
        <w:rPr>
          <w:rFonts w:ascii="Times New Roman" w:hAnsi="Times New Roman" w:cs="Times New Roman"/>
          <w:lang w:val="sl-SI"/>
        </w:rPr>
      </w:pPr>
    </w:p>
    <w:p w14:paraId="66D92ED7" w14:textId="77777777" w:rsidR="0066522E" w:rsidRDefault="0066522E" w:rsidP="0066522E">
      <w:pPr>
        <w:pStyle w:val="a3"/>
        <w:rPr>
          <w:lang w:val="sl-SI"/>
        </w:rPr>
      </w:pPr>
      <w:r>
        <w:rPr>
          <w:rFonts w:eastAsia="Times New Roman"/>
          <w:lang w:val="sl-SI"/>
        </w:rPr>
        <w:t>Zdravljenje z zdravilom Yuflyma mora uvesti in nadzorovati zdravnik specialist, ki ima izkušnje z diagnosticiranjem in zdravljenjem bolezni, za katere je zdravilo Yuflyma indicirano. Oftalmologom svetujemo, da se pred začetkom zdravljenja z zdravilom Yuflyma posvetujejo z ustreznim specialistom (glejte poglavje 4.4). Bolnikom, ki se zdravijo z zdravilom Yuflyma, morajo dobiti opozorilno kartico za bolnika.</w:t>
      </w:r>
    </w:p>
    <w:p w14:paraId="34E6EE4F" w14:textId="77777777" w:rsidR="0066522E" w:rsidRDefault="0066522E" w:rsidP="0066522E">
      <w:pPr>
        <w:spacing w:line="240" w:lineRule="exact"/>
        <w:rPr>
          <w:rFonts w:ascii="Times New Roman" w:hAnsi="Times New Roman" w:cs="Times New Roman"/>
          <w:lang w:val="sl-SI"/>
        </w:rPr>
      </w:pPr>
    </w:p>
    <w:p w14:paraId="1A511E60" w14:textId="77777777" w:rsidR="0066522E" w:rsidRDefault="0066522E" w:rsidP="0066522E">
      <w:pPr>
        <w:pStyle w:val="a3"/>
        <w:rPr>
          <w:lang w:val="sl-SI"/>
        </w:rPr>
      </w:pPr>
      <w:r>
        <w:rPr>
          <w:rFonts w:eastAsia="Times New Roman"/>
          <w:lang w:val="sl-SI"/>
        </w:rPr>
        <w:t>Po ustreznem usposabljanju v tehniki injiciranja si lahko bolniki zdravilo Yuflyma injicirajo sami, če njihov zdravnik presodi, da je to primerno, in je zagotovljeno ustrezno zdravstveno spremljanje, če je potrebno.</w:t>
      </w:r>
    </w:p>
    <w:p w14:paraId="3506FBE7" w14:textId="77777777" w:rsidR="0066522E" w:rsidRDefault="0066522E" w:rsidP="0066522E">
      <w:pPr>
        <w:spacing w:line="240" w:lineRule="exact"/>
        <w:rPr>
          <w:rFonts w:ascii="Times New Roman" w:hAnsi="Times New Roman" w:cs="Times New Roman"/>
          <w:lang w:val="sl-SI"/>
        </w:rPr>
      </w:pPr>
    </w:p>
    <w:p w14:paraId="67FA9B24" w14:textId="77777777" w:rsidR="0066522E" w:rsidRDefault="0066522E" w:rsidP="0066522E">
      <w:pPr>
        <w:pStyle w:val="a3"/>
        <w:rPr>
          <w:lang w:val="sl-SI"/>
        </w:rPr>
      </w:pPr>
      <w:r>
        <w:rPr>
          <w:rFonts w:eastAsia="Times New Roman"/>
          <w:lang w:val="sl-SI"/>
        </w:rPr>
        <w:t>Med zdravljenjem z zdravilom Yuflyma je treba optimizirati druga sočasna zdravljenja (npr. kortikosteroide in/ali imunomodulacijske učinkovine).</w:t>
      </w:r>
    </w:p>
    <w:p w14:paraId="141EA632" w14:textId="77777777" w:rsidR="0066522E" w:rsidRPr="00F50A7D" w:rsidRDefault="0066522E" w:rsidP="0066522E">
      <w:pPr>
        <w:pStyle w:val="a3"/>
        <w:rPr>
          <w:lang w:val="sl-SI"/>
        </w:rPr>
      </w:pPr>
    </w:p>
    <w:p w14:paraId="76D32BFA" w14:textId="77777777" w:rsidR="0066522E" w:rsidRDefault="0066522E" w:rsidP="0066522E">
      <w:pPr>
        <w:pStyle w:val="a3"/>
        <w:rPr>
          <w:u w:val="single"/>
          <w:lang w:val="sl-SI"/>
        </w:rPr>
      </w:pPr>
      <w:r>
        <w:rPr>
          <w:rFonts w:eastAsia="Times New Roman"/>
          <w:u w:val="single" w:color="000000"/>
          <w:lang w:val="sl-SI"/>
        </w:rPr>
        <w:t>Odmerjanje</w:t>
      </w:r>
    </w:p>
    <w:p w14:paraId="75736280" w14:textId="77777777" w:rsidR="0066522E" w:rsidRDefault="0066522E" w:rsidP="0066522E">
      <w:pPr>
        <w:pStyle w:val="a3"/>
        <w:rPr>
          <w:lang w:val="sl-SI"/>
        </w:rPr>
      </w:pPr>
    </w:p>
    <w:p w14:paraId="6696D1FE" w14:textId="77777777" w:rsidR="0066522E" w:rsidRPr="00816D87" w:rsidRDefault="0066522E" w:rsidP="0066522E">
      <w:pPr>
        <w:pStyle w:val="a3"/>
        <w:rPr>
          <w:i/>
          <w:lang w:val="sl-SI"/>
        </w:rPr>
      </w:pPr>
      <w:r w:rsidRPr="00816D87">
        <w:rPr>
          <w:rFonts w:eastAsia="Times New Roman"/>
          <w:i/>
          <w:iCs/>
          <w:lang w:val="sl-SI"/>
        </w:rPr>
        <w:t>Pediatrična populacija</w:t>
      </w:r>
    </w:p>
    <w:p w14:paraId="4302E31A" w14:textId="77777777" w:rsidR="0066522E" w:rsidRPr="00816D87" w:rsidRDefault="0066522E" w:rsidP="0066522E">
      <w:pPr>
        <w:pStyle w:val="a3"/>
        <w:rPr>
          <w:i/>
          <w:lang w:val="sl-SI"/>
        </w:rPr>
      </w:pPr>
    </w:p>
    <w:p w14:paraId="15E3379D" w14:textId="77777777" w:rsidR="0066522E" w:rsidRDefault="0066522E" w:rsidP="0066522E">
      <w:pPr>
        <w:spacing w:line="480" w:lineRule="auto"/>
        <w:rPr>
          <w:rFonts w:ascii="Times New Roman" w:eastAsia="Times New Roman" w:hAnsi="Times New Roman" w:cs="Times New Roman"/>
          <w:i/>
          <w:spacing w:val="-1"/>
          <w:lang w:val="sl-SI"/>
        </w:rPr>
      </w:pPr>
      <w:r>
        <w:rPr>
          <w:rFonts w:ascii="Times New Roman" w:eastAsia="Times New Roman" w:hAnsi="Times New Roman" w:cs="Times New Roman"/>
          <w:i/>
          <w:iCs/>
          <w:spacing w:val="-1"/>
          <w:lang w:val="sl-SI"/>
        </w:rPr>
        <w:t>Juvenilni idiopatski artritis</w:t>
      </w:r>
    </w:p>
    <w:p w14:paraId="48D9336A" w14:textId="77777777" w:rsidR="0066522E" w:rsidRDefault="0066522E" w:rsidP="0066522E">
      <w:pPr>
        <w:spacing w:line="480" w:lineRule="auto"/>
        <w:rPr>
          <w:rFonts w:ascii="Times New Roman" w:eastAsia="Times New Roman" w:hAnsi="Times New Roman" w:cs="Times New Roman"/>
          <w:lang w:val="sl-SI"/>
        </w:rPr>
      </w:pPr>
      <w:r>
        <w:rPr>
          <w:rFonts w:ascii="Times New Roman" w:eastAsia="Times New Roman" w:hAnsi="Times New Roman" w:cs="Times New Roman"/>
          <w:i/>
          <w:iCs/>
          <w:spacing w:val="-1"/>
          <w:u w:val="single" w:color="000000"/>
          <w:lang w:val="sl-SI"/>
        </w:rPr>
        <w:t>Poliartikularni juvenilni idiopatični artritis od 2. leta starosti</w:t>
      </w:r>
    </w:p>
    <w:p w14:paraId="4F9637E2" w14:textId="77777777" w:rsidR="0066522E" w:rsidRDefault="0066522E" w:rsidP="0066522E">
      <w:pPr>
        <w:pStyle w:val="a3"/>
        <w:rPr>
          <w:lang w:val="sl-SI"/>
        </w:rPr>
      </w:pPr>
      <w:r>
        <w:rPr>
          <w:rFonts w:eastAsia="Times New Roman"/>
          <w:lang w:val="sl-SI"/>
        </w:rPr>
        <w:t>Priporočeni odmerek zdravila Yuflyma pri bolnikih s poliartikularnim juvenilnim idiopatičnim artritisom, starih 2 leti ali več, je odvisen od telesne mase (preglednica 1). Zdravilo Yuflyma se daje vsak drugi teden s subkutanim injiciranjem.</w:t>
      </w:r>
    </w:p>
    <w:p w14:paraId="50EAB2CA" w14:textId="77777777" w:rsidR="0066522E" w:rsidRDefault="0066522E" w:rsidP="0066522E">
      <w:pPr>
        <w:pStyle w:val="a3"/>
        <w:rPr>
          <w:lang w:val="sl-SI"/>
        </w:rPr>
      </w:pPr>
    </w:p>
    <w:p w14:paraId="56D9D97B" w14:textId="77777777" w:rsidR="0066522E" w:rsidRDefault="0066522E" w:rsidP="0066522E">
      <w:pPr>
        <w:pStyle w:val="a3"/>
        <w:jc w:val="center"/>
        <w:rPr>
          <w:b/>
          <w:lang w:val="sl-SI"/>
        </w:rPr>
      </w:pPr>
      <w:r>
        <w:rPr>
          <w:rFonts w:eastAsia="Times New Roman"/>
          <w:b/>
          <w:bCs/>
          <w:lang w:val="sl-SI"/>
        </w:rPr>
        <w:t>Preglednica 1. Odmerek zdravila Yuflyma pri bolnikih s poliartikularnim juvenilnim idiopatičnim artritisom</w:t>
      </w:r>
    </w:p>
    <w:p w14:paraId="7E792550" w14:textId="77777777" w:rsidR="0066522E" w:rsidRDefault="0066522E" w:rsidP="0066522E">
      <w:pPr>
        <w:pStyle w:val="a3"/>
        <w:rPr>
          <w:lang w:val="sl-SI"/>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1"/>
        <w:gridCol w:w="3271"/>
      </w:tblGrid>
      <w:tr w:rsidR="0066522E" w14:paraId="6213D40B" w14:textId="77777777" w:rsidTr="00183CD7">
        <w:trPr>
          <w:trHeight w:val="388"/>
          <w:jc w:val="center"/>
        </w:trPr>
        <w:tc>
          <w:tcPr>
            <w:tcW w:w="3271" w:type="dxa"/>
            <w:tcBorders>
              <w:top w:val="single" w:sz="4" w:space="0" w:color="auto"/>
              <w:bottom w:val="single" w:sz="4" w:space="0" w:color="auto"/>
            </w:tcBorders>
            <w:vAlign w:val="center"/>
          </w:tcPr>
          <w:p w14:paraId="089961E8" w14:textId="77777777" w:rsidR="0066522E" w:rsidRDefault="0066522E" w:rsidP="00183CD7">
            <w:pPr>
              <w:pStyle w:val="a3"/>
              <w:jc w:val="center"/>
              <w:rPr>
                <w:b/>
                <w:lang w:val="sl-SI"/>
              </w:rPr>
            </w:pPr>
            <w:r>
              <w:rPr>
                <w:rFonts w:eastAsia="Times New Roman"/>
                <w:b/>
                <w:bCs/>
                <w:lang w:val="sl-SI"/>
              </w:rPr>
              <w:t>Telesna masa bolnika</w:t>
            </w:r>
          </w:p>
        </w:tc>
        <w:tc>
          <w:tcPr>
            <w:tcW w:w="3271" w:type="dxa"/>
            <w:tcBorders>
              <w:top w:val="single" w:sz="4" w:space="0" w:color="auto"/>
              <w:bottom w:val="single" w:sz="4" w:space="0" w:color="auto"/>
            </w:tcBorders>
            <w:vAlign w:val="center"/>
          </w:tcPr>
          <w:p w14:paraId="7F4DADDC" w14:textId="77777777" w:rsidR="0066522E" w:rsidRDefault="0066522E" w:rsidP="00183CD7">
            <w:pPr>
              <w:pStyle w:val="a3"/>
              <w:jc w:val="center"/>
              <w:rPr>
                <w:b/>
                <w:lang w:val="sl-SI"/>
              </w:rPr>
            </w:pPr>
            <w:r>
              <w:rPr>
                <w:rFonts w:eastAsia="Times New Roman"/>
                <w:b/>
                <w:bCs/>
                <w:lang w:val="sl-SI"/>
              </w:rPr>
              <w:t>Shema odmerjanja</w:t>
            </w:r>
          </w:p>
        </w:tc>
      </w:tr>
      <w:tr w:rsidR="00183CD7" w14:paraId="767E5CE9" w14:textId="77777777" w:rsidTr="00183CD7">
        <w:trPr>
          <w:trHeight w:val="403"/>
          <w:jc w:val="center"/>
        </w:trPr>
        <w:tc>
          <w:tcPr>
            <w:tcW w:w="3271" w:type="dxa"/>
            <w:tcBorders>
              <w:top w:val="single" w:sz="4" w:space="0" w:color="auto"/>
              <w:bottom w:val="single" w:sz="4" w:space="0" w:color="auto"/>
            </w:tcBorders>
            <w:vAlign w:val="center"/>
          </w:tcPr>
          <w:p w14:paraId="2DBAA568" w14:textId="77777777" w:rsidR="00183CD7" w:rsidRDefault="00183CD7" w:rsidP="00183CD7">
            <w:pPr>
              <w:pStyle w:val="a3"/>
              <w:jc w:val="center"/>
              <w:rPr>
                <w:lang w:val="sl-SI"/>
              </w:rPr>
            </w:pPr>
            <w:r>
              <w:rPr>
                <w:rFonts w:eastAsia="Times New Roman"/>
                <w:lang w:val="sl-SI"/>
              </w:rPr>
              <w:t>10 kg do &lt; 30 kg</w:t>
            </w:r>
          </w:p>
        </w:tc>
        <w:tc>
          <w:tcPr>
            <w:tcW w:w="3271" w:type="dxa"/>
            <w:tcBorders>
              <w:top w:val="single" w:sz="4" w:space="0" w:color="auto"/>
              <w:bottom w:val="single" w:sz="4" w:space="0" w:color="auto"/>
            </w:tcBorders>
            <w:vAlign w:val="center"/>
          </w:tcPr>
          <w:p w14:paraId="6C684079" w14:textId="3BC3814A" w:rsidR="00183CD7" w:rsidRDefault="00183CD7" w:rsidP="00183CD7">
            <w:pPr>
              <w:pStyle w:val="a3"/>
              <w:jc w:val="center"/>
              <w:rPr>
                <w:lang w:val="sl-SI"/>
              </w:rPr>
            </w:pPr>
            <w:r>
              <w:rPr>
                <w:rFonts w:eastAsia="Times New Roman"/>
                <w:lang w:val="sl-SI"/>
              </w:rPr>
              <w:t>20 mg vsak drugi teden</w:t>
            </w:r>
          </w:p>
        </w:tc>
      </w:tr>
      <w:tr w:rsidR="00183CD7" w14:paraId="3E8B89F8" w14:textId="77777777" w:rsidTr="00183CD7">
        <w:trPr>
          <w:trHeight w:val="388"/>
          <w:jc w:val="center"/>
        </w:trPr>
        <w:tc>
          <w:tcPr>
            <w:tcW w:w="3271" w:type="dxa"/>
            <w:tcBorders>
              <w:top w:val="single" w:sz="4" w:space="0" w:color="auto"/>
              <w:bottom w:val="single" w:sz="4" w:space="0" w:color="auto"/>
            </w:tcBorders>
            <w:vAlign w:val="center"/>
          </w:tcPr>
          <w:p w14:paraId="68BF59B1" w14:textId="77777777" w:rsidR="00183CD7" w:rsidRDefault="00183CD7" w:rsidP="00183CD7">
            <w:pPr>
              <w:pStyle w:val="a3"/>
              <w:jc w:val="center"/>
              <w:rPr>
                <w:lang w:val="sl-SI"/>
              </w:rPr>
            </w:pPr>
            <w:r>
              <w:rPr>
                <w:rFonts w:eastAsia="Times New Roman"/>
                <w:lang w:val="sl-SI"/>
              </w:rPr>
              <w:t>≥ 30 kg</w:t>
            </w:r>
          </w:p>
        </w:tc>
        <w:tc>
          <w:tcPr>
            <w:tcW w:w="3271" w:type="dxa"/>
            <w:tcBorders>
              <w:top w:val="single" w:sz="4" w:space="0" w:color="auto"/>
              <w:bottom w:val="single" w:sz="4" w:space="0" w:color="auto"/>
            </w:tcBorders>
            <w:vAlign w:val="center"/>
          </w:tcPr>
          <w:p w14:paraId="0FE0CFAB" w14:textId="77777777" w:rsidR="00183CD7" w:rsidRDefault="00183CD7" w:rsidP="00183CD7">
            <w:pPr>
              <w:pStyle w:val="a3"/>
              <w:jc w:val="center"/>
              <w:rPr>
                <w:lang w:val="sl-SI"/>
              </w:rPr>
            </w:pPr>
            <w:r>
              <w:rPr>
                <w:rFonts w:eastAsia="Times New Roman"/>
                <w:lang w:val="sl-SI"/>
              </w:rPr>
              <w:t>40 mg vsak drugi teden</w:t>
            </w:r>
          </w:p>
        </w:tc>
      </w:tr>
    </w:tbl>
    <w:p w14:paraId="3F47CD15" w14:textId="77777777" w:rsidR="0066522E" w:rsidRDefault="0066522E" w:rsidP="0066522E">
      <w:pPr>
        <w:pStyle w:val="a3"/>
        <w:rPr>
          <w:lang w:val="sl-SI"/>
        </w:rPr>
      </w:pPr>
    </w:p>
    <w:p w14:paraId="40937DB7" w14:textId="77777777" w:rsidR="0066522E" w:rsidRDefault="0066522E" w:rsidP="0066522E">
      <w:pPr>
        <w:pStyle w:val="a3"/>
        <w:rPr>
          <w:lang w:val="sl-SI"/>
        </w:rPr>
      </w:pPr>
      <w:r>
        <w:rPr>
          <w:rFonts w:eastAsia="Times New Roman"/>
          <w:lang w:val="sl-SI"/>
        </w:rPr>
        <w:t>Razpoložljivi podatki kažejo, da je klinični odziv običajno dosežen v 12 tednih zdravljenja. Pri bolnikih, ki se v tem časovnem obdobju ne odzovejo, je treba znova razmisliti o nadaljevanju zdravljenja.</w:t>
      </w:r>
    </w:p>
    <w:p w14:paraId="754A9C36" w14:textId="77777777" w:rsidR="0066522E" w:rsidRDefault="0066522E" w:rsidP="0066522E">
      <w:pPr>
        <w:pStyle w:val="a3"/>
        <w:rPr>
          <w:lang w:val="sl-SI"/>
        </w:rPr>
      </w:pPr>
    </w:p>
    <w:p w14:paraId="4A57AF70" w14:textId="77777777" w:rsidR="0066522E" w:rsidRDefault="0066522E" w:rsidP="0066522E">
      <w:pPr>
        <w:pStyle w:val="a3"/>
        <w:rPr>
          <w:lang w:val="sl-SI"/>
        </w:rPr>
      </w:pPr>
      <w:r>
        <w:rPr>
          <w:rFonts w:eastAsia="Times New Roman"/>
          <w:lang w:val="sl-SI"/>
        </w:rPr>
        <w:t>Uporaba adalimumaba pri bolnikih, mlajših od 2 let, za to indikacijo ni smiselna.</w:t>
      </w:r>
    </w:p>
    <w:p w14:paraId="20F24437" w14:textId="44ED3A5C" w:rsidR="0066522E" w:rsidRDefault="0066522E" w:rsidP="0066522E">
      <w:pPr>
        <w:pStyle w:val="a3"/>
        <w:ind w:right="203"/>
        <w:rPr>
          <w:lang w:val="sl-SI"/>
        </w:rPr>
      </w:pPr>
    </w:p>
    <w:p w14:paraId="5BE4A5D3" w14:textId="3E261906" w:rsidR="00183CD7" w:rsidRDefault="00183CD7" w:rsidP="0066522E">
      <w:pPr>
        <w:pStyle w:val="a3"/>
        <w:ind w:right="203"/>
        <w:rPr>
          <w:lang w:val="sl-SI"/>
        </w:rPr>
      </w:pPr>
      <w:r w:rsidRPr="00566D4D">
        <w:rPr>
          <w:lang w:val="sl-SI"/>
        </w:rPr>
        <w:t xml:space="preserve">Zdravilo </w:t>
      </w:r>
      <w:r w:rsidR="007811C6" w:rsidRPr="00566D4D">
        <w:rPr>
          <w:lang w:val="sl-SI"/>
        </w:rPr>
        <w:t>Yuflyma</w:t>
      </w:r>
      <w:r w:rsidRPr="00566D4D">
        <w:rPr>
          <w:lang w:val="sl-SI"/>
        </w:rPr>
        <w:t xml:space="preserve"> je lahko na voljo v drugih jakostih in/ali oblikah, odvisno od individualnih potreb zdravljenja.</w:t>
      </w:r>
    </w:p>
    <w:p w14:paraId="721218CC" w14:textId="77777777" w:rsidR="00183CD7" w:rsidRDefault="00183CD7" w:rsidP="0066522E">
      <w:pPr>
        <w:pStyle w:val="a3"/>
        <w:ind w:right="203"/>
        <w:rPr>
          <w:lang w:val="sl-SI"/>
        </w:rPr>
      </w:pPr>
    </w:p>
    <w:p w14:paraId="092FB45F" w14:textId="77777777" w:rsidR="0066522E" w:rsidRDefault="0066522E" w:rsidP="0066522E">
      <w:pPr>
        <w:rPr>
          <w:rFonts w:ascii="Times New Roman" w:eastAsia="Times New Roman" w:hAnsi="Times New Roman" w:cs="Times New Roman"/>
          <w:lang w:val="sl-SI"/>
        </w:rPr>
      </w:pPr>
      <w:r>
        <w:rPr>
          <w:rFonts w:ascii="Times New Roman" w:eastAsia="Times New Roman" w:hAnsi="Times New Roman" w:cs="Times New Roman"/>
          <w:i/>
          <w:iCs/>
          <w:u w:val="single" w:color="000000"/>
          <w:lang w:val="sl-SI"/>
        </w:rPr>
        <w:t>Artritis, povezan z entezitisom</w:t>
      </w:r>
    </w:p>
    <w:p w14:paraId="06275172" w14:textId="77777777" w:rsidR="0066522E" w:rsidRDefault="0066522E" w:rsidP="0066522E">
      <w:pPr>
        <w:spacing w:before="9" w:line="170" w:lineRule="exact"/>
        <w:rPr>
          <w:sz w:val="17"/>
          <w:szCs w:val="17"/>
          <w:lang w:val="sl-SI"/>
        </w:rPr>
      </w:pPr>
    </w:p>
    <w:p w14:paraId="2D6C26FB" w14:textId="77777777" w:rsidR="0066522E" w:rsidRDefault="0066522E" w:rsidP="0066522E">
      <w:pPr>
        <w:pStyle w:val="a3"/>
        <w:rPr>
          <w:lang w:val="sl-SI"/>
        </w:rPr>
      </w:pPr>
      <w:r>
        <w:rPr>
          <w:rFonts w:eastAsia="Times New Roman"/>
          <w:lang w:val="sl-SI"/>
        </w:rPr>
        <w:t>Priporočeni odmerek zdravila Yuflyma pri bolnikih z artritisom, povezanim z entezitisom, od 6. let naprej je odvisen od telesne mase (preglednica 2). Zdravilo Yuflyma se daje vsak drugi teden s subkutanim injiciranjem.</w:t>
      </w:r>
    </w:p>
    <w:p w14:paraId="2920373D" w14:textId="77777777" w:rsidR="0066522E" w:rsidRDefault="0066522E" w:rsidP="0066522E">
      <w:pPr>
        <w:pStyle w:val="a3"/>
        <w:rPr>
          <w:lang w:val="sl-SI"/>
        </w:rPr>
      </w:pPr>
    </w:p>
    <w:p w14:paraId="53F3E0A6" w14:textId="77777777" w:rsidR="0066522E" w:rsidRDefault="0066522E" w:rsidP="0066522E">
      <w:pPr>
        <w:pStyle w:val="a3"/>
        <w:jc w:val="center"/>
        <w:rPr>
          <w:b/>
          <w:lang w:val="sl-SI"/>
        </w:rPr>
      </w:pPr>
      <w:r>
        <w:rPr>
          <w:rFonts w:eastAsia="Times New Roman"/>
          <w:b/>
          <w:bCs/>
          <w:lang w:val="sl-SI"/>
        </w:rPr>
        <w:t>Preglednica 2. Odmerek Yuflyma pri bolnikih z artritisom, povezanim z entezitisom</w:t>
      </w:r>
    </w:p>
    <w:p w14:paraId="4DFE10B4" w14:textId="77777777" w:rsidR="0066522E" w:rsidRPr="00F50A7D" w:rsidRDefault="0066522E" w:rsidP="0066522E">
      <w:pPr>
        <w:spacing w:before="7" w:line="220" w:lineRule="exact"/>
        <w:rPr>
          <w:lang w:val="sl-SI"/>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66522E" w14:paraId="09802CC7" w14:textId="77777777" w:rsidTr="00183CD7">
        <w:trPr>
          <w:trHeight w:val="374"/>
          <w:jc w:val="center"/>
        </w:trPr>
        <w:tc>
          <w:tcPr>
            <w:tcW w:w="3572" w:type="dxa"/>
            <w:tcBorders>
              <w:top w:val="single" w:sz="4" w:space="0" w:color="auto"/>
              <w:bottom w:val="single" w:sz="4" w:space="0" w:color="auto"/>
            </w:tcBorders>
            <w:vAlign w:val="center"/>
          </w:tcPr>
          <w:p w14:paraId="26D39F69" w14:textId="77777777" w:rsidR="0066522E" w:rsidRDefault="0066522E" w:rsidP="00183CD7">
            <w:pPr>
              <w:pStyle w:val="a3"/>
              <w:jc w:val="center"/>
              <w:rPr>
                <w:b/>
                <w:lang w:val="sl-SI"/>
              </w:rPr>
            </w:pPr>
            <w:r>
              <w:rPr>
                <w:rFonts w:eastAsia="Times New Roman"/>
                <w:b/>
                <w:bCs/>
                <w:lang w:val="sl-SI"/>
              </w:rPr>
              <w:t>Telesna masa bolnika</w:t>
            </w:r>
          </w:p>
        </w:tc>
        <w:tc>
          <w:tcPr>
            <w:tcW w:w="3572" w:type="dxa"/>
            <w:tcBorders>
              <w:top w:val="single" w:sz="4" w:space="0" w:color="auto"/>
              <w:bottom w:val="single" w:sz="4" w:space="0" w:color="auto"/>
            </w:tcBorders>
            <w:vAlign w:val="center"/>
          </w:tcPr>
          <w:p w14:paraId="1F9746B4" w14:textId="77777777" w:rsidR="0066522E" w:rsidRDefault="0066522E" w:rsidP="00183CD7">
            <w:pPr>
              <w:pStyle w:val="a3"/>
              <w:jc w:val="center"/>
              <w:rPr>
                <w:b/>
                <w:lang w:val="sl-SI"/>
              </w:rPr>
            </w:pPr>
            <w:r>
              <w:rPr>
                <w:rFonts w:eastAsia="Times New Roman"/>
                <w:b/>
                <w:bCs/>
                <w:lang w:val="sl-SI"/>
              </w:rPr>
              <w:t>Shema odmerjanja</w:t>
            </w:r>
          </w:p>
        </w:tc>
      </w:tr>
      <w:tr w:rsidR="00183CD7" w14:paraId="3BE41266" w14:textId="77777777" w:rsidTr="00183CD7">
        <w:trPr>
          <w:trHeight w:val="388"/>
          <w:jc w:val="center"/>
        </w:trPr>
        <w:tc>
          <w:tcPr>
            <w:tcW w:w="3572" w:type="dxa"/>
            <w:tcBorders>
              <w:top w:val="single" w:sz="4" w:space="0" w:color="auto"/>
              <w:bottom w:val="single" w:sz="4" w:space="0" w:color="auto"/>
            </w:tcBorders>
            <w:vAlign w:val="center"/>
          </w:tcPr>
          <w:p w14:paraId="1542896A" w14:textId="77777777" w:rsidR="00183CD7" w:rsidRDefault="00183CD7" w:rsidP="00183CD7">
            <w:pPr>
              <w:pStyle w:val="a3"/>
              <w:jc w:val="center"/>
              <w:rPr>
                <w:lang w:val="sl-SI"/>
              </w:rPr>
            </w:pPr>
            <w:r>
              <w:rPr>
                <w:rFonts w:eastAsia="Times New Roman"/>
                <w:lang w:val="sl-SI"/>
              </w:rPr>
              <w:t>15 kg do &lt; 30 kg</w:t>
            </w:r>
          </w:p>
        </w:tc>
        <w:tc>
          <w:tcPr>
            <w:tcW w:w="3572" w:type="dxa"/>
            <w:tcBorders>
              <w:top w:val="single" w:sz="4" w:space="0" w:color="auto"/>
              <w:bottom w:val="single" w:sz="4" w:space="0" w:color="auto"/>
            </w:tcBorders>
            <w:vAlign w:val="center"/>
          </w:tcPr>
          <w:p w14:paraId="349E670C" w14:textId="4BC3999D" w:rsidR="00183CD7" w:rsidRDefault="00183CD7" w:rsidP="00183CD7">
            <w:pPr>
              <w:pStyle w:val="a3"/>
              <w:jc w:val="center"/>
              <w:rPr>
                <w:lang w:val="sl-SI"/>
              </w:rPr>
            </w:pPr>
            <w:r>
              <w:rPr>
                <w:rFonts w:eastAsia="Times New Roman"/>
                <w:lang w:val="sl-SI"/>
              </w:rPr>
              <w:t>20 mg vsak drugi teden</w:t>
            </w:r>
          </w:p>
        </w:tc>
      </w:tr>
      <w:tr w:rsidR="00183CD7" w14:paraId="74DF6CD6" w14:textId="77777777" w:rsidTr="00183CD7">
        <w:trPr>
          <w:trHeight w:val="374"/>
          <w:jc w:val="center"/>
        </w:trPr>
        <w:tc>
          <w:tcPr>
            <w:tcW w:w="3572" w:type="dxa"/>
            <w:tcBorders>
              <w:top w:val="single" w:sz="4" w:space="0" w:color="auto"/>
              <w:bottom w:val="single" w:sz="4" w:space="0" w:color="auto"/>
            </w:tcBorders>
            <w:vAlign w:val="center"/>
          </w:tcPr>
          <w:p w14:paraId="37A2A121" w14:textId="77777777" w:rsidR="00183CD7" w:rsidRDefault="00183CD7" w:rsidP="00183CD7">
            <w:pPr>
              <w:pStyle w:val="a3"/>
              <w:jc w:val="center"/>
              <w:rPr>
                <w:lang w:val="sl-SI"/>
              </w:rPr>
            </w:pPr>
            <w:r>
              <w:rPr>
                <w:rFonts w:eastAsia="Times New Roman"/>
                <w:lang w:val="sl-SI"/>
              </w:rPr>
              <w:t>≥ 30 kg</w:t>
            </w:r>
          </w:p>
        </w:tc>
        <w:tc>
          <w:tcPr>
            <w:tcW w:w="3572" w:type="dxa"/>
            <w:tcBorders>
              <w:top w:val="single" w:sz="4" w:space="0" w:color="auto"/>
              <w:bottom w:val="single" w:sz="4" w:space="0" w:color="auto"/>
            </w:tcBorders>
            <w:vAlign w:val="center"/>
          </w:tcPr>
          <w:p w14:paraId="750C532A" w14:textId="77777777" w:rsidR="00183CD7" w:rsidRDefault="00183CD7" w:rsidP="00183CD7">
            <w:pPr>
              <w:pStyle w:val="a3"/>
              <w:jc w:val="center"/>
              <w:rPr>
                <w:lang w:val="sl-SI"/>
              </w:rPr>
            </w:pPr>
            <w:r>
              <w:rPr>
                <w:rFonts w:eastAsia="Times New Roman"/>
                <w:lang w:val="sl-SI"/>
              </w:rPr>
              <w:t>40 mg vsak drugi teden</w:t>
            </w:r>
          </w:p>
        </w:tc>
      </w:tr>
    </w:tbl>
    <w:p w14:paraId="762F83CB" w14:textId="77777777" w:rsidR="0066522E" w:rsidRDefault="0066522E" w:rsidP="0066522E">
      <w:pPr>
        <w:pStyle w:val="a3"/>
        <w:rPr>
          <w:lang w:val="sl-SI"/>
        </w:rPr>
      </w:pPr>
    </w:p>
    <w:p w14:paraId="17E00892" w14:textId="77777777" w:rsidR="0066522E" w:rsidRDefault="0066522E" w:rsidP="0066522E">
      <w:pPr>
        <w:pStyle w:val="a3"/>
        <w:rPr>
          <w:lang w:val="sl-SI"/>
        </w:rPr>
      </w:pPr>
      <w:r>
        <w:rPr>
          <w:rFonts w:eastAsia="Times New Roman"/>
          <w:lang w:val="sl-SI"/>
        </w:rPr>
        <w:t>Adalimumaba niso raziskali pri bolnikih, mlajših od 6 let, z artritisom, povezanim z entezitisom.</w:t>
      </w:r>
    </w:p>
    <w:p w14:paraId="08B58C67" w14:textId="696A7DC0" w:rsidR="0066522E" w:rsidRDefault="0066522E" w:rsidP="0066522E">
      <w:pPr>
        <w:pStyle w:val="a3"/>
        <w:rPr>
          <w:lang w:val="sl-SI"/>
        </w:rPr>
      </w:pPr>
    </w:p>
    <w:p w14:paraId="35672450" w14:textId="0AB4ABF8" w:rsidR="00183CD7" w:rsidRDefault="00183CD7" w:rsidP="0066522E">
      <w:pPr>
        <w:pStyle w:val="a3"/>
        <w:rPr>
          <w:lang w:val="sl-SI"/>
        </w:rPr>
      </w:pPr>
      <w:r w:rsidRPr="00566D4D">
        <w:rPr>
          <w:lang w:val="sl-SI"/>
        </w:rPr>
        <w:t xml:space="preserve">Zdravilo </w:t>
      </w:r>
      <w:r w:rsidR="007811C6" w:rsidRPr="00566D4D">
        <w:rPr>
          <w:lang w:val="sl-SI"/>
        </w:rPr>
        <w:t>Yuflyma</w:t>
      </w:r>
      <w:r w:rsidRPr="00566D4D">
        <w:rPr>
          <w:lang w:val="sl-SI"/>
        </w:rPr>
        <w:t xml:space="preserve"> je lahko na voljo v drugih jakostih in/ali oblikah, odvisno od individualnih potreb zdravljenja.</w:t>
      </w:r>
    </w:p>
    <w:p w14:paraId="0BD574F5" w14:textId="77777777" w:rsidR="00183CD7" w:rsidRDefault="00183CD7" w:rsidP="0066522E">
      <w:pPr>
        <w:pStyle w:val="a3"/>
        <w:rPr>
          <w:lang w:val="sl-SI"/>
        </w:rPr>
      </w:pPr>
    </w:p>
    <w:p w14:paraId="4F38935F" w14:textId="77777777" w:rsidR="0066522E" w:rsidRDefault="0066522E" w:rsidP="0066522E">
      <w:pPr>
        <w:rPr>
          <w:rFonts w:ascii="Times New Roman" w:eastAsia="Times New Roman" w:hAnsi="Times New Roman" w:cs="Times New Roman"/>
          <w:u w:val="single"/>
          <w:lang w:val="sl-SI"/>
        </w:rPr>
      </w:pPr>
      <w:r>
        <w:rPr>
          <w:rFonts w:ascii="Times New Roman" w:eastAsia="Times New Roman" w:hAnsi="Times New Roman" w:cs="Times New Roman"/>
          <w:i/>
          <w:iCs/>
          <w:spacing w:val="-1"/>
          <w:u w:val="single"/>
          <w:lang w:val="sl-SI"/>
        </w:rPr>
        <w:t>Pediatrična psoriaza v plakih</w:t>
      </w:r>
    </w:p>
    <w:p w14:paraId="487A9208" w14:textId="77777777" w:rsidR="0066522E" w:rsidRDefault="0066522E" w:rsidP="0066522E">
      <w:pPr>
        <w:spacing w:line="240" w:lineRule="exact"/>
        <w:rPr>
          <w:rFonts w:ascii="Times New Roman" w:hAnsi="Times New Roman" w:cs="Times New Roman"/>
          <w:sz w:val="24"/>
          <w:szCs w:val="24"/>
          <w:lang w:val="sl-SI"/>
        </w:rPr>
      </w:pPr>
    </w:p>
    <w:p w14:paraId="214113AD" w14:textId="77777777" w:rsidR="0066522E" w:rsidRDefault="0066522E" w:rsidP="0066522E">
      <w:pPr>
        <w:pStyle w:val="a3"/>
        <w:rPr>
          <w:lang w:val="sl-SI"/>
        </w:rPr>
      </w:pPr>
      <w:r>
        <w:rPr>
          <w:rFonts w:eastAsia="Times New Roman"/>
          <w:lang w:val="sl-SI"/>
        </w:rPr>
        <w:t>Priporočeni odmerek zdravila Yuflyma pri bolnikih s psoriazo v plakih, starih od 4. do 17. let, je odvisen od telesne mase (preglednica 3). Zdravilo Yuflyma se daje v obliki subkutane injekcije.</w:t>
      </w:r>
    </w:p>
    <w:p w14:paraId="589C945C" w14:textId="77777777" w:rsidR="0066522E" w:rsidRDefault="0066522E" w:rsidP="0066522E">
      <w:pPr>
        <w:pStyle w:val="a3"/>
        <w:rPr>
          <w:lang w:val="sl-SI"/>
        </w:rPr>
      </w:pPr>
    </w:p>
    <w:p w14:paraId="09F47653" w14:textId="77777777" w:rsidR="0066522E" w:rsidRDefault="0066522E" w:rsidP="0066522E">
      <w:pPr>
        <w:pStyle w:val="a3"/>
        <w:jc w:val="center"/>
        <w:rPr>
          <w:b/>
          <w:lang w:val="sl-SI"/>
        </w:rPr>
      </w:pPr>
      <w:r>
        <w:rPr>
          <w:rFonts w:eastAsia="Times New Roman"/>
          <w:b/>
          <w:bCs/>
          <w:lang w:val="sl-SI"/>
        </w:rPr>
        <w:t>Preglednica 3. Odmerek Yuflyma pri pediatričnih bolnikih s psoriazo v plakih</w:t>
      </w:r>
    </w:p>
    <w:p w14:paraId="026C0D05" w14:textId="77777777" w:rsidR="0066522E" w:rsidRDefault="0066522E" w:rsidP="0066522E">
      <w:pPr>
        <w:spacing w:before="7" w:line="220" w:lineRule="exact"/>
        <w:jc w:val="center"/>
        <w:rPr>
          <w:rFonts w:ascii="Times New Roman" w:hAnsi="Times New Roman" w:cs="Times New Roman"/>
          <w:b/>
          <w:lang w:val="sl-SI"/>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66522E" w14:paraId="1C91C190" w14:textId="77777777" w:rsidTr="00183CD7">
        <w:trPr>
          <w:trHeight w:val="374"/>
          <w:jc w:val="center"/>
        </w:trPr>
        <w:tc>
          <w:tcPr>
            <w:tcW w:w="3572" w:type="dxa"/>
            <w:tcBorders>
              <w:top w:val="single" w:sz="4" w:space="0" w:color="auto"/>
              <w:bottom w:val="single" w:sz="4" w:space="0" w:color="auto"/>
            </w:tcBorders>
            <w:vAlign w:val="center"/>
          </w:tcPr>
          <w:p w14:paraId="063C3B82" w14:textId="77777777" w:rsidR="0066522E" w:rsidRDefault="0066522E" w:rsidP="00183CD7">
            <w:pPr>
              <w:pStyle w:val="a3"/>
              <w:jc w:val="center"/>
              <w:rPr>
                <w:b/>
                <w:lang w:val="sl-SI"/>
              </w:rPr>
            </w:pPr>
            <w:r>
              <w:rPr>
                <w:rFonts w:eastAsia="Times New Roman"/>
                <w:b/>
                <w:bCs/>
                <w:lang w:val="sl-SI"/>
              </w:rPr>
              <w:t>Telesna masa bolnika</w:t>
            </w:r>
          </w:p>
        </w:tc>
        <w:tc>
          <w:tcPr>
            <w:tcW w:w="3572" w:type="dxa"/>
            <w:tcBorders>
              <w:top w:val="single" w:sz="4" w:space="0" w:color="auto"/>
              <w:bottom w:val="single" w:sz="4" w:space="0" w:color="auto"/>
            </w:tcBorders>
            <w:vAlign w:val="center"/>
          </w:tcPr>
          <w:p w14:paraId="4FC390AB" w14:textId="77777777" w:rsidR="0066522E" w:rsidRDefault="0066522E" w:rsidP="00183CD7">
            <w:pPr>
              <w:pStyle w:val="a3"/>
              <w:jc w:val="center"/>
              <w:rPr>
                <w:b/>
                <w:lang w:val="sl-SI"/>
              </w:rPr>
            </w:pPr>
            <w:r>
              <w:rPr>
                <w:rFonts w:eastAsia="Times New Roman"/>
                <w:b/>
                <w:bCs/>
                <w:lang w:val="sl-SI"/>
              </w:rPr>
              <w:t>Shema odmerjanja</w:t>
            </w:r>
          </w:p>
        </w:tc>
      </w:tr>
      <w:tr w:rsidR="00183CD7" w:rsidRPr="00652F18" w14:paraId="5D6954F6" w14:textId="77777777" w:rsidTr="00183CD7">
        <w:trPr>
          <w:trHeight w:val="388"/>
          <w:jc w:val="center"/>
        </w:trPr>
        <w:tc>
          <w:tcPr>
            <w:tcW w:w="3572" w:type="dxa"/>
            <w:tcBorders>
              <w:top w:val="single" w:sz="4" w:space="0" w:color="auto"/>
              <w:bottom w:val="single" w:sz="4" w:space="0" w:color="auto"/>
            </w:tcBorders>
            <w:vAlign w:val="center"/>
          </w:tcPr>
          <w:p w14:paraId="1EBB6684" w14:textId="77777777" w:rsidR="00183CD7" w:rsidRDefault="00183CD7" w:rsidP="00183CD7">
            <w:pPr>
              <w:pStyle w:val="a3"/>
              <w:jc w:val="center"/>
              <w:rPr>
                <w:lang w:val="sl-SI"/>
              </w:rPr>
            </w:pPr>
            <w:r>
              <w:rPr>
                <w:rFonts w:eastAsia="Times New Roman"/>
                <w:lang w:val="sl-SI"/>
              </w:rPr>
              <w:t>15 kg do &lt; 30 kg</w:t>
            </w:r>
          </w:p>
        </w:tc>
        <w:tc>
          <w:tcPr>
            <w:tcW w:w="3572" w:type="dxa"/>
            <w:tcBorders>
              <w:top w:val="single" w:sz="4" w:space="0" w:color="auto"/>
              <w:bottom w:val="single" w:sz="4" w:space="0" w:color="auto"/>
            </w:tcBorders>
            <w:vAlign w:val="center"/>
          </w:tcPr>
          <w:p w14:paraId="16588815" w14:textId="589A9065" w:rsidR="00183CD7" w:rsidRDefault="00183CD7" w:rsidP="007811C6">
            <w:pPr>
              <w:pStyle w:val="a3"/>
              <w:jc w:val="center"/>
              <w:rPr>
                <w:lang w:val="sl-SI"/>
              </w:rPr>
            </w:pPr>
            <w:r>
              <w:rPr>
                <w:rFonts w:eastAsia="Times New Roman"/>
                <w:lang w:val="sl-SI"/>
              </w:rPr>
              <w:t>Začetni odmerek je 20 mg, ki mu sledi odmerek 20 mg vsak drugi teden, z začetkom en teden po začetnem odmerku.</w:t>
            </w:r>
          </w:p>
        </w:tc>
      </w:tr>
      <w:tr w:rsidR="00183CD7" w:rsidRPr="00652F18" w14:paraId="3B589EDC" w14:textId="77777777" w:rsidTr="00183CD7">
        <w:trPr>
          <w:trHeight w:val="374"/>
          <w:jc w:val="center"/>
        </w:trPr>
        <w:tc>
          <w:tcPr>
            <w:tcW w:w="3572" w:type="dxa"/>
            <w:tcBorders>
              <w:top w:val="single" w:sz="4" w:space="0" w:color="auto"/>
              <w:bottom w:val="single" w:sz="4" w:space="0" w:color="auto"/>
            </w:tcBorders>
            <w:vAlign w:val="center"/>
          </w:tcPr>
          <w:p w14:paraId="2CED3836" w14:textId="77777777" w:rsidR="00183CD7" w:rsidRDefault="00183CD7" w:rsidP="00183CD7">
            <w:pPr>
              <w:pStyle w:val="a3"/>
              <w:jc w:val="center"/>
              <w:rPr>
                <w:lang w:val="sl-SI"/>
              </w:rPr>
            </w:pPr>
            <w:r>
              <w:rPr>
                <w:rFonts w:eastAsia="Times New Roman"/>
                <w:lang w:val="sl-SI"/>
              </w:rPr>
              <w:t>≥ 30 kg</w:t>
            </w:r>
          </w:p>
        </w:tc>
        <w:tc>
          <w:tcPr>
            <w:tcW w:w="3572" w:type="dxa"/>
            <w:tcBorders>
              <w:top w:val="single" w:sz="4" w:space="0" w:color="auto"/>
              <w:bottom w:val="single" w:sz="4" w:space="0" w:color="auto"/>
            </w:tcBorders>
            <w:vAlign w:val="center"/>
          </w:tcPr>
          <w:p w14:paraId="2392371A" w14:textId="77777777" w:rsidR="00183CD7" w:rsidRDefault="00183CD7" w:rsidP="00183CD7">
            <w:pPr>
              <w:pStyle w:val="a3"/>
              <w:jc w:val="center"/>
              <w:rPr>
                <w:lang w:val="sl-SI"/>
              </w:rPr>
            </w:pPr>
            <w:r>
              <w:rPr>
                <w:rFonts w:eastAsia="Times New Roman"/>
                <w:lang w:val="sl-SI"/>
              </w:rPr>
              <w:t>Začetni odmerek je 40 mg, ki mu sledi odmerek 40 mg vsak drugi teden, z začetkom en teden po začetnem odmerku.</w:t>
            </w:r>
          </w:p>
        </w:tc>
      </w:tr>
    </w:tbl>
    <w:p w14:paraId="30D25135" w14:textId="77777777" w:rsidR="0066522E" w:rsidRDefault="0066522E" w:rsidP="0066522E">
      <w:pPr>
        <w:pStyle w:val="a3"/>
        <w:rPr>
          <w:lang w:val="sl-SI"/>
        </w:rPr>
      </w:pPr>
    </w:p>
    <w:p w14:paraId="0F823CD1" w14:textId="77777777" w:rsidR="0066522E" w:rsidRDefault="0066522E" w:rsidP="0066522E">
      <w:pPr>
        <w:pStyle w:val="a3"/>
        <w:rPr>
          <w:lang w:val="sl-SI"/>
        </w:rPr>
      </w:pPr>
      <w:r w:rsidRPr="00337BB0">
        <w:rPr>
          <w:lang w:val="sl-SI"/>
        </w:rPr>
        <w:t>O neprekinjenem zdravljenju po 16. tednu je treba skrbno premisliti pri bolniku, ki se v tem obdobju ni odzval na zdravljenje.</w:t>
      </w:r>
    </w:p>
    <w:p w14:paraId="1263DA3F" w14:textId="77777777" w:rsidR="0066522E" w:rsidRDefault="0066522E" w:rsidP="0066522E">
      <w:pPr>
        <w:spacing w:line="240" w:lineRule="exact"/>
        <w:rPr>
          <w:rFonts w:ascii="Times New Roman" w:hAnsi="Times New Roman" w:cs="Times New Roman"/>
          <w:sz w:val="24"/>
          <w:szCs w:val="24"/>
          <w:lang w:val="sl-SI"/>
        </w:rPr>
      </w:pPr>
    </w:p>
    <w:p w14:paraId="1BB85ED5" w14:textId="77777777" w:rsidR="0066522E" w:rsidRDefault="0066522E" w:rsidP="0066522E">
      <w:pPr>
        <w:pStyle w:val="a3"/>
        <w:rPr>
          <w:lang w:val="sl-SI"/>
        </w:rPr>
      </w:pPr>
      <w:r>
        <w:rPr>
          <w:rFonts w:eastAsia="Times New Roman"/>
          <w:lang w:val="sl-SI"/>
        </w:rPr>
        <w:t>Če je indicirano ponovno zdravljenje z adalimumabom, je treba upoštevati zgornje smernice za odmerek in trajanje zdravljenja.</w:t>
      </w:r>
    </w:p>
    <w:p w14:paraId="0B1AD0D9" w14:textId="77777777" w:rsidR="0066522E" w:rsidRDefault="0066522E" w:rsidP="0066522E">
      <w:pPr>
        <w:spacing w:line="240" w:lineRule="exact"/>
        <w:rPr>
          <w:rFonts w:ascii="Times New Roman" w:hAnsi="Times New Roman" w:cs="Times New Roman"/>
          <w:sz w:val="24"/>
          <w:szCs w:val="24"/>
          <w:lang w:val="sl-SI"/>
        </w:rPr>
      </w:pPr>
    </w:p>
    <w:p w14:paraId="1ECAC28A" w14:textId="77777777" w:rsidR="0066522E" w:rsidRDefault="0066522E" w:rsidP="0066522E">
      <w:pPr>
        <w:pStyle w:val="a3"/>
        <w:rPr>
          <w:lang w:val="sl-SI"/>
        </w:rPr>
      </w:pPr>
      <w:r>
        <w:rPr>
          <w:rFonts w:eastAsia="Times New Roman"/>
          <w:lang w:val="sl-SI"/>
        </w:rPr>
        <w:t>Varnost adalimumaba pri pediatričnih bolnikih s psoriazo v plakih je bila ocenjena v povprečju za 13 mesecev.</w:t>
      </w:r>
    </w:p>
    <w:p w14:paraId="6395FA54" w14:textId="77777777" w:rsidR="0066522E" w:rsidRDefault="0066522E" w:rsidP="0066522E">
      <w:pPr>
        <w:spacing w:line="240" w:lineRule="exact"/>
        <w:rPr>
          <w:rFonts w:ascii="Times New Roman" w:hAnsi="Times New Roman" w:cs="Times New Roman"/>
          <w:sz w:val="24"/>
          <w:szCs w:val="24"/>
          <w:lang w:val="sl-SI"/>
        </w:rPr>
      </w:pPr>
    </w:p>
    <w:p w14:paraId="0BB14C53" w14:textId="77777777" w:rsidR="0066522E" w:rsidRDefault="0066522E" w:rsidP="0066522E">
      <w:pPr>
        <w:pStyle w:val="a3"/>
        <w:rPr>
          <w:lang w:val="sl-SI"/>
        </w:rPr>
      </w:pPr>
      <w:r>
        <w:rPr>
          <w:rFonts w:eastAsia="Times New Roman"/>
          <w:lang w:val="sl-SI"/>
        </w:rPr>
        <w:t>Uporaba adalimumaba pri otrocih, mlajših od 4 leta, za to indikacijo ni smiselna.</w:t>
      </w:r>
    </w:p>
    <w:p w14:paraId="2BC9BD88" w14:textId="3EA3146E" w:rsidR="0066522E" w:rsidRDefault="0066522E" w:rsidP="0066522E">
      <w:pPr>
        <w:pStyle w:val="a3"/>
        <w:rPr>
          <w:lang w:val="sl-SI"/>
        </w:rPr>
      </w:pPr>
    </w:p>
    <w:p w14:paraId="115385F2" w14:textId="430494C1" w:rsidR="00183CD7" w:rsidRDefault="00183CD7" w:rsidP="0066522E">
      <w:pPr>
        <w:pStyle w:val="a3"/>
        <w:rPr>
          <w:lang w:val="sl-SI"/>
        </w:rPr>
      </w:pPr>
      <w:r w:rsidRPr="00566D4D">
        <w:rPr>
          <w:lang w:val="sl-SI"/>
        </w:rPr>
        <w:t xml:space="preserve">Zdravilo </w:t>
      </w:r>
      <w:r w:rsidR="007811C6" w:rsidRPr="00566D4D">
        <w:rPr>
          <w:lang w:val="sl-SI"/>
        </w:rPr>
        <w:t>Yuflyma</w:t>
      </w:r>
      <w:r w:rsidRPr="00566D4D">
        <w:rPr>
          <w:lang w:val="sl-SI"/>
        </w:rPr>
        <w:t xml:space="preserve"> je lahko na voljo v drugih jakostih in/ali oblikah, odvisno od individualnih potreb zdravljenja.</w:t>
      </w:r>
    </w:p>
    <w:p w14:paraId="670F6AAE" w14:textId="77777777" w:rsidR="00183CD7" w:rsidRDefault="00183CD7" w:rsidP="0066522E">
      <w:pPr>
        <w:pStyle w:val="a3"/>
        <w:rPr>
          <w:lang w:val="sl-SI"/>
        </w:rPr>
      </w:pPr>
    </w:p>
    <w:p w14:paraId="28821810" w14:textId="77777777" w:rsidR="0066522E" w:rsidRDefault="0066522E" w:rsidP="0066522E">
      <w:pPr>
        <w:jc w:val="both"/>
        <w:rPr>
          <w:rFonts w:ascii="Times New Roman" w:eastAsia="Times New Roman" w:hAnsi="Times New Roman" w:cs="Times New Roman"/>
          <w:u w:val="single"/>
          <w:lang w:val="sl-SI"/>
        </w:rPr>
      </w:pPr>
      <w:r>
        <w:rPr>
          <w:rFonts w:ascii="Times New Roman" w:eastAsia="Times New Roman" w:hAnsi="Times New Roman" w:cs="Times New Roman"/>
          <w:i/>
          <w:iCs/>
          <w:spacing w:val="-1"/>
          <w:u w:val="single"/>
          <w:lang w:val="sl-SI"/>
        </w:rPr>
        <w:t>Crohnova bolezen pri pediatričnih bolnikih</w:t>
      </w:r>
    </w:p>
    <w:p w14:paraId="21E1E452" w14:textId="77777777" w:rsidR="0066522E" w:rsidRDefault="0066522E" w:rsidP="0066522E">
      <w:pPr>
        <w:spacing w:line="240" w:lineRule="exact"/>
        <w:rPr>
          <w:rFonts w:ascii="Times New Roman" w:hAnsi="Times New Roman" w:cs="Times New Roman"/>
          <w:sz w:val="24"/>
          <w:szCs w:val="24"/>
          <w:lang w:val="sl-SI"/>
        </w:rPr>
      </w:pPr>
    </w:p>
    <w:p w14:paraId="7200F4B4" w14:textId="77777777" w:rsidR="0066522E" w:rsidRDefault="0066522E" w:rsidP="0066522E">
      <w:pPr>
        <w:pStyle w:val="a3"/>
        <w:rPr>
          <w:lang w:val="sl-SI"/>
        </w:rPr>
      </w:pPr>
      <w:r>
        <w:rPr>
          <w:rFonts w:eastAsia="Times New Roman"/>
          <w:lang w:val="sl-SI"/>
        </w:rPr>
        <w:t>Priporočeni odmerek zdravila Yuflyma pri bolnikih s Crohnovo boleznijo, starih od 6. do 17. let, temelji na telesni masi (preglednica 4). Zdravilo Yuflyma se odmerja v obliki subkutane injekcije.</w:t>
      </w:r>
    </w:p>
    <w:p w14:paraId="29B89235" w14:textId="77777777" w:rsidR="0066522E" w:rsidRDefault="0066522E" w:rsidP="0066522E">
      <w:pPr>
        <w:pStyle w:val="a3"/>
        <w:rPr>
          <w:lang w:val="sl-SI"/>
        </w:rPr>
      </w:pPr>
    </w:p>
    <w:p w14:paraId="28CDB5A0" w14:textId="77777777" w:rsidR="0066522E" w:rsidRDefault="0066522E" w:rsidP="0066522E">
      <w:pPr>
        <w:pStyle w:val="a3"/>
        <w:jc w:val="center"/>
        <w:rPr>
          <w:b/>
          <w:lang w:val="sl-SI"/>
        </w:rPr>
      </w:pPr>
      <w:r>
        <w:rPr>
          <w:rFonts w:eastAsia="Times New Roman"/>
          <w:b/>
          <w:bCs/>
          <w:lang w:val="sl-SI"/>
        </w:rPr>
        <w:t>Preglednica 4. Odmerek adalimumaba pri pediatričnih bolnikih s Crohnovo boleznijo</w:t>
      </w:r>
    </w:p>
    <w:p w14:paraId="76BD81B4" w14:textId="77777777" w:rsidR="0066522E" w:rsidRDefault="0066522E" w:rsidP="0066522E">
      <w:pPr>
        <w:spacing w:before="14" w:line="240" w:lineRule="exact"/>
        <w:rPr>
          <w:rFonts w:ascii="Times New Roman" w:hAnsi="Times New Roman" w:cs="Times New Roman"/>
          <w:sz w:val="24"/>
          <w:szCs w:val="24"/>
          <w:lang w:val="sl-SI"/>
        </w:rPr>
      </w:pPr>
    </w:p>
    <w:tbl>
      <w:tblPr>
        <w:tblStyle w:val="TableNormal1"/>
        <w:tblW w:w="0" w:type="auto"/>
        <w:tblInd w:w="110" w:type="dxa"/>
        <w:tblLayout w:type="fixed"/>
        <w:tblLook w:val="01E0" w:firstRow="1" w:lastRow="1" w:firstColumn="1" w:lastColumn="1" w:noHBand="0" w:noVBand="0"/>
      </w:tblPr>
      <w:tblGrid>
        <w:gridCol w:w="972"/>
        <w:gridCol w:w="6706"/>
        <w:gridCol w:w="1725"/>
      </w:tblGrid>
      <w:tr w:rsidR="0066522E" w:rsidRPr="00652F18" w14:paraId="61388168" w14:textId="77777777" w:rsidTr="00183CD7">
        <w:tc>
          <w:tcPr>
            <w:tcW w:w="972" w:type="dxa"/>
            <w:tcBorders>
              <w:top w:val="single" w:sz="4" w:space="0" w:color="auto"/>
              <w:left w:val="single" w:sz="4" w:space="0" w:color="auto"/>
              <w:bottom w:val="single" w:sz="4" w:space="0" w:color="auto"/>
              <w:right w:val="single" w:sz="4" w:space="0" w:color="auto"/>
            </w:tcBorders>
            <w:vAlign w:val="center"/>
          </w:tcPr>
          <w:p w14:paraId="5F25DAA3" w14:textId="77777777" w:rsidR="0066522E" w:rsidRDefault="0066522E" w:rsidP="00183CD7">
            <w:pPr>
              <w:pStyle w:val="TableParagraph"/>
              <w:spacing w:line="252" w:lineRule="exact"/>
              <w:ind w:firstLine="4"/>
              <w:jc w:val="center"/>
              <w:rPr>
                <w:rFonts w:ascii="Times New Roman" w:eastAsia="Times New Roman" w:hAnsi="Times New Roman" w:cs="Times New Roman"/>
                <w:lang w:val="sl-SI"/>
              </w:rPr>
            </w:pPr>
            <w:r>
              <w:rPr>
                <w:rFonts w:ascii="Times New Roman" w:eastAsia="Times New Roman" w:hAnsi="Times New Roman" w:cs="Times New Roman"/>
                <w:b/>
                <w:bCs/>
                <w:lang w:val="sl-SI"/>
              </w:rPr>
              <w:t>Telesna masa bolnika</w:t>
            </w:r>
          </w:p>
        </w:tc>
        <w:tc>
          <w:tcPr>
            <w:tcW w:w="6706" w:type="dxa"/>
            <w:tcBorders>
              <w:top w:val="single" w:sz="4" w:space="0" w:color="auto"/>
              <w:left w:val="single" w:sz="4" w:space="0" w:color="auto"/>
              <w:bottom w:val="single" w:sz="4" w:space="0" w:color="auto"/>
              <w:right w:val="single" w:sz="4" w:space="0" w:color="auto"/>
            </w:tcBorders>
            <w:vAlign w:val="center"/>
          </w:tcPr>
          <w:p w14:paraId="4A418FFB" w14:textId="77777777" w:rsidR="0066522E" w:rsidRDefault="0066522E" w:rsidP="00183CD7">
            <w:pPr>
              <w:pStyle w:val="TableParagraph"/>
              <w:spacing w:line="251" w:lineRule="exact"/>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Začetni odmerek</w:t>
            </w:r>
          </w:p>
        </w:tc>
        <w:tc>
          <w:tcPr>
            <w:tcW w:w="1725" w:type="dxa"/>
            <w:tcBorders>
              <w:top w:val="single" w:sz="4" w:space="0" w:color="auto"/>
              <w:left w:val="single" w:sz="4" w:space="0" w:color="auto"/>
              <w:bottom w:val="single" w:sz="4" w:space="0" w:color="auto"/>
              <w:right w:val="single" w:sz="4" w:space="0" w:color="auto"/>
            </w:tcBorders>
            <w:vAlign w:val="center"/>
          </w:tcPr>
          <w:p w14:paraId="503D782F" w14:textId="77777777" w:rsidR="0066522E" w:rsidRDefault="0066522E" w:rsidP="00183CD7">
            <w:pPr>
              <w:pStyle w:val="TableParagraph"/>
              <w:spacing w:line="239" w:lineRule="auto"/>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Vzdrževalni odmerek z začetkom v 4. tednu</w:t>
            </w:r>
          </w:p>
        </w:tc>
      </w:tr>
      <w:tr w:rsidR="00183CD7" w14:paraId="48CB29FD" w14:textId="77777777" w:rsidTr="007811C6">
        <w:tc>
          <w:tcPr>
            <w:tcW w:w="972" w:type="dxa"/>
            <w:tcBorders>
              <w:top w:val="single" w:sz="4" w:space="0" w:color="auto"/>
              <w:left w:val="single" w:sz="7" w:space="0" w:color="000000"/>
              <w:bottom w:val="single" w:sz="7" w:space="0" w:color="000000"/>
              <w:right w:val="single" w:sz="7" w:space="0" w:color="000000"/>
            </w:tcBorders>
          </w:tcPr>
          <w:p w14:paraId="4FC966EB" w14:textId="77777777" w:rsidR="00183CD7" w:rsidRDefault="00183CD7" w:rsidP="00183CD7">
            <w:pPr>
              <w:pStyle w:val="TableParagraph"/>
              <w:spacing w:before="9"/>
              <w:ind w:left="140"/>
              <w:rPr>
                <w:rFonts w:ascii="Times New Roman" w:eastAsia="Times New Roman" w:hAnsi="Times New Roman" w:cs="Times New Roman"/>
                <w:lang w:val="sl-SI"/>
              </w:rPr>
            </w:pPr>
            <w:r>
              <w:rPr>
                <w:rFonts w:ascii="Times New Roman" w:eastAsia="Times New Roman" w:hAnsi="Times New Roman" w:cs="Times New Roman"/>
                <w:lang w:val="sl-SI"/>
              </w:rPr>
              <w:t>&lt; 40 kg</w:t>
            </w:r>
          </w:p>
        </w:tc>
        <w:tc>
          <w:tcPr>
            <w:tcW w:w="6706" w:type="dxa"/>
            <w:tcBorders>
              <w:top w:val="single" w:sz="4" w:space="0" w:color="auto"/>
              <w:left w:val="single" w:sz="7" w:space="0" w:color="000000"/>
              <w:bottom w:val="single" w:sz="7" w:space="0" w:color="000000"/>
              <w:right w:val="single" w:sz="7" w:space="0" w:color="000000"/>
            </w:tcBorders>
          </w:tcPr>
          <w:p w14:paraId="7C7E3409" w14:textId="7D409E8A" w:rsidR="00183CD7" w:rsidRDefault="00183CD7" w:rsidP="00183CD7">
            <w:pPr>
              <w:pStyle w:val="a4"/>
              <w:numPr>
                <w:ilvl w:val="0"/>
                <w:numId w:val="13"/>
              </w:numPr>
              <w:tabs>
                <w:tab w:val="left" w:pos="315"/>
              </w:tabs>
              <w:spacing w:before="10"/>
              <w:ind w:left="315"/>
              <w:rPr>
                <w:rFonts w:ascii="Times New Roman" w:eastAsia="Times New Roman" w:hAnsi="Times New Roman" w:cs="Times New Roman"/>
                <w:lang w:val="sl-SI"/>
              </w:rPr>
            </w:pPr>
            <w:r>
              <w:rPr>
                <w:rFonts w:ascii="Times New Roman" w:eastAsia="Times New Roman" w:hAnsi="Times New Roman" w:cs="Times New Roman"/>
                <w:spacing w:val="-1"/>
                <w:lang w:val="sl-SI"/>
              </w:rPr>
              <w:t>40 mg v 0. tednu in 20 mg v 2 tednu</w:t>
            </w:r>
          </w:p>
          <w:p w14:paraId="109F4857" w14:textId="77777777" w:rsidR="00183CD7" w:rsidRDefault="00183CD7" w:rsidP="00183CD7">
            <w:pPr>
              <w:pStyle w:val="TableParagraph"/>
              <w:spacing w:before="10" w:line="240" w:lineRule="exact"/>
              <w:rPr>
                <w:rFonts w:ascii="Times New Roman" w:hAnsi="Times New Roman" w:cs="Times New Roman"/>
                <w:sz w:val="24"/>
                <w:szCs w:val="24"/>
                <w:lang w:val="sl-SI"/>
              </w:rPr>
            </w:pPr>
          </w:p>
          <w:p w14:paraId="49A6E9E0" w14:textId="77777777" w:rsidR="00183CD7" w:rsidRDefault="00183CD7" w:rsidP="00183CD7">
            <w:pPr>
              <w:pStyle w:val="TableParagraph"/>
              <w:ind w:left="159"/>
              <w:rPr>
                <w:rFonts w:ascii="Times New Roman" w:eastAsia="Times New Roman" w:hAnsi="Times New Roman" w:cs="Times New Roman"/>
                <w:lang w:val="sl-SI"/>
              </w:rPr>
            </w:pPr>
            <w:r>
              <w:rPr>
                <w:rFonts w:ascii="Times New Roman" w:eastAsia="Times New Roman" w:hAnsi="Times New Roman" w:cs="Times New Roman"/>
                <w:spacing w:val="-1"/>
                <w:lang w:val="sl-SI"/>
              </w:rPr>
              <w:t>Če je potreben hitrejši odziv na zdravljenje in veste, da je tveganje za neželene učinke pri uporabi večjega indukcijskega odmerka lahko večje, lahko uporabite naslednji odmerek:</w:t>
            </w:r>
          </w:p>
          <w:p w14:paraId="23672007" w14:textId="77777777" w:rsidR="00183CD7" w:rsidRDefault="00183CD7" w:rsidP="00183CD7">
            <w:pPr>
              <w:pStyle w:val="a4"/>
              <w:numPr>
                <w:ilvl w:val="0"/>
                <w:numId w:val="13"/>
              </w:numPr>
              <w:tabs>
                <w:tab w:val="left" w:pos="315"/>
              </w:tabs>
              <w:spacing w:before="2"/>
              <w:ind w:left="315"/>
              <w:rPr>
                <w:rFonts w:ascii="Times New Roman" w:eastAsia="Times New Roman" w:hAnsi="Times New Roman" w:cs="Times New Roman"/>
                <w:lang w:val="sl-SI"/>
              </w:rPr>
            </w:pPr>
            <w:r>
              <w:rPr>
                <w:rFonts w:ascii="Times New Roman" w:eastAsia="Times New Roman" w:hAnsi="Times New Roman" w:cs="Times New Roman"/>
                <w:spacing w:val="-1"/>
                <w:lang w:val="sl-SI"/>
              </w:rPr>
              <w:t>80 mg v 0. tednu in 40 mg v 2 tednu</w:t>
            </w:r>
          </w:p>
        </w:tc>
        <w:tc>
          <w:tcPr>
            <w:tcW w:w="1725" w:type="dxa"/>
            <w:tcBorders>
              <w:top w:val="single" w:sz="4" w:space="0" w:color="auto"/>
              <w:left w:val="single" w:sz="7" w:space="0" w:color="000000"/>
              <w:bottom w:val="single" w:sz="7" w:space="0" w:color="000000"/>
              <w:right w:val="single" w:sz="7" w:space="0" w:color="000000"/>
            </w:tcBorders>
          </w:tcPr>
          <w:p w14:paraId="4644645D" w14:textId="7E1D5459" w:rsidR="00183CD7" w:rsidRDefault="00183CD7" w:rsidP="007811C6">
            <w:pPr>
              <w:pStyle w:val="TableParagraph"/>
              <w:spacing w:before="7" w:line="241" w:lineRule="auto"/>
              <w:ind w:left="301" w:hanging="63"/>
              <w:rPr>
                <w:rFonts w:ascii="Times New Roman" w:eastAsia="Times New Roman" w:hAnsi="Times New Roman" w:cs="Times New Roman"/>
                <w:lang w:val="sl-SI"/>
              </w:rPr>
            </w:pPr>
            <w:r>
              <w:rPr>
                <w:rFonts w:ascii="Times New Roman" w:eastAsia="Times New Roman" w:hAnsi="Times New Roman" w:cs="Times New Roman"/>
                <w:spacing w:val="-1"/>
                <w:lang w:val="sl-SI"/>
              </w:rPr>
              <w:t>20 mg vsak drugi teden</w:t>
            </w:r>
          </w:p>
        </w:tc>
      </w:tr>
      <w:tr w:rsidR="00183CD7" w14:paraId="51D86FD8" w14:textId="77777777" w:rsidTr="00183CD7">
        <w:tc>
          <w:tcPr>
            <w:tcW w:w="972" w:type="dxa"/>
            <w:tcBorders>
              <w:top w:val="single" w:sz="7" w:space="0" w:color="000000"/>
              <w:left w:val="single" w:sz="7" w:space="0" w:color="000000"/>
              <w:bottom w:val="single" w:sz="7" w:space="0" w:color="000000"/>
              <w:right w:val="single" w:sz="7" w:space="0" w:color="000000"/>
            </w:tcBorders>
          </w:tcPr>
          <w:p w14:paraId="35169F76" w14:textId="77777777" w:rsidR="00183CD7" w:rsidRDefault="00183CD7" w:rsidP="00183CD7">
            <w:pPr>
              <w:pStyle w:val="TableParagraph"/>
              <w:spacing w:before="7"/>
              <w:ind w:left="143"/>
              <w:rPr>
                <w:rFonts w:ascii="Times New Roman" w:eastAsia="Times New Roman" w:hAnsi="Times New Roman" w:cs="Times New Roman"/>
                <w:lang w:val="sl-SI"/>
              </w:rPr>
            </w:pPr>
            <w:r>
              <w:rPr>
                <w:rFonts w:ascii="Times New Roman" w:eastAsia="Times New Roman" w:hAnsi="Times New Roman" w:cs="Times New Roman"/>
                <w:lang w:val="sl-SI"/>
              </w:rPr>
              <w:t>≥ 40 kg</w:t>
            </w:r>
          </w:p>
        </w:tc>
        <w:tc>
          <w:tcPr>
            <w:tcW w:w="6706" w:type="dxa"/>
            <w:tcBorders>
              <w:top w:val="single" w:sz="7" w:space="0" w:color="000000"/>
              <w:left w:val="single" w:sz="7" w:space="0" w:color="000000"/>
              <w:bottom w:val="single" w:sz="7" w:space="0" w:color="000000"/>
              <w:right w:val="single" w:sz="7" w:space="0" w:color="000000"/>
            </w:tcBorders>
          </w:tcPr>
          <w:p w14:paraId="3FF02F75" w14:textId="77777777" w:rsidR="00183CD7" w:rsidRDefault="00183CD7" w:rsidP="00183CD7">
            <w:pPr>
              <w:pStyle w:val="a4"/>
              <w:numPr>
                <w:ilvl w:val="0"/>
                <w:numId w:val="12"/>
              </w:numPr>
              <w:tabs>
                <w:tab w:val="left" w:pos="315"/>
              </w:tabs>
              <w:spacing w:before="8"/>
              <w:ind w:left="315"/>
              <w:rPr>
                <w:rFonts w:ascii="Times New Roman" w:eastAsia="Times New Roman" w:hAnsi="Times New Roman" w:cs="Times New Roman"/>
                <w:lang w:val="sl-SI"/>
              </w:rPr>
            </w:pPr>
            <w:r>
              <w:rPr>
                <w:rFonts w:ascii="Times New Roman" w:eastAsia="Times New Roman" w:hAnsi="Times New Roman" w:cs="Times New Roman"/>
                <w:spacing w:val="-1"/>
                <w:lang w:val="sl-SI"/>
              </w:rPr>
              <w:t>80 mg v 0. tednu in 40 mg v 2 tednu</w:t>
            </w:r>
          </w:p>
          <w:p w14:paraId="7C59812E" w14:textId="77777777" w:rsidR="00183CD7" w:rsidRDefault="00183CD7" w:rsidP="00183CD7">
            <w:pPr>
              <w:tabs>
                <w:tab w:val="left" w:pos="315"/>
              </w:tabs>
              <w:spacing w:before="8"/>
              <w:rPr>
                <w:rFonts w:ascii="Times New Roman" w:eastAsia="Times New Roman" w:hAnsi="Times New Roman" w:cs="Times New Roman"/>
                <w:lang w:val="sl-SI"/>
              </w:rPr>
            </w:pPr>
          </w:p>
          <w:p w14:paraId="10BDAE36" w14:textId="77777777" w:rsidR="00183CD7" w:rsidRDefault="00183CD7" w:rsidP="00183CD7">
            <w:pPr>
              <w:pStyle w:val="TableParagraph"/>
              <w:spacing w:before="7"/>
              <w:ind w:left="159" w:right="353"/>
              <w:rPr>
                <w:rFonts w:ascii="Times New Roman" w:eastAsia="Times New Roman" w:hAnsi="Times New Roman" w:cs="Times New Roman"/>
                <w:lang w:val="sl-SI"/>
              </w:rPr>
            </w:pPr>
            <w:r>
              <w:rPr>
                <w:rFonts w:ascii="Times New Roman" w:eastAsia="Times New Roman" w:hAnsi="Times New Roman" w:cs="Times New Roman"/>
                <w:spacing w:val="-1"/>
                <w:lang w:val="sl-SI"/>
              </w:rPr>
              <w:t>Če je potreben hitrejši odziv na zdravljenje in veste, da je tveganje za neželene učinke pri uporabi večjega indukcijskega odmerka lahko večje, lahko uporabite naslednji odmerek:</w:t>
            </w:r>
          </w:p>
          <w:p w14:paraId="57D101B1" w14:textId="77777777" w:rsidR="00183CD7" w:rsidRDefault="00183CD7" w:rsidP="00183CD7">
            <w:pPr>
              <w:pStyle w:val="a4"/>
              <w:numPr>
                <w:ilvl w:val="0"/>
                <w:numId w:val="13"/>
              </w:numPr>
              <w:tabs>
                <w:tab w:val="left" w:pos="315"/>
              </w:tabs>
              <w:spacing w:before="2"/>
              <w:ind w:left="315"/>
              <w:rPr>
                <w:rFonts w:ascii="Times New Roman" w:eastAsia="Times New Roman" w:hAnsi="Times New Roman" w:cs="Times New Roman"/>
                <w:lang w:val="sl-SI"/>
              </w:rPr>
            </w:pPr>
            <w:r>
              <w:rPr>
                <w:rFonts w:ascii="Times New Roman" w:eastAsia="Times New Roman" w:hAnsi="Times New Roman" w:cs="Times New Roman"/>
                <w:spacing w:val="-1"/>
                <w:lang w:val="sl-SI"/>
              </w:rPr>
              <w:t>160 mg v 0. tednu in 80 mg v 2 tednu</w:t>
            </w:r>
          </w:p>
        </w:tc>
        <w:tc>
          <w:tcPr>
            <w:tcW w:w="1725" w:type="dxa"/>
            <w:tcBorders>
              <w:top w:val="single" w:sz="7" w:space="0" w:color="000000"/>
              <w:left w:val="single" w:sz="7" w:space="0" w:color="000000"/>
              <w:bottom w:val="single" w:sz="7" w:space="0" w:color="000000"/>
              <w:right w:val="single" w:sz="7" w:space="0" w:color="000000"/>
            </w:tcBorders>
          </w:tcPr>
          <w:p w14:paraId="083AC65C" w14:textId="77777777" w:rsidR="00183CD7" w:rsidRDefault="00183CD7" w:rsidP="00183CD7">
            <w:pPr>
              <w:pStyle w:val="TableParagraph"/>
              <w:spacing w:before="7" w:line="241" w:lineRule="auto"/>
              <w:ind w:left="301" w:hanging="63"/>
              <w:rPr>
                <w:rFonts w:ascii="Times New Roman" w:eastAsia="Times New Roman" w:hAnsi="Times New Roman" w:cs="Times New Roman"/>
                <w:lang w:val="sl-SI"/>
              </w:rPr>
            </w:pPr>
            <w:r>
              <w:rPr>
                <w:rFonts w:ascii="Times New Roman" w:eastAsia="Times New Roman" w:hAnsi="Times New Roman" w:cs="Times New Roman"/>
                <w:spacing w:val="-1"/>
                <w:lang w:val="sl-SI"/>
              </w:rPr>
              <w:t>40 mg vsak drugi teden</w:t>
            </w:r>
          </w:p>
        </w:tc>
      </w:tr>
    </w:tbl>
    <w:p w14:paraId="4029AF8D" w14:textId="77777777" w:rsidR="0066522E" w:rsidRDefault="0066522E" w:rsidP="0066522E">
      <w:pPr>
        <w:spacing w:line="170" w:lineRule="exact"/>
        <w:rPr>
          <w:sz w:val="17"/>
          <w:szCs w:val="17"/>
          <w:lang w:val="sl-SI"/>
        </w:rPr>
      </w:pPr>
    </w:p>
    <w:p w14:paraId="382F7DA7" w14:textId="2E625D05" w:rsidR="0066522E" w:rsidRPr="00CF282E" w:rsidRDefault="0066522E" w:rsidP="007811C6">
      <w:pPr>
        <w:pStyle w:val="a3"/>
        <w:rPr>
          <w:lang w:val="sl-SI"/>
        </w:rPr>
      </w:pPr>
      <w:r w:rsidRPr="00AC7013">
        <w:rPr>
          <w:rFonts w:eastAsia="Times New Roman"/>
          <w:lang w:val="sl-SI"/>
        </w:rPr>
        <w:t>Bolniki, pri katerih</w:t>
      </w:r>
      <w:r>
        <w:rPr>
          <w:rFonts w:eastAsia="Times New Roman"/>
          <w:lang w:val="sl-SI"/>
        </w:rPr>
        <w:t xml:space="preserve"> odziv ne zadošča, imajo lahko koristi od povečanja odmerka:</w:t>
      </w:r>
    </w:p>
    <w:p w14:paraId="60C30229" w14:textId="256A76E8" w:rsidR="00183CD7" w:rsidRPr="007811C6" w:rsidRDefault="00183CD7" w:rsidP="007811C6">
      <w:pPr>
        <w:pStyle w:val="a4"/>
        <w:numPr>
          <w:ilvl w:val="0"/>
          <w:numId w:val="12"/>
        </w:numPr>
        <w:spacing w:before="8"/>
        <w:ind w:left="567" w:hanging="567"/>
        <w:rPr>
          <w:rFonts w:ascii="Times New Roman" w:eastAsia="Calibri" w:hAnsi="Times New Roman" w:cs="Times New Roman"/>
          <w:spacing w:val="-1"/>
          <w:lang w:val="sl-SI"/>
        </w:rPr>
      </w:pPr>
      <w:r w:rsidRPr="007811C6">
        <w:rPr>
          <w:rFonts w:ascii="Times New Roman" w:eastAsia="Calibri" w:hAnsi="Times New Roman" w:cs="Times New Roman"/>
          <w:spacing w:val="-1"/>
          <w:lang w:val="sl-SI"/>
        </w:rPr>
        <w:t>&lt; 40 kg: 20 mg vsak teden</w:t>
      </w:r>
    </w:p>
    <w:p w14:paraId="10F4331B" w14:textId="64B722E8" w:rsidR="0066522E" w:rsidRPr="007811C6" w:rsidRDefault="0066522E" w:rsidP="007811C6">
      <w:pPr>
        <w:pStyle w:val="a4"/>
        <w:numPr>
          <w:ilvl w:val="0"/>
          <w:numId w:val="12"/>
        </w:numPr>
        <w:spacing w:before="8"/>
        <w:ind w:left="567" w:hanging="567"/>
        <w:rPr>
          <w:rFonts w:ascii="Times New Roman" w:eastAsia="Times New Roman" w:hAnsi="Times New Roman" w:cs="Times New Roman"/>
          <w:spacing w:val="-1"/>
          <w:lang w:val="sl-SI"/>
        </w:rPr>
      </w:pPr>
      <w:r w:rsidRPr="007811C6">
        <w:rPr>
          <w:rFonts w:ascii="Times New Roman" w:eastAsia="Calibri" w:hAnsi="Times New Roman" w:cs="Times New Roman"/>
          <w:spacing w:val="-1"/>
          <w:lang w:val="sl-SI"/>
        </w:rPr>
        <w:t xml:space="preserve">≥ 40 kg: </w:t>
      </w:r>
      <w:r w:rsidRPr="007811C6">
        <w:rPr>
          <w:rFonts w:ascii="Times New Roman" w:eastAsia="Times New Roman" w:hAnsi="Times New Roman" w:cs="Times New Roman"/>
          <w:spacing w:val="-1"/>
          <w:lang w:val="sl-SI"/>
        </w:rPr>
        <w:t>40 mg vsak teden ali 80 mg vsak drugi teden</w:t>
      </w:r>
    </w:p>
    <w:p w14:paraId="03595892" w14:textId="77777777" w:rsidR="0066522E" w:rsidRDefault="0066522E" w:rsidP="0066522E">
      <w:pPr>
        <w:spacing w:line="240" w:lineRule="exact"/>
        <w:rPr>
          <w:rFonts w:ascii="Times New Roman" w:hAnsi="Times New Roman" w:cs="Times New Roman"/>
          <w:sz w:val="24"/>
          <w:szCs w:val="24"/>
          <w:lang w:val="sl-SI"/>
        </w:rPr>
      </w:pPr>
    </w:p>
    <w:p w14:paraId="15A790A4" w14:textId="77777777" w:rsidR="0066522E" w:rsidRDefault="0066522E" w:rsidP="0066522E">
      <w:pPr>
        <w:pStyle w:val="a3"/>
        <w:rPr>
          <w:lang w:val="sl-SI"/>
        </w:rPr>
      </w:pPr>
      <w:r>
        <w:rPr>
          <w:rFonts w:eastAsia="Times New Roman"/>
          <w:lang w:val="sl-SI"/>
        </w:rPr>
        <w:t>Pri osebi, ki se do 12. tedna ne odzove, je treba skrbno pretehtati, ali naj se zdravljenje nadaljuje.</w:t>
      </w:r>
    </w:p>
    <w:p w14:paraId="58648E83" w14:textId="77777777" w:rsidR="0066522E" w:rsidRDefault="0066522E" w:rsidP="0066522E">
      <w:pPr>
        <w:pStyle w:val="a3"/>
        <w:rPr>
          <w:lang w:val="sl-SI"/>
        </w:rPr>
      </w:pPr>
    </w:p>
    <w:p w14:paraId="24BC1481" w14:textId="08010ACC" w:rsidR="0066522E" w:rsidRDefault="0066522E" w:rsidP="0066522E">
      <w:pPr>
        <w:pStyle w:val="a3"/>
        <w:rPr>
          <w:rFonts w:eastAsia="Times New Roman"/>
          <w:lang w:val="sl-SI"/>
        </w:rPr>
      </w:pPr>
      <w:r>
        <w:rPr>
          <w:rFonts w:eastAsia="Times New Roman"/>
          <w:lang w:val="sl-SI"/>
        </w:rPr>
        <w:t>Uporaba adalimumaba pri otrocih, mlajših od 6 let, za to indikacijo ni smiselna.</w:t>
      </w:r>
    </w:p>
    <w:p w14:paraId="60CBA7DA" w14:textId="4B4DCEB0" w:rsidR="00641902" w:rsidRDefault="00641902" w:rsidP="0066522E">
      <w:pPr>
        <w:pStyle w:val="a3"/>
        <w:rPr>
          <w:rFonts w:eastAsia="Times New Roman"/>
          <w:lang w:val="sl-SI"/>
        </w:rPr>
      </w:pPr>
    </w:p>
    <w:p w14:paraId="02FF007F" w14:textId="16D75A11" w:rsidR="00641902" w:rsidRDefault="00641902" w:rsidP="0066522E">
      <w:pPr>
        <w:pStyle w:val="a3"/>
        <w:rPr>
          <w:lang w:val="sl-SI"/>
        </w:rPr>
      </w:pPr>
      <w:r w:rsidRPr="00566D4D">
        <w:rPr>
          <w:lang w:val="sl-SI"/>
        </w:rPr>
        <w:t xml:space="preserve">Zdravilo </w:t>
      </w:r>
      <w:r w:rsidR="007811C6" w:rsidRPr="00566D4D">
        <w:rPr>
          <w:lang w:val="sl-SI"/>
        </w:rPr>
        <w:t>Yuflyma</w:t>
      </w:r>
      <w:r w:rsidRPr="00566D4D">
        <w:rPr>
          <w:lang w:val="sl-SI"/>
        </w:rPr>
        <w:t xml:space="preserve"> je lahko na voljo v drugih jakostih in/ali oblikah, odvisno od individualnih potreb zdravljenja.</w:t>
      </w:r>
    </w:p>
    <w:p w14:paraId="5E6B5554" w14:textId="77777777" w:rsidR="0066522E" w:rsidRDefault="0066522E" w:rsidP="0066522E">
      <w:pPr>
        <w:rPr>
          <w:rFonts w:ascii="Times New Roman" w:eastAsia="Times New Roman" w:hAnsi="Times New Roman" w:cs="Times New Roman"/>
          <w:i/>
          <w:spacing w:val="-1"/>
          <w:u w:val="single" w:color="000000"/>
          <w:lang w:val="sl-SI"/>
        </w:rPr>
      </w:pPr>
    </w:p>
    <w:p w14:paraId="578D22CE" w14:textId="77777777" w:rsidR="0066522E" w:rsidRDefault="0066522E" w:rsidP="0066522E">
      <w:pPr>
        <w:rPr>
          <w:rFonts w:ascii="Times New Roman" w:eastAsia="Times New Roman" w:hAnsi="Times New Roman" w:cs="Times New Roman"/>
          <w:i/>
          <w:spacing w:val="-1"/>
          <w:u w:val="single" w:color="000000"/>
          <w:lang w:val="sl-SI"/>
        </w:rPr>
      </w:pPr>
      <w:r>
        <w:rPr>
          <w:rFonts w:ascii="Times New Roman" w:eastAsia="Times New Roman" w:hAnsi="Times New Roman" w:cs="Times New Roman"/>
          <w:i/>
          <w:iCs/>
          <w:spacing w:val="-1"/>
          <w:u w:val="single" w:color="000000"/>
          <w:lang w:val="sl-SI"/>
        </w:rPr>
        <w:t>Pediatrični uveitis</w:t>
      </w:r>
    </w:p>
    <w:p w14:paraId="5C7D23C2" w14:textId="77777777" w:rsidR="0066522E" w:rsidRDefault="0066522E" w:rsidP="0066522E">
      <w:pPr>
        <w:rPr>
          <w:rFonts w:ascii="Times New Roman" w:eastAsia="Times New Roman" w:hAnsi="Times New Roman" w:cs="Times New Roman"/>
          <w:lang w:val="sl-SI"/>
        </w:rPr>
      </w:pPr>
    </w:p>
    <w:p w14:paraId="47D1AB08" w14:textId="34052455" w:rsidR="0066522E" w:rsidRDefault="0066522E" w:rsidP="0066522E">
      <w:pPr>
        <w:pStyle w:val="a3"/>
        <w:rPr>
          <w:lang w:val="sl-SI"/>
        </w:rPr>
      </w:pPr>
      <w:r>
        <w:rPr>
          <w:rFonts w:eastAsia="Times New Roman"/>
          <w:lang w:val="sl-SI"/>
        </w:rPr>
        <w:t>Priporočeni odmerek zdravila Yuflyma pri bolnikih z uveitisom, star</w:t>
      </w:r>
      <w:r w:rsidR="00540EE4">
        <w:rPr>
          <w:rFonts w:eastAsia="Times New Roman"/>
          <w:lang w:val="sl-SI"/>
        </w:rPr>
        <w:t>ejših</w:t>
      </w:r>
      <w:r>
        <w:rPr>
          <w:rFonts w:eastAsia="Times New Roman"/>
          <w:lang w:val="sl-SI"/>
        </w:rPr>
        <w:t xml:space="preserve"> od 2 let, je odvisen od telesne mase (preglednica </w:t>
      </w:r>
      <w:r w:rsidR="00641902">
        <w:rPr>
          <w:rFonts w:eastAsia="Times New Roman"/>
          <w:lang w:val="sl-SI"/>
        </w:rPr>
        <w:t>5</w:t>
      </w:r>
      <w:r>
        <w:rPr>
          <w:rFonts w:eastAsia="Times New Roman"/>
          <w:lang w:val="sl-SI"/>
        </w:rPr>
        <w:t>). Zdravilo Yuflyma se odmerja v obliki subkutane injekcije.</w:t>
      </w:r>
    </w:p>
    <w:p w14:paraId="519B3EC7" w14:textId="77777777" w:rsidR="0066522E" w:rsidRDefault="0066522E" w:rsidP="0066522E">
      <w:pPr>
        <w:rPr>
          <w:rFonts w:ascii="Times New Roman" w:hAnsi="Times New Roman" w:cs="Times New Roman"/>
          <w:sz w:val="24"/>
          <w:szCs w:val="24"/>
          <w:lang w:val="sl-SI"/>
        </w:rPr>
      </w:pPr>
    </w:p>
    <w:p w14:paraId="4BC42F36" w14:textId="77777777" w:rsidR="0066522E" w:rsidRDefault="0066522E" w:rsidP="0066522E">
      <w:pPr>
        <w:pStyle w:val="a3"/>
        <w:rPr>
          <w:lang w:val="sl-SI"/>
        </w:rPr>
      </w:pPr>
      <w:r>
        <w:rPr>
          <w:rFonts w:eastAsia="Times New Roman"/>
          <w:lang w:val="sl-SI"/>
        </w:rPr>
        <w:t>Pri zdravljenju pediatričnega uveitisa ni izkušenj z zdravljenjem z adalimumabom brez sočasnega zdravljenja z metotreksatom.</w:t>
      </w:r>
    </w:p>
    <w:p w14:paraId="4053F911" w14:textId="77777777" w:rsidR="0066522E" w:rsidRDefault="0066522E" w:rsidP="0066522E">
      <w:pPr>
        <w:pStyle w:val="a3"/>
        <w:rPr>
          <w:lang w:val="sl-SI"/>
        </w:rPr>
      </w:pPr>
    </w:p>
    <w:p w14:paraId="7086E1D5" w14:textId="15A61623" w:rsidR="0066522E" w:rsidRDefault="0066522E" w:rsidP="0066522E">
      <w:pPr>
        <w:pStyle w:val="a3"/>
        <w:jc w:val="center"/>
        <w:rPr>
          <w:b/>
          <w:lang w:val="sl-SI"/>
        </w:rPr>
      </w:pPr>
      <w:r>
        <w:rPr>
          <w:rFonts w:eastAsia="Times New Roman"/>
          <w:b/>
          <w:bCs/>
          <w:lang w:val="sl-SI"/>
        </w:rPr>
        <w:t>Preglednica </w:t>
      </w:r>
      <w:r w:rsidR="00641902">
        <w:rPr>
          <w:rFonts w:eastAsia="Times New Roman"/>
          <w:b/>
          <w:bCs/>
          <w:lang w:val="sl-SI"/>
        </w:rPr>
        <w:t>5</w:t>
      </w:r>
      <w:r>
        <w:rPr>
          <w:rFonts w:eastAsia="Times New Roman"/>
          <w:b/>
          <w:bCs/>
          <w:lang w:val="sl-SI"/>
        </w:rPr>
        <w:t>. Odmerek zdravila Yuflyma pri pediatričnih bolnikih z uveitisom</w:t>
      </w:r>
    </w:p>
    <w:p w14:paraId="01928E5C" w14:textId="77777777" w:rsidR="0066522E" w:rsidRDefault="0066522E" w:rsidP="0066522E">
      <w:pPr>
        <w:spacing w:before="4" w:line="220" w:lineRule="exact"/>
        <w:rPr>
          <w:rFonts w:ascii="Times New Roman" w:hAnsi="Times New Roman" w:cs="Times New Roman"/>
          <w:lang w:val="sl-SI"/>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66522E" w14:paraId="4C7EBCF9" w14:textId="77777777" w:rsidTr="00183CD7">
        <w:trPr>
          <w:trHeight w:val="374"/>
          <w:jc w:val="center"/>
        </w:trPr>
        <w:tc>
          <w:tcPr>
            <w:tcW w:w="3572" w:type="dxa"/>
            <w:tcBorders>
              <w:top w:val="single" w:sz="4" w:space="0" w:color="auto"/>
              <w:bottom w:val="single" w:sz="4" w:space="0" w:color="auto"/>
            </w:tcBorders>
            <w:vAlign w:val="center"/>
          </w:tcPr>
          <w:p w14:paraId="6E6C1B23" w14:textId="77777777" w:rsidR="0066522E" w:rsidRDefault="0066522E" w:rsidP="00183CD7">
            <w:pPr>
              <w:pStyle w:val="a3"/>
              <w:jc w:val="center"/>
              <w:rPr>
                <w:b/>
                <w:lang w:val="sl-SI"/>
              </w:rPr>
            </w:pPr>
            <w:r>
              <w:rPr>
                <w:rFonts w:eastAsia="Times New Roman"/>
                <w:b/>
                <w:bCs/>
                <w:lang w:val="sl-SI"/>
              </w:rPr>
              <w:t>Telesna masa bolnika</w:t>
            </w:r>
          </w:p>
        </w:tc>
        <w:tc>
          <w:tcPr>
            <w:tcW w:w="3572" w:type="dxa"/>
            <w:tcBorders>
              <w:top w:val="single" w:sz="4" w:space="0" w:color="auto"/>
              <w:bottom w:val="single" w:sz="4" w:space="0" w:color="auto"/>
            </w:tcBorders>
            <w:vAlign w:val="center"/>
          </w:tcPr>
          <w:p w14:paraId="445A0500" w14:textId="77777777" w:rsidR="0066522E" w:rsidRDefault="0066522E" w:rsidP="00183CD7">
            <w:pPr>
              <w:pStyle w:val="a3"/>
              <w:jc w:val="center"/>
              <w:rPr>
                <w:b/>
                <w:lang w:val="sl-SI"/>
              </w:rPr>
            </w:pPr>
            <w:r>
              <w:rPr>
                <w:rFonts w:eastAsia="Times New Roman"/>
                <w:b/>
                <w:bCs/>
                <w:lang w:val="sl-SI"/>
              </w:rPr>
              <w:t>Shema odmerjanja</w:t>
            </w:r>
          </w:p>
        </w:tc>
      </w:tr>
      <w:tr w:rsidR="00641902" w:rsidRPr="00652F18" w14:paraId="4B775ADE" w14:textId="77777777" w:rsidTr="00183CD7">
        <w:trPr>
          <w:trHeight w:val="388"/>
          <w:jc w:val="center"/>
        </w:trPr>
        <w:tc>
          <w:tcPr>
            <w:tcW w:w="3572" w:type="dxa"/>
            <w:tcBorders>
              <w:top w:val="single" w:sz="4" w:space="0" w:color="auto"/>
              <w:bottom w:val="single" w:sz="4" w:space="0" w:color="auto"/>
            </w:tcBorders>
            <w:vAlign w:val="center"/>
          </w:tcPr>
          <w:p w14:paraId="35246C7B" w14:textId="77777777" w:rsidR="00641902" w:rsidRDefault="00641902" w:rsidP="00641902">
            <w:pPr>
              <w:pStyle w:val="a3"/>
              <w:jc w:val="center"/>
              <w:rPr>
                <w:lang w:val="sl-SI"/>
              </w:rPr>
            </w:pPr>
            <w:r>
              <w:rPr>
                <w:rFonts w:eastAsia="Times New Roman"/>
                <w:lang w:val="sl-SI"/>
              </w:rPr>
              <w:t>&lt; 30 kg</w:t>
            </w:r>
          </w:p>
        </w:tc>
        <w:tc>
          <w:tcPr>
            <w:tcW w:w="3572" w:type="dxa"/>
            <w:tcBorders>
              <w:top w:val="single" w:sz="4" w:space="0" w:color="auto"/>
              <w:bottom w:val="single" w:sz="4" w:space="0" w:color="auto"/>
            </w:tcBorders>
            <w:vAlign w:val="center"/>
          </w:tcPr>
          <w:p w14:paraId="51628439" w14:textId="67C1D042" w:rsidR="00641902" w:rsidRDefault="00641902" w:rsidP="00641902">
            <w:pPr>
              <w:pStyle w:val="a3"/>
              <w:jc w:val="center"/>
              <w:rPr>
                <w:lang w:val="sl-SI"/>
              </w:rPr>
            </w:pPr>
            <w:r>
              <w:rPr>
                <w:rFonts w:eastAsia="Times New Roman"/>
                <w:lang w:val="sl-SI"/>
              </w:rPr>
              <w:t>20 mg vsak drugi teden v kombinaciji z metotreksatom</w:t>
            </w:r>
          </w:p>
        </w:tc>
      </w:tr>
      <w:tr w:rsidR="00641902" w:rsidRPr="00652F18" w14:paraId="7E510C9E" w14:textId="77777777" w:rsidTr="00183CD7">
        <w:trPr>
          <w:trHeight w:val="374"/>
          <w:jc w:val="center"/>
        </w:trPr>
        <w:tc>
          <w:tcPr>
            <w:tcW w:w="3572" w:type="dxa"/>
            <w:tcBorders>
              <w:top w:val="single" w:sz="4" w:space="0" w:color="auto"/>
              <w:bottom w:val="single" w:sz="4" w:space="0" w:color="auto"/>
            </w:tcBorders>
            <w:vAlign w:val="center"/>
          </w:tcPr>
          <w:p w14:paraId="3CE5E086" w14:textId="77777777" w:rsidR="00641902" w:rsidRDefault="00641902" w:rsidP="00641902">
            <w:pPr>
              <w:pStyle w:val="a3"/>
              <w:jc w:val="center"/>
              <w:rPr>
                <w:lang w:val="sl-SI"/>
              </w:rPr>
            </w:pPr>
            <w:r>
              <w:rPr>
                <w:rFonts w:eastAsia="Times New Roman"/>
                <w:lang w:val="sl-SI"/>
              </w:rPr>
              <w:t>≥ 30 kg</w:t>
            </w:r>
          </w:p>
        </w:tc>
        <w:tc>
          <w:tcPr>
            <w:tcW w:w="3572" w:type="dxa"/>
            <w:tcBorders>
              <w:top w:val="single" w:sz="4" w:space="0" w:color="auto"/>
              <w:bottom w:val="single" w:sz="4" w:space="0" w:color="auto"/>
            </w:tcBorders>
            <w:vAlign w:val="center"/>
          </w:tcPr>
          <w:p w14:paraId="59E34168" w14:textId="77777777" w:rsidR="00641902" w:rsidRDefault="00641902" w:rsidP="00641902">
            <w:pPr>
              <w:pStyle w:val="a3"/>
              <w:jc w:val="center"/>
              <w:rPr>
                <w:lang w:val="sl-SI"/>
              </w:rPr>
            </w:pPr>
            <w:r>
              <w:rPr>
                <w:rFonts w:eastAsia="Times New Roman"/>
                <w:lang w:val="sl-SI"/>
              </w:rPr>
              <w:t>40 mg vsak drugi teden v kombinaciji z metotreksatom</w:t>
            </w:r>
          </w:p>
        </w:tc>
      </w:tr>
    </w:tbl>
    <w:p w14:paraId="5F69D8DD" w14:textId="77777777" w:rsidR="0066522E" w:rsidRDefault="0066522E" w:rsidP="0066522E">
      <w:pPr>
        <w:pStyle w:val="a3"/>
        <w:rPr>
          <w:lang w:val="sl-SI"/>
        </w:rPr>
      </w:pPr>
    </w:p>
    <w:p w14:paraId="0480694B" w14:textId="123A67A4" w:rsidR="0066522E" w:rsidRDefault="0066522E" w:rsidP="007811C6">
      <w:pPr>
        <w:pStyle w:val="a3"/>
        <w:ind w:firstLineChars="100" w:firstLine="220"/>
        <w:rPr>
          <w:lang w:val="sl-SI"/>
        </w:rPr>
      </w:pPr>
      <w:r>
        <w:rPr>
          <w:rFonts w:eastAsia="Times New Roman"/>
          <w:lang w:val="sl-SI"/>
        </w:rPr>
        <w:t>Ob uvedbi zdravljenja z zdravilom Yuflyma se lahko uporabi polnilni odmerek 40 mg za bolnike s telesno maso &lt; 30 kg, ali 80 mg za bolnike</w:t>
      </w:r>
      <w:r w:rsidR="00641902">
        <w:rPr>
          <w:rFonts w:eastAsia="Times New Roman"/>
          <w:lang w:val="sl-SI"/>
        </w:rPr>
        <w:t xml:space="preserve"> </w:t>
      </w:r>
      <w:r>
        <w:rPr>
          <w:rFonts w:eastAsia="Times New Roman"/>
          <w:lang w:val="sl-SI"/>
        </w:rPr>
        <w:t>≥ 30 kg en teden pred začetkom vzdrževalnega zdravljenja. Kliničnih podatkov o uporabi polnilnega odmerka adalimumaba pri otrocih, starih &lt; 6 let, ni (glejte poglavje 5.2).</w:t>
      </w:r>
    </w:p>
    <w:p w14:paraId="4D5408AF" w14:textId="77777777" w:rsidR="0066522E" w:rsidRDefault="0066522E" w:rsidP="0066522E">
      <w:pPr>
        <w:spacing w:before="10" w:line="240" w:lineRule="exact"/>
        <w:rPr>
          <w:rFonts w:ascii="Times New Roman" w:hAnsi="Times New Roman" w:cs="Times New Roman"/>
          <w:sz w:val="24"/>
          <w:szCs w:val="24"/>
          <w:lang w:val="sl-SI"/>
        </w:rPr>
      </w:pPr>
    </w:p>
    <w:p w14:paraId="2BDE0262" w14:textId="77777777" w:rsidR="0066522E" w:rsidRDefault="0066522E" w:rsidP="0066522E">
      <w:pPr>
        <w:pStyle w:val="a3"/>
        <w:rPr>
          <w:lang w:val="sl-SI"/>
        </w:rPr>
      </w:pPr>
      <w:r>
        <w:rPr>
          <w:rFonts w:eastAsia="Times New Roman"/>
          <w:lang w:val="sl-SI"/>
        </w:rPr>
        <w:t>Uporaba zdravila adalimumaba pri otrocih, mlajših od 2 let, za to indikacijo ni primerna.</w:t>
      </w:r>
    </w:p>
    <w:p w14:paraId="7F0E3726" w14:textId="77777777" w:rsidR="0066522E" w:rsidRDefault="0066522E" w:rsidP="0066522E">
      <w:pPr>
        <w:spacing w:before="11" w:line="240" w:lineRule="exact"/>
        <w:rPr>
          <w:rFonts w:ascii="Times New Roman" w:hAnsi="Times New Roman" w:cs="Times New Roman"/>
          <w:sz w:val="24"/>
          <w:szCs w:val="24"/>
          <w:lang w:val="sl-SI"/>
        </w:rPr>
      </w:pPr>
    </w:p>
    <w:p w14:paraId="39F87AF3" w14:textId="5176EE58" w:rsidR="00641902" w:rsidRDefault="0066522E" w:rsidP="0066522E">
      <w:pPr>
        <w:pStyle w:val="a3"/>
        <w:rPr>
          <w:lang w:val="sl-SI"/>
        </w:rPr>
      </w:pPr>
      <w:r>
        <w:rPr>
          <w:rFonts w:eastAsia="Times New Roman"/>
          <w:spacing w:val="-4"/>
          <w:lang w:val="sl-SI"/>
        </w:rPr>
        <w:lastRenderedPageBreak/>
        <w:t>Priporočljivo je, da se vsako leto ocenijo koristi in tveganja nadaljnjega dolgotrajnega zdravljenja (glejte poglavje 5.1).</w:t>
      </w:r>
    </w:p>
    <w:p w14:paraId="06149A15" w14:textId="7C5A4150" w:rsidR="00641902" w:rsidRDefault="00641902" w:rsidP="0066522E">
      <w:pPr>
        <w:spacing w:before="16" w:line="240" w:lineRule="exact"/>
        <w:rPr>
          <w:sz w:val="24"/>
          <w:szCs w:val="24"/>
          <w:lang w:val="sl-SI"/>
        </w:rPr>
      </w:pPr>
    </w:p>
    <w:p w14:paraId="3B6A334C" w14:textId="48D01FF7" w:rsidR="0066522E" w:rsidRDefault="00641902" w:rsidP="007811C6">
      <w:pPr>
        <w:pStyle w:val="a3"/>
        <w:rPr>
          <w:lang w:val="sl-SI"/>
        </w:rPr>
      </w:pPr>
      <w:r w:rsidRPr="00566D4D">
        <w:rPr>
          <w:lang w:val="sl-SI"/>
        </w:rPr>
        <w:t xml:space="preserve">Zdravilo </w:t>
      </w:r>
      <w:r w:rsidR="007811C6" w:rsidRPr="00566D4D">
        <w:rPr>
          <w:lang w:val="sl-SI"/>
        </w:rPr>
        <w:t>Yuflyma</w:t>
      </w:r>
      <w:r w:rsidRPr="00566D4D">
        <w:rPr>
          <w:lang w:val="sl-SI"/>
        </w:rPr>
        <w:t xml:space="preserve"> je lahko na voljo v drugih jakostih in/ali oblikah, odvisno od individualnih potreb zdravljenja.</w:t>
      </w:r>
    </w:p>
    <w:p w14:paraId="743EB037" w14:textId="332187E8" w:rsidR="0066522E" w:rsidRDefault="0066522E" w:rsidP="0066522E">
      <w:pPr>
        <w:spacing w:before="12" w:line="240" w:lineRule="exact"/>
        <w:rPr>
          <w:rFonts w:ascii="Times New Roman" w:hAnsi="Times New Roman" w:cs="Times New Roman"/>
          <w:lang w:val="sl-SI"/>
        </w:rPr>
      </w:pPr>
    </w:p>
    <w:p w14:paraId="3B38AE24" w14:textId="77777777" w:rsidR="00641902" w:rsidRPr="007811C6" w:rsidRDefault="00641902" w:rsidP="007811C6">
      <w:pPr>
        <w:pStyle w:val="a3"/>
        <w:rPr>
          <w:rFonts w:eastAsia="Times New Roman"/>
          <w:u w:val="single" w:color="000000"/>
          <w:lang w:val="sl-SI"/>
        </w:rPr>
      </w:pPr>
      <w:r w:rsidRPr="007811C6">
        <w:rPr>
          <w:rFonts w:eastAsia="Times New Roman"/>
          <w:u w:val="single" w:color="000000"/>
          <w:lang w:val="sl-SI"/>
        </w:rPr>
        <w:t>Okvara ledvic in/ali jeter</w:t>
      </w:r>
    </w:p>
    <w:p w14:paraId="1CE1B4C9" w14:textId="77777777" w:rsidR="00641902" w:rsidRPr="00385E1F" w:rsidRDefault="00641902" w:rsidP="0066522E">
      <w:pPr>
        <w:spacing w:before="12" w:line="240" w:lineRule="exact"/>
        <w:rPr>
          <w:rFonts w:ascii="Times New Roman" w:hAnsi="Times New Roman" w:cs="Times New Roman"/>
          <w:lang w:val="sl-SI"/>
        </w:rPr>
      </w:pPr>
    </w:p>
    <w:p w14:paraId="286798DD" w14:textId="5605F676" w:rsidR="00641902" w:rsidRPr="00385E1F" w:rsidRDefault="00641902" w:rsidP="0066522E">
      <w:pPr>
        <w:spacing w:before="12" w:line="240" w:lineRule="exact"/>
        <w:rPr>
          <w:rFonts w:ascii="Times New Roman" w:hAnsi="Times New Roman" w:cs="Times New Roman"/>
          <w:lang w:val="sl-SI"/>
        </w:rPr>
      </w:pPr>
      <w:r w:rsidRPr="00385E1F">
        <w:rPr>
          <w:rFonts w:ascii="Times New Roman" w:hAnsi="Times New Roman" w:cs="Times New Roman"/>
          <w:lang w:val="sl-SI"/>
        </w:rPr>
        <w:t xml:space="preserve">Zdravilo </w:t>
      </w:r>
      <w:r w:rsidR="007811C6" w:rsidRPr="00385E1F">
        <w:rPr>
          <w:rFonts w:ascii="Times New Roman" w:hAnsi="Times New Roman" w:cs="Times New Roman"/>
          <w:lang w:val="sl-SI"/>
        </w:rPr>
        <w:t>Yuflyma</w:t>
      </w:r>
      <w:r w:rsidRPr="00385E1F">
        <w:rPr>
          <w:rFonts w:ascii="Times New Roman" w:hAnsi="Times New Roman" w:cs="Times New Roman"/>
          <w:lang w:val="sl-SI"/>
        </w:rPr>
        <w:t xml:space="preserve"> pri teh populacijah bolnikov še ni bila preskušena, zato priporočil za odmerjanje ni mogoče dati.</w:t>
      </w:r>
    </w:p>
    <w:p w14:paraId="1C8C18BF" w14:textId="77777777" w:rsidR="00641902" w:rsidRPr="00385E1F" w:rsidRDefault="00641902" w:rsidP="0066522E">
      <w:pPr>
        <w:spacing w:before="12" w:line="240" w:lineRule="exact"/>
        <w:rPr>
          <w:rFonts w:ascii="Times New Roman" w:hAnsi="Times New Roman" w:cs="Times New Roman"/>
          <w:lang w:val="sl-SI"/>
        </w:rPr>
      </w:pPr>
    </w:p>
    <w:p w14:paraId="23FB2FD5" w14:textId="77777777" w:rsidR="0066522E" w:rsidRDefault="0066522E" w:rsidP="0066522E">
      <w:pPr>
        <w:pStyle w:val="a3"/>
        <w:rPr>
          <w:u w:val="single"/>
          <w:lang w:val="sl-SI"/>
        </w:rPr>
      </w:pPr>
      <w:r>
        <w:rPr>
          <w:rFonts w:eastAsia="Times New Roman"/>
          <w:u w:val="single" w:color="000000"/>
          <w:lang w:val="sl-SI"/>
        </w:rPr>
        <w:t>Način uporabe</w:t>
      </w:r>
    </w:p>
    <w:p w14:paraId="7666CFF9" w14:textId="77777777" w:rsidR="0066522E" w:rsidRDefault="0066522E" w:rsidP="0066522E">
      <w:pPr>
        <w:spacing w:before="9" w:line="170" w:lineRule="exact"/>
        <w:rPr>
          <w:rFonts w:ascii="Times New Roman" w:hAnsi="Times New Roman" w:cs="Times New Roman"/>
          <w:lang w:val="sl-SI"/>
        </w:rPr>
      </w:pPr>
    </w:p>
    <w:p w14:paraId="6A78BE63" w14:textId="6045EF84" w:rsidR="0066522E" w:rsidRDefault="0066522E" w:rsidP="0066522E">
      <w:pPr>
        <w:pStyle w:val="a3"/>
        <w:rPr>
          <w:lang w:val="sl-SI"/>
        </w:rPr>
      </w:pPr>
      <w:r>
        <w:rPr>
          <w:rFonts w:eastAsia="Times New Roman"/>
          <w:lang w:val="sl-SI"/>
        </w:rPr>
        <w:t>Zdravilo Yuflyma se daje v obliki subkutane injekcije.</w:t>
      </w:r>
      <w:r w:rsidR="00641902">
        <w:rPr>
          <w:rFonts w:eastAsia="Times New Roman"/>
          <w:lang w:val="sl-SI"/>
        </w:rPr>
        <w:t xml:space="preserve"> </w:t>
      </w:r>
      <w:r>
        <w:rPr>
          <w:rFonts w:eastAsia="Times New Roman"/>
          <w:lang w:val="sl-SI"/>
        </w:rPr>
        <w:t>Podrobna navodila za uporabo so vključena v navodilu za uporabo.</w:t>
      </w:r>
    </w:p>
    <w:p w14:paraId="352CD1D4" w14:textId="77777777" w:rsidR="0066522E" w:rsidRDefault="0066522E" w:rsidP="0066522E">
      <w:pPr>
        <w:spacing w:before="12" w:line="240" w:lineRule="exact"/>
        <w:rPr>
          <w:rFonts w:ascii="Times New Roman" w:hAnsi="Times New Roman" w:cs="Times New Roman"/>
          <w:lang w:val="sl-SI"/>
        </w:rPr>
      </w:pPr>
    </w:p>
    <w:p w14:paraId="137A8125" w14:textId="3581CF87" w:rsidR="0066522E" w:rsidRDefault="00641902" w:rsidP="0066522E">
      <w:pPr>
        <w:pStyle w:val="a3"/>
        <w:rPr>
          <w:rFonts w:eastAsia="Times New Roman"/>
          <w:lang w:val="sl-SI"/>
        </w:rPr>
      </w:pPr>
      <w:r w:rsidRPr="00566D4D">
        <w:rPr>
          <w:lang w:val="de-DE"/>
        </w:rPr>
        <w:t xml:space="preserve">Zdravilo </w:t>
      </w:r>
      <w:r w:rsidR="007811C6" w:rsidRPr="00566D4D">
        <w:rPr>
          <w:lang w:val="de-DE"/>
        </w:rPr>
        <w:t>Yuflyma</w:t>
      </w:r>
      <w:r w:rsidRPr="00566D4D">
        <w:rPr>
          <w:lang w:val="de-DE"/>
        </w:rPr>
        <w:t xml:space="preserve"> je na voljo v drugih jakostih in oblikah</w:t>
      </w:r>
      <w:r w:rsidR="0066522E">
        <w:rPr>
          <w:rFonts w:eastAsia="Times New Roman"/>
          <w:lang w:val="sl-SI"/>
        </w:rPr>
        <w:t>.</w:t>
      </w:r>
    </w:p>
    <w:p w14:paraId="31E6B2A5" w14:textId="77777777" w:rsidR="00641902" w:rsidRDefault="00641902" w:rsidP="0066522E">
      <w:pPr>
        <w:pStyle w:val="a3"/>
        <w:rPr>
          <w:lang w:val="sl-SI"/>
        </w:rPr>
      </w:pPr>
    </w:p>
    <w:p w14:paraId="5DB914B9" w14:textId="77777777" w:rsidR="0066522E" w:rsidRDefault="0066522E" w:rsidP="0066522E">
      <w:pPr>
        <w:spacing w:before="16" w:line="240" w:lineRule="exact"/>
        <w:rPr>
          <w:rFonts w:ascii="Times New Roman" w:hAnsi="Times New Roman" w:cs="Times New Roman"/>
          <w:lang w:val="sl-SI"/>
        </w:rPr>
      </w:pPr>
    </w:p>
    <w:p w14:paraId="205CE476" w14:textId="77777777" w:rsidR="0066522E" w:rsidRDefault="0066522E" w:rsidP="007811C6">
      <w:pPr>
        <w:widowControl/>
        <w:numPr>
          <w:ilvl w:val="1"/>
          <w:numId w:val="146"/>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Kontraindikacije</w:t>
      </w:r>
    </w:p>
    <w:p w14:paraId="26B541E2" w14:textId="77777777" w:rsidR="0066522E" w:rsidRDefault="0066522E" w:rsidP="0066522E">
      <w:pPr>
        <w:spacing w:before="9" w:line="240" w:lineRule="exact"/>
        <w:rPr>
          <w:rFonts w:ascii="Times New Roman" w:hAnsi="Times New Roman" w:cs="Times New Roman"/>
          <w:lang w:val="sl-SI"/>
        </w:rPr>
      </w:pPr>
    </w:p>
    <w:p w14:paraId="12AD4BBA" w14:textId="77777777" w:rsidR="0066522E" w:rsidRDefault="0066522E" w:rsidP="0066522E">
      <w:pPr>
        <w:pStyle w:val="a3"/>
        <w:rPr>
          <w:lang w:val="sl-SI"/>
        </w:rPr>
      </w:pPr>
      <w:r>
        <w:rPr>
          <w:rFonts w:eastAsia="Times New Roman"/>
          <w:lang w:val="sl-SI"/>
        </w:rPr>
        <w:t>Preobčutljivost na učinkovino ali katero koli pomožno snov, navedeno v poglavju 6.1.</w:t>
      </w:r>
    </w:p>
    <w:p w14:paraId="1D3EE322" w14:textId="77777777" w:rsidR="0066522E" w:rsidRDefault="0066522E" w:rsidP="0066522E">
      <w:pPr>
        <w:spacing w:before="13" w:line="240" w:lineRule="exact"/>
        <w:rPr>
          <w:rFonts w:ascii="Times New Roman" w:hAnsi="Times New Roman" w:cs="Times New Roman"/>
          <w:lang w:val="sl-SI"/>
        </w:rPr>
      </w:pPr>
    </w:p>
    <w:p w14:paraId="109C4A8C" w14:textId="77777777" w:rsidR="0066522E" w:rsidRDefault="0066522E" w:rsidP="0066522E">
      <w:pPr>
        <w:pStyle w:val="a3"/>
        <w:rPr>
          <w:lang w:val="sl-SI"/>
        </w:rPr>
      </w:pPr>
      <w:r>
        <w:rPr>
          <w:rFonts w:eastAsia="Times New Roman"/>
          <w:lang w:val="sl-SI"/>
        </w:rPr>
        <w:t xml:space="preserve">Aktivna tuberkuloza ali druge hude okužbe, kot so sepsa in oportunistične okužbe (glejte poglavje 4.4). </w:t>
      </w:r>
    </w:p>
    <w:p w14:paraId="56E4A35E" w14:textId="77777777" w:rsidR="0066522E" w:rsidRDefault="0066522E" w:rsidP="0066522E">
      <w:pPr>
        <w:pStyle w:val="a3"/>
        <w:rPr>
          <w:lang w:val="sl-SI"/>
        </w:rPr>
      </w:pPr>
    </w:p>
    <w:p w14:paraId="1C5C2411" w14:textId="77777777" w:rsidR="0066522E" w:rsidRDefault="0066522E" w:rsidP="0066522E">
      <w:pPr>
        <w:pStyle w:val="a3"/>
        <w:rPr>
          <w:lang w:val="sl-SI"/>
        </w:rPr>
      </w:pPr>
      <w:r>
        <w:rPr>
          <w:rFonts w:eastAsia="Times New Roman"/>
          <w:lang w:val="sl-SI"/>
        </w:rPr>
        <w:t>Zmerno do hudo srčno popuščanje (razred III/IV po razvrstitvi NYHA) (glejte poglavje 4.4).</w:t>
      </w:r>
    </w:p>
    <w:p w14:paraId="15E06EA1" w14:textId="77777777" w:rsidR="0066522E" w:rsidRDefault="0066522E" w:rsidP="0066522E">
      <w:pPr>
        <w:pStyle w:val="a3"/>
        <w:rPr>
          <w:lang w:val="sl-SI"/>
        </w:rPr>
      </w:pPr>
    </w:p>
    <w:p w14:paraId="5E00D0C8" w14:textId="77777777" w:rsidR="0066522E" w:rsidRDefault="0066522E" w:rsidP="007811C6">
      <w:pPr>
        <w:widowControl/>
        <w:numPr>
          <w:ilvl w:val="1"/>
          <w:numId w:val="146"/>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Posebna opozorila in previdnostni ukrepi</w:t>
      </w:r>
    </w:p>
    <w:p w14:paraId="60566EA2" w14:textId="77777777" w:rsidR="0066522E" w:rsidRDefault="0066522E" w:rsidP="0066522E">
      <w:pPr>
        <w:spacing w:before="9" w:line="240" w:lineRule="exact"/>
        <w:rPr>
          <w:rFonts w:ascii="Times New Roman" w:hAnsi="Times New Roman" w:cs="Times New Roman"/>
          <w:lang w:val="sl-SI"/>
        </w:rPr>
      </w:pPr>
    </w:p>
    <w:p w14:paraId="6EDF1EDB" w14:textId="77777777" w:rsidR="0066522E" w:rsidRDefault="0066522E" w:rsidP="0066522E">
      <w:pPr>
        <w:pStyle w:val="a3"/>
        <w:rPr>
          <w:u w:val="single"/>
          <w:lang w:val="sl-SI"/>
        </w:rPr>
      </w:pPr>
      <w:r>
        <w:rPr>
          <w:rFonts w:eastAsia="Times New Roman"/>
          <w:spacing w:val="1"/>
          <w:u w:val="single" w:color="000000"/>
          <w:lang w:val="sl-SI"/>
        </w:rPr>
        <w:t>Sledljivost</w:t>
      </w:r>
    </w:p>
    <w:p w14:paraId="00AFA7E1" w14:textId="77777777" w:rsidR="0066522E" w:rsidRDefault="0066522E" w:rsidP="0066522E">
      <w:pPr>
        <w:spacing w:before="1" w:line="180" w:lineRule="exact"/>
        <w:rPr>
          <w:rFonts w:ascii="Times New Roman" w:hAnsi="Times New Roman" w:cs="Times New Roman"/>
          <w:lang w:val="sl-SI"/>
        </w:rPr>
      </w:pPr>
    </w:p>
    <w:p w14:paraId="6DC82100" w14:textId="77777777" w:rsidR="0066522E" w:rsidRDefault="0066522E" w:rsidP="0066522E">
      <w:pPr>
        <w:pStyle w:val="a3"/>
        <w:rPr>
          <w:lang w:val="sl-SI"/>
        </w:rPr>
      </w:pPr>
      <w:r>
        <w:rPr>
          <w:rFonts w:eastAsia="Times New Roman"/>
          <w:lang w:val="sl-SI"/>
        </w:rPr>
        <w:t>Z namenom izboljšanja sledljivosti bioloških zdravil je treba jasno zabeležiti ime in številko serije uporabljenega zdravila.</w:t>
      </w:r>
    </w:p>
    <w:p w14:paraId="31A6FB08" w14:textId="77777777" w:rsidR="0066522E" w:rsidRDefault="0066522E" w:rsidP="0066522E">
      <w:pPr>
        <w:spacing w:before="11" w:line="240" w:lineRule="exact"/>
        <w:rPr>
          <w:rFonts w:ascii="Times New Roman" w:hAnsi="Times New Roman" w:cs="Times New Roman"/>
          <w:lang w:val="sl-SI"/>
        </w:rPr>
      </w:pPr>
    </w:p>
    <w:p w14:paraId="6DF934D9" w14:textId="77777777" w:rsidR="0066522E" w:rsidRDefault="0066522E" w:rsidP="0066522E">
      <w:pPr>
        <w:pStyle w:val="a3"/>
        <w:rPr>
          <w:u w:val="single"/>
          <w:lang w:val="sl-SI"/>
        </w:rPr>
      </w:pPr>
      <w:r>
        <w:rPr>
          <w:rFonts w:eastAsia="Times New Roman"/>
          <w:u w:val="single" w:color="000000"/>
          <w:lang w:val="sl-SI"/>
        </w:rPr>
        <w:t>Okužbe</w:t>
      </w:r>
    </w:p>
    <w:p w14:paraId="0C6D6BF6" w14:textId="77777777" w:rsidR="0066522E" w:rsidRDefault="0066522E" w:rsidP="0066522E">
      <w:pPr>
        <w:spacing w:before="1" w:line="180" w:lineRule="exact"/>
        <w:rPr>
          <w:rFonts w:ascii="Times New Roman" w:hAnsi="Times New Roman" w:cs="Times New Roman"/>
          <w:lang w:val="sl-SI"/>
        </w:rPr>
      </w:pPr>
    </w:p>
    <w:p w14:paraId="5CD36B0C" w14:textId="77777777" w:rsidR="0066522E" w:rsidRDefault="0066522E" w:rsidP="0066522E">
      <w:pPr>
        <w:pStyle w:val="a3"/>
        <w:rPr>
          <w:lang w:val="sl-SI"/>
        </w:rPr>
      </w:pPr>
      <w:r>
        <w:rPr>
          <w:rFonts w:eastAsia="Times New Roman"/>
          <w:lang w:val="sl-SI"/>
        </w:rPr>
        <w:t xml:space="preserve">Bolniki, ki jemljejo TNF-antagoniste, so bolj dovzetni za resne okužbe. </w:t>
      </w:r>
      <w:r w:rsidRPr="0047220F">
        <w:rPr>
          <w:rFonts w:eastAsia="Times New Roman"/>
          <w:lang w:val="sl-SI"/>
        </w:rPr>
        <w:t>Okvarjeno delovanje pljuč</w:t>
      </w:r>
      <w:r>
        <w:rPr>
          <w:rFonts w:eastAsia="Times New Roman"/>
          <w:lang w:val="sl-SI"/>
        </w:rPr>
        <w:t xml:space="preserve"> lahko poveča tveganje za razvoj okužb. Zato je treba bolnike pred zdravljenjem z zdravilom Yuflyma med njim in po njem skrbno spremljati glede okužb, vključno s tuberkulozo. Ker lahko odstranitev adalimumaba traja do štiri mesece, je treba v tem obdobju nadaljevati s spremljanjem.</w:t>
      </w:r>
    </w:p>
    <w:p w14:paraId="35BE8B6B" w14:textId="77777777" w:rsidR="0066522E" w:rsidRDefault="0066522E" w:rsidP="0066522E">
      <w:pPr>
        <w:spacing w:before="14" w:line="240" w:lineRule="exact"/>
        <w:rPr>
          <w:rFonts w:ascii="Times New Roman" w:hAnsi="Times New Roman" w:cs="Times New Roman"/>
          <w:lang w:val="sl-SI"/>
        </w:rPr>
      </w:pPr>
    </w:p>
    <w:p w14:paraId="69F75C77" w14:textId="77777777" w:rsidR="0066522E" w:rsidRDefault="0066522E" w:rsidP="0066522E">
      <w:pPr>
        <w:pStyle w:val="a3"/>
        <w:rPr>
          <w:lang w:val="sl-SI"/>
        </w:rPr>
      </w:pPr>
      <w:r>
        <w:rPr>
          <w:rFonts w:eastAsia="Times New Roman"/>
          <w:lang w:val="sl-SI"/>
        </w:rPr>
        <w:t xml:space="preserve">Zdravljenje z zdravilom Yuflyma se ne sme začeti pri bolnikih z aktivnimi okužbami, vključno s kroničnimi ali lokaliziranimi okužbami, dokler niso okužbe pod nadzorom. Pri bolnikih, ki so bili izpostavljeni tuberkulozi in bolnikom, ki so potovali na področja z visokim tveganjem za tuberkulozo ali endemične mikoze, kot so histoplazmoza, koktikoidomikoza ali blastomikoza, je treba pred začetkom zdravljenja pretehtati tveganje in koristi zdravljenja z zdravilom Yuflyma (glejte </w:t>
      </w:r>
      <w:r>
        <w:rPr>
          <w:rFonts w:eastAsia="Times New Roman"/>
          <w:i/>
          <w:iCs/>
          <w:lang w:val="sl-SI"/>
        </w:rPr>
        <w:t>Druge oportunistične okužbe</w:t>
      </w:r>
      <w:r>
        <w:rPr>
          <w:rFonts w:eastAsia="Times New Roman"/>
          <w:lang w:val="sl-SI"/>
        </w:rPr>
        <w:t>).</w:t>
      </w:r>
    </w:p>
    <w:p w14:paraId="51A31DD7" w14:textId="77777777" w:rsidR="0066522E" w:rsidRDefault="0066522E" w:rsidP="0066522E">
      <w:pPr>
        <w:spacing w:before="13" w:line="240" w:lineRule="exact"/>
        <w:rPr>
          <w:rFonts w:ascii="Times New Roman" w:hAnsi="Times New Roman" w:cs="Times New Roman"/>
          <w:lang w:val="sl-SI"/>
        </w:rPr>
      </w:pPr>
    </w:p>
    <w:p w14:paraId="79BCAE6C" w14:textId="77777777" w:rsidR="0066522E" w:rsidRDefault="0066522E" w:rsidP="0066522E">
      <w:pPr>
        <w:pStyle w:val="a3"/>
        <w:rPr>
          <w:lang w:val="sl-SI"/>
        </w:rPr>
      </w:pPr>
      <w:r>
        <w:rPr>
          <w:rFonts w:eastAsia="Times New Roman"/>
          <w:lang w:val="sl-SI"/>
        </w:rPr>
        <w:t>Pri bolnikih, pri katerih se med zdravljenjem z zdravilom Yuflyma pojavi nova okužba, je treba skrbno spremljati in opraviti popolno diagnostično oceno. Če se bolniku pojavi nova resna okužba ali sepsa, je treba uporabo zdravila Yuflyma prekiniti in uvesti ustrezno protimikrobno ali protimikotično zdravljenje, dokler okužba ni obvladana. Zdravniki morajo biti previdni pri odločanju o uporabi zdravila Yuflyma pri bolnikih z anamnezo ponavljajočih se okužb ali bolezenskih stanj v telesu, zaradi katerih bi lahko bolniki nagnjeni k okužbam, vključno z uporabo sočasnih imunosupresivnih zdravil.</w:t>
      </w:r>
    </w:p>
    <w:p w14:paraId="567C65F6" w14:textId="77777777" w:rsidR="0066522E" w:rsidRDefault="0066522E" w:rsidP="0066522E">
      <w:pPr>
        <w:pStyle w:val="a3"/>
        <w:rPr>
          <w:lang w:val="sl-SI"/>
        </w:rPr>
      </w:pPr>
    </w:p>
    <w:p w14:paraId="7D606A9A" w14:textId="77777777" w:rsidR="0066522E" w:rsidRDefault="0066522E" w:rsidP="0066522E">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Resne okužbe</w:t>
      </w:r>
    </w:p>
    <w:p w14:paraId="76E686C9" w14:textId="77777777" w:rsidR="0066522E" w:rsidRDefault="0066522E" w:rsidP="0066522E">
      <w:pPr>
        <w:spacing w:line="240" w:lineRule="exact"/>
        <w:rPr>
          <w:rFonts w:ascii="Times New Roman" w:hAnsi="Times New Roman" w:cs="Times New Roman"/>
          <w:lang w:val="sl-SI"/>
        </w:rPr>
      </w:pPr>
    </w:p>
    <w:p w14:paraId="04CDBC24" w14:textId="77777777" w:rsidR="0066522E" w:rsidRDefault="0066522E" w:rsidP="0066522E">
      <w:pPr>
        <w:pStyle w:val="a3"/>
        <w:rPr>
          <w:lang w:val="sl-SI"/>
        </w:rPr>
      </w:pPr>
      <w:r>
        <w:rPr>
          <w:rFonts w:eastAsia="Times New Roman"/>
          <w:lang w:val="sl-SI"/>
        </w:rPr>
        <w:t>Pri bolnikih, ki so prejemali adalimumab, so poročali o resnih okužbah, vključno s sepso, zaradi bakterijskih, mikobakterijskih, invazivnih glivičnih, parazitskih, virusnih ali drugih oportunističnih okužb, kot so listerioza, legioneloza in pnevmocistis.</w:t>
      </w:r>
    </w:p>
    <w:p w14:paraId="63B772F0" w14:textId="77777777" w:rsidR="0066522E" w:rsidRDefault="0066522E" w:rsidP="0066522E">
      <w:pPr>
        <w:spacing w:line="240" w:lineRule="exact"/>
        <w:rPr>
          <w:rFonts w:ascii="Times New Roman" w:hAnsi="Times New Roman" w:cs="Times New Roman"/>
          <w:lang w:val="sl-SI"/>
        </w:rPr>
      </w:pPr>
    </w:p>
    <w:p w14:paraId="0FC1546E" w14:textId="77777777" w:rsidR="0066522E" w:rsidRDefault="0066522E" w:rsidP="0066522E">
      <w:pPr>
        <w:pStyle w:val="a3"/>
        <w:rPr>
          <w:lang w:val="sl-SI"/>
        </w:rPr>
      </w:pPr>
      <w:r>
        <w:rPr>
          <w:rFonts w:eastAsia="Times New Roman"/>
          <w:lang w:val="sl-SI"/>
        </w:rPr>
        <w:t>Druge resne okužbe, ki so jih opazili v kliničnih preskušanjih, vključujejo pljučnico, pielonefritis, septični artritis in septikemijo. Poročali so o hospitalizaciji ali smrtnih izidih, povezanih z okužbami.</w:t>
      </w:r>
    </w:p>
    <w:p w14:paraId="06D0C161" w14:textId="77777777" w:rsidR="0066522E" w:rsidRDefault="0066522E" w:rsidP="0066522E">
      <w:pPr>
        <w:spacing w:line="240" w:lineRule="exact"/>
        <w:rPr>
          <w:rFonts w:ascii="Times New Roman" w:hAnsi="Times New Roman" w:cs="Times New Roman"/>
          <w:lang w:val="sl-SI"/>
        </w:rPr>
      </w:pPr>
    </w:p>
    <w:p w14:paraId="1197494F" w14:textId="77777777" w:rsidR="0066522E" w:rsidRDefault="0066522E" w:rsidP="0066522E">
      <w:pPr>
        <w:spacing w:line="240" w:lineRule="exact"/>
        <w:rPr>
          <w:rFonts w:ascii="Times New Roman" w:hAnsi="Times New Roman" w:cs="Times New Roman"/>
          <w:lang w:val="sl-SI"/>
        </w:rPr>
      </w:pPr>
    </w:p>
    <w:p w14:paraId="73E40F79" w14:textId="77777777" w:rsidR="0066522E" w:rsidRPr="00A16C44" w:rsidRDefault="0066522E" w:rsidP="0066522E">
      <w:pPr>
        <w:spacing w:line="240" w:lineRule="exact"/>
        <w:rPr>
          <w:rFonts w:ascii="Times New Roman" w:hAnsi="Times New Roman" w:cs="Times New Roman"/>
          <w:lang w:val="sl-SI"/>
        </w:rPr>
      </w:pPr>
    </w:p>
    <w:p w14:paraId="0F328281" w14:textId="77777777" w:rsidR="0066522E" w:rsidRDefault="0066522E" w:rsidP="0066522E">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Tuberkuloza</w:t>
      </w:r>
    </w:p>
    <w:p w14:paraId="1FC557EC" w14:textId="77777777" w:rsidR="0066522E" w:rsidRDefault="0066522E" w:rsidP="0066522E">
      <w:pPr>
        <w:spacing w:line="240" w:lineRule="exact"/>
        <w:rPr>
          <w:rFonts w:ascii="Times New Roman" w:hAnsi="Times New Roman" w:cs="Times New Roman"/>
          <w:lang w:val="sl-SI"/>
        </w:rPr>
      </w:pPr>
    </w:p>
    <w:p w14:paraId="70CAB007" w14:textId="77777777" w:rsidR="0066522E" w:rsidRDefault="0066522E" w:rsidP="0066522E">
      <w:pPr>
        <w:pStyle w:val="a3"/>
        <w:rPr>
          <w:lang w:val="sl-SI"/>
        </w:rPr>
      </w:pPr>
      <w:r>
        <w:rPr>
          <w:rFonts w:eastAsia="Times New Roman"/>
          <w:lang w:val="sl-SI"/>
        </w:rPr>
        <w:t>Pri bolnikih, ki so prejemali adalimumab, so poročali o tuberkulozi, vključno z reaktivacijo in novim pojavom tuberkuloze. Poročila so vključevala primere pljučne in zunajpljučne tuberkuloze (tj. diseminirane).</w:t>
      </w:r>
    </w:p>
    <w:p w14:paraId="2ACFFEB2" w14:textId="77777777" w:rsidR="0066522E" w:rsidRDefault="0066522E" w:rsidP="0066522E">
      <w:pPr>
        <w:spacing w:line="240" w:lineRule="exact"/>
        <w:rPr>
          <w:rFonts w:ascii="Times New Roman" w:hAnsi="Times New Roman" w:cs="Times New Roman"/>
          <w:lang w:val="sl-SI"/>
        </w:rPr>
      </w:pPr>
    </w:p>
    <w:p w14:paraId="086AB9C6" w14:textId="77777777" w:rsidR="0066522E" w:rsidRDefault="0066522E" w:rsidP="0066522E">
      <w:pPr>
        <w:pStyle w:val="a3"/>
        <w:rPr>
          <w:lang w:val="sl-SI"/>
        </w:rPr>
      </w:pPr>
      <w:r>
        <w:rPr>
          <w:rFonts w:eastAsia="Times New Roman"/>
          <w:lang w:val="sl-SI"/>
        </w:rPr>
        <w:t>Pred začetkom zdravljenja z zdravilom Yuflyma je treba vse bolnike pregledati glede aktivne ali neaktivne („latentne“) tuberkuloze. Ta ocena mora vključevati podrobno zdravstveno oceno anamneze bolnikov s tuberkulozo ali morebitne predhodne izpostavljenosti osebam z aktivno tuberkulozo ter predhodno in/ali trenutno imunosupresivno terapijo. Pri vseh bolnikih je treba opraviti ustrezne presejalne teste (npr. tuberkulinski kožni test in rentgensko slikanje prsnega koša) (lahko veljajo lokalna priporočila). Priporočljivo je, da se izvajanje in rezultati teh preiskav zabeležijo na opozorilni kartici za bolnika. Predpisovalce opozarjamo na tveganje za lažne negativne rezultate tuberkulinskih kožnih testov, zlasti pri bolnikih s hudo bolnimi ali imunsko ogroženimi boleznimi.</w:t>
      </w:r>
    </w:p>
    <w:p w14:paraId="0165A2DF" w14:textId="77777777" w:rsidR="0066522E" w:rsidRDefault="0066522E" w:rsidP="0066522E">
      <w:pPr>
        <w:spacing w:before="13" w:line="240" w:lineRule="exact"/>
        <w:rPr>
          <w:rFonts w:ascii="Times New Roman" w:hAnsi="Times New Roman" w:cs="Times New Roman"/>
          <w:lang w:val="sl-SI"/>
        </w:rPr>
      </w:pPr>
    </w:p>
    <w:p w14:paraId="3325F27F" w14:textId="77777777" w:rsidR="0066522E" w:rsidRDefault="0066522E" w:rsidP="0066522E">
      <w:pPr>
        <w:pStyle w:val="a3"/>
        <w:rPr>
          <w:lang w:val="sl-SI"/>
        </w:rPr>
      </w:pPr>
      <w:r>
        <w:rPr>
          <w:rFonts w:eastAsia="Times New Roman"/>
          <w:lang w:val="sl-SI"/>
        </w:rPr>
        <w:t>Če je diagnosticirana aktivna tuberkuloza, se zdravljenja z zdravilom Yuflyma ne sme začeti (glejte poglavje 4.3).</w:t>
      </w:r>
    </w:p>
    <w:p w14:paraId="51D4AF6E" w14:textId="77777777" w:rsidR="0066522E" w:rsidRDefault="0066522E" w:rsidP="0066522E">
      <w:pPr>
        <w:pStyle w:val="a3"/>
        <w:rPr>
          <w:lang w:val="sl-SI"/>
        </w:rPr>
      </w:pPr>
    </w:p>
    <w:p w14:paraId="675AE444" w14:textId="77777777" w:rsidR="0066522E" w:rsidRDefault="0066522E" w:rsidP="0066522E">
      <w:pPr>
        <w:pStyle w:val="a3"/>
        <w:rPr>
          <w:lang w:val="sl-SI"/>
        </w:rPr>
      </w:pPr>
      <w:r>
        <w:rPr>
          <w:rFonts w:eastAsia="Times New Roman"/>
          <w:lang w:val="sl-SI"/>
        </w:rPr>
        <w:t xml:space="preserve">V vseh spodaj opisanih primerih je treba zelo skrbno pretehtati razmerje med koristmi in tveganji zdravljenja. </w:t>
      </w:r>
    </w:p>
    <w:p w14:paraId="24F3EA02" w14:textId="77777777" w:rsidR="0066522E" w:rsidRDefault="0066522E" w:rsidP="0066522E">
      <w:pPr>
        <w:pStyle w:val="a3"/>
        <w:rPr>
          <w:lang w:val="sl-SI"/>
        </w:rPr>
      </w:pPr>
    </w:p>
    <w:p w14:paraId="3C651862" w14:textId="77777777" w:rsidR="0066522E" w:rsidRDefault="0066522E" w:rsidP="0066522E">
      <w:pPr>
        <w:pStyle w:val="a3"/>
        <w:rPr>
          <w:lang w:val="sl-SI"/>
        </w:rPr>
      </w:pPr>
      <w:r>
        <w:rPr>
          <w:rFonts w:eastAsia="Times New Roman"/>
          <w:lang w:val="sl-SI"/>
        </w:rPr>
        <w:t>V primeru suma na latentno tuberkulozo se morate posvetovati z zdravnikom, ki ima izkušnje z zdravljenjem tuberkuloze.</w:t>
      </w:r>
    </w:p>
    <w:p w14:paraId="0D653049" w14:textId="77777777" w:rsidR="0066522E" w:rsidRDefault="0066522E" w:rsidP="0066522E">
      <w:pPr>
        <w:spacing w:before="11" w:line="240" w:lineRule="exact"/>
        <w:rPr>
          <w:rFonts w:ascii="Times New Roman" w:hAnsi="Times New Roman" w:cs="Times New Roman"/>
          <w:lang w:val="sl-SI"/>
        </w:rPr>
      </w:pPr>
    </w:p>
    <w:p w14:paraId="7DFA1B56" w14:textId="77777777" w:rsidR="0066522E" w:rsidRDefault="0066522E" w:rsidP="0066522E">
      <w:pPr>
        <w:pStyle w:val="a3"/>
        <w:rPr>
          <w:lang w:val="sl-SI"/>
        </w:rPr>
      </w:pPr>
      <w:r>
        <w:rPr>
          <w:rFonts w:eastAsia="Times New Roman"/>
          <w:lang w:val="sl-SI"/>
        </w:rPr>
        <w:t>Če je diagnosticirana latentna tuberkuloza, je treba pred uvedbo Yuflyma in v skladu z lokalnimi priporočili ustrezno zdravljenje začeti s protituberkuloznim profilaktičnim zdravljenjem.</w:t>
      </w:r>
    </w:p>
    <w:p w14:paraId="7EF7A2A2" w14:textId="77777777" w:rsidR="0066522E" w:rsidRDefault="0066522E" w:rsidP="0066522E">
      <w:pPr>
        <w:spacing w:before="12" w:line="240" w:lineRule="exact"/>
        <w:rPr>
          <w:rFonts w:ascii="Times New Roman" w:hAnsi="Times New Roman" w:cs="Times New Roman"/>
          <w:lang w:val="sl-SI"/>
        </w:rPr>
      </w:pPr>
    </w:p>
    <w:p w14:paraId="7D270C5F" w14:textId="77777777" w:rsidR="0066522E" w:rsidRDefault="0066522E" w:rsidP="0066522E">
      <w:pPr>
        <w:pStyle w:val="a3"/>
        <w:rPr>
          <w:lang w:val="sl-SI"/>
        </w:rPr>
      </w:pPr>
      <w:r>
        <w:rPr>
          <w:rFonts w:eastAsia="Times New Roman"/>
          <w:lang w:val="sl-SI"/>
        </w:rPr>
        <w:t>O uporabi protituberkuloznega profilaktičnega zdravljenja morate pred uvedbo zdravila Yuflyma razmisliti tudi pri bolnikih s hudimi ali pomembnimi faktorji tveganja za tuberkulozo kljub negativnemu testu za tuberkulozo in pri bolnikih z anamnezo latentne ali aktivne tuberkuloze, pri katerih ni mogoče potrditi ustreznega zdravljenja.</w:t>
      </w:r>
    </w:p>
    <w:p w14:paraId="5E128B86" w14:textId="77777777" w:rsidR="0066522E" w:rsidRDefault="0066522E" w:rsidP="0066522E">
      <w:pPr>
        <w:spacing w:before="17" w:line="240" w:lineRule="exact"/>
        <w:rPr>
          <w:rFonts w:ascii="Times New Roman" w:hAnsi="Times New Roman" w:cs="Times New Roman"/>
          <w:lang w:val="sl-SI"/>
        </w:rPr>
      </w:pPr>
    </w:p>
    <w:p w14:paraId="087F8CFE" w14:textId="77777777" w:rsidR="0066522E" w:rsidRDefault="0066522E" w:rsidP="0066522E">
      <w:pPr>
        <w:pStyle w:val="a3"/>
        <w:rPr>
          <w:lang w:val="sl-SI"/>
        </w:rPr>
      </w:pPr>
      <w:r>
        <w:rPr>
          <w:rFonts w:eastAsia="Times New Roman"/>
          <w:lang w:val="sl-SI"/>
        </w:rPr>
        <w:t>Kljub profilaktičnemu zdravljenju tuberkuloze so se pri bolnikih, zdravljenih z adalimumabom, pojavili primeri reaktivirane tuberkuloze. Nekateri bolniki, ki so bili uspešno zdravljeni za aktivno tuberkulozo, so med zdravljenjem z adalimumabom razvili tuberkulozo.</w:t>
      </w:r>
    </w:p>
    <w:p w14:paraId="2050A2AC" w14:textId="77777777" w:rsidR="0066522E" w:rsidRDefault="0066522E" w:rsidP="0066522E">
      <w:pPr>
        <w:spacing w:before="11" w:line="240" w:lineRule="exact"/>
        <w:rPr>
          <w:rFonts w:ascii="Times New Roman" w:hAnsi="Times New Roman" w:cs="Times New Roman"/>
          <w:lang w:val="sl-SI"/>
        </w:rPr>
      </w:pPr>
    </w:p>
    <w:p w14:paraId="507D7561" w14:textId="77777777" w:rsidR="0066522E" w:rsidRDefault="0066522E" w:rsidP="0066522E">
      <w:pPr>
        <w:pStyle w:val="a3"/>
        <w:rPr>
          <w:lang w:val="sl-SI"/>
        </w:rPr>
      </w:pPr>
      <w:r>
        <w:rPr>
          <w:rFonts w:eastAsia="Times New Roman"/>
          <w:lang w:val="sl-SI"/>
        </w:rPr>
        <w:t>Bolnikom je treba naročiti, naj se obrnejo na zdravstveno službo, če se med zdravljenjem z zdravilom Yuflyma ali po njem pojavijo znaki/simptomi, ki kažejo na okužbo s tuberkulozo (npr. vztrajni kašelj, hiranje/hujšanje, malo povišana telesna temperatura, brezvoljnost).</w:t>
      </w:r>
    </w:p>
    <w:p w14:paraId="780CDC5B" w14:textId="77777777" w:rsidR="0066522E" w:rsidRDefault="0066522E" w:rsidP="0066522E">
      <w:pPr>
        <w:ind w:left="111"/>
        <w:rPr>
          <w:rFonts w:ascii="Times New Roman" w:hAnsi="Times New Roman" w:cs="Times New Roman"/>
          <w:lang w:val="sl-SI"/>
        </w:rPr>
      </w:pPr>
    </w:p>
    <w:p w14:paraId="206E9243" w14:textId="77777777" w:rsidR="0066522E" w:rsidRDefault="0066522E" w:rsidP="0066522E">
      <w:pPr>
        <w:rPr>
          <w:rFonts w:ascii="Times New Roman" w:eastAsia="Times New Roman" w:hAnsi="Times New Roman" w:cs="Times New Roman"/>
          <w:lang w:val="sl-SI"/>
        </w:rPr>
      </w:pPr>
      <w:r>
        <w:rPr>
          <w:rFonts w:ascii="Times New Roman" w:eastAsia="Times New Roman" w:hAnsi="Times New Roman" w:cs="Times New Roman"/>
          <w:i/>
          <w:iCs/>
          <w:spacing w:val="-1"/>
          <w:lang w:val="sl-SI"/>
        </w:rPr>
        <w:t>Druge oportunistične okužbe</w:t>
      </w:r>
    </w:p>
    <w:p w14:paraId="4CEDC9EA" w14:textId="77777777" w:rsidR="0066522E" w:rsidRDefault="0066522E" w:rsidP="0066522E">
      <w:pPr>
        <w:spacing w:before="13" w:line="240" w:lineRule="exact"/>
        <w:rPr>
          <w:rFonts w:ascii="Times New Roman" w:hAnsi="Times New Roman" w:cs="Times New Roman"/>
          <w:lang w:val="sl-SI"/>
        </w:rPr>
      </w:pPr>
    </w:p>
    <w:p w14:paraId="5967EAFA" w14:textId="77777777" w:rsidR="0066522E" w:rsidRDefault="0066522E" w:rsidP="0066522E">
      <w:pPr>
        <w:pStyle w:val="a3"/>
        <w:rPr>
          <w:lang w:val="sl-SI"/>
        </w:rPr>
      </w:pPr>
      <w:r>
        <w:rPr>
          <w:rFonts w:eastAsia="Times New Roman"/>
          <w:lang w:val="sl-SI"/>
        </w:rPr>
        <w:t>Pri bolnikih, ki so prejemali adalimumab, so opazili oportunistične okužbe, vključno z invazivnimi glivičnimi okužbami. Okužbe niso bile dosledno prepoznane pri bolnikih, ki so jemali TNF-antagoniste, kar je povzročilo zakasnitev ustreznega zdravljenja, včasih pa tudi smrtni izid.</w:t>
      </w:r>
    </w:p>
    <w:p w14:paraId="02AE51EA" w14:textId="77777777" w:rsidR="0066522E" w:rsidRDefault="0066522E" w:rsidP="0066522E">
      <w:pPr>
        <w:pStyle w:val="a3"/>
        <w:rPr>
          <w:lang w:val="sl-SI"/>
        </w:rPr>
      </w:pPr>
    </w:p>
    <w:p w14:paraId="7489305B" w14:textId="77777777" w:rsidR="0066522E" w:rsidRDefault="0066522E" w:rsidP="0066522E">
      <w:pPr>
        <w:pStyle w:val="a3"/>
        <w:rPr>
          <w:lang w:val="sl-SI"/>
        </w:rPr>
      </w:pPr>
      <w:r>
        <w:rPr>
          <w:rFonts w:eastAsia="Times New Roman"/>
          <w:lang w:val="sl-SI"/>
        </w:rPr>
        <w:lastRenderedPageBreak/>
        <w:t>Pri bolnikih, pri katerih se pojavijo znaki in simptomi, kot so povišana telesna temperatura, slabo počutje, izguba telesne mase, potenje, kašelj, dispneja in/ali pljučni infiltrati ali druge resne sistemske bolezni s sočasnim šokom ali brez njega, je treba sumiti na invazivno glivično okužbo in nemudoma prekiniti z dajanjem zdravila Yuflyma. Pri teh bolnikih je pri postavitvi diagnoze in izbiri empiričnega antimikotičnega zdravljena potreben posvet z zdravnikom, izkušenim v zdravljenju bolnikov z invazivnimi glivičnimi okužbami.</w:t>
      </w:r>
    </w:p>
    <w:p w14:paraId="4E1115A9" w14:textId="77777777" w:rsidR="0066522E" w:rsidRDefault="0066522E" w:rsidP="0066522E">
      <w:pPr>
        <w:spacing w:before="13" w:line="240" w:lineRule="exact"/>
        <w:rPr>
          <w:rFonts w:ascii="Times New Roman" w:hAnsi="Times New Roman" w:cs="Times New Roman"/>
          <w:lang w:val="sl-SI"/>
        </w:rPr>
      </w:pPr>
    </w:p>
    <w:p w14:paraId="0078D5E1" w14:textId="77777777" w:rsidR="0066522E" w:rsidRDefault="0066522E" w:rsidP="0066522E">
      <w:pPr>
        <w:pStyle w:val="a3"/>
        <w:rPr>
          <w:u w:val="single"/>
          <w:lang w:val="sl-SI"/>
        </w:rPr>
      </w:pPr>
      <w:r>
        <w:rPr>
          <w:rFonts w:eastAsia="Times New Roman"/>
          <w:u w:val="single" w:color="000000"/>
          <w:lang w:val="sl-SI"/>
        </w:rPr>
        <w:t>Reaktivacija virusa hepatitisa B</w:t>
      </w:r>
    </w:p>
    <w:p w14:paraId="36B1D847" w14:textId="77777777" w:rsidR="0066522E" w:rsidRDefault="0066522E" w:rsidP="0066522E">
      <w:pPr>
        <w:spacing w:before="9" w:line="170" w:lineRule="exact"/>
        <w:rPr>
          <w:rFonts w:ascii="Times New Roman" w:hAnsi="Times New Roman" w:cs="Times New Roman"/>
          <w:lang w:val="sl-SI"/>
        </w:rPr>
      </w:pPr>
    </w:p>
    <w:p w14:paraId="5FC2F6D5" w14:textId="77777777" w:rsidR="0066522E" w:rsidRDefault="0066522E" w:rsidP="0066522E">
      <w:pPr>
        <w:pStyle w:val="a3"/>
        <w:rPr>
          <w:lang w:val="sl-SI"/>
        </w:rPr>
      </w:pPr>
      <w:r>
        <w:rPr>
          <w:rFonts w:eastAsia="Times New Roman"/>
          <w:lang w:val="sl-SI"/>
        </w:rPr>
        <w:t>Reaktivacija hepatitisa B se je pojavila pri bolnikih, ki so prejemali antagonist TNF, vključno z adalimumabom, ki so kronični prenašalci tega virusa (tj. pozitivni na površinski antigen). V nekaterih primerih je prišlo do smrtnega izida. Bolnike je treba pred začetkom zdravljenja z zdravilom Yuflyma testirati na okužbo s HBV. Pri bolnikih, ki imajo pozitiven test okužbe z virusom hepatitisa B, se je priporočljivo posvetovati z zdravnikom, ki ima izkušnje z zdravljenjem hepatitisa B.</w:t>
      </w:r>
    </w:p>
    <w:p w14:paraId="558422EB" w14:textId="77777777" w:rsidR="0066522E" w:rsidRDefault="0066522E" w:rsidP="0066522E">
      <w:pPr>
        <w:spacing w:before="13" w:line="240" w:lineRule="exact"/>
        <w:rPr>
          <w:rFonts w:ascii="Times New Roman" w:hAnsi="Times New Roman" w:cs="Times New Roman"/>
          <w:lang w:val="sl-SI"/>
        </w:rPr>
      </w:pPr>
    </w:p>
    <w:p w14:paraId="493C6D88" w14:textId="77777777" w:rsidR="0066522E" w:rsidRDefault="0066522E" w:rsidP="0066522E">
      <w:pPr>
        <w:pStyle w:val="a3"/>
        <w:rPr>
          <w:lang w:val="sl-SI"/>
        </w:rPr>
      </w:pPr>
      <w:r>
        <w:rPr>
          <w:rFonts w:eastAsia="Times New Roman"/>
          <w:lang w:val="sl-SI"/>
        </w:rPr>
        <w:t>Pri prenašalcih HBV, ki jih je treba zdraviti z zdravilom Yuflyma, je treba ves čas zdravljenja in več mesecev po koncu zdravljenja skrbno spremljati znake in simptome aktivne okužbe s HBV. Zadostni podatki o zdravljenju bolnikov, ki so prenašalcih HBV s protivirusnim zdravljenjem v povezavi z zdravljenjem s TNF-antagonisti, za preprečevanje reaktivacije HBV niso na voljo. Pri bolnikih, pri katerih se razvije reaktivacija HBV, je treba zdravljenje z zdravilom Yuflyma prekiniti in začeti učinkovito protivirusno zdravljenje z ustreznim podpornim zdravljenjem.</w:t>
      </w:r>
    </w:p>
    <w:p w14:paraId="2E42E448" w14:textId="77777777" w:rsidR="0066522E" w:rsidRDefault="0066522E" w:rsidP="0066522E">
      <w:pPr>
        <w:spacing w:before="13" w:line="240" w:lineRule="exact"/>
        <w:rPr>
          <w:rFonts w:ascii="Times New Roman" w:hAnsi="Times New Roman" w:cs="Times New Roman"/>
          <w:lang w:val="sl-SI"/>
        </w:rPr>
      </w:pPr>
    </w:p>
    <w:p w14:paraId="573C6AE2" w14:textId="77777777" w:rsidR="0066522E" w:rsidRDefault="0066522E" w:rsidP="0066522E">
      <w:pPr>
        <w:pStyle w:val="a3"/>
        <w:rPr>
          <w:u w:val="single"/>
          <w:lang w:val="sl-SI"/>
        </w:rPr>
      </w:pPr>
      <w:r>
        <w:rPr>
          <w:rFonts w:eastAsia="Times New Roman"/>
          <w:u w:val="single" w:color="000000"/>
          <w:lang w:val="sl-SI"/>
        </w:rPr>
        <w:t>Nevrološki dogodki</w:t>
      </w:r>
    </w:p>
    <w:p w14:paraId="43DD39F1" w14:textId="77777777" w:rsidR="0066522E" w:rsidRDefault="0066522E" w:rsidP="0066522E">
      <w:pPr>
        <w:spacing w:before="1" w:line="180" w:lineRule="exact"/>
        <w:rPr>
          <w:rFonts w:ascii="Times New Roman" w:hAnsi="Times New Roman" w:cs="Times New Roman"/>
          <w:lang w:val="sl-SI"/>
        </w:rPr>
      </w:pPr>
    </w:p>
    <w:p w14:paraId="1904A43A" w14:textId="77777777" w:rsidR="0066522E" w:rsidRDefault="0066522E" w:rsidP="0066522E">
      <w:pPr>
        <w:pStyle w:val="a3"/>
        <w:rPr>
          <w:lang w:val="sl-SI"/>
        </w:rPr>
      </w:pPr>
      <w:r>
        <w:rPr>
          <w:rFonts w:eastAsia="Times New Roman"/>
          <w:lang w:val="sl-SI"/>
        </w:rPr>
        <w:t>V redkih primerih so TNF-antagoniste, vključno z adalimumabom, povezovali z novonastalimi ali poslabšanjem kliničnih simptomov in/ali radiografskih znakov demielinizirajoče bolezni centralnega živčnega sistema, vključno z multiplo sklerozo, optičnim nevritisom in periferno demielinizirajočo boleznijo, vključno z Guillain-Barréjevim sindromom. Zdravniki, ki zdravilo predpisujejo, morajo biti previdni pri odločitvi o uporabi zdravila Yuflyma pri bolnikih z obstoječimi ali nedavno nastalimi demielinizirajočimi motnjami osrednjega ali perifernega živčevja; če se razvije katera koli od teh bolezni, je treba razmisliti o prekinitvi zdravljenja z zdravilom Yuflyma. Znana je zveza med intermediarnim uveitisom in demielinizirajočimi boleznimi osrednjega živčevja. Pri bolnikih z neinfekcijskim intermediarnim uveitisom je treba pred začetkom zdravljenja z zdravilom Yuflyma in redno med zdravljenjem opravljati nevrološko oceno, da se oceni že obstoječe ali razvijajoče se demielinizirajoče bolezni osrednjega živčevja.</w:t>
      </w:r>
    </w:p>
    <w:p w14:paraId="621CF818" w14:textId="77777777" w:rsidR="0066522E" w:rsidRDefault="0066522E" w:rsidP="0066522E">
      <w:pPr>
        <w:spacing w:before="13" w:line="240" w:lineRule="exact"/>
        <w:rPr>
          <w:rFonts w:ascii="Times New Roman" w:hAnsi="Times New Roman" w:cs="Times New Roman"/>
          <w:lang w:val="sl-SI"/>
        </w:rPr>
      </w:pPr>
    </w:p>
    <w:p w14:paraId="0C66A550" w14:textId="77777777" w:rsidR="0066522E" w:rsidRDefault="0066522E" w:rsidP="0066522E">
      <w:pPr>
        <w:pStyle w:val="a3"/>
        <w:rPr>
          <w:u w:val="single"/>
          <w:lang w:val="sl-SI"/>
        </w:rPr>
      </w:pPr>
      <w:r>
        <w:rPr>
          <w:rFonts w:eastAsia="Times New Roman"/>
          <w:u w:val="single" w:color="000000"/>
          <w:lang w:val="sl-SI"/>
        </w:rPr>
        <w:t>Alergijske reakcije</w:t>
      </w:r>
    </w:p>
    <w:p w14:paraId="58E09373" w14:textId="77777777" w:rsidR="0066522E" w:rsidRDefault="0066522E" w:rsidP="0066522E">
      <w:pPr>
        <w:spacing w:before="9" w:line="170" w:lineRule="exact"/>
        <w:rPr>
          <w:rFonts w:ascii="Times New Roman" w:hAnsi="Times New Roman" w:cs="Times New Roman"/>
          <w:lang w:val="sl-SI"/>
        </w:rPr>
      </w:pPr>
    </w:p>
    <w:p w14:paraId="3A85951E" w14:textId="77777777" w:rsidR="0066522E" w:rsidRDefault="0066522E" w:rsidP="0066522E">
      <w:pPr>
        <w:pStyle w:val="a3"/>
        <w:rPr>
          <w:lang w:val="sl-SI"/>
        </w:rPr>
      </w:pPr>
      <w:r>
        <w:rPr>
          <w:rFonts w:eastAsia="Times New Roman"/>
          <w:lang w:val="sl-SI"/>
        </w:rPr>
        <w:t>Med kliničnimi preskušanji so bile hude alergijske reakcije, povezane z adalimumabom, redke. Z adalimumabom povezane alergijske reakcije, ki niso bile resne, so se v kliničnih študijah pojavljale občasno. Po uporabi adalimumaba so poročali o resnih alergijskih reakcijah, vključno z anafilaksijo. Če se pojavi anafilaktična reakcija ali kakšna druga resna alergijska reakcija, je treba uporabo zdravila Yuflyma nemudoma prekiniti in uvesti ustrezno zdravljenje.</w:t>
      </w:r>
    </w:p>
    <w:p w14:paraId="31B680C8" w14:textId="77777777" w:rsidR="0066522E" w:rsidRDefault="0066522E" w:rsidP="0066522E">
      <w:pPr>
        <w:spacing w:before="13" w:line="240" w:lineRule="exact"/>
        <w:rPr>
          <w:rFonts w:ascii="Times New Roman" w:hAnsi="Times New Roman" w:cs="Times New Roman"/>
          <w:lang w:val="sl-SI"/>
        </w:rPr>
      </w:pPr>
    </w:p>
    <w:p w14:paraId="41774D2D" w14:textId="77777777" w:rsidR="0066522E" w:rsidRDefault="0066522E" w:rsidP="0066522E">
      <w:pPr>
        <w:pStyle w:val="a3"/>
        <w:rPr>
          <w:u w:val="single"/>
          <w:lang w:val="sl-SI"/>
        </w:rPr>
      </w:pPr>
      <w:r>
        <w:rPr>
          <w:rFonts w:eastAsia="Times New Roman"/>
          <w:u w:val="single" w:color="000000"/>
          <w:lang w:val="sl-SI"/>
        </w:rPr>
        <w:t>Imunosupresija</w:t>
      </w:r>
    </w:p>
    <w:p w14:paraId="18D88CFE" w14:textId="77777777" w:rsidR="0066522E" w:rsidRDefault="0066522E" w:rsidP="0066522E">
      <w:pPr>
        <w:spacing w:before="1" w:line="180" w:lineRule="exact"/>
        <w:rPr>
          <w:rFonts w:ascii="Times New Roman" w:hAnsi="Times New Roman" w:cs="Times New Roman"/>
          <w:lang w:val="sl-SI"/>
        </w:rPr>
      </w:pPr>
    </w:p>
    <w:p w14:paraId="46A5B75A" w14:textId="77777777" w:rsidR="0066522E" w:rsidRDefault="0066522E" w:rsidP="0066522E">
      <w:pPr>
        <w:pStyle w:val="a3"/>
        <w:rPr>
          <w:lang w:val="sl-SI"/>
        </w:rPr>
      </w:pPr>
      <w:r>
        <w:rPr>
          <w:rFonts w:eastAsia="Times New Roman"/>
          <w:lang w:val="sl-SI"/>
        </w:rPr>
        <w:t>V študiji s 64 bolniki z revmatoidnim artritisom, zdravljenih z adalimumabom, ni bilo dokazov o depresiji preobčutljivosti zapoznelega tipa, depresiji ravni imunoglobulina ali spremembi števila efektorskih celic T in B, naravnih celic ubijalk, monocitov/makrofagov in nevtrofilcev.</w:t>
      </w:r>
    </w:p>
    <w:p w14:paraId="5E77D1AF" w14:textId="77777777" w:rsidR="0066522E" w:rsidRDefault="0066522E" w:rsidP="0066522E">
      <w:pPr>
        <w:spacing w:before="11" w:line="240" w:lineRule="exact"/>
        <w:rPr>
          <w:rFonts w:ascii="Times New Roman" w:hAnsi="Times New Roman" w:cs="Times New Roman"/>
          <w:lang w:val="sl-SI"/>
        </w:rPr>
      </w:pPr>
    </w:p>
    <w:p w14:paraId="35B4062F" w14:textId="77777777" w:rsidR="0066522E" w:rsidRDefault="0066522E" w:rsidP="0066522E">
      <w:pPr>
        <w:pStyle w:val="a3"/>
        <w:rPr>
          <w:u w:val="single"/>
          <w:lang w:val="sl-SI"/>
        </w:rPr>
      </w:pPr>
      <w:r>
        <w:rPr>
          <w:rFonts w:eastAsia="Times New Roman"/>
          <w:u w:val="single" w:color="000000"/>
          <w:lang w:val="sl-SI"/>
        </w:rPr>
        <w:t>Malignomi in limfoproliferativne bolezni</w:t>
      </w:r>
    </w:p>
    <w:p w14:paraId="565E0A38" w14:textId="77777777" w:rsidR="0066522E" w:rsidRDefault="0066522E" w:rsidP="0066522E">
      <w:pPr>
        <w:spacing w:before="1" w:line="180" w:lineRule="exact"/>
        <w:rPr>
          <w:rFonts w:ascii="Times New Roman" w:hAnsi="Times New Roman" w:cs="Times New Roman"/>
          <w:lang w:val="sl-SI"/>
        </w:rPr>
      </w:pPr>
    </w:p>
    <w:p w14:paraId="70BAFBAE" w14:textId="77777777" w:rsidR="0066522E" w:rsidRDefault="0066522E" w:rsidP="0066522E">
      <w:pPr>
        <w:pStyle w:val="a3"/>
        <w:rPr>
          <w:lang w:val="sl-SI"/>
        </w:rPr>
      </w:pPr>
      <w:r w:rsidRPr="0047220F">
        <w:rPr>
          <w:rFonts w:eastAsia="Times New Roman"/>
          <w:lang w:val="sl-SI"/>
        </w:rPr>
        <w:t>V nadzorovanih delih kliničnih preskušanj z antagonisti TNF so med bolniki, ki so prejemali TNF, opazili več primerov malignomov, vključno z limfomom, kot med bolniki, ki so prejemali TNF-antagonist.</w:t>
      </w:r>
      <w:r>
        <w:rPr>
          <w:rFonts w:eastAsia="Times New Roman"/>
          <w:lang w:val="sl-SI"/>
        </w:rPr>
        <w:t xml:space="preserve"> Vendar je bilo pojavljanje redko. V obdobju trženja zdravila so pri bolnikih, zdravljenih z antagonistom TNF, poročali o primerih levkemije. Pri bolnikih z revmatoidnim artritisom z dolgotrajno, zelo aktivno vnetno boleznijo, ki oteži oceno tveganja, obstaja povečano osnovno tveganje za limfom in levkemijo. S trenutnim </w:t>
      </w:r>
      <w:r>
        <w:rPr>
          <w:rFonts w:eastAsia="Times New Roman"/>
          <w:lang w:val="sl-SI"/>
        </w:rPr>
        <w:lastRenderedPageBreak/>
        <w:t>znanjem možnega tveganja za razvoj limfomov, levkemije in drugih malignomov pri bolnikih, zdravljenih z antagonistom TNF, ni mogoče izključiti.</w:t>
      </w:r>
    </w:p>
    <w:p w14:paraId="50562D48" w14:textId="77777777" w:rsidR="0066522E" w:rsidRDefault="0066522E" w:rsidP="0066522E">
      <w:pPr>
        <w:spacing w:before="13" w:line="240" w:lineRule="exact"/>
        <w:rPr>
          <w:rFonts w:ascii="Times New Roman" w:hAnsi="Times New Roman" w:cs="Times New Roman"/>
          <w:lang w:val="sl-SI"/>
        </w:rPr>
      </w:pPr>
    </w:p>
    <w:p w14:paraId="151412BA" w14:textId="77777777" w:rsidR="0066522E" w:rsidRDefault="0066522E" w:rsidP="0066522E">
      <w:pPr>
        <w:pStyle w:val="a3"/>
        <w:rPr>
          <w:lang w:val="sl-SI"/>
        </w:rPr>
      </w:pPr>
      <w:r>
        <w:rPr>
          <w:rFonts w:eastAsia="Times New Roman"/>
          <w:lang w:val="sl-SI"/>
        </w:rPr>
        <w:t>Med obdobjem trženja so bili opisani malignomi (nekateri s smrtnim izidom) pri otrocih, mladostnikih in mladih odraslih (starih do 22 let), ki so dobivali antagoniste TNF, vključno z adalimumabom (začetek zdravljenja v starosti ≤ 18 let). Približno polovica primerov je bila limfomov. Drugi primeri so obsegali številne različne malignome, med njimi redke malignome, ki so po navadi povezani z imunosupresijo. Pri otrocih in mladostnikih, zdravljenih z antagonisti TNF, ni mogoče izključiti tveganja nastanka malignomov.</w:t>
      </w:r>
    </w:p>
    <w:p w14:paraId="3E1F2ECE" w14:textId="77777777" w:rsidR="0066522E" w:rsidRDefault="0066522E" w:rsidP="0066522E">
      <w:pPr>
        <w:spacing w:before="11" w:line="240" w:lineRule="exact"/>
        <w:rPr>
          <w:rFonts w:ascii="Times New Roman" w:hAnsi="Times New Roman" w:cs="Times New Roman"/>
          <w:lang w:val="sl-SI"/>
        </w:rPr>
      </w:pPr>
    </w:p>
    <w:p w14:paraId="4D536861" w14:textId="77777777" w:rsidR="0066522E" w:rsidRDefault="0066522E" w:rsidP="0066522E">
      <w:pPr>
        <w:pStyle w:val="a3"/>
        <w:rPr>
          <w:lang w:val="sl-SI"/>
        </w:rPr>
      </w:pPr>
      <w:r>
        <w:rPr>
          <w:rFonts w:eastAsia="Times New Roman"/>
          <w:lang w:val="sl-SI"/>
        </w:rPr>
        <w:t>Pri bolnikih, ki so se zdravili z adalimumabom, so odkrili redke primere hepatospleničnega limfoma celic T. Ta redka vrsta limfoma celic T ima zelo agresivni potek bolezni in je običajno smrtna. Pri uporabi adalimumaba so se nekateri od hepatospleničnih limfomov celic T pojavili pri mladih odraslih bolnikih, ki so se sočasno zdravili z azatioprinom ali 6-merkaptopurinom, ki se uporabljata pri vnetni bolezni črevesa. Pozorno je treba pretehtati morebitno tveganje pri uporabi kombinacije azatioprina ali 6-merkaptopurina in zdravila Yuflyma. Tveganja za razvoj hepatospleničnega limfoma celic T pri bolnikih, ki dobivajo zdravilo Yuflyma, ni mogoče izključiti (glejte poglavje 4.8).</w:t>
      </w:r>
    </w:p>
    <w:p w14:paraId="13D83F63" w14:textId="77777777" w:rsidR="0066522E" w:rsidRDefault="0066522E" w:rsidP="0066522E">
      <w:pPr>
        <w:spacing w:before="11" w:line="240" w:lineRule="exact"/>
        <w:rPr>
          <w:rFonts w:ascii="Times New Roman" w:hAnsi="Times New Roman" w:cs="Times New Roman"/>
          <w:lang w:val="sl-SI"/>
        </w:rPr>
      </w:pPr>
    </w:p>
    <w:p w14:paraId="6A046CE3" w14:textId="77777777" w:rsidR="0066522E" w:rsidRDefault="0066522E" w:rsidP="0066522E">
      <w:pPr>
        <w:pStyle w:val="a3"/>
        <w:rPr>
          <w:lang w:val="sl-SI"/>
        </w:rPr>
      </w:pPr>
      <w:r>
        <w:rPr>
          <w:rFonts w:eastAsia="Times New Roman"/>
          <w:lang w:val="sl-SI"/>
        </w:rPr>
        <w:t>Študij, ki bi vključevale bolnike z anamnezo malignoma ali bolnike, pri katerih se je zdravljenje z adalimumabom nadaljevalo po pojavu malignoma, niso izvedli. Zato je potrebna dodatna previdnost, kadar razmišljamo o zdravljenju z zdravilom Yuflyma pri teh bolnikih (glejte poglavje 4.8).</w:t>
      </w:r>
    </w:p>
    <w:p w14:paraId="46D23BF2" w14:textId="77777777" w:rsidR="0066522E" w:rsidRDefault="0066522E" w:rsidP="0066522E">
      <w:pPr>
        <w:spacing w:before="13" w:line="240" w:lineRule="exact"/>
        <w:rPr>
          <w:rFonts w:ascii="Times New Roman" w:hAnsi="Times New Roman" w:cs="Times New Roman"/>
          <w:lang w:val="sl-SI"/>
        </w:rPr>
      </w:pPr>
    </w:p>
    <w:p w14:paraId="0A5299F2" w14:textId="77777777" w:rsidR="0066522E" w:rsidRDefault="0066522E" w:rsidP="0066522E">
      <w:pPr>
        <w:pStyle w:val="a3"/>
        <w:rPr>
          <w:lang w:val="sl-SI"/>
        </w:rPr>
      </w:pPr>
      <w:r>
        <w:rPr>
          <w:rFonts w:eastAsia="Times New Roman"/>
          <w:lang w:val="sl-SI"/>
        </w:rPr>
        <w:t>Pred zdravljenjem z zdravilom Yuflyma in med zdravljenjem z njim je treba za nemelanomskega kožnega raka pregledati vse bolnike, še zlasti pa bolnike z anamnezo intenzivne imunosupresivne terapije in bolnike s psoriazo, ki so kdaj prejemali PUVA. Poročali so tudi o melanomu in karcinomu Merklovih celic pri bolnikih, zdravljenih z antagonisti TNF, vključno z adalimumabom (glejte poglavje 4.8).</w:t>
      </w:r>
    </w:p>
    <w:p w14:paraId="1DE88307" w14:textId="77777777" w:rsidR="0066522E" w:rsidRDefault="0066522E" w:rsidP="0066522E">
      <w:pPr>
        <w:spacing w:before="13" w:line="240" w:lineRule="exact"/>
        <w:rPr>
          <w:rFonts w:ascii="Times New Roman" w:hAnsi="Times New Roman" w:cs="Times New Roman"/>
          <w:lang w:val="sl-SI"/>
        </w:rPr>
      </w:pPr>
    </w:p>
    <w:p w14:paraId="7BF75A2A" w14:textId="77777777" w:rsidR="0066522E" w:rsidRDefault="0066522E" w:rsidP="0066522E">
      <w:pPr>
        <w:pStyle w:val="a3"/>
        <w:rPr>
          <w:lang w:val="sl-SI"/>
        </w:rPr>
      </w:pPr>
      <w:r>
        <w:rPr>
          <w:rFonts w:eastAsia="Times New Roman"/>
          <w:lang w:val="sl-SI"/>
        </w:rPr>
        <w:t>V eksploracijskem kliničnem preskušanju infliksimaba, antagonista TNF, pri bolnikih z zmerno do hudo kronično obstruktivno pljučno boleznijo (KOPB), so med prejemniki infliksimaba zabeležili več malignomov, večinoma pljuč ali glave in vratu, kot med primerjalnimi bolniki. Vsi bolniki so imeli anamnezo hudega kajenja. Zato je treba pri bolnikih s KOPB in bolnikih, ki jih zaradi hudega kajenja bolj ogroža malignom, vsak antagonist TNF uporabljati previdno.</w:t>
      </w:r>
    </w:p>
    <w:p w14:paraId="5B4AE70E" w14:textId="77777777" w:rsidR="0066522E" w:rsidRDefault="0066522E" w:rsidP="0066522E">
      <w:pPr>
        <w:spacing w:before="11" w:line="240" w:lineRule="exact"/>
        <w:rPr>
          <w:rFonts w:ascii="Times New Roman" w:hAnsi="Times New Roman" w:cs="Times New Roman"/>
          <w:lang w:val="sl-SI"/>
        </w:rPr>
      </w:pPr>
    </w:p>
    <w:p w14:paraId="638EF035" w14:textId="77777777" w:rsidR="0066522E" w:rsidRDefault="0066522E" w:rsidP="0066522E">
      <w:pPr>
        <w:pStyle w:val="a3"/>
        <w:rPr>
          <w:lang w:val="sl-SI"/>
        </w:rPr>
      </w:pPr>
      <w:r>
        <w:rPr>
          <w:rFonts w:eastAsia="Times New Roman"/>
          <w:lang w:val="sl-SI"/>
        </w:rPr>
        <w:t>Glede na trenutne podatke ni znano, ali zdravljenje z adalimumabom vpliva na tveganje za nastanek displazije ali raka kolona. Vse bolnike z ulceroznim kolitisom, ki imajo večje tveganje za displazijo ali karcinom kolona (npr. bolnike z dolgotrajnim ulceroznim kolitisom ali primarnim sklerozirajočim holangitisom), ali imajo anamnezo displazije ali karcinoma kolona, je treba pred zdravljenjem in redno med potekom bolezni presejalno pregledovati glede displazije. Takšna ocena mora vključevati kolonoskopijo in biopsije v skladu z lokalnimi priporočili.</w:t>
      </w:r>
    </w:p>
    <w:p w14:paraId="7DA1FF36" w14:textId="77777777" w:rsidR="0066522E" w:rsidRDefault="0066522E" w:rsidP="0066522E">
      <w:pPr>
        <w:spacing w:before="13" w:line="240" w:lineRule="exact"/>
        <w:rPr>
          <w:rFonts w:ascii="Times New Roman" w:hAnsi="Times New Roman" w:cs="Times New Roman"/>
          <w:lang w:val="sl-SI"/>
        </w:rPr>
      </w:pPr>
    </w:p>
    <w:p w14:paraId="4AC8B247" w14:textId="77777777" w:rsidR="0066522E" w:rsidRDefault="0066522E" w:rsidP="0066522E">
      <w:pPr>
        <w:pStyle w:val="a3"/>
        <w:rPr>
          <w:u w:val="single"/>
          <w:lang w:val="sl-SI"/>
        </w:rPr>
      </w:pPr>
      <w:r>
        <w:rPr>
          <w:rFonts w:eastAsia="Times New Roman"/>
          <w:u w:val="single" w:color="000000"/>
          <w:lang w:val="sl-SI"/>
        </w:rPr>
        <w:t>Hematološke reakcije</w:t>
      </w:r>
    </w:p>
    <w:p w14:paraId="106C2AC8" w14:textId="77777777" w:rsidR="0066522E" w:rsidRDefault="0066522E" w:rsidP="0066522E">
      <w:pPr>
        <w:spacing w:before="1" w:line="180" w:lineRule="exact"/>
        <w:rPr>
          <w:rFonts w:ascii="Times New Roman" w:hAnsi="Times New Roman" w:cs="Times New Roman"/>
          <w:lang w:val="sl-SI"/>
        </w:rPr>
      </w:pPr>
    </w:p>
    <w:p w14:paraId="20B1FE18" w14:textId="77777777" w:rsidR="0066522E" w:rsidRDefault="0066522E" w:rsidP="0066522E">
      <w:pPr>
        <w:pStyle w:val="a3"/>
        <w:rPr>
          <w:lang w:val="sl-SI"/>
        </w:rPr>
      </w:pPr>
      <w:r>
        <w:rPr>
          <w:rFonts w:eastAsia="Times New Roman"/>
          <w:lang w:val="sl-SI"/>
        </w:rPr>
        <w:t>Pri uporabi antagonistov TNF je bila v redkih primerih opisana pancitopenija, vključno z aplastično anemijo. Med uporabo adalimumaba so poročali o neželenih učinkih na hematološki sistem, vključno z medicinsko pomembno citopenijo (npr. trombocitopenijo, levkopenijo). Vsem bolnikom je treba svetovati, da med uporabo zdravila Yuflyma nemudoma poiščejo zdravniško pomoč, če se pojavijo znaki in simptomi, ki kažejo na krvno diskrazijo (npr. trajno zvišana telesna temperatura, podplutbe, krvavitve, bledica). Pri bolnikih s potrjenimi pomembnimi hematološkimi nepravilnostmi je treba razmisliti o prekinitvi terapije z zdravilom Yuflyma.</w:t>
      </w:r>
    </w:p>
    <w:p w14:paraId="676DA47A" w14:textId="77777777" w:rsidR="0066522E" w:rsidRDefault="0066522E" w:rsidP="0066522E">
      <w:pPr>
        <w:pStyle w:val="a3"/>
        <w:rPr>
          <w:lang w:val="sl-SI"/>
        </w:rPr>
      </w:pPr>
    </w:p>
    <w:p w14:paraId="744BBA47" w14:textId="77777777" w:rsidR="0066522E" w:rsidRDefault="0066522E" w:rsidP="0066522E">
      <w:pPr>
        <w:pStyle w:val="a3"/>
        <w:rPr>
          <w:u w:val="single"/>
          <w:lang w:val="sl-SI"/>
        </w:rPr>
      </w:pPr>
      <w:r>
        <w:rPr>
          <w:rFonts w:eastAsia="Times New Roman"/>
          <w:u w:val="single" w:color="000000"/>
          <w:lang w:val="sl-SI"/>
        </w:rPr>
        <w:t>Cepljenja</w:t>
      </w:r>
    </w:p>
    <w:p w14:paraId="18362D75" w14:textId="77777777" w:rsidR="0066522E" w:rsidRDefault="0066522E" w:rsidP="0066522E">
      <w:pPr>
        <w:spacing w:before="1" w:line="180" w:lineRule="exact"/>
        <w:rPr>
          <w:rFonts w:ascii="Times New Roman" w:hAnsi="Times New Roman" w:cs="Times New Roman"/>
          <w:lang w:val="sl-SI"/>
        </w:rPr>
      </w:pPr>
    </w:p>
    <w:p w14:paraId="717A9820" w14:textId="77777777" w:rsidR="0066522E" w:rsidRDefault="0066522E" w:rsidP="0066522E">
      <w:pPr>
        <w:pStyle w:val="a3"/>
        <w:rPr>
          <w:lang w:val="sl-SI"/>
        </w:rPr>
      </w:pPr>
      <w:r>
        <w:rPr>
          <w:rFonts w:eastAsia="Times New Roman"/>
          <w:lang w:val="sl-SI"/>
        </w:rPr>
        <w:t>V študiji 226 odraslih preiskovancev z revmatoidnim artritisom, ki so prejemali adalimumab ali placebo, so ugotovili podobne odzive protiteles na standardno 23-valentno pnevmokokno cepivo in trivalentno virusno cepivo proti influenci. Podatkov o sekundarnem prenosu okužbe z živimi cepivi pri bolnikih, zdravljenih z adalimumabom, ni.</w:t>
      </w:r>
    </w:p>
    <w:p w14:paraId="072AED6D" w14:textId="77777777" w:rsidR="0066522E" w:rsidRDefault="0066522E" w:rsidP="0066522E">
      <w:pPr>
        <w:spacing w:before="17" w:line="240" w:lineRule="exact"/>
        <w:rPr>
          <w:rFonts w:ascii="Times New Roman" w:hAnsi="Times New Roman" w:cs="Times New Roman"/>
          <w:lang w:val="sl-SI"/>
        </w:rPr>
      </w:pPr>
    </w:p>
    <w:p w14:paraId="14E3345C" w14:textId="77777777" w:rsidR="0066522E" w:rsidRDefault="0066522E" w:rsidP="0066522E">
      <w:pPr>
        <w:pStyle w:val="a3"/>
        <w:rPr>
          <w:lang w:val="sl-SI"/>
        </w:rPr>
      </w:pPr>
      <w:r>
        <w:rPr>
          <w:rFonts w:eastAsia="Times New Roman"/>
          <w:spacing w:val="-4"/>
          <w:lang w:val="sl-SI"/>
        </w:rPr>
        <w:t>Za pediatrične bolnike je priporočljivo, da pred začetkom zdravljenja z zdravilom Yuflyma opravijo vsa cepljenja v skladu z veljavnimi smernicami za cepljenje, če je le mogoče.</w:t>
      </w:r>
    </w:p>
    <w:p w14:paraId="6B5C6504" w14:textId="77777777" w:rsidR="0066522E" w:rsidRDefault="0066522E" w:rsidP="0066522E">
      <w:pPr>
        <w:spacing w:before="11" w:line="240" w:lineRule="exact"/>
        <w:rPr>
          <w:rFonts w:ascii="Times New Roman" w:hAnsi="Times New Roman" w:cs="Times New Roman"/>
          <w:lang w:val="sl-SI"/>
        </w:rPr>
      </w:pPr>
    </w:p>
    <w:p w14:paraId="529C421D" w14:textId="77777777" w:rsidR="0066522E" w:rsidRDefault="0066522E" w:rsidP="0066522E">
      <w:pPr>
        <w:pStyle w:val="a3"/>
        <w:rPr>
          <w:lang w:val="sl-SI"/>
        </w:rPr>
      </w:pPr>
      <w:r>
        <w:rPr>
          <w:rFonts w:eastAsia="Times New Roman"/>
          <w:lang w:val="sl-SI"/>
        </w:rPr>
        <w:t>Bolniki, ki prejemajo zdravilo Yuflyma, lahko prejmejo sočasna cepljenja, razen živih cepiv. Uporaba živih cepiv (npr. BCG cepiva) pri dojenčkih, ki so bili izpostavljeni adalimumabu in utero, ni priporočljiva še 5 mesecev po materini zadnji injekciji adalimumaba med nosečnostjo.</w:t>
      </w:r>
    </w:p>
    <w:p w14:paraId="4FA12F85" w14:textId="77777777" w:rsidR="0066522E" w:rsidRDefault="0066522E" w:rsidP="0066522E">
      <w:pPr>
        <w:spacing w:before="13" w:line="240" w:lineRule="exact"/>
        <w:rPr>
          <w:rFonts w:ascii="Times New Roman" w:hAnsi="Times New Roman" w:cs="Times New Roman"/>
          <w:lang w:val="sl-SI"/>
        </w:rPr>
      </w:pPr>
    </w:p>
    <w:p w14:paraId="75A8EB1D" w14:textId="77777777" w:rsidR="0066522E" w:rsidRDefault="0066522E" w:rsidP="0066522E">
      <w:pPr>
        <w:spacing w:before="13" w:line="240" w:lineRule="exact"/>
        <w:rPr>
          <w:rFonts w:ascii="Times New Roman" w:hAnsi="Times New Roman" w:cs="Times New Roman"/>
          <w:lang w:val="sl-SI"/>
        </w:rPr>
      </w:pPr>
    </w:p>
    <w:p w14:paraId="6C50A3A8" w14:textId="77777777" w:rsidR="0066522E" w:rsidRDefault="0066522E" w:rsidP="0066522E">
      <w:pPr>
        <w:pStyle w:val="a3"/>
        <w:rPr>
          <w:u w:val="single"/>
          <w:lang w:val="sl-SI"/>
        </w:rPr>
      </w:pPr>
      <w:r>
        <w:rPr>
          <w:rFonts w:eastAsia="Times New Roman"/>
          <w:u w:val="single" w:color="000000"/>
          <w:lang w:val="sl-SI"/>
        </w:rPr>
        <w:t>Kongestivno srčno popuščanje</w:t>
      </w:r>
    </w:p>
    <w:p w14:paraId="6CA34210" w14:textId="77777777" w:rsidR="0066522E" w:rsidRDefault="0066522E" w:rsidP="0066522E">
      <w:pPr>
        <w:spacing w:before="1" w:line="180" w:lineRule="exact"/>
        <w:rPr>
          <w:rFonts w:ascii="Times New Roman" w:hAnsi="Times New Roman" w:cs="Times New Roman"/>
          <w:lang w:val="sl-SI"/>
        </w:rPr>
      </w:pPr>
    </w:p>
    <w:p w14:paraId="4E2A5E84" w14:textId="77777777" w:rsidR="0066522E" w:rsidRDefault="0066522E" w:rsidP="0066522E">
      <w:pPr>
        <w:pStyle w:val="a3"/>
        <w:rPr>
          <w:lang w:val="sl-SI"/>
        </w:rPr>
      </w:pPr>
      <w:r>
        <w:rPr>
          <w:rFonts w:eastAsia="Times New Roman"/>
          <w:lang w:val="sl-SI"/>
        </w:rPr>
        <w:t>V kliničnem preskušanju z drugim antagonistom TNF so opažali poslabšanje kongestivnega srčnega popuščanja in večjo umrljivost zaradi kongestivnega srčnega popuščanja. O primerih poslabšanja kongestivnega srčnega popuščanja so poročali pri bolnikih, ki so prejemali adalimumab. Pri bolnikih z blagim srčnim popuščanjem (razred I/II po NYHA) je treba zdravilo Yuflyma uporabljati previdno. Pri bolnikih z zmernim ali hudim srčnim popuščanjem je zdravilo Yuflyma kontraindicirano (glejte poglavje 4.3). Pri bolnikih, ki se jim na novo pojavijo simptomi kongestivnega srčnega popuščanja ali se jim takšni simptomi poslabšajo, je treba zdravljenje z zdravilom Yuflyma prekiniti.</w:t>
      </w:r>
    </w:p>
    <w:p w14:paraId="4A78CDC9" w14:textId="77777777" w:rsidR="0066522E" w:rsidRDefault="0066522E" w:rsidP="0066522E">
      <w:pPr>
        <w:spacing w:before="13" w:line="240" w:lineRule="exact"/>
        <w:rPr>
          <w:rFonts w:ascii="Times New Roman" w:hAnsi="Times New Roman" w:cs="Times New Roman"/>
          <w:lang w:val="sl-SI"/>
        </w:rPr>
      </w:pPr>
    </w:p>
    <w:p w14:paraId="177B7E13" w14:textId="77777777" w:rsidR="0066522E" w:rsidRDefault="0066522E" w:rsidP="0066522E">
      <w:pPr>
        <w:pStyle w:val="a3"/>
        <w:rPr>
          <w:u w:val="single"/>
          <w:lang w:val="sl-SI"/>
        </w:rPr>
      </w:pPr>
      <w:r>
        <w:rPr>
          <w:rFonts w:eastAsia="Times New Roman"/>
          <w:u w:val="single" w:color="000000"/>
          <w:lang w:val="sl-SI"/>
        </w:rPr>
        <w:t>Avtoimunska dogajanja</w:t>
      </w:r>
    </w:p>
    <w:p w14:paraId="77A06183" w14:textId="77777777" w:rsidR="0066522E" w:rsidRDefault="0066522E" w:rsidP="0066522E">
      <w:pPr>
        <w:spacing w:before="9" w:line="170" w:lineRule="exact"/>
        <w:rPr>
          <w:rFonts w:ascii="Times New Roman" w:hAnsi="Times New Roman" w:cs="Times New Roman"/>
          <w:lang w:val="sl-SI"/>
        </w:rPr>
      </w:pPr>
    </w:p>
    <w:p w14:paraId="5EC9CAC9" w14:textId="77777777" w:rsidR="0066522E" w:rsidRDefault="0066522E" w:rsidP="0066522E">
      <w:pPr>
        <w:pStyle w:val="a3"/>
        <w:rPr>
          <w:lang w:val="sl-SI"/>
        </w:rPr>
      </w:pPr>
      <w:r>
        <w:rPr>
          <w:rFonts w:eastAsia="Times New Roman"/>
          <w:lang w:val="sl-SI"/>
        </w:rPr>
        <w:t>Zdravljenje z zdravilom Yuflyma lahko povzroči nastanek avtoimunskih protiteles. Vpliv dolgoročnega zdravljenja z adalimumabom na razvoj avtoimunskih bolezni ni znan. Če se pri bolniku po zdravljenju z zdravilom Yuflyma pojavijo simptomi, ki kažejo na lupusu podoben sindrom, in je pozitiven na protitelesa proti dvojnoverižni DNA, zdravila Yuflyma ne sme več prejemati (glejte poglavje 4.8).</w:t>
      </w:r>
    </w:p>
    <w:p w14:paraId="7E7565F2" w14:textId="77777777" w:rsidR="0066522E" w:rsidRDefault="0066522E" w:rsidP="0066522E">
      <w:pPr>
        <w:spacing w:before="13" w:line="240" w:lineRule="exact"/>
        <w:rPr>
          <w:rFonts w:ascii="Times New Roman" w:hAnsi="Times New Roman" w:cs="Times New Roman"/>
          <w:u w:val="single"/>
          <w:lang w:val="sl-SI"/>
        </w:rPr>
      </w:pPr>
    </w:p>
    <w:p w14:paraId="78D4E873" w14:textId="77777777" w:rsidR="0066522E" w:rsidRDefault="0066522E" w:rsidP="0066522E">
      <w:pPr>
        <w:pStyle w:val="a3"/>
        <w:rPr>
          <w:u w:val="single"/>
          <w:lang w:val="sl-SI"/>
        </w:rPr>
      </w:pPr>
      <w:r>
        <w:rPr>
          <w:rFonts w:eastAsia="Times New Roman"/>
          <w:u w:val="single" w:color="000000"/>
          <w:lang w:val="sl-SI"/>
        </w:rPr>
        <w:t>Sočasna uporaba bioloških DMARD ali antagonistov TNF</w:t>
      </w:r>
    </w:p>
    <w:p w14:paraId="1AE68794" w14:textId="77777777" w:rsidR="0066522E" w:rsidRDefault="0066522E" w:rsidP="0066522E">
      <w:pPr>
        <w:spacing w:before="1" w:line="180" w:lineRule="exact"/>
        <w:rPr>
          <w:rFonts w:ascii="Times New Roman" w:hAnsi="Times New Roman" w:cs="Times New Roman"/>
          <w:lang w:val="sl-SI"/>
        </w:rPr>
      </w:pPr>
    </w:p>
    <w:p w14:paraId="18EBFFBA" w14:textId="77777777" w:rsidR="0066522E" w:rsidRDefault="0066522E" w:rsidP="0066522E">
      <w:pPr>
        <w:pStyle w:val="a3"/>
        <w:rPr>
          <w:lang w:val="sl-SI"/>
        </w:rPr>
      </w:pPr>
      <w:r>
        <w:rPr>
          <w:rFonts w:eastAsia="Times New Roman"/>
          <w:lang w:val="sl-SI"/>
        </w:rPr>
        <w:t>V kliničnih študijah s sočasno uporabo anakinre in etanercepta, drugega</w:t>
      </w:r>
    </w:p>
    <w:p w14:paraId="30BE3692" w14:textId="77777777" w:rsidR="0066522E" w:rsidRDefault="0066522E" w:rsidP="0066522E">
      <w:pPr>
        <w:pStyle w:val="a3"/>
        <w:rPr>
          <w:lang w:val="sl-SI"/>
        </w:rPr>
      </w:pPr>
      <w:r>
        <w:rPr>
          <w:rFonts w:eastAsia="Times New Roman"/>
          <w:lang w:val="sl-SI"/>
        </w:rPr>
        <w:t>antagonista TNF, so opazili hude okužbe brez dodatnih kliničnih prednosti v primerjavi z etanerceptom samim. Glede na naravo neželenih dogodkov, opaženih pri kombiniranem zdravljenju z etanerceptom in anakinro, lahko podobne toksičnosti nastanejo tudi pri uporabi anakinre in drugih antagonistov TNF. Zato kombinacija adalimumaba in anakinre ni priporočljiva (glejte poglavje 4.5).</w:t>
      </w:r>
    </w:p>
    <w:p w14:paraId="0C405B21" w14:textId="77777777" w:rsidR="0066522E" w:rsidRDefault="0066522E" w:rsidP="0066522E">
      <w:pPr>
        <w:spacing w:before="14" w:line="240" w:lineRule="exact"/>
        <w:rPr>
          <w:rFonts w:ascii="Times New Roman" w:hAnsi="Times New Roman" w:cs="Times New Roman"/>
          <w:lang w:val="sl-SI"/>
        </w:rPr>
      </w:pPr>
    </w:p>
    <w:p w14:paraId="1BF4BD88" w14:textId="77777777" w:rsidR="0066522E" w:rsidRDefault="0066522E" w:rsidP="0066522E">
      <w:pPr>
        <w:pStyle w:val="a3"/>
        <w:rPr>
          <w:lang w:val="sl-SI"/>
        </w:rPr>
      </w:pPr>
      <w:r>
        <w:rPr>
          <w:rFonts w:eastAsia="Times New Roman"/>
          <w:lang w:val="sl-SI"/>
        </w:rPr>
        <w:t>Sočasna uporaba adalimumaba z drugimi biološkimi DMARD (tj.anakinra in abacept) ali z drugimi antagonisti TNF ni priporočljiva zaradi možnega povečanega tveganja za okužbe, vključno z resnimi okužbami, in drugih potencialnih farmakoloških interakcij (glejte poglavje 4.5).</w:t>
      </w:r>
    </w:p>
    <w:p w14:paraId="1717DB42" w14:textId="77777777" w:rsidR="0066522E" w:rsidRDefault="0066522E" w:rsidP="0066522E">
      <w:pPr>
        <w:spacing w:before="13" w:line="240" w:lineRule="exact"/>
        <w:rPr>
          <w:rFonts w:ascii="Times New Roman" w:hAnsi="Times New Roman" w:cs="Times New Roman"/>
          <w:lang w:val="sl-SI"/>
        </w:rPr>
      </w:pPr>
    </w:p>
    <w:p w14:paraId="09432615" w14:textId="77777777" w:rsidR="0066522E" w:rsidRDefault="0066522E" w:rsidP="0066522E">
      <w:pPr>
        <w:pStyle w:val="a3"/>
        <w:rPr>
          <w:u w:val="single"/>
          <w:lang w:val="sl-SI"/>
        </w:rPr>
      </w:pPr>
      <w:r>
        <w:rPr>
          <w:rFonts w:eastAsia="Times New Roman"/>
          <w:u w:val="single" w:color="000000"/>
          <w:lang w:val="sl-SI"/>
        </w:rPr>
        <w:t>Kirurški posegi</w:t>
      </w:r>
    </w:p>
    <w:p w14:paraId="7018A275" w14:textId="77777777" w:rsidR="0066522E" w:rsidRDefault="0066522E" w:rsidP="0066522E">
      <w:pPr>
        <w:spacing w:before="1" w:line="180" w:lineRule="exact"/>
        <w:rPr>
          <w:rFonts w:ascii="Times New Roman" w:hAnsi="Times New Roman" w:cs="Times New Roman"/>
          <w:lang w:val="sl-SI"/>
        </w:rPr>
      </w:pPr>
    </w:p>
    <w:p w14:paraId="7C1D507F" w14:textId="77777777" w:rsidR="0066522E" w:rsidRDefault="0066522E" w:rsidP="0066522E">
      <w:pPr>
        <w:pStyle w:val="a3"/>
        <w:rPr>
          <w:lang w:val="sl-SI"/>
        </w:rPr>
      </w:pPr>
      <w:r>
        <w:rPr>
          <w:rFonts w:eastAsia="Times New Roman"/>
          <w:lang w:val="sl-SI"/>
        </w:rPr>
        <w:t>Izkušnje z varnostjo kirurških posegov pri bolnikih, zdravljenih z zdravilom Yuflyma, so omejene. Pri načrtovanju kirurškega posega je treba upoštevati dolg razpolovni čas adalimumaba. Bolnika, ki med jemanjem zdravila Yuflyma potrebuje operacijo, je treba skrbno spremljati glede okužb in ustrezno ukrepati. Izkušnje z varnostjo pri bolnikih, ki so jim med zdravljenjem z adalimumabom opravili artroplastiko, so omejene.</w:t>
      </w:r>
    </w:p>
    <w:p w14:paraId="0BA60ADB" w14:textId="77777777" w:rsidR="0066522E" w:rsidRDefault="0066522E" w:rsidP="0066522E">
      <w:pPr>
        <w:pStyle w:val="a3"/>
        <w:rPr>
          <w:u w:color="000000"/>
          <w:lang w:val="sl-SI"/>
        </w:rPr>
      </w:pPr>
    </w:p>
    <w:p w14:paraId="7BFB2AA1" w14:textId="77777777" w:rsidR="0066522E" w:rsidRDefault="0066522E" w:rsidP="0066522E">
      <w:pPr>
        <w:pStyle w:val="a3"/>
        <w:rPr>
          <w:u w:val="single"/>
          <w:lang w:val="sl-SI"/>
        </w:rPr>
      </w:pPr>
      <w:r>
        <w:rPr>
          <w:rFonts w:eastAsia="Times New Roman"/>
          <w:u w:val="single" w:color="000000"/>
          <w:lang w:val="sl-SI"/>
        </w:rPr>
        <w:t>Zapora tankega črevesa</w:t>
      </w:r>
    </w:p>
    <w:p w14:paraId="6D9F4FBB" w14:textId="77777777" w:rsidR="0066522E" w:rsidRDefault="0066522E" w:rsidP="0066522E">
      <w:pPr>
        <w:pStyle w:val="a3"/>
        <w:rPr>
          <w:lang w:val="sl-SI"/>
        </w:rPr>
      </w:pPr>
    </w:p>
    <w:p w14:paraId="13C2B2D8" w14:textId="77777777" w:rsidR="0066522E" w:rsidRDefault="0066522E" w:rsidP="0066522E">
      <w:pPr>
        <w:pStyle w:val="a3"/>
        <w:rPr>
          <w:lang w:val="sl-SI"/>
        </w:rPr>
      </w:pPr>
      <w:r>
        <w:rPr>
          <w:rFonts w:eastAsia="Times New Roman"/>
          <w:lang w:val="sl-SI"/>
        </w:rPr>
        <w:t>Če se bolnik ne odzove na zdravljenje Crohnove bolezni, lahko to pomeni, da ima stalno fibrotično strikturo, zaradi katere utegne biti potrebno kirurško zdravljenje. Razpoložljivi podatki kažejo, da adalimumabne poslabša in ne povzroči striktur.</w:t>
      </w:r>
    </w:p>
    <w:p w14:paraId="2F53D054" w14:textId="77777777" w:rsidR="0066522E" w:rsidRDefault="0066522E" w:rsidP="0066522E">
      <w:pPr>
        <w:spacing w:before="13" w:line="240" w:lineRule="exact"/>
        <w:rPr>
          <w:rFonts w:ascii="Times New Roman" w:hAnsi="Times New Roman" w:cs="Times New Roman"/>
          <w:lang w:val="sl-SI"/>
        </w:rPr>
      </w:pPr>
    </w:p>
    <w:p w14:paraId="3D6BE169" w14:textId="77777777" w:rsidR="0066522E" w:rsidRDefault="0066522E" w:rsidP="0066522E">
      <w:pPr>
        <w:pStyle w:val="a3"/>
        <w:rPr>
          <w:u w:val="single"/>
          <w:lang w:val="sl-SI"/>
        </w:rPr>
      </w:pPr>
      <w:r>
        <w:rPr>
          <w:rFonts w:eastAsia="Times New Roman"/>
          <w:u w:val="single" w:color="000000"/>
          <w:lang w:val="sl-SI"/>
        </w:rPr>
        <w:t>Starejši bolniki</w:t>
      </w:r>
    </w:p>
    <w:p w14:paraId="6EB34A24" w14:textId="77777777" w:rsidR="0066522E" w:rsidRDefault="0066522E" w:rsidP="0066522E">
      <w:pPr>
        <w:spacing w:before="9" w:line="170" w:lineRule="exact"/>
        <w:rPr>
          <w:rFonts w:ascii="Times New Roman" w:hAnsi="Times New Roman" w:cs="Times New Roman"/>
          <w:lang w:val="sl-SI"/>
        </w:rPr>
      </w:pPr>
    </w:p>
    <w:p w14:paraId="6F302E7A" w14:textId="77777777" w:rsidR="0066522E" w:rsidRDefault="0066522E" w:rsidP="0066522E">
      <w:pPr>
        <w:pStyle w:val="a3"/>
        <w:rPr>
          <w:lang w:val="sl-SI"/>
        </w:rPr>
      </w:pPr>
      <w:r>
        <w:rPr>
          <w:rFonts w:eastAsia="Times New Roman"/>
          <w:lang w:val="sl-SI"/>
        </w:rPr>
        <w:t xml:space="preserve">Pogostnost resnih okužb pri preiskovancih, zdravljenih z adalimumabom, starejših od 65 let (3,7 %), je bila večja kot pri mlajših od 65 let (1,5 %). Pri nekaterih je bil izid smrten. Pri zdravljenju starejših oseb je treba </w:t>
      </w:r>
      <w:r>
        <w:rPr>
          <w:rFonts w:eastAsia="Times New Roman"/>
          <w:lang w:val="sl-SI"/>
        </w:rPr>
        <w:lastRenderedPageBreak/>
        <w:t>posebno pozornost posvetiti tveganju za okužbo.</w:t>
      </w:r>
    </w:p>
    <w:p w14:paraId="2673F1A3" w14:textId="77777777" w:rsidR="0066522E" w:rsidRDefault="0066522E" w:rsidP="0066522E">
      <w:pPr>
        <w:spacing w:before="11" w:line="240" w:lineRule="exact"/>
        <w:rPr>
          <w:rFonts w:ascii="Times New Roman" w:hAnsi="Times New Roman" w:cs="Times New Roman"/>
          <w:lang w:val="sl-SI"/>
        </w:rPr>
      </w:pPr>
    </w:p>
    <w:p w14:paraId="4909C2AC" w14:textId="77777777" w:rsidR="0066522E" w:rsidRDefault="0066522E" w:rsidP="0066522E">
      <w:pPr>
        <w:pStyle w:val="a3"/>
        <w:rPr>
          <w:u w:val="single"/>
          <w:lang w:val="sl-SI"/>
        </w:rPr>
      </w:pPr>
      <w:r>
        <w:rPr>
          <w:rFonts w:eastAsia="Times New Roman"/>
          <w:u w:val="single" w:color="000000"/>
          <w:lang w:val="sl-SI"/>
        </w:rPr>
        <w:t>Pediatrična populacija</w:t>
      </w:r>
    </w:p>
    <w:p w14:paraId="167E0CC4" w14:textId="77777777" w:rsidR="0066522E" w:rsidRDefault="0066522E" w:rsidP="0066522E">
      <w:pPr>
        <w:spacing w:before="1" w:line="180" w:lineRule="exact"/>
        <w:rPr>
          <w:rFonts w:ascii="Times New Roman" w:hAnsi="Times New Roman" w:cs="Times New Roman"/>
          <w:lang w:val="sl-SI"/>
        </w:rPr>
      </w:pPr>
    </w:p>
    <w:p w14:paraId="7CBC6B3B" w14:textId="77777777" w:rsidR="0066522E" w:rsidRDefault="0066522E" w:rsidP="0066522E">
      <w:pPr>
        <w:pStyle w:val="a3"/>
        <w:rPr>
          <w:lang w:val="sl-SI"/>
        </w:rPr>
      </w:pPr>
      <w:r>
        <w:rPr>
          <w:rFonts w:eastAsia="Times New Roman"/>
          <w:lang w:val="sl-SI"/>
        </w:rPr>
        <w:t>Glejte podpoglavje Cepljenja zgoraj.</w:t>
      </w:r>
    </w:p>
    <w:p w14:paraId="636AA0D4" w14:textId="77777777" w:rsidR="0066522E" w:rsidRDefault="0066522E" w:rsidP="0066522E">
      <w:pPr>
        <w:pStyle w:val="a3"/>
        <w:rPr>
          <w:lang w:val="sl-SI"/>
        </w:rPr>
      </w:pPr>
    </w:p>
    <w:p w14:paraId="0CA8E286" w14:textId="77777777" w:rsidR="0066522E" w:rsidRDefault="0066522E" w:rsidP="0066522E">
      <w:pPr>
        <w:pStyle w:val="a3"/>
        <w:rPr>
          <w:u w:val="single"/>
          <w:lang w:val="sl-SI"/>
        </w:rPr>
      </w:pPr>
      <w:r>
        <w:rPr>
          <w:rFonts w:eastAsia="Times New Roman"/>
          <w:u w:val="single" w:color="000000"/>
          <w:lang w:val="sl-SI"/>
        </w:rPr>
        <w:t>Vsebnost natrija</w:t>
      </w:r>
    </w:p>
    <w:p w14:paraId="4606EBAC" w14:textId="77777777" w:rsidR="0066522E" w:rsidRDefault="0066522E" w:rsidP="0066522E">
      <w:pPr>
        <w:pStyle w:val="a3"/>
        <w:rPr>
          <w:lang w:val="sl-SI"/>
        </w:rPr>
      </w:pPr>
    </w:p>
    <w:p w14:paraId="128BF9C8" w14:textId="793B4983" w:rsidR="0066522E" w:rsidRDefault="0066522E" w:rsidP="0066522E">
      <w:pPr>
        <w:pStyle w:val="a3"/>
        <w:rPr>
          <w:lang w:val="sl-SI"/>
        </w:rPr>
      </w:pPr>
      <w:r>
        <w:rPr>
          <w:rFonts w:eastAsia="Times New Roman"/>
          <w:lang w:val="sl-SI"/>
        </w:rPr>
        <w:t>To zdravilo vsebuje manj kot 1 mmol (23 mg) natrija na 0,</w:t>
      </w:r>
      <w:r w:rsidR="00641902">
        <w:rPr>
          <w:rFonts w:eastAsia="Times New Roman"/>
          <w:lang w:val="sl-SI"/>
        </w:rPr>
        <w:t>2</w:t>
      </w:r>
      <w:r>
        <w:rPr>
          <w:rFonts w:eastAsia="Times New Roman"/>
          <w:lang w:val="sl-SI"/>
        </w:rPr>
        <w:t> ml odmerek, kar v bistvu pomeni ‘brez natrija’.</w:t>
      </w:r>
    </w:p>
    <w:p w14:paraId="1EFA2E66" w14:textId="77777777" w:rsidR="0066522E" w:rsidRDefault="0066522E" w:rsidP="0066522E">
      <w:pPr>
        <w:spacing w:before="18" w:line="240" w:lineRule="exact"/>
        <w:rPr>
          <w:sz w:val="24"/>
          <w:szCs w:val="24"/>
          <w:lang w:val="sl-SI"/>
        </w:rPr>
      </w:pPr>
    </w:p>
    <w:p w14:paraId="7ED2B021" w14:textId="77777777" w:rsidR="0066522E" w:rsidRDefault="0066522E" w:rsidP="007811C6">
      <w:pPr>
        <w:widowControl/>
        <w:numPr>
          <w:ilvl w:val="1"/>
          <w:numId w:val="146"/>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Medsebojno delovanje z drugimi zdravili in druge oblike interakcij</w:t>
      </w:r>
    </w:p>
    <w:p w14:paraId="73BBE137" w14:textId="77777777" w:rsidR="0066522E" w:rsidRDefault="0066522E" w:rsidP="0066522E">
      <w:pPr>
        <w:spacing w:before="9" w:line="240" w:lineRule="exact"/>
        <w:rPr>
          <w:sz w:val="24"/>
          <w:szCs w:val="24"/>
          <w:lang w:val="sl-SI"/>
        </w:rPr>
      </w:pPr>
    </w:p>
    <w:p w14:paraId="09BBE54F" w14:textId="77777777" w:rsidR="0066522E" w:rsidRDefault="0066522E" w:rsidP="0066522E">
      <w:pPr>
        <w:pStyle w:val="a3"/>
        <w:rPr>
          <w:lang w:val="sl-SI"/>
        </w:rPr>
      </w:pPr>
      <w:r>
        <w:rPr>
          <w:rFonts w:eastAsia="Times New Roman"/>
          <w:lang w:val="sl-SI"/>
        </w:rPr>
        <w:t>Adalimumab so raziskali pri bolnikih z revmatoidnim artritisom, poliartikularnim juvenilnim idiopatskim artritisom in psoriatičnim artritisom, ki so adalimumab jemali v monoterapiji, in pri tistih, ki so ga jemali hkrati z metotreksatom. Pri uporabi adalimumaba skupaj z metotreksatom v primerjavi z uporabo monoterapije je bilo nastajanje protiteles manjše. Uporaba adalimumaba brez metotreksata je zvečala nastajanje protiteles, zvečala očistek in zmanjšala učinkovitost adalimumaba (glejte poglavje 5.1).</w:t>
      </w:r>
    </w:p>
    <w:p w14:paraId="0858B196" w14:textId="77777777" w:rsidR="0066522E" w:rsidRDefault="0066522E" w:rsidP="0066522E">
      <w:pPr>
        <w:spacing w:before="17" w:line="240" w:lineRule="exact"/>
        <w:rPr>
          <w:sz w:val="24"/>
          <w:szCs w:val="24"/>
          <w:lang w:val="sl-SI"/>
        </w:rPr>
      </w:pPr>
    </w:p>
    <w:p w14:paraId="4DA18F93" w14:textId="77777777" w:rsidR="0066522E" w:rsidRDefault="0066522E" w:rsidP="0066522E">
      <w:pPr>
        <w:pStyle w:val="a3"/>
        <w:rPr>
          <w:lang w:val="sl-SI"/>
        </w:rPr>
      </w:pPr>
      <w:r>
        <w:rPr>
          <w:rFonts w:eastAsia="Times New Roman"/>
          <w:lang w:val="sl-SI"/>
        </w:rPr>
        <w:t>Kombinacija adalimumaba in anakinre ni priporočljiva (glejte poglavje 4.4 “Sočasna uporaba bioloških DMARD ali antagonistov TNF”).</w:t>
      </w:r>
    </w:p>
    <w:p w14:paraId="4A0DCA33" w14:textId="77777777" w:rsidR="0066522E" w:rsidRDefault="0066522E" w:rsidP="0066522E">
      <w:pPr>
        <w:spacing w:before="11" w:line="240" w:lineRule="exact"/>
        <w:rPr>
          <w:sz w:val="24"/>
          <w:szCs w:val="24"/>
          <w:lang w:val="sl-SI"/>
        </w:rPr>
      </w:pPr>
    </w:p>
    <w:p w14:paraId="0E12F187" w14:textId="77777777" w:rsidR="0066522E" w:rsidRDefault="0066522E" w:rsidP="0066522E">
      <w:pPr>
        <w:pStyle w:val="a3"/>
        <w:rPr>
          <w:lang w:val="sl-SI"/>
        </w:rPr>
      </w:pPr>
      <w:r>
        <w:rPr>
          <w:rFonts w:eastAsia="Times New Roman"/>
          <w:lang w:val="sl-SI"/>
        </w:rPr>
        <w:t>Kombinacija adalimumaba in abatacepta ni priporočljiva (glejte poglavje 4.4 “Sočasna uporaba bioloških DMARD ali antagonistov TNF”).</w:t>
      </w:r>
    </w:p>
    <w:p w14:paraId="07C88A35" w14:textId="77777777" w:rsidR="0066522E" w:rsidRDefault="0066522E" w:rsidP="0066522E">
      <w:pPr>
        <w:spacing w:before="14" w:line="240" w:lineRule="exact"/>
        <w:rPr>
          <w:sz w:val="24"/>
          <w:szCs w:val="24"/>
          <w:lang w:val="sl-SI"/>
        </w:rPr>
      </w:pPr>
    </w:p>
    <w:p w14:paraId="336AD5A4" w14:textId="77777777" w:rsidR="0066522E" w:rsidRDefault="0066522E" w:rsidP="007811C6">
      <w:pPr>
        <w:widowControl/>
        <w:numPr>
          <w:ilvl w:val="1"/>
          <w:numId w:val="146"/>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Plodnost, nosečnost in dojenje</w:t>
      </w:r>
    </w:p>
    <w:p w14:paraId="2492CBDF" w14:textId="77777777" w:rsidR="0066522E" w:rsidRDefault="0066522E" w:rsidP="0066522E">
      <w:pPr>
        <w:spacing w:before="9" w:line="240" w:lineRule="exact"/>
        <w:rPr>
          <w:rFonts w:ascii="Times New Roman" w:hAnsi="Times New Roman" w:cs="Times New Roman"/>
          <w:lang w:val="sl-SI"/>
        </w:rPr>
      </w:pPr>
    </w:p>
    <w:p w14:paraId="2EA3F4F1" w14:textId="77777777" w:rsidR="0066522E" w:rsidRDefault="0066522E" w:rsidP="0066522E">
      <w:pPr>
        <w:pStyle w:val="a3"/>
        <w:rPr>
          <w:u w:val="single"/>
          <w:lang w:val="sl-SI"/>
        </w:rPr>
      </w:pPr>
      <w:r>
        <w:rPr>
          <w:rFonts w:eastAsia="Times New Roman"/>
          <w:u w:val="single" w:color="000000"/>
          <w:lang w:val="sl-SI"/>
        </w:rPr>
        <w:t>Ženske v rodni dobi</w:t>
      </w:r>
    </w:p>
    <w:p w14:paraId="62F88D9A" w14:textId="77777777" w:rsidR="0066522E" w:rsidRDefault="0066522E" w:rsidP="0066522E">
      <w:pPr>
        <w:spacing w:before="1" w:line="180" w:lineRule="exact"/>
        <w:rPr>
          <w:rFonts w:ascii="Times New Roman" w:hAnsi="Times New Roman" w:cs="Times New Roman"/>
          <w:lang w:val="sl-SI"/>
        </w:rPr>
      </w:pPr>
    </w:p>
    <w:p w14:paraId="745D34CB" w14:textId="77777777" w:rsidR="0066522E" w:rsidRDefault="0066522E" w:rsidP="0066522E">
      <w:pPr>
        <w:pStyle w:val="a3"/>
        <w:rPr>
          <w:lang w:val="sl-SI"/>
        </w:rPr>
      </w:pPr>
      <w:r>
        <w:rPr>
          <w:rFonts w:eastAsia="Times New Roman"/>
          <w:lang w:val="sl-SI"/>
        </w:rPr>
        <w:t>Ženske v rodni dobi morajo premisliti o uporabi ustrezne kontracepcijske zaščite za preprečitev nosečnosti in z njo nadaljevati vsaj še pet mesecev po zadnjem zdravljenju z zdravilom Yuflyma.</w:t>
      </w:r>
    </w:p>
    <w:p w14:paraId="36BF4682" w14:textId="77777777" w:rsidR="0066522E" w:rsidRDefault="0066522E" w:rsidP="0066522E">
      <w:pPr>
        <w:spacing w:before="11" w:line="240" w:lineRule="exact"/>
        <w:rPr>
          <w:rFonts w:ascii="Times New Roman" w:hAnsi="Times New Roman" w:cs="Times New Roman"/>
          <w:lang w:val="sl-SI"/>
        </w:rPr>
      </w:pPr>
    </w:p>
    <w:p w14:paraId="6300BF51" w14:textId="77777777" w:rsidR="0066522E" w:rsidRDefault="0066522E" w:rsidP="0066522E">
      <w:pPr>
        <w:pStyle w:val="a3"/>
        <w:rPr>
          <w:u w:val="single"/>
          <w:lang w:val="sl-SI"/>
        </w:rPr>
      </w:pPr>
      <w:r>
        <w:rPr>
          <w:rFonts w:eastAsia="Times New Roman"/>
          <w:u w:val="single" w:color="000000"/>
          <w:lang w:val="sl-SI"/>
        </w:rPr>
        <w:t>Nosečnost</w:t>
      </w:r>
    </w:p>
    <w:p w14:paraId="2EB87B51" w14:textId="77777777" w:rsidR="0066522E" w:rsidRDefault="0066522E" w:rsidP="0066522E">
      <w:pPr>
        <w:spacing w:before="1" w:line="180" w:lineRule="exact"/>
        <w:rPr>
          <w:rFonts w:ascii="Times New Roman" w:hAnsi="Times New Roman" w:cs="Times New Roman"/>
          <w:lang w:val="sl-SI"/>
        </w:rPr>
      </w:pPr>
    </w:p>
    <w:p w14:paraId="765F93AF" w14:textId="77777777" w:rsidR="0066522E" w:rsidRDefault="0066522E" w:rsidP="0066522E">
      <w:pPr>
        <w:pStyle w:val="a3"/>
        <w:rPr>
          <w:lang w:val="sl-SI"/>
        </w:rPr>
      </w:pPr>
      <w:r>
        <w:rPr>
          <w:rFonts w:eastAsia="Times New Roman"/>
          <w:lang w:val="sl-SI"/>
        </w:rPr>
        <w:t>Veliko število (približno 2100) v naprej izbranih nosečnosti, med katerimi so bile matere izpostavljene adalimumabu in jim je sledilo rojstvo živorojenih otrok z znanim izidom, vključno s 1500 izpostavljenimi v prvem trimesečju, ne nakazuje povečanja razmerja malformacij pri novorojenčkih.</w:t>
      </w:r>
    </w:p>
    <w:p w14:paraId="4BB1A8CB" w14:textId="77777777" w:rsidR="0066522E" w:rsidRDefault="0066522E" w:rsidP="0066522E">
      <w:pPr>
        <w:spacing w:before="13" w:line="240" w:lineRule="exact"/>
        <w:rPr>
          <w:rFonts w:ascii="Times New Roman" w:hAnsi="Times New Roman" w:cs="Times New Roman"/>
          <w:lang w:val="sl-SI"/>
        </w:rPr>
      </w:pPr>
    </w:p>
    <w:p w14:paraId="79A55646" w14:textId="77777777" w:rsidR="0066522E" w:rsidRDefault="0066522E" w:rsidP="0066522E">
      <w:pPr>
        <w:pStyle w:val="a3"/>
        <w:rPr>
          <w:lang w:val="sl-SI"/>
        </w:rPr>
      </w:pPr>
      <w:r>
        <w:rPr>
          <w:rFonts w:eastAsia="Times New Roman"/>
          <w:lang w:val="sl-SI"/>
        </w:rPr>
        <w:t>V predvidenem kohortnem registru je bilo vključenih 257 žensk z revmatoidnim artritisom (RA) ali Crohnovo boleznijo (CB), zdravljenih z adalimumabom vsaj v prvem trimesečju nosečnosti, in 120 žensk z RA ali CB, ki niso bile zdravljene z adalimumabom. Primarni opazovani dogodek je bila prevalenca rojstev z večjimi okvarami ob rojstvu. Razmerje nosečnosti, ki so se končale vsaj z enim živorojenim otrokom z večjo okvaro ob rojstvu, je bilo 6/69 (8,7 %) pri nosečnicah, zdravljenih z adalimumabom z RA, in 5/74 (6,8 %) pri nezdravljenih nosečnicah z RA (neprilagojeno razmerje obetov 1.31, 95-% interval zaupanja 0.38–4.52), ter 16/152 (10,5 %) pri nosečnicah, zdravljenih z adalimumabom s CB, in 3/32 (9,4 %) pri nezdravljenih nosečnicah s CB (neprilagojeno razmerje obetov 1.14, 95-% interval zaupanja 0.31–4.16). Prilagojeno razmerje obetov (z ozirom na izhodiščne razlike) je bilo 1.10 (95-% interval zaupanja 0.45–2.73) za RA in CB skupaj. Ni bilo opaznih razlik med nosečnicami, zdravljenimi z adalimumabom in nezdravljenimi glede sekundarnih opazovanih dogodkov, kot so spontani splavi, manjši defekti ob rojstvu, prezgodnji porodi, porodna velikost in resne ali oportunistične okužbe, prav tako ni bilo opisanih mrtvorojenosti ali malignosti. Na interpretacijo podatkov lahko vplivajo metodološke omejitve raziskave, vključno z majhno velikostjo vzorca in nerandomizirano zasnovo raziskave.</w:t>
      </w:r>
    </w:p>
    <w:p w14:paraId="56EBB629" w14:textId="77777777" w:rsidR="0066522E" w:rsidRDefault="0066522E" w:rsidP="0066522E">
      <w:pPr>
        <w:spacing w:before="10" w:line="240" w:lineRule="exact"/>
        <w:rPr>
          <w:rFonts w:ascii="Times New Roman" w:hAnsi="Times New Roman" w:cs="Times New Roman"/>
          <w:lang w:val="sl-SI"/>
        </w:rPr>
      </w:pPr>
    </w:p>
    <w:p w14:paraId="2BB8311E" w14:textId="77777777" w:rsidR="0066522E" w:rsidRDefault="0066522E" w:rsidP="0066522E">
      <w:pPr>
        <w:pStyle w:val="a3"/>
        <w:rPr>
          <w:lang w:val="sl-SI"/>
        </w:rPr>
      </w:pPr>
      <w:r>
        <w:rPr>
          <w:rFonts w:eastAsia="Times New Roman"/>
          <w:spacing w:val="-2"/>
          <w:lang w:val="sl-SI"/>
        </w:rPr>
        <w:t>V študiji razvojne toksičnosti pri opicah ni bilo znakov maternalne toksičnosti, embriotoksičnosti ali teratogenosti. Predkliničnih podatkov o poporodni toksičnosti adalimumaba ni (glejte poglavje 5.3).</w:t>
      </w:r>
    </w:p>
    <w:p w14:paraId="544106CB" w14:textId="77777777" w:rsidR="0066522E" w:rsidRDefault="0066522E" w:rsidP="0066522E">
      <w:pPr>
        <w:spacing w:before="14" w:line="260" w:lineRule="exact"/>
        <w:rPr>
          <w:rFonts w:ascii="Times New Roman" w:hAnsi="Times New Roman" w:cs="Times New Roman"/>
          <w:lang w:val="sl-SI"/>
        </w:rPr>
      </w:pPr>
    </w:p>
    <w:p w14:paraId="5DAE6ABE" w14:textId="77777777" w:rsidR="0066522E" w:rsidRDefault="0066522E" w:rsidP="0066522E">
      <w:pPr>
        <w:pStyle w:val="a3"/>
        <w:rPr>
          <w:lang w:val="sl-SI"/>
        </w:rPr>
      </w:pPr>
      <w:r>
        <w:rPr>
          <w:rFonts w:eastAsia="Times New Roman"/>
          <w:lang w:val="sl-SI"/>
        </w:rPr>
        <w:lastRenderedPageBreak/>
        <w:t>Ker adalimumab zavira TNF</w:t>
      </w:r>
      <w:r>
        <w:rPr>
          <w:rFonts w:ascii="Symbol" w:eastAsia="Symbol" w:hAnsi="Symbol" w:cs="Symbol"/>
          <w:lang w:val="sl-SI"/>
        </w:rPr>
        <w:sym w:font="Symbol" w:char="F061"/>
      </w:r>
      <w:r>
        <w:rPr>
          <w:rFonts w:eastAsia="Times New Roman"/>
          <w:lang w:val="sl-SI"/>
        </w:rPr>
        <w:t>, bi njegova uporaba med nosečnostjo lahko okrnila normalne imunske odzive novorojenčka. Adalimumab se med nosečnostjo lahko uporablja samo, če je brez dvoma potrebno.</w:t>
      </w:r>
    </w:p>
    <w:p w14:paraId="0741E26E" w14:textId="77777777" w:rsidR="0066522E" w:rsidRDefault="0066522E" w:rsidP="0066522E">
      <w:pPr>
        <w:spacing w:before="11" w:line="240" w:lineRule="exact"/>
        <w:rPr>
          <w:rFonts w:ascii="Times New Roman" w:hAnsi="Times New Roman" w:cs="Times New Roman"/>
          <w:lang w:val="sl-SI"/>
        </w:rPr>
      </w:pPr>
    </w:p>
    <w:p w14:paraId="05983C8E" w14:textId="77777777" w:rsidR="0066522E" w:rsidRDefault="0066522E" w:rsidP="0066522E">
      <w:pPr>
        <w:pStyle w:val="a3"/>
        <w:rPr>
          <w:lang w:val="sl-SI"/>
        </w:rPr>
      </w:pPr>
      <w:r>
        <w:rPr>
          <w:rFonts w:eastAsia="Times New Roman"/>
          <w:lang w:val="sl-SI"/>
        </w:rPr>
        <w:t>Adalimumab lahko prehaja skozi placento v serum dojenčkov, ki so jih rodile ženske, zdravljene z adalimumabom med nosečnostjo. Posledično je lahko tveganje za okužbe pri teh dojenčkih večje. Uporaba živih cepiv (npr. BCG cepiva) pri dojenčkih, ki so bili izpostavljeni adalimumabu in utero, ni priporočljiva 5 mesecev po zadnji injekciji adalimumaba, ki jo je mati prejela med nosečnostjo.</w:t>
      </w:r>
    </w:p>
    <w:p w14:paraId="3C57B59B" w14:textId="77777777" w:rsidR="0066522E" w:rsidRDefault="0066522E" w:rsidP="0066522E">
      <w:pPr>
        <w:spacing w:before="13" w:line="240" w:lineRule="exact"/>
        <w:rPr>
          <w:rFonts w:ascii="Times New Roman" w:hAnsi="Times New Roman" w:cs="Times New Roman"/>
          <w:lang w:val="sl-SI"/>
        </w:rPr>
      </w:pPr>
    </w:p>
    <w:p w14:paraId="0BDEC09F" w14:textId="77777777" w:rsidR="0066522E" w:rsidRDefault="0066522E" w:rsidP="0066522E">
      <w:pPr>
        <w:spacing w:before="13" w:line="240" w:lineRule="exact"/>
        <w:rPr>
          <w:rFonts w:ascii="Times New Roman" w:hAnsi="Times New Roman" w:cs="Times New Roman"/>
          <w:lang w:val="sl-SI"/>
        </w:rPr>
      </w:pPr>
    </w:p>
    <w:p w14:paraId="7B9047E9" w14:textId="77777777" w:rsidR="0066522E" w:rsidRDefault="0066522E" w:rsidP="0066522E">
      <w:pPr>
        <w:pStyle w:val="a3"/>
        <w:rPr>
          <w:u w:val="single"/>
          <w:lang w:val="sl-SI"/>
        </w:rPr>
      </w:pPr>
      <w:r>
        <w:rPr>
          <w:rFonts w:eastAsia="Times New Roman"/>
          <w:spacing w:val="-1"/>
          <w:u w:val="single" w:color="000000"/>
          <w:lang w:val="sl-SI"/>
        </w:rPr>
        <w:t>Dojenje</w:t>
      </w:r>
    </w:p>
    <w:p w14:paraId="69239FAA" w14:textId="77777777" w:rsidR="0066522E" w:rsidRDefault="0066522E" w:rsidP="0066522E">
      <w:pPr>
        <w:spacing w:before="1" w:line="180" w:lineRule="exact"/>
        <w:rPr>
          <w:rFonts w:ascii="Times New Roman" w:hAnsi="Times New Roman" w:cs="Times New Roman"/>
          <w:lang w:val="sl-SI"/>
        </w:rPr>
      </w:pPr>
    </w:p>
    <w:p w14:paraId="16B13DDD" w14:textId="77777777" w:rsidR="0066522E" w:rsidRDefault="0066522E" w:rsidP="0066522E">
      <w:pPr>
        <w:pStyle w:val="a3"/>
        <w:rPr>
          <w:lang w:val="sl-SI"/>
        </w:rPr>
      </w:pPr>
      <w:r>
        <w:rPr>
          <w:rFonts w:eastAsia="Times New Roman"/>
          <w:lang w:val="sl-SI"/>
        </w:rPr>
        <w:t>Omejeni podatki iz objavljene literature kažejo, da se adalimumab izloča v materino mleko v zelo nizkih koncentracijah, s prisotnostjo adalimumaba v človeškem mleku v koncentraciji 0,1 % do 1 % glede na materin serum. Pri peroralnem dajanju so imunoglobulini G podvrženi intestinalni proteolizi in imajo nizko biološko uporabnost. Ni pričakovanega učinka na dojene novorojenčke/dojenčke. Posledično se zdravilo Yuflyma lahko uporablja med dojenjem.</w:t>
      </w:r>
    </w:p>
    <w:p w14:paraId="289EF97D" w14:textId="77777777" w:rsidR="0066522E" w:rsidRDefault="0066522E" w:rsidP="0066522E">
      <w:pPr>
        <w:spacing w:before="11" w:line="240" w:lineRule="exact"/>
        <w:rPr>
          <w:rFonts w:ascii="Times New Roman" w:hAnsi="Times New Roman" w:cs="Times New Roman"/>
          <w:lang w:val="sl-SI"/>
        </w:rPr>
      </w:pPr>
    </w:p>
    <w:p w14:paraId="75D5FEB5" w14:textId="77777777" w:rsidR="0066522E" w:rsidRDefault="0066522E" w:rsidP="0066522E">
      <w:pPr>
        <w:pStyle w:val="a3"/>
        <w:rPr>
          <w:u w:val="single"/>
          <w:lang w:val="sl-SI"/>
        </w:rPr>
      </w:pPr>
      <w:r>
        <w:rPr>
          <w:rFonts w:eastAsia="Times New Roman"/>
          <w:u w:val="single" w:color="000000"/>
          <w:lang w:val="sl-SI"/>
        </w:rPr>
        <w:t>Plodnost</w:t>
      </w:r>
    </w:p>
    <w:p w14:paraId="2D995ED7" w14:textId="77777777" w:rsidR="0066522E" w:rsidRDefault="0066522E" w:rsidP="0066522E">
      <w:pPr>
        <w:spacing w:before="1" w:line="180" w:lineRule="exact"/>
        <w:rPr>
          <w:rFonts w:ascii="Times New Roman" w:hAnsi="Times New Roman" w:cs="Times New Roman"/>
          <w:lang w:val="sl-SI"/>
        </w:rPr>
      </w:pPr>
    </w:p>
    <w:p w14:paraId="6FD825F6" w14:textId="77777777" w:rsidR="0066522E" w:rsidRDefault="0066522E" w:rsidP="0066522E">
      <w:pPr>
        <w:pStyle w:val="a3"/>
        <w:rPr>
          <w:lang w:val="sl-SI"/>
        </w:rPr>
      </w:pPr>
      <w:r>
        <w:rPr>
          <w:rFonts w:eastAsia="Times New Roman"/>
          <w:lang w:val="sl-SI"/>
        </w:rPr>
        <w:t>Predkliničnih podatkov o učinkih adalimumaba na plodnost ni na voljo.</w:t>
      </w:r>
    </w:p>
    <w:p w14:paraId="52352FA0" w14:textId="77777777" w:rsidR="0066522E" w:rsidRDefault="0066522E" w:rsidP="0066522E">
      <w:pPr>
        <w:spacing w:before="18" w:line="240" w:lineRule="exact"/>
        <w:rPr>
          <w:sz w:val="24"/>
          <w:szCs w:val="24"/>
          <w:lang w:val="sl-SI"/>
        </w:rPr>
      </w:pPr>
    </w:p>
    <w:p w14:paraId="5D70DE45" w14:textId="77777777" w:rsidR="0066522E" w:rsidRDefault="0066522E" w:rsidP="007811C6">
      <w:pPr>
        <w:widowControl/>
        <w:numPr>
          <w:ilvl w:val="1"/>
          <w:numId w:val="146"/>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Vpliv na sposobnost vožnje in upravljanja strojev</w:t>
      </w:r>
    </w:p>
    <w:p w14:paraId="4E0BF267" w14:textId="77777777" w:rsidR="0066522E" w:rsidRDefault="0066522E" w:rsidP="0066522E">
      <w:pPr>
        <w:spacing w:before="12" w:line="240" w:lineRule="exact"/>
        <w:rPr>
          <w:sz w:val="24"/>
          <w:szCs w:val="24"/>
          <w:lang w:val="sl-SI"/>
        </w:rPr>
      </w:pPr>
    </w:p>
    <w:p w14:paraId="3B5F447E" w14:textId="77777777" w:rsidR="0066522E" w:rsidRDefault="0066522E" w:rsidP="0066522E">
      <w:pPr>
        <w:pStyle w:val="a3"/>
        <w:rPr>
          <w:lang w:val="sl-SI"/>
        </w:rPr>
      </w:pPr>
      <w:r>
        <w:rPr>
          <w:rFonts w:eastAsia="Times New Roman"/>
          <w:lang w:val="sl-SI"/>
        </w:rPr>
        <w:t>Zdravilo Yuflyma ima blag vpliv na sposobnost vožnje in upravljanja strojev. Po dajanju zdravila Yuflyma se lahko pojavita vrtoglavica in poslabšanje vida (glejte poglavje 4.8).</w:t>
      </w:r>
    </w:p>
    <w:p w14:paraId="50D35EE7" w14:textId="77777777" w:rsidR="0066522E" w:rsidRDefault="0066522E" w:rsidP="0066522E">
      <w:pPr>
        <w:spacing w:before="15" w:line="240" w:lineRule="exact"/>
        <w:rPr>
          <w:sz w:val="24"/>
          <w:szCs w:val="24"/>
          <w:lang w:val="sl-SI"/>
        </w:rPr>
      </w:pPr>
    </w:p>
    <w:p w14:paraId="57ECA88C" w14:textId="77777777" w:rsidR="0066522E" w:rsidRDefault="0066522E" w:rsidP="007811C6">
      <w:pPr>
        <w:widowControl/>
        <w:numPr>
          <w:ilvl w:val="1"/>
          <w:numId w:val="146"/>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Neželeni učinki</w:t>
      </w:r>
    </w:p>
    <w:p w14:paraId="2D0ADA87" w14:textId="77777777" w:rsidR="0066522E" w:rsidRDefault="0066522E" w:rsidP="0066522E">
      <w:pPr>
        <w:spacing w:before="9" w:line="240" w:lineRule="exact"/>
        <w:rPr>
          <w:sz w:val="24"/>
          <w:szCs w:val="24"/>
          <w:lang w:val="sl-SI"/>
        </w:rPr>
      </w:pPr>
    </w:p>
    <w:p w14:paraId="146E3474" w14:textId="77777777" w:rsidR="0066522E" w:rsidRDefault="0066522E" w:rsidP="0066522E">
      <w:pPr>
        <w:pStyle w:val="a3"/>
        <w:rPr>
          <w:u w:val="single"/>
          <w:lang w:val="sl-SI"/>
        </w:rPr>
      </w:pPr>
      <w:r>
        <w:rPr>
          <w:rFonts w:eastAsia="Times New Roman"/>
          <w:u w:val="single" w:color="000000"/>
          <w:lang w:val="sl-SI"/>
        </w:rPr>
        <w:t>Povzetek varnostnega profila</w:t>
      </w:r>
    </w:p>
    <w:p w14:paraId="62DEFD96" w14:textId="77777777" w:rsidR="0066522E" w:rsidRDefault="0066522E" w:rsidP="0066522E">
      <w:pPr>
        <w:spacing w:before="1" w:line="180" w:lineRule="exact"/>
        <w:rPr>
          <w:sz w:val="18"/>
          <w:szCs w:val="18"/>
          <w:lang w:val="sl-SI"/>
        </w:rPr>
      </w:pPr>
    </w:p>
    <w:p w14:paraId="1FB34D38" w14:textId="77777777" w:rsidR="0066522E" w:rsidRDefault="0066522E" w:rsidP="0066522E">
      <w:pPr>
        <w:pStyle w:val="a3"/>
        <w:rPr>
          <w:lang w:val="sl-SI"/>
        </w:rPr>
      </w:pPr>
      <w:r>
        <w:rPr>
          <w:rFonts w:eastAsia="Times New Roman"/>
          <w:lang w:val="sl-SI"/>
        </w:rPr>
        <w:t>Adalimumab so raziskovali pri 9.506 bolnikih v ključnih kontroliranih in odprtih preskušanjih, ki so trajala do 60 mesecev ali več. Ta preskušanja so vključevala bolnike z revmatoidnim artritisom s kratkotrajno in dolgotrajno boleznijo, juvenilnim idiopatskim artritisom (poliartikularnim juvenilnim idiopatskim artritisom in artritisom, povezanim z entezitisom) ter aksialnim spondiloartritisom (ankilozirajočim spondilitisom in aksialnim spondiloartritisom brez radiografskega dokaza za AS), psoriatičnim artritisom, Crohnovo bolezen, ulceroznim kolitisom, luskavico, hidradenitisom suppurativa in uveitisom. Ključne nadzorovane študije so vključevale 6089 bolnikov, ki so med kontroliranim obdobjem prejemali adalimumab, in 3801 bolnikov, ki so v tem obdobju prejemali placebo ali primerjalno učinkovino.</w:t>
      </w:r>
    </w:p>
    <w:p w14:paraId="3CA61C22" w14:textId="77777777" w:rsidR="0066522E" w:rsidRDefault="0066522E" w:rsidP="0066522E">
      <w:pPr>
        <w:spacing w:before="13" w:line="240" w:lineRule="exact"/>
        <w:rPr>
          <w:sz w:val="24"/>
          <w:szCs w:val="24"/>
          <w:lang w:val="sl-SI"/>
        </w:rPr>
      </w:pPr>
    </w:p>
    <w:p w14:paraId="4B92266F" w14:textId="77777777" w:rsidR="0066522E" w:rsidRDefault="0066522E" w:rsidP="0066522E">
      <w:pPr>
        <w:pStyle w:val="a3"/>
        <w:rPr>
          <w:lang w:val="sl-SI"/>
        </w:rPr>
      </w:pPr>
      <w:r>
        <w:rPr>
          <w:rFonts w:eastAsia="Times New Roman"/>
          <w:lang w:val="sl-SI"/>
        </w:rPr>
        <w:t>Delež bolnikov, ki so zdravljenje prekinili zaradi neželenih učinkov med dvojno slepim, nadzorovanim delom ključnih študij, je bil 5,9 % pri bolnikih, ki so prejemali adalimumab, in 5,4 % v kontrolni skupini.</w:t>
      </w:r>
    </w:p>
    <w:p w14:paraId="40D9413F" w14:textId="77777777" w:rsidR="0066522E" w:rsidRDefault="0066522E" w:rsidP="0066522E">
      <w:pPr>
        <w:spacing w:before="17" w:line="240" w:lineRule="exact"/>
        <w:rPr>
          <w:sz w:val="24"/>
          <w:szCs w:val="24"/>
          <w:lang w:val="sl-SI"/>
        </w:rPr>
      </w:pPr>
    </w:p>
    <w:p w14:paraId="69A8EE51" w14:textId="77777777" w:rsidR="0066522E" w:rsidRDefault="0066522E" w:rsidP="0066522E">
      <w:pPr>
        <w:pStyle w:val="a3"/>
        <w:rPr>
          <w:lang w:val="sl-SI"/>
        </w:rPr>
      </w:pPr>
      <w:r>
        <w:rPr>
          <w:rFonts w:eastAsia="Times New Roman"/>
          <w:lang w:val="sl-SI"/>
        </w:rPr>
        <w:t>Najpogosteje opisani neželeni učinki so okužbe (kot so nazofaringitis, okužba zgornjih dihal in sinusitis), reakcije na mestu injiciranja (eritem, srbenje, hemoragija, bolečina ali oteklina), glavobol in mišično-skeletne bolečine.</w:t>
      </w:r>
    </w:p>
    <w:p w14:paraId="10CB90DD" w14:textId="77777777" w:rsidR="0066522E" w:rsidRDefault="0066522E" w:rsidP="0066522E">
      <w:pPr>
        <w:pStyle w:val="a3"/>
        <w:rPr>
          <w:lang w:val="sl-SI"/>
        </w:rPr>
      </w:pPr>
    </w:p>
    <w:p w14:paraId="6C81364A" w14:textId="77777777" w:rsidR="0066522E" w:rsidRDefault="0066522E" w:rsidP="0066522E">
      <w:pPr>
        <w:pStyle w:val="a3"/>
        <w:rPr>
          <w:lang w:val="sl-SI"/>
        </w:rPr>
      </w:pPr>
      <w:r>
        <w:rPr>
          <w:rFonts w:eastAsia="Times New Roman"/>
          <w:lang w:val="sl-SI"/>
        </w:rPr>
        <w:t>Poročali so tudi o resnih neželenih učinkih v zvezi z adalimumabom. Antagonisti TNF, kot je adalimumab, prizadenejo imunski sistem in njihova uporaba lahko vpliva na obrambo telesa proti okužbi in raku.</w:t>
      </w:r>
    </w:p>
    <w:p w14:paraId="340CA414" w14:textId="77777777" w:rsidR="0066522E" w:rsidRDefault="0066522E" w:rsidP="0066522E">
      <w:pPr>
        <w:pStyle w:val="a3"/>
        <w:rPr>
          <w:lang w:val="sl-SI"/>
        </w:rPr>
      </w:pPr>
      <w:r>
        <w:rPr>
          <w:rFonts w:eastAsia="Times New Roman"/>
          <w:lang w:val="sl-SI"/>
        </w:rPr>
        <w:t>Pri uporabi adalimumaba so poročali tudi o smrtnih in življenjsko nevarnih okužbah (vključno s sepso, oportunističnimi okužbami in TB), HBV reaktivaciji in različnih malignih obolenjih (vključno z levkemijo, limfomom in HSTCL).</w:t>
      </w:r>
    </w:p>
    <w:p w14:paraId="63FF5C05" w14:textId="77777777" w:rsidR="0066522E" w:rsidRDefault="0066522E" w:rsidP="0066522E">
      <w:pPr>
        <w:spacing w:before="17" w:line="240" w:lineRule="exact"/>
        <w:rPr>
          <w:sz w:val="24"/>
          <w:szCs w:val="24"/>
          <w:lang w:val="sl-SI"/>
        </w:rPr>
      </w:pPr>
    </w:p>
    <w:p w14:paraId="567A13F7" w14:textId="77777777" w:rsidR="0066522E" w:rsidRDefault="0066522E" w:rsidP="0066522E">
      <w:pPr>
        <w:pStyle w:val="a3"/>
        <w:rPr>
          <w:lang w:val="sl-SI"/>
        </w:rPr>
      </w:pPr>
      <w:r>
        <w:rPr>
          <w:rFonts w:eastAsia="Times New Roman"/>
          <w:lang w:val="sl-SI"/>
        </w:rPr>
        <w:t>Poročali so tudi o resnih hematoloških, nevroloških in avtoimunskih reakcijah. To vključuje redka poročila o pancitopeniji, aplastični anemiji, centralnih in perifernih demielinizacijskih dogodkih in poročila o lupusu, z lupusom povezanimi stanji in sindromom Stevens-Johnson.</w:t>
      </w:r>
    </w:p>
    <w:p w14:paraId="245CD701" w14:textId="77777777" w:rsidR="0066522E" w:rsidRDefault="0066522E" w:rsidP="0066522E">
      <w:pPr>
        <w:spacing w:before="11" w:line="240" w:lineRule="exact"/>
        <w:rPr>
          <w:sz w:val="24"/>
          <w:szCs w:val="24"/>
          <w:lang w:val="sl-SI"/>
        </w:rPr>
      </w:pPr>
    </w:p>
    <w:p w14:paraId="18B106E6" w14:textId="77777777" w:rsidR="0066522E" w:rsidRDefault="0066522E" w:rsidP="0066522E">
      <w:pPr>
        <w:pStyle w:val="a3"/>
        <w:rPr>
          <w:u w:val="single"/>
          <w:lang w:val="sl-SI"/>
        </w:rPr>
      </w:pPr>
      <w:r>
        <w:rPr>
          <w:rFonts w:eastAsia="Times New Roman"/>
          <w:u w:val="single" w:color="000000"/>
          <w:lang w:val="sl-SI"/>
        </w:rPr>
        <w:t>Pediatrična populacija</w:t>
      </w:r>
    </w:p>
    <w:p w14:paraId="5A626E9C" w14:textId="77777777" w:rsidR="0066522E" w:rsidRDefault="0066522E" w:rsidP="0066522E">
      <w:pPr>
        <w:spacing w:before="1" w:line="180" w:lineRule="exact"/>
        <w:rPr>
          <w:sz w:val="18"/>
          <w:szCs w:val="18"/>
          <w:lang w:val="sl-SI"/>
        </w:rPr>
      </w:pPr>
    </w:p>
    <w:p w14:paraId="0D3A3456" w14:textId="77777777" w:rsidR="0066522E" w:rsidRDefault="0066522E" w:rsidP="0066522E">
      <w:pPr>
        <w:pStyle w:val="a3"/>
        <w:rPr>
          <w:lang w:val="sl-SI"/>
        </w:rPr>
      </w:pPr>
      <w:r>
        <w:rPr>
          <w:rFonts w:eastAsia="Times New Roman"/>
          <w:lang w:val="sl-SI"/>
        </w:rPr>
        <w:t>Na splošno so bili neželeni učinki pri pediatričnih bolnikih po pogostnosti in vrsti podobni neželenim učinkom, ki so jih opazili pri odraslih bolnikih.</w:t>
      </w:r>
    </w:p>
    <w:p w14:paraId="0CF67CAB" w14:textId="77777777" w:rsidR="0066522E" w:rsidRDefault="0066522E" w:rsidP="0066522E">
      <w:pPr>
        <w:spacing w:before="11" w:line="240" w:lineRule="exact"/>
        <w:rPr>
          <w:sz w:val="24"/>
          <w:szCs w:val="24"/>
          <w:lang w:val="sl-SI"/>
        </w:rPr>
      </w:pPr>
    </w:p>
    <w:p w14:paraId="67197327" w14:textId="77777777" w:rsidR="0066522E" w:rsidRDefault="0066522E" w:rsidP="0066522E">
      <w:pPr>
        <w:pStyle w:val="a3"/>
        <w:rPr>
          <w:u w:val="single"/>
          <w:lang w:val="sl-SI"/>
        </w:rPr>
      </w:pPr>
      <w:r>
        <w:rPr>
          <w:rFonts w:eastAsia="Times New Roman"/>
          <w:u w:val="single" w:color="000000"/>
          <w:lang w:val="sl-SI"/>
        </w:rPr>
        <w:t>Seznam neželenih učinkov v preglednici</w:t>
      </w:r>
    </w:p>
    <w:p w14:paraId="56638080" w14:textId="77777777" w:rsidR="0066522E" w:rsidRDefault="0066522E" w:rsidP="0066522E">
      <w:pPr>
        <w:spacing w:before="1" w:line="180" w:lineRule="exact"/>
        <w:rPr>
          <w:sz w:val="18"/>
          <w:szCs w:val="18"/>
          <w:lang w:val="sl-SI"/>
        </w:rPr>
      </w:pPr>
    </w:p>
    <w:p w14:paraId="42458677" w14:textId="6715493F" w:rsidR="0066522E" w:rsidRDefault="0066522E" w:rsidP="0066522E">
      <w:pPr>
        <w:pStyle w:val="a3"/>
        <w:rPr>
          <w:lang w:val="sl-SI"/>
        </w:rPr>
      </w:pPr>
      <w:r>
        <w:rPr>
          <w:rFonts w:eastAsia="Times New Roman"/>
          <w:lang w:val="sl-SI"/>
        </w:rPr>
        <w:t>Naslednji seznam neželenih učinkov temelji na izkušnjah iz kliničnih preskušanj in izkušnjah v obdobju trženja ter je prikazan spodaj v preglednici </w:t>
      </w:r>
      <w:r w:rsidR="00641902">
        <w:rPr>
          <w:rFonts w:eastAsia="Times New Roman"/>
          <w:lang w:val="sl-SI"/>
        </w:rPr>
        <w:t>6</w:t>
      </w:r>
      <w:r>
        <w:rPr>
          <w:rFonts w:eastAsia="Times New Roman"/>
          <w:lang w:val="sl-SI"/>
        </w:rPr>
        <w:t xml:space="preserve"> glede na organske sisteme in pogostnost: zelo pogosti</w:t>
      </w:r>
    </w:p>
    <w:p w14:paraId="00446684" w14:textId="77777777" w:rsidR="0066522E" w:rsidRDefault="0066522E" w:rsidP="0066522E">
      <w:pPr>
        <w:pStyle w:val="a3"/>
        <w:rPr>
          <w:lang w:val="sl-SI"/>
        </w:rPr>
      </w:pPr>
      <w:r>
        <w:rPr>
          <w:rFonts w:eastAsia="Times New Roman"/>
          <w:lang w:val="sl-SI"/>
        </w:rPr>
        <w:t>(</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1/10); pogosti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1/100 do &lt; 1/10); občasni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1/1.000 do &lt; 1/100); redki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1/10.000 do &lt; 1/1.000) in neznana pogostnost (ni mogoče oceniti iz razpoložljivih podatkov). V razvrstitvah pogostnosti so neželeni učinki navedeni po padajoči resnosti. Vključena je bila največja pogostnost, ki je bila opažena med različnimi indikacijami. V stolpcu Organski sistem je zvezdica (*), če so v zvezi s tem vključene dodatne informacije v poglavjih 4.3, 4.4 in 4.8.</w:t>
      </w:r>
    </w:p>
    <w:p w14:paraId="5B1D7CEA" w14:textId="77777777" w:rsidR="0066522E" w:rsidRDefault="0066522E" w:rsidP="0066522E">
      <w:pPr>
        <w:spacing w:before="15" w:line="240" w:lineRule="exact"/>
        <w:rPr>
          <w:sz w:val="24"/>
          <w:szCs w:val="24"/>
          <w:lang w:val="sl-SI"/>
        </w:rPr>
      </w:pPr>
    </w:p>
    <w:p w14:paraId="154E083C" w14:textId="0029E85F" w:rsidR="0066522E" w:rsidRDefault="0066522E" w:rsidP="0066522E">
      <w:pPr>
        <w:pStyle w:val="a3"/>
        <w:jc w:val="center"/>
        <w:rPr>
          <w:b/>
          <w:lang w:val="sl-SI"/>
        </w:rPr>
      </w:pPr>
      <w:r>
        <w:rPr>
          <w:rFonts w:eastAsia="Times New Roman"/>
          <w:b/>
          <w:bCs/>
          <w:lang w:val="sl-SI"/>
        </w:rPr>
        <w:t>Preglednica </w:t>
      </w:r>
      <w:r w:rsidR="00641902">
        <w:rPr>
          <w:rFonts w:eastAsia="Times New Roman"/>
          <w:b/>
          <w:bCs/>
          <w:lang w:val="sl-SI"/>
        </w:rPr>
        <w:t>6</w:t>
      </w:r>
      <w:r>
        <w:rPr>
          <w:rFonts w:eastAsia="Times New Roman"/>
          <w:b/>
          <w:bCs/>
          <w:lang w:val="sl-SI"/>
        </w:rPr>
        <w:t xml:space="preserve"> Neželeni učinki</w:t>
      </w:r>
    </w:p>
    <w:p w14:paraId="6D9EA4E2" w14:textId="77777777" w:rsidR="0066522E" w:rsidRDefault="0066522E" w:rsidP="0066522E">
      <w:pPr>
        <w:spacing w:before="10" w:line="240" w:lineRule="exact"/>
        <w:rPr>
          <w:sz w:val="24"/>
          <w:szCs w:val="24"/>
          <w:lang w:val="sl-SI"/>
        </w:rPr>
      </w:pPr>
    </w:p>
    <w:tbl>
      <w:tblPr>
        <w:tblStyle w:val="TableNormal1"/>
        <w:tblW w:w="0" w:type="auto"/>
        <w:tblInd w:w="110" w:type="dxa"/>
        <w:tblLayout w:type="fixed"/>
        <w:tblLook w:val="01E0" w:firstRow="1" w:lastRow="1" w:firstColumn="1" w:lastColumn="1" w:noHBand="0" w:noVBand="0"/>
      </w:tblPr>
      <w:tblGrid>
        <w:gridCol w:w="2599"/>
        <w:gridCol w:w="2076"/>
        <w:gridCol w:w="4574"/>
      </w:tblGrid>
      <w:tr w:rsidR="0066522E" w:rsidRPr="00652F18" w14:paraId="3BE64AE1" w14:textId="77777777" w:rsidTr="00385E1F">
        <w:trPr>
          <w:tblHeader/>
        </w:trPr>
        <w:tc>
          <w:tcPr>
            <w:tcW w:w="2599" w:type="dxa"/>
            <w:tcBorders>
              <w:top w:val="single" w:sz="5" w:space="0" w:color="000000"/>
              <w:left w:val="single" w:sz="5" w:space="0" w:color="000000"/>
              <w:bottom w:val="single" w:sz="5" w:space="0" w:color="000000"/>
              <w:right w:val="single" w:sz="5" w:space="0" w:color="000000"/>
            </w:tcBorders>
            <w:vAlign w:val="center"/>
          </w:tcPr>
          <w:p w14:paraId="7A28700E" w14:textId="77777777" w:rsidR="0066522E" w:rsidRDefault="0066522E" w:rsidP="00183CD7">
            <w:pPr>
              <w:pStyle w:val="TableParagraph"/>
              <w:ind w:left="22"/>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Organski sistem</w:t>
            </w:r>
          </w:p>
        </w:tc>
        <w:tc>
          <w:tcPr>
            <w:tcW w:w="2076" w:type="dxa"/>
            <w:tcBorders>
              <w:top w:val="single" w:sz="5" w:space="0" w:color="000000"/>
              <w:left w:val="single" w:sz="5" w:space="0" w:color="000000"/>
              <w:bottom w:val="single" w:sz="5" w:space="0" w:color="000000"/>
              <w:right w:val="single" w:sz="5" w:space="0" w:color="000000"/>
            </w:tcBorders>
            <w:vAlign w:val="center"/>
          </w:tcPr>
          <w:p w14:paraId="7C5FAFF6"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lang w:val="sl-SI"/>
              </w:rPr>
              <w:t>Pogostnost</w:t>
            </w:r>
          </w:p>
        </w:tc>
        <w:tc>
          <w:tcPr>
            <w:tcW w:w="4574" w:type="dxa"/>
            <w:tcBorders>
              <w:top w:val="single" w:sz="5" w:space="0" w:color="000000"/>
              <w:left w:val="single" w:sz="5" w:space="0" w:color="000000"/>
              <w:bottom w:val="single" w:sz="5" w:space="0" w:color="000000"/>
              <w:right w:val="single" w:sz="5" w:space="0" w:color="000000"/>
            </w:tcBorders>
            <w:vAlign w:val="center"/>
          </w:tcPr>
          <w:p w14:paraId="7DEE5957"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Neželeni učinek</w:t>
            </w:r>
          </w:p>
        </w:tc>
      </w:tr>
      <w:tr w:rsidR="0066522E" w:rsidRPr="00652F18" w14:paraId="011986BF" w14:textId="77777777" w:rsidTr="00183CD7">
        <w:tc>
          <w:tcPr>
            <w:tcW w:w="2599" w:type="dxa"/>
            <w:vMerge w:val="restart"/>
            <w:tcBorders>
              <w:top w:val="single" w:sz="5" w:space="0" w:color="000000"/>
              <w:left w:val="single" w:sz="5" w:space="0" w:color="000000"/>
              <w:right w:val="single" w:sz="5" w:space="0" w:color="000000"/>
            </w:tcBorders>
          </w:tcPr>
          <w:p w14:paraId="0CD35F5A" w14:textId="77777777" w:rsidR="0066522E" w:rsidRDefault="0066522E" w:rsidP="00183CD7">
            <w:pPr>
              <w:pStyle w:val="TableParagraph"/>
              <w:ind w:left="102" w:right="155"/>
              <w:rPr>
                <w:rFonts w:ascii="Times New Roman" w:eastAsia="Times New Roman" w:hAnsi="Times New Roman" w:cs="Times New Roman"/>
                <w:lang w:val="sl-SI"/>
              </w:rPr>
            </w:pPr>
            <w:r>
              <w:rPr>
                <w:rFonts w:ascii="Times New Roman" w:eastAsia="Times New Roman" w:hAnsi="Times New Roman" w:cs="Times New Roman"/>
                <w:spacing w:val="-1"/>
                <w:lang w:val="sl-SI"/>
              </w:rPr>
              <w:t>Infekcijske in parazitske bolezni</w:t>
            </w:r>
            <w:r w:rsidRPr="000B07F9">
              <w:rPr>
                <w:rFonts w:ascii="Times New Roman" w:eastAsia="Times New Roman" w:hAnsi="Times New Roman" w:cs="Times New Roman"/>
                <w:spacing w:val="-1"/>
              </w:rPr>
              <w:t>*</w:t>
            </w:r>
          </w:p>
        </w:tc>
        <w:tc>
          <w:tcPr>
            <w:tcW w:w="2076" w:type="dxa"/>
            <w:tcBorders>
              <w:top w:val="single" w:sz="5" w:space="0" w:color="000000"/>
              <w:left w:val="single" w:sz="5" w:space="0" w:color="000000"/>
              <w:bottom w:val="single" w:sz="5" w:space="0" w:color="000000"/>
              <w:right w:val="single" w:sz="5" w:space="0" w:color="000000"/>
            </w:tcBorders>
          </w:tcPr>
          <w:p w14:paraId="23FDA95C"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5556E199"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okužbe dihal (vključno z okužbo spodnjih in zgornjih dihal, pljučnico, sinusitisom, faringitisom, nazofaringitisom in pljučnim virusnim herpesom)</w:t>
            </w:r>
          </w:p>
        </w:tc>
      </w:tr>
      <w:tr w:rsidR="0066522E" w14:paraId="49A30B49" w14:textId="77777777" w:rsidTr="00183CD7">
        <w:tc>
          <w:tcPr>
            <w:tcW w:w="2599" w:type="dxa"/>
            <w:vMerge/>
            <w:tcBorders>
              <w:left w:val="single" w:sz="5" w:space="0" w:color="000000"/>
              <w:right w:val="single" w:sz="5" w:space="0" w:color="000000"/>
            </w:tcBorders>
          </w:tcPr>
          <w:p w14:paraId="4B5310E6"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4CBC1448"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6662F375"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sistemske okužbe (vključno s sepso, kandidozo in gripo),</w:t>
            </w:r>
          </w:p>
          <w:p w14:paraId="7D22BF85"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črevesne okužbe (vključno z virusnim gastroenteritisom),</w:t>
            </w:r>
          </w:p>
          <w:p w14:paraId="391A405C"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okužbe kože in mehkega tkiva (vključno s</w:t>
            </w:r>
          </w:p>
          <w:p w14:paraId="3F23EAC1"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paronihijo, celulitisom, impetigom, nekrotizirajočim fasciitisom in herpes zostrom),</w:t>
            </w:r>
          </w:p>
          <w:p w14:paraId="5FF1C614"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okužbe ušes,</w:t>
            </w:r>
          </w:p>
          <w:p w14:paraId="5948D08B"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okužbe ustne votline (vključno z herpes simpleksom, ustnim herpesom in okužbami zob),</w:t>
            </w:r>
          </w:p>
          <w:p w14:paraId="5975582F" w14:textId="77777777" w:rsidR="0066522E" w:rsidRDefault="0066522E" w:rsidP="00183CD7">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okužbe rodil (vključno z vulvovaginalno mikotično okužbo), </w:t>
            </w:r>
          </w:p>
          <w:p w14:paraId="05C4EE4D"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okužbe sečil (vključno s pielonefritisom),</w:t>
            </w:r>
          </w:p>
          <w:p w14:paraId="6EF6B0AC"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 xml:space="preserve">glivične okužbe, </w:t>
            </w:r>
          </w:p>
          <w:p w14:paraId="08E4B93D"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okužbe sklepov</w:t>
            </w:r>
          </w:p>
        </w:tc>
      </w:tr>
      <w:tr w:rsidR="0066522E" w:rsidRPr="00797234" w14:paraId="48E2C50D" w14:textId="77777777" w:rsidTr="00183CD7">
        <w:tc>
          <w:tcPr>
            <w:tcW w:w="2599" w:type="dxa"/>
            <w:vMerge/>
            <w:tcBorders>
              <w:left w:val="single" w:sz="5" w:space="0" w:color="000000"/>
              <w:bottom w:val="single" w:sz="5" w:space="0" w:color="000000"/>
              <w:right w:val="single" w:sz="5" w:space="0" w:color="000000"/>
            </w:tcBorders>
          </w:tcPr>
          <w:p w14:paraId="0EF4DD38"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62D75DD2"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7B372F21"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nevrološke okužbe (vključno s virusnim </w:t>
            </w:r>
            <w:r>
              <w:rPr>
                <w:rFonts w:ascii="Times New Roman" w:eastAsia="Times New Roman" w:hAnsi="Times New Roman" w:cs="Times New Roman"/>
                <w:lang w:val="sl-SI"/>
              </w:rPr>
              <w:t>meningitisom),</w:t>
            </w:r>
          </w:p>
          <w:p w14:paraId="0F181022" w14:textId="77777777" w:rsidR="0066522E" w:rsidRDefault="0066522E" w:rsidP="00183CD7">
            <w:pPr>
              <w:pStyle w:val="TableParagraph"/>
              <w:ind w:left="99" w:right="235"/>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oportunistične okužbe in tuberkuloza (vključno s kokcidioidomikozo, histoplazmozo in kompleksno okužbo z Mycobacterium avium), bakterijske okužbe, </w:t>
            </w:r>
          </w:p>
          <w:p w14:paraId="292FA7AB" w14:textId="77777777" w:rsidR="0066522E" w:rsidRDefault="0066522E" w:rsidP="00183CD7">
            <w:pPr>
              <w:pStyle w:val="TableParagraph"/>
              <w:ind w:left="99" w:right="235"/>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okužbe oči, </w:t>
            </w:r>
          </w:p>
          <w:p w14:paraId="24401142" w14:textId="77777777" w:rsidR="0066522E" w:rsidRDefault="0066522E" w:rsidP="00183CD7">
            <w:pPr>
              <w:pStyle w:val="TableParagraph"/>
              <w:ind w:left="99" w:right="235"/>
              <w:rPr>
                <w:rFonts w:ascii="Times New Roman" w:eastAsia="Times New Roman" w:hAnsi="Times New Roman" w:cs="Times New Roman"/>
                <w:lang w:val="sl-SI"/>
              </w:rPr>
            </w:pPr>
            <w:r>
              <w:rPr>
                <w:rFonts w:ascii="Times New Roman" w:eastAsia="Times New Roman" w:hAnsi="Times New Roman" w:cs="Times New Roman"/>
                <w:spacing w:val="-1"/>
                <w:lang w:val="sl-SI"/>
              </w:rPr>
              <w:t>divertikulitis</w:t>
            </w:r>
            <w:r>
              <w:rPr>
                <w:rFonts w:ascii="Times New Roman" w:eastAsia="Times New Roman" w:hAnsi="Times New Roman" w:cs="Times New Roman"/>
                <w:spacing w:val="-1"/>
                <w:vertAlign w:val="superscript"/>
                <w:lang w:val="sl-SI"/>
              </w:rPr>
              <w:t>1)</w:t>
            </w:r>
          </w:p>
        </w:tc>
      </w:tr>
      <w:tr w:rsidR="0066522E" w:rsidRPr="00797234" w14:paraId="628078CF" w14:textId="77777777" w:rsidTr="00183CD7">
        <w:tc>
          <w:tcPr>
            <w:tcW w:w="2599" w:type="dxa"/>
            <w:vMerge w:val="restart"/>
            <w:tcBorders>
              <w:top w:val="single" w:sz="5" w:space="0" w:color="000000"/>
              <w:left w:val="single" w:sz="5" w:space="0" w:color="000000"/>
              <w:right w:val="single" w:sz="5" w:space="0" w:color="000000"/>
            </w:tcBorders>
          </w:tcPr>
          <w:p w14:paraId="3EAE66C7" w14:textId="77777777" w:rsidR="0066522E" w:rsidRDefault="0066522E" w:rsidP="00183CD7">
            <w:pPr>
              <w:pStyle w:val="TableParagraph"/>
              <w:ind w:left="102" w:right="11"/>
              <w:rPr>
                <w:rFonts w:ascii="Times New Roman" w:eastAsia="Times New Roman" w:hAnsi="Times New Roman" w:cs="Times New Roman"/>
                <w:lang w:val="sl-SI"/>
              </w:rPr>
            </w:pPr>
            <w:r>
              <w:rPr>
                <w:rFonts w:ascii="Times New Roman" w:eastAsia="Times New Roman" w:hAnsi="Times New Roman" w:cs="Times New Roman"/>
                <w:spacing w:val="-1"/>
                <w:lang w:val="sl-SI"/>
              </w:rPr>
              <w:t>Benigne, maligne in neopredeljene novotvorbe (vključno s cistami in polipi)*</w:t>
            </w:r>
          </w:p>
        </w:tc>
        <w:tc>
          <w:tcPr>
            <w:tcW w:w="2076" w:type="dxa"/>
            <w:tcBorders>
              <w:top w:val="single" w:sz="5" w:space="0" w:color="000000"/>
              <w:left w:val="single" w:sz="5" w:space="0" w:color="000000"/>
              <w:bottom w:val="single" w:sz="5" w:space="0" w:color="000000"/>
              <w:right w:val="single" w:sz="5" w:space="0" w:color="000000"/>
            </w:tcBorders>
          </w:tcPr>
          <w:p w14:paraId="43A9BF14"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6214337C" w14:textId="77777777" w:rsidR="0066522E" w:rsidRDefault="0066522E" w:rsidP="00183CD7">
            <w:pPr>
              <w:pStyle w:val="TableParagraph"/>
              <w:ind w:left="99" w:right="18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rak kože, </w:t>
            </w:r>
          </w:p>
          <w:p w14:paraId="3C08185A" w14:textId="77777777" w:rsidR="0066522E" w:rsidRDefault="0066522E" w:rsidP="00183CD7">
            <w:pPr>
              <w:pStyle w:val="TableParagraph"/>
              <w:ind w:left="99" w:right="18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ki ne vključuje malignega melanoma (vključno z bazalnoceličnim karcinomom in ploščatoceličnim karcinomom), </w:t>
            </w:r>
          </w:p>
          <w:p w14:paraId="1D9B1BA6" w14:textId="77777777" w:rsidR="0066522E" w:rsidRDefault="0066522E" w:rsidP="00183CD7">
            <w:pPr>
              <w:pStyle w:val="TableParagraph"/>
              <w:ind w:left="99" w:right="187"/>
              <w:rPr>
                <w:rFonts w:ascii="Times New Roman" w:eastAsia="Times New Roman" w:hAnsi="Times New Roman" w:cs="Times New Roman"/>
                <w:lang w:val="sl-SI"/>
              </w:rPr>
            </w:pPr>
            <w:r>
              <w:rPr>
                <w:rFonts w:ascii="Times New Roman" w:eastAsia="Times New Roman" w:hAnsi="Times New Roman" w:cs="Times New Roman"/>
                <w:spacing w:val="-1"/>
                <w:lang w:val="sl-SI"/>
              </w:rPr>
              <w:t>benigne novotvorbe,</w:t>
            </w:r>
          </w:p>
        </w:tc>
      </w:tr>
      <w:tr w:rsidR="0066522E" w14:paraId="29A82B64" w14:textId="77777777" w:rsidTr="00183CD7">
        <w:tc>
          <w:tcPr>
            <w:tcW w:w="2599" w:type="dxa"/>
            <w:vMerge/>
            <w:tcBorders>
              <w:left w:val="single" w:sz="5" w:space="0" w:color="000000"/>
              <w:right w:val="single" w:sz="5" w:space="0" w:color="000000"/>
            </w:tcBorders>
          </w:tcPr>
          <w:p w14:paraId="75A77E4E"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35A55FC3"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24578532"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limfom**,</w:t>
            </w:r>
          </w:p>
          <w:p w14:paraId="4C9DA256" w14:textId="77777777" w:rsidR="0066522E" w:rsidRDefault="0066522E" w:rsidP="00183CD7">
            <w:pPr>
              <w:pStyle w:val="TableParagraph"/>
              <w:ind w:left="99" w:right="244"/>
              <w:rPr>
                <w:rFonts w:ascii="Times New Roman" w:eastAsia="Times New Roman" w:hAnsi="Times New Roman" w:cs="Times New Roman"/>
                <w:lang w:val="sl-SI"/>
              </w:rPr>
            </w:pPr>
            <w:r>
              <w:rPr>
                <w:rFonts w:ascii="Times New Roman" w:eastAsia="Times New Roman" w:hAnsi="Times New Roman" w:cs="Times New Roman"/>
                <w:spacing w:val="-1"/>
                <w:lang w:val="sl-SI"/>
              </w:rPr>
              <w:t>tumorji parenhimskih organov (vključno s rakom dojk, tumorjem pljuč in tumorjem ščitnice),</w:t>
            </w:r>
          </w:p>
          <w:p w14:paraId="5669888B"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lastRenderedPageBreak/>
              <w:t>melanom**</w:t>
            </w:r>
          </w:p>
        </w:tc>
      </w:tr>
      <w:tr w:rsidR="0066522E" w14:paraId="0FD78B9A" w14:textId="77777777" w:rsidTr="00183CD7">
        <w:tc>
          <w:tcPr>
            <w:tcW w:w="2599" w:type="dxa"/>
            <w:vMerge/>
            <w:tcBorders>
              <w:left w:val="single" w:sz="5" w:space="0" w:color="000000"/>
              <w:right w:val="single" w:sz="5" w:space="0" w:color="000000"/>
            </w:tcBorders>
          </w:tcPr>
          <w:p w14:paraId="33956E93"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6BFCFAD"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078EE443"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levkemija</w:t>
            </w:r>
            <w:r>
              <w:rPr>
                <w:rFonts w:ascii="Times New Roman" w:eastAsia="Times New Roman" w:hAnsi="Times New Roman" w:cs="Times New Roman"/>
                <w:spacing w:val="-1"/>
                <w:vertAlign w:val="superscript"/>
                <w:lang w:val="sl-SI"/>
              </w:rPr>
              <w:t>1)</w:t>
            </w:r>
          </w:p>
        </w:tc>
      </w:tr>
      <w:tr w:rsidR="0066522E" w14:paraId="4434C8D6" w14:textId="77777777" w:rsidTr="00183CD7">
        <w:tc>
          <w:tcPr>
            <w:tcW w:w="2599" w:type="dxa"/>
            <w:vMerge/>
            <w:tcBorders>
              <w:left w:val="single" w:sz="5" w:space="0" w:color="000000"/>
              <w:bottom w:val="single" w:sz="5" w:space="0" w:color="000000"/>
              <w:right w:val="single" w:sz="5" w:space="0" w:color="000000"/>
            </w:tcBorders>
          </w:tcPr>
          <w:p w14:paraId="5B133B55"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BD8020D"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Neznana pogostnost</w:t>
            </w:r>
          </w:p>
        </w:tc>
        <w:tc>
          <w:tcPr>
            <w:tcW w:w="4574" w:type="dxa"/>
            <w:tcBorders>
              <w:top w:val="single" w:sz="5" w:space="0" w:color="000000"/>
              <w:left w:val="single" w:sz="5" w:space="0" w:color="000000"/>
              <w:bottom w:val="single" w:sz="5" w:space="0" w:color="000000"/>
              <w:right w:val="single" w:sz="5" w:space="0" w:color="000000"/>
            </w:tcBorders>
          </w:tcPr>
          <w:p w14:paraId="78D35BD9" w14:textId="77777777" w:rsidR="0066522E" w:rsidRDefault="0066522E" w:rsidP="00183CD7">
            <w:pPr>
              <w:pStyle w:val="TableParagraph"/>
              <w:ind w:left="96"/>
              <w:rPr>
                <w:rFonts w:ascii="Times New Roman" w:eastAsia="Times New Roman" w:hAnsi="Times New Roman" w:cs="Times New Roman"/>
                <w:w w:val="99"/>
                <w:position w:val="8"/>
                <w:lang w:val="sl-SI"/>
              </w:rPr>
            </w:pPr>
            <w:r>
              <w:rPr>
                <w:rFonts w:ascii="Times New Roman" w:eastAsia="Times New Roman" w:hAnsi="Times New Roman" w:cs="Times New Roman"/>
                <w:spacing w:val="-1"/>
                <w:lang w:val="sl-SI"/>
              </w:rPr>
              <w:t>hepatosplenični T-celični limfom</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w:t>
            </w:r>
          </w:p>
          <w:p w14:paraId="5F779DB3" w14:textId="77777777" w:rsidR="0066522E" w:rsidRDefault="0066522E" w:rsidP="00183CD7">
            <w:pPr>
              <w:pStyle w:val="TableParagraph"/>
              <w:ind w:left="96"/>
              <w:rPr>
                <w:rFonts w:ascii="Times New Roman" w:eastAsia="Times New Roman" w:hAnsi="Times New Roman" w:cs="Times New Roman"/>
                <w:w w:val="99"/>
                <w:position w:val="8"/>
                <w:lang w:val="sl-SI"/>
              </w:rPr>
            </w:pPr>
            <w:r>
              <w:rPr>
                <w:rFonts w:ascii="Times New Roman" w:eastAsia="Times New Roman" w:hAnsi="Times New Roman" w:cs="Times New Roman"/>
                <w:spacing w:val="-1"/>
                <w:lang w:val="sl-SI"/>
              </w:rPr>
              <w:t>karcinom Merklovih celic (nevroendokrini karcinom kože)</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 xml:space="preserve">, </w:t>
            </w:r>
          </w:p>
          <w:p w14:paraId="0AE9BE43" w14:textId="77777777" w:rsidR="0066522E" w:rsidRDefault="0066522E" w:rsidP="00183CD7">
            <w:pPr>
              <w:pStyle w:val="TableParagraph"/>
              <w:ind w:left="96"/>
              <w:rPr>
                <w:rFonts w:ascii="Times New Roman" w:eastAsia="Times New Roman" w:hAnsi="Times New Roman" w:cs="Times New Roman"/>
                <w:lang w:val="sl-SI"/>
              </w:rPr>
            </w:pPr>
            <w:r>
              <w:rPr>
                <w:rFonts w:ascii="Times New Roman" w:eastAsia="Times New Roman" w:hAnsi="Times New Roman" w:cs="Times New Roman"/>
                <w:spacing w:val="-1"/>
                <w:lang w:val="sl-SI"/>
              </w:rPr>
              <w:t>Kaposijev sarkom</w:t>
            </w:r>
          </w:p>
        </w:tc>
      </w:tr>
      <w:tr w:rsidR="0066522E" w14:paraId="5DD43C5F" w14:textId="77777777" w:rsidTr="00183CD7">
        <w:tc>
          <w:tcPr>
            <w:tcW w:w="2599" w:type="dxa"/>
            <w:vMerge w:val="restart"/>
            <w:tcBorders>
              <w:top w:val="single" w:sz="5" w:space="0" w:color="000000"/>
              <w:left w:val="single" w:sz="5" w:space="0" w:color="000000"/>
              <w:right w:val="single" w:sz="5" w:space="0" w:color="000000"/>
            </w:tcBorders>
          </w:tcPr>
          <w:p w14:paraId="380991EF"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Bolezni krvi in limfatičnega sistema*</w:t>
            </w:r>
          </w:p>
        </w:tc>
        <w:tc>
          <w:tcPr>
            <w:tcW w:w="2076" w:type="dxa"/>
            <w:tcBorders>
              <w:top w:val="single" w:sz="5" w:space="0" w:color="000000"/>
              <w:left w:val="single" w:sz="5" w:space="0" w:color="000000"/>
              <w:bottom w:val="single" w:sz="5" w:space="0" w:color="000000"/>
              <w:right w:val="single" w:sz="5" w:space="0" w:color="000000"/>
            </w:tcBorders>
          </w:tcPr>
          <w:p w14:paraId="62304FA5"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726C5444"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levkopenija (vključno z nevtropenijo in agranulocitozo),</w:t>
            </w:r>
          </w:p>
          <w:p w14:paraId="40E9A10D"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anemija</w:t>
            </w:r>
          </w:p>
        </w:tc>
      </w:tr>
      <w:tr w:rsidR="0066522E" w14:paraId="6A7BCFC8" w14:textId="77777777" w:rsidTr="00183CD7">
        <w:tc>
          <w:tcPr>
            <w:tcW w:w="2599" w:type="dxa"/>
            <w:vMerge/>
            <w:tcBorders>
              <w:left w:val="single" w:sz="5" w:space="0" w:color="000000"/>
              <w:right w:val="single" w:sz="5" w:space="0" w:color="000000"/>
            </w:tcBorders>
          </w:tcPr>
          <w:p w14:paraId="321D01BF"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1DD8D22F"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220407BA"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levkocitoza,</w:t>
            </w:r>
          </w:p>
          <w:p w14:paraId="0FA93C52"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trombocitopenija</w:t>
            </w:r>
          </w:p>
        </w:tc>
      </w:tr>
      <w:tr w:rsidR="0066522E" w14:paraId="48872C51" w14:textId="77777777" w:rsidTr="00183CD7">
        <w:tc>
          <w:tcPr>
            <w:tcW w:w="2599" w:type="dxa"/>
            <w:vMerge/>
            <w:tcBorders>
              <w:left w:val="single" w:sz="5" w:space="0" w:color="000000"/>
              <w:right w:val="single" w:sz="5" w:space="0" w:color="000000"/>
            </w:tcBorders>
          </w:tcPr>
          <w:p w14:paraId="2ADF1C20"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4C46C3C0"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51D08B91"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4"/>
                <w:lang w:val="sl-SI"/>
              </w:rPr>
              <w:t>idiopatska trombocitopenična purpura</w:t>
            </w:r>
          </w:p>
        </w:tc>
      </w:tr>
      <w:tr w:rsidR="0066522E" w14:paraId="53EBD09A" w14:textId="77777777" w:rsidTr="00183CD7">
        <w:tc>
          <w:tcPr>
            <w:tcW w:w="2599" w:type="dxa"/>
            <w:vMerge/>
            <w:tcBorders>
              <w:left w:val="single" w:sz="5" w:space="0" w:color="000000"/>
              <w:bottom w:val="single" w:sz="5" w:space="0" w:color="000000"/>
              <w:right w:val="single" w:sz="5" w:space="0" w:color="000000"/>
            </w:tcBorders>
          </w:tcPr>
          <w:p w14:paraId="04BBF5D2"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39D23D53"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5187704B"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pancitopenija</w:t>
            </w:r>
          </w:p>
        </w:tc>
      </w:tr>
      <w:tr w:rsidR="0066522E" w:rsidRPr="00652F18" w14:paraId="06897D70" w14:textId="77777777" w:rsidTr="00183CD7">
        <w:tc>
          <w:tcPr>
            <w:tcW w:w="2599" w:type="dxa"/>
            <w:vMerge w:val="restart"/>
            <w:tcBorders>
              <w:top w:val="single" w:sz="5" w:space="0" w:color="000000"/>
              <w:left w:val="single" w:sz="5" w:space="0" w:color="000000"/>
              <w:right w:val="single" w:sz="5" w:space="0" w:color="000000"/>
            </w:tcBorders>
          </w:tcPr>
          <w:p w14:paraId="18AE783E"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Bolezni imunskega sistema</w:t>
            </w:r>
            <w:r w:rsidRPr="000B07F9">
              <w:rPr>
                <w:rFonts w:ascii="Times New Roman" w:eastAsia="Times New Roman" w:hAnsi="Times New Roman" w:cs="Times New Roman"/>
                <w:spacing w:val="-1"/>
              </w:rPr>
              <w:t>*</w:t>
            </w:r>
          </w:p>
        </w:tc>
        <w:tc>
          <w:tcPr>
            <w:tcW w:w="2076" w:type="dxa"/>
            <w:tcBorders>
              <w:top w:val="single" w:sz="5" w:space="0" w:color="000000"/>
              <w:left w:val="single" w:sz="5" w:space="0" w:color="000000"/>
              <w:bottom w:val="single" w:sz="5" w:space="0" w:color="000000"/>
              <w:right w:val="single" w:sz="5" w:space="0" w:color="000000"/>
            </w:tcBorders>
          </w:tcPr>
          <w:p w14:paraId="7847A342"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6F4F18C7"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preobčutljivost,</w:t>
            </w:r>
          </w:p>
          <w:p w14:paraId="48768999"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alergije (vključno s sezonsko alergijo)</w:t>
            </w:r>
          </w:p>
        </w:tc>
      </w:tr>
      <w:tr w:rsidR="0066522E" w14:paraId="03F72513" w14:textId="77777777" w:rsidTr="00183CD7">
        <w:tc>
          <w:tcPr>
            <w:tcW w:w="2599" w:type="dxa"/>
            <w:vMerge/>
            <w:tcBorders>
              <w:left w:val="single" w:sz="5" w:space="0" w:color="000000"/>
              <w:right w:val="single" w:sz="5" w:space="0" w:color="000000"/>
            </w:tcBorders>
          </w:tcPr>
          <w:p w14:paraId="639DF6C5"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3E10CF8A"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25F6B128" w14:textId="77777777" w:rsidR="0066522E" w:rsidRDefault="0066522E" w:rsidP="00183CD7">
            <w:pPr>
              <w:pStyle w:val="TableParagraph"/>
              <w:ind w:left="99" w:right="3183"/>
              <w:rPr>
                <w:rFonts w:ascii="Times New Roman" w:eastAsia="Times New Roman" w:hAnsi="Times New Roman" w:cs="Times New Roman"/>
                <w:lang w:val="sl-SI"/>
              </w:rPr>
            </w:pPr>
            <w:r>
              <w:rPr>
                <w:rFonts w:ascii="Times New Roman" w:eastAsia="Times New Roman" w:hAnsi="Times New Roman" w:cs="Times New Roman"/>
                <w:spacing w:val="-1"/>
                <w:lang w:val="sl-SI"/>
              </w:rPr>
              <w:t>sarkoidoza</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 vaskulitis</w:t>
            </w:r>
          </w:p>
        </w:tc>
      </w:tr>
      <w:tr w:rsidR="0066522E" w14:paraId="75FFACC7" w14:textId="77777777" w:rsidTr="00183CD7">
        <w:tc>
          <w:tcPr>
            <w:tcW w:w="2599" w:type="dxa"/>
            <w:vMerge/>
            <w:tcBorders>
              <w:left w:val="single" w:sz="5" w:space="0" w:color="000000"/>
              <w:bottom w:val="single" w:sz="5" w:space="0" w:color="000000"/>
              <w:right w:val="single" w:sz="5" w:space="0" w:color="000000"/>
            </w:tcBorders>
          </w:tcPr>
          <w:p w14:paraId="3B55FFB4"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6D3F5FE6"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334EEDA5"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anafilaksa</w:t>
            </w:r>
            <w:r>
              <w:rPr>
                <w:rFonts w:ascii="Times New Roman" w:eastAsia="Times New Roman" w:hAnsi="Times New Roman" w:cs="Times New Roman"/>
                <w:spacing w:val="-1"/>
                <w:vertAlign w:val="superscript"/>
                <w:lang w:val="sl-SI"/>
              </w:rPr>
              <w:t>1)</w:t>
            </w:r>
          </w:p>
        </w:tc>
      </w:tr>
      <w:tr w:rsidR="0066522E" w14:paraId="6E2489A1" w14:textId="77777777" w:rsidTr="00183CD7">
        <w:tc>
          <w:tcPr>
            <w:tcW w:w="2599" w:type="dxa"/>
            <w:vMerge w:val="restart"/>
            <w:tcBorders>
              <w:top w:val="single" w:sz="5" w:space="0" w:color="000000"/>
              <w:left w:val="single" w:sz="5" w:space="0" w:color="000000"/>
              <w:right w:val="single" w:sz="5" w:space="0" w:color="000000"/>
            </w:tcBorders>
          </w:tcPr>
          <w:p w14:paraId="6C944653"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Presnovne in prehranske motnje</w:t>
            </w:r>
          </w:p>
        </w:tc>
        <w:tc>
          <w:tcPr>
            <w:tcW w:w="2076" w:type="dxa"/>
            <w:tcBorders>
              <w:top w:val="single" w:sz="5" w:space="0" w:color="000000"/>
              <w:left w:val="single" w:sz="5" w:space="0" w:color="000000"/>
              <w:bottom w:val="single" w:sz="5" w:space="0" w:color="000000"/>
              <w:right w:val="single" w:sz="5" w:space="0" w:color="000000"/>
            </w:tcBorders>
          </w:tcPr>
          <w:p w14:paraId="0F5ADE0F"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2C059B53"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zvečanje vrednosti lipidov</w:t>
            </w:r>
          </w:p>
        </w:tc>
      </w:tr>
      <w:tr w:rsidR="0066522E" w:rsidRPr="00652F18" w14:paraId="2AEB9F89" w14:textId="77777777" w:rsidTr="00183CD7">
        <w:tc>
          <w:tcPr>
            <w:tcW w:w="2599" w:type="dxa"/>
            <w:vMerge/>
            <w:tcBorders>
              <w:left w:val="single" w:sz="5" w:space="0" w:color="000000"/>
              <w:bottom w:val="single" w:sz="5" w:space="0" w:color="000000"/>
              <w:right w:val="single" w:sz="5" w:space="0" w:color="000000"/>
            </w:tcBorders>
          </w:tcPr>
          <w:p w14:paraId="0AC0D476"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22A366CB"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71AB4EDD"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hipokaliemija,</w:t>
            </w:r>
          </w:p>
          <w:p w14:paraId="53FD5B50" w14:textId="77777777" w:rsidR="0066522E" w:rsidRDefault="0066522E" w:rsidP="00183CD7">
            <w:pPr>
              <w:pStyle w:val="TableParagraph"/>
              <w:ind w:left="99" w:right="293"/>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zvečanje vrednosti sečne kisline, </w:t>
            </w:r>
          </w:p>
          <w:p w14:paraId="39A4DC9C" w14:textId="77777777" w:rsidR="0066522E" w:rsidRDefault="0066522E" w:rsidP="00183CD7">
            <w:pPr>
              <w:pStyle w:val="TableParagraph"/>
              <w:ind w:left="99" w:right="293"/>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nenormalna koncentracija natrija v krvi, hipokalciemija, </w:t>
            </w:r>
          </w:p>
          <w:p w14:paraId="04B030A1" w14:textId="77777777" w:rsidR="0066522E" w:rsidRDefault="0066522E" w:rsidP="00183CD7">
            <w:pPr>
              <w:pStyle w:val="TableParagraph"/>
              <w:ind w:left="99" w:right="293"/>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hiperglikemija, </w:t>
            </w:r>
          </w:p>
          <w:p w14:paraId="76464FCD" w14:textId="77777777" w:rsidR="0066522E" w:rsidRDefault="0066522E" w:rsidP="00183CD7">
            <w:pPr>
              <w:pStyle w:val="TableParagraph"/>
              <w:ind w:left="99" w:right="293"/>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hipofosfatemija, </w:t>
            </w:r>
          </w:p>
          <w:p w14:paraId="027057F9" w14:textId="77777777" w:rsidR="0066522E" w:rsidRDefault="0066522E" w:rsidP="00183CD7">
            <w:pPr>
              <w:pStyle w:val="TableParagraph"/>
              <w:ind w:left="99" w:right="293"/>
              <w:rPr>
                <w:rFonts w:ascii="Times New Roman" w:eastAsia="Times New Roman" w:hAnsi="Times New Roman" w:cs="Times New Roman"/>
                <w:lang w:val="sl-SI"/>
              </w:rPr>
            </w:pPr>
            <w:r>
              <w:rPr>
                <w:rFonts w:ascii="Times New Roman" w:eastAsia="Times New Roman" w:hAnsi="Times New Roman" w:cs="Times New Roman"/>
                <w:spacing w:val="-1"/>
                <w:lang w:val="sl-SI"/>
              </w:rPr>
              <w:t>dehidracija</w:t>
            </w:r>
          </w:p>
        </w:tc>
      </w:tr>
      <w:tr w:rsidR="0066522E" w14:paraId="1FAB051B" w14:textId="77777777" w:rsidTr="00183CD7">
        <w:tc>
          <w:tcPr>
            <w:tcW w:w="2599" w:type="dxa"/>
            <w:tcBorders>
              <w:top w:val="single" w:sz="5" w:space="0" w:color="000000"/>
              <w:left w:val="single" w:sz="5" w:space="0" w:color="000000"/>
              <w:bottom w:val="single" w:sz="5" w:space="0" w:color="000000"/>
              <w:right w:val="single" w:sz="5" w:space="0" w:color="000000"/>
            </w:tcBorders>
          </w:tcPr>
          <w:p w14:paraId="2C540777"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Psihiatrične motnje</w:t>
            </w:r>
          </w:p>
        </w:tc>
        <w:tc>
          <w:tcPr>
            <w:tcW w:w="2076" w:type="dxa"/>
            <w:tcBorders>
              <w:top w:val="single" w:sz="5" w:space="0" w:color="000000"/>
              <w:left w:val="single" w:sz="5" w:space="0" w:color="000000"/>
              <w:bottom w:val="single" w:sz="5" w:space="0" w:color="000000"/>
              <w:right w:val="single" w:sz="5" w:space="0" w:color="000000"/>
            </w:tcBorders>
          </w:tcPr>
          <w:p w14:paraId="2EAF2FA8"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11C40831" w14:textId="77777777" w:rsidR="0066522E" w:rsidRDefault="0066522E" w:rsidP="00183CD7">
            <w:pPr>
              <w:pStyle w:val="TableParagraph"/>
              <w:ind w:left="99" w:right="244"/>
              <w:rPr>
                <w:rFonts w:ascii="Times New Roman" w:eastAsia="Times New Roman" w:hAnsi="Times New Roman" w:cs="Times New Roman"/>
                <w:lang w:val="sl-SI"/>
              </w:rPr>
            </w:pPr>
            <w:r>
              <w:rPr>
                <w:rFonts w:ascii="Times New Roman" w:eastAsia="Times New Roman" w:hAnsi="Times New Roman" w:cs="Times New Roman"/>
                <w:lang w:val="sl-SI"/>
              </w:rPr>
              <w:t xml:space="preserve">spremembe razpoloženja (vključno z depresijo), </w:t>
            </w:r>
          </w:p>
          <w:p w14:paraId="287AF035" w14:textId="77777777" w:rsidR="0066522E" w:rsidRDefault="0066522E" w:rsidP="00183CD7">
            <w:pPr>
              <w:pStyle w:val="TableParagraph"/>
              <w:ind w:left="99" w:right="244"/>
              <w:rPr>
                <w:rFonts w:ascii="Times New Roman" w:eastAsia="Times New Roman" w:hAnsi="Times New Roman" w:cs="Times New Roman"/>
                <w:lang w:val="sl-SI"/>
              </w:rPr>
            </w:pPr>
            <w:r>
              <w:rPr>
                <w:rFonts w:ascii="Times New Roman" w:eastAsia="Times New Roman" w:hAnsi="Times New Roman" w:cs="Times New Roman"/>
                <w:lang w:val="sl-SI"/>
              </w:rPr>
              <w:t>anksioznost,</w:t>
            </w:r>
          </w:p>
          <w:p w14:paraId="0F5DE1C5"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nespečnost</w:t>
            </w:r>
          </w:p>
        </w:tc>
      </w:tr>
      <w:tr w:rsidR="0066522E" w14:paraId="47147396" w14:textId="77777777" w:rsidTr="00183CD7">
        <w:tc>
          <w:tcPr>
            <w:tcW w:w="2599" w:type="dxa"/>
            <w:vMerge w:val="restart"/>
            <w:tcBorders>
              <w:top w:val="single" w:sz="5" w:space="0" w:color="000000"/>
              <w:left w:val="single" w:sz="5" w:space="0" w:color="000000"/>
              <w:right w:val="single" w:sz="5" w:space="0" w:color="000000"/>
            </w:tcBorders>
          </w:tcPr>
          <w:p w14:paraId="7EEF9BAB"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Bolezni živčevja*</w:t>
            </w:r>
          </w:p>
        </w:tc>
        <w:tc>
          <w:tcPr>
            <w:tcW w:w="2076" w:type="dxa"/>
            <w:tcBorders>
              <w:top w:val="single" w:sz="5" w:space="0" w:color="000000"/>
              <w:left w:val="single" w:sz="5" w:space="0" w:color="000000"/>
              <w:bottom w:val="single" w:sz="5" w:space="0" w:color="000000"/>
              <w:right w:val="single" w:sz="5" w:space="0" w:color="000000"/>
            </w:tcBorders>
          </w:tcPr>
          <w:p w14:paraId="4933FE89"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6AB89AB8"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glavobol</w:t>
            </w:r>
          </w:p>
        </w:tc>
      </w:tr>
      <w:tr w:rsidR="0066522E" w:rsidRPr="00652F18" w14:paraId="5227EBDC" w14:textId="77777777" w:rsidTr="00183CD7">
        <w:tc>
          <w:tcPr>
            <w:tcW w:w="2599" w:type="dxa"/>
            <w:vMerge/>
            <w:tcBorders>
              <w:left w:val="single" w:sz="5" w:space="0" w:color="000000"/>
              <w:right w:val="single" w:sz="5" w:space="0" w:color="000000"/>
            </w:tcBorders>
          </w:tcPr>
          <w:p w14:paraId="76A32D29"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6D087EC5"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79F43596" w14:textId="77777777" w:rsidR="0066522E" w:rsidRDefault="0066522E" w:rsidP="00183CD7">
            <w:pPr>
              <w:pStyle w:val="TableParagraph"/>
              <w:ind w:left="99" w:right="658"/>
              <w:rPr>
                <w:rFonts w:ascii="Times New Roman" w:eastAsia="Times New Roman" w:hAnsi="Times New Roman" w:cs="Times New Roman"/>
                <w:lang w:val="sl-SI"/>
              </w:rPr>
            </w:pPr>
            <w:r>
              <w:rPr>
                <w:rFonts w:ascii="Times New Roman" w:eastAsia="Times New Roman" w:hAnsi="Times New Roman" w:cs="Times New Roman"/>
                <w:spacing w:val="-1"/>
                <w:lang w:val="sl-SI"/>
              </w:rPr>
              <w:t>parastezije (vključno s hipoestezijo), migrena,</w:t>
            </w:r>
          </w:p>
          <w:p w14:paraId="28B8BC98"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stisnjenje živčnih korenin</w:t>
            </w:r>
          </w:p>
        </w:tc>
      </w:tr>
      <w:tr w:rsidR="0066522E" w14:paraId="27374164" w14:textId="77777777" w:rsidTr="00183CD7">
        <w:tc>
          <w:tcPr>
            <w:tcW w:w="2599" w:type="dxa"/>
            <w:vMerge/>
            <w:tcBorders>
              <w:left w:val="single" w:sz="5" w:space="0" w:color="000000"/>
              <w:right w:val="single" w:sz="5" w:space="0" w:color="000000"/>
            </w:tcBorders>
          </w:tcPr>
          <w:p w14:paraId="60902C30"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15FC2267"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04C091A7"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cerebrovaskularni inzult</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w:t>
            </w:r>
          </w:p>
          <w:p w14:paraId="6AA06B0A" w14:textId="77777777" w:rsidR="0066522E" w:rsidRDefault="0066522E" w:rsidP="00183CD7">
            <w:pPr>
              <w:pStyle w:val="TableParagraph"/>
              <w:ind w:left="99" w:right="2870"/>
              <w:rPr>
                <w:rFonts w:ascii="Times New Roman" w:eastAsia="Times New Roman" w:hAnsi="Times New Roman" w:cs="Times New Roman"/>
                <w:lang w:val="sl-SI"/>
              </w:rPr>
            </w:pPr>
            <w:r>
              <w:rPr>
                <w:rFonts w:ascii="Times New Roman" w:eastAsia="Times New Roman" w:hAnsi="Times New Roman" w:cs="Times New Roman"/>
                <w:spacing w:val="-1"/>
                <w:lang w:val="sl-SI"/>
              </w:rPr>
              <w:t>tremor, nevropatija</w:t>
            </w:r>
          </w:p>
        </w:tc>
      </w:tr>
      <w:tr w:rsidR="0066522E" w:rsidRPr="00652F18" w14:paraId="7BBB330A" w14:textId="77777777" w:rsidTr="00183CD7">
        <w:tc>
          <w:tcPr>
            <w:tcW w:w="2599" w:type="dxa"/>
            <w:vMerge/>
            <w:tcBorders>
              <w:left w:val="single" w:sz="5" w:space="0" w:color="000000"/>
              <w:bottom w:val="single" w:sz="5" w:space="0" w:color="000000"/>
              <w:right w:val="single" w:sz="5" w:space="0" w:color="000000"/>
            </w:tcBorders>
          </w:tcPr>
          <w:p w14:paraId="0DD45C3E"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26E371DE"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7E942617"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multipla skleroza,</w:t>
            </w:r>
          </w:p>
          <w:p w14:paraId="14863565"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demielinizirajoče bolezni (npr. optični nevritis, Guillain-Barréjev sindrom)</w:t>
            </w:r>
            <w:r>
              <w:rPr>
                <w:rFonts w:ascii="Times New Roman" w:eastAsia="Times New Roman" w:hAnsi="Times New Roman" w:cs="Times New Roman"/>
                <w:spacing w:val="-1"/>
                <w:vertAlign w:val="superscript"/>
                <w:lang w:val="sl-SI"/>
              </w:rPr>
              <w:t>1)</w:t>
            </w:r>
          </w:p>
        </w:tc>
      </w:tr>
      <w:tr w:rsidR="0066522E" w:rsidRPr="00AC7013" w14:paraId="34059528" w14:textId="77777777" w:rsidTr="00183CD7">
        <w:tc>
          <w:tcPr>
            <w:tcW w:w="2599" w:type="dxa"/>
            <w:vMerge w:val="restart"/>
            <w:tcBorders>
              <w:top w:val="single" w:sz="5" w:space="0" w:color="000000"/>
              <w:left w:val="single" w:sz="5" w:space="0" w:color="000000"/>
              <w:right w:val="single" w:sz="5" w:space="0" w:color="000000"/>
            </w:tcBorders>
          </w:tcPr>
          <w:p w14:paraId="57A1EE2F"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Očesne bolezni</w:t>
            </w:r>
          </w:p>
        </w:tc>
        <w:tc>
          <w:tcPr>
            <w:tcW w:w="2076" w:type="dxa"/>
            <w:tcBorders>
              <w:top w:val="single" w:sz="5" w:space="0" w:color="000000"/>
              <w:left w:val="single" w:sz="5" w:space="0" w:color="000000"/>
              <w:bottom w:val="single" w:sz="5" w:space="0" w:color="000000"/>
              <w:right w:val="single" w:sz="5" w:space="0" w:color="000000"/>
            </w:tcBorders>
          </w:tcPr>
          <w:p w14:paraId="7A3B5C1C"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5249929C" w14:textId="77777777" w:rsidR="0066522E" w:rsidRDefault="0066522E" w:rsidP="00183CD7">
            <w:pPr>
              <w:pStyle w:val="TableParagraph"/>
              <w:ind w:left="99" w:right="2274"/>
              <w:rPr>
                <w:rFonts w:ascii="Times New Roman" w:eastAsia="Times New Roman" w:hAnsi="Times New Roman" w:cs="Times New Roman"/>
                <w:lang w:val="sl-SI"/>
              </w:rPr>
            </w:pPr>
            <w:r>
              <w:rPr>
                <w:rFonts w:ascii="Times New Roman" w:eastAsia="Times New Roman" w:hAnsi="Times New Roman" w:cs="Times New Roman"/>
                <w:spacing w:val="1"/>
                <w:lang w:val="sl-SI"/>
              </w:rPr>
              <w:t>okvare vida, konjunktivitis, blefaritis,</w:t>
            </w:r>
          </w:p>
          <w:p w14:paraId="6B8A4F00"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otekanje oči</w:t>
            </w:r>
          </w:p>
        </w:tc>
      </w:tr>
      <w:tr w:rsidR="0066522E" w14:paraId="693CCD96" w14:textId="77777777" w:rsidTr="00183CD7">
        <w:tc>
          <w:tcPr>
            <w:tcW w:w="2599" w:type="dxa"/>
            <w:vMerge/>
            <w:tcBorders>
              <w:left w:val="single" w:sz="5" w:space="0" w:color="000000"/>
              <w:bottom w:val="single" w:sz="5" w:space="0" w:color="000000"/>
              <w:right w:val="single" w:sz="5" w:space="0" w:color="000000"/>
            </w:tcBorders>
          </w:tcPr>
          <w:p w14:paraId="5537F792"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5F218649"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24298E17"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diplopija</w:t>
            </w:r>
          </w:p>
        </w:tc>
      </w:tr>
      <w:tr w:rsidR="0066522E" w14:paraId="7A83BD0B" w14:textId="77777777" w:rsidTr="00183CD7">
        <w:tc>
          <w:tcPr>
            <w:tcW w:w="2599" w:type="dxa"/>
            <w:vMerge w:val="restart"/>
            <w:tcBorders>
              <w:top w:val="single" w:sz="5" w:space="0" w:color="000000"/>
              <w:left w:val="single" w:sz="5" w:space="0" w:color="000000"/>
              <w:right w:val="single" w:sz="5" w:space="0" w:color="000000"/>
            </w:tcBorders>
          </w:tcPr>
          <w:p w14:paraId="5CA7ED66" w14:textId="77777777" w:rsidR="0066522E" w:rsidRDefault="0066522E" w:rsidP="00183CD7">
            <w:pPr>
              <w:pStyle w:val="TableParagraph"/>
              <w:ind w:left="102" w:right="196"/>
              <w:rPr>
                <w:rFonts w:ascii="Times New Roman" w:eastAsia="Times New Roman" w:hAnsi="Times New Roman" w:cs="Times New Roman"/>
                <w:lang w:val="sl-SI"/>
              </w:rPr>
            </w:pPr>
            <w:r>
              <w:rPr>
                <w:rFonts w:ascii="Times New Roman" w:eastAsia="Times New Roman" w:hAnsi="Times New Roman" w:cs="Times New Roman"/>
                <w:spacing w:val="-1"/>
                <w:lang w:val="sl-SI"/>
              </w:rPr>
              <w:t>Ušesne bolezni, vključno z motnjami labirinta</w:t>
            </w:r>
          </w:p>
        </w:tc>
        <w:tc>
          <w:tcPr>
            <w:tcW w:w="2076" w:type="dxa"/>
            <w:tcBorders>
              <w:top w:val="single" w:sz="5" w:space="0" w:color="000000"/>
              <w:left w:val="single" w:sz="5" w:space="0" w:color="000000"/>
              <w:bottom w:val="single" w:sz="5" w:space="0" w:color="000000"/>
              <w:right w:val="single" w:sz="5" w:space="0" w:color="000000"/>
            </w:tcBorders>
          </w:tcPr>
          <w:p w14:paraId="314B5033"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31508ED1"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vertigo</w:t>
            </w:r>
          </w:p>
        </w:tc>
      </w:tr>
      <w:tr w:rsidR="0066522E" w14:paraId="34FC208E" w14:textId="77777777" w:rsidTr="00183CD7">
        <w:tc>
          <w:tcPr>
            <w:tcW w:w="2599" w:type="dxa"/>
            <w:vMerge/>
            <w:tcBorders>
              <w:left w:val="single" w:sz="5" w:space="0" w:color="000000"/>
              <w:bottom w:val="single" w:sz="5" w:space="0" w:color="000000"/>
              <w:right w:val="single" w:sz="5" w:space="0" w:color="000000"/>
            </w:tcBorders>
          </w:tcPr>
          <w:p w14:paraId="2AF83606"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F3D54BB"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3EE84786"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izguba sluha,</w:t>
            </w:r>
          </w:p>
          <w:p w14:paraId="700CC55B"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tinitus</w:t>
            </w:r>
          </w:p>
        </w:tc>
      </w:tr>
      <w:tr w:rsidR="0066522E" w14:paraId="7DE4AC59" w14:textId="77777777" w:rsidTr="00183CD7">
        <w:tc>
          <w:tcPr>
            <w:tcW w:w="2599" w:type="dxa"/>
            <w:vMerge w:val="restart"/>
            <w:tcBorders>
              <w:top w:val="single" w:sz="5" w:space="0" w:color="000000"/>
              <w:left w:val="single" w:sz="5" w:space="0" w:color="000000"/>
              <w:right w:val="single" w:sz="5" w:space="0" w:color="000000"/>
            </w:tcBorders>
          </w:tcPr>
          <w:p w14:paraId="4779C206"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Srčne bolezni*</w:t>
            </w:r>
          </w:p>
        </w:tc>
        <w:tc>
          <w:tcPr>
            <w:tcW w:w="2076" w:type="dxa"/>
            <w:tcBorders>
              <w:top w:val="single" w:sz="5" w:space="0" w:color="000000"/>
              <w:left w:val="single" w:sz="5" w:space="0" w:color="000000"/>
              <w:bottom w:val="single" w:sz="5" w:space="0" w:color="000000"/>
              <w:right w:val="single" w:sz="5" w:space="0" w:color="000000"/>
            </w:tcBorders>
          </w:tcPr>
          <w:p w14:paraId="2515433D"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3BC13395"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tahikardija</w:t>
            </w:r>
          </w:p>
        </w:tc>
      </w:tr>
      <w:tr w:rsidR="0066522E" w:rsidRPr="00652F18" w14:paraId="2B58BA13" w14:textId="77777777" w:rsidTr="00183CD7">
        <w:tc>
          <w:tcPr>
            <w:tcW w:w="2599" w:type="dxa"/>
            <w:vMerge/>
            <w:tcBorders>
              <w:left w:val="single" w:sz="5" w:space="0" w:color="000000"/>
              <w:right w:val="single" w:sz="5" w:space="0" w:color="000000"/>
            </w:tcBorders>
          </w:tcPr>
          <w:p w14:paraId="48B4CEA3"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right w:val="single" w:sz="5" w:space="0" w:color="000000"/>
            </w:tcBorders>
          </w:tcPr>
          <w:p w14:paraId="5B682A3D"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right w:val="single" w:sz="5" w:space="0" w:color="000000"/>
            </w:tcBorders>
          </w:tcPr>
          <w:p w14:paraId="46295CFF" w14:textId="77777777" w:rsidR="0066522E" w:rsidRDefault="0066522E" w:rsidP="00183CD7">
            <w:pPr>
              <w:pStyle w:val="TableParagraph"/>
              <w:ind w:left="99" w:right="1400"/>
              <w:rPr>
                <w:rFonts w:ascii="Times New Roman" w:eastAsia="Times New Roman" w:hAnsi="Times New Roman" w:cs="Times New Roman"/>
                <w:lang w:val="sl-SI"/>
              </w:rPr>
            </w:pPr>
            <w:r>
              <w:rPr>
                <w:rFonts w:ascii="Times New Roman" w:eastAsia="Times New Roman" w:hAnsi="Times New Roman" w:cs="Times New Roman"/>
                <w:lang w:val="sl-SI"/>
              </w:rPr>
              <w:t>miokardni infarkt</w:t>
            </w:r>
            <w:r>
              <w:rPr>
                <w:rFonts w:ascii="Times New Roman" w:eastAsia="Times New Roman" w:hAnsi="Times New Roman" w:cs="Times New Roman"/>
                <w:vertAlign w:val="superscript"/>
                <w:lang w:val="sl-SI"/>
              </w:rPr>
              <w:t>1)</w:t>
            </w:r>
            <w:r>
              <w:rPr>
                <w:rFonts w:ascii="Times New Roman" w:eastAsia="Times New Roman" w:hAnsi="Times New Roman" w:cs="Times New Roman"/>
                <w:lang w:val="sl-SI"/>
              </w:rPr>
              <w:t xml:space="preserve">, </w:t>
            </w:r>
          </w:p>
          <w:p w14:paraId="3BE17FA0" w14:textId="77777777" w:rsidR="0066522E" w:rsidRDefault="0066522E" w:rsidP="00183CD7">
            <w:pPr>
              <w:pStyle w:val="TableParagraph"/>
              <w:ind w:left="99" w:right="1400"/>
              <w:rPr>
                <w:rFonts w:ascii="Times New Roman" w:eastAsia="Times New Roman" w:hAnsi="Times New Roman" w:cs="Times New Roman"/>
                <w:lang w:val="sl-SI"/>
              </w:rPr>
            </w:pPr>
            <w:r>
              <w:rPr>
                <w:rFonts w:ascii="Times New Roman" w:eastAsia="Times New Roman" w:hAnsi="Times New Roman" w:cs="Times New Roman"/>
                <w:lang w:val="sl-SI"/>
              </w:rPr>
              <w:t>aritmija,</w:t>
            </w:r>
          </w:p>
          <w:p w14:paraId="54E9E08F"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kongestivno srčno popuščanje</w:t>
            </w:r>
          </w:p>
        </w:tc>
      </w:tr>
      <w:tr w:rsidR="0066522E" w14:paraId="4EC4D6A5" w14:textId="77777777" w:rsidTr="00183CD7">
        <w:tc>
          <w:tcPr>
            <w:tcW w:w="2599" w:type="dxa"/>
            <w:vMerge/>
            <w:tcBorders>
              <w:left w:val="single" w:sz="5" w:space="0" w:color="000000"/>
              <w:bottom w:val="single" w:sz="5" w:space="0" w:color="000000"/>
              <w:right w:val="single" w:sz="5" w:space="0" w:color="000000"/>
            </w:tcBorders>
          </w:tcPr>
          <w:p w14:paraId="05E72281"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F2359CD"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5A38C405"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zastoj srca</w:t>
            </w:r>
          </w:p>
        </w:tc>
      </w:tr>
      <w:tr w:rsidR="0066522E" w14:paraId="0226A102" w14:textId="77777777" w:rsidTr="00183CD7">
        <w:tc>
          <w:tcPr>
            <w:tcW w:w="2599" w:type="dxa"/>
            <w:vMerge w:val="restart"/>
            <w:tcBorders>
              <w:top w:val="single" w:sz="5" w:space="0" w:color="000000"/>
              <w:left w:val="single" w:sz="5" w:space="0" w:color="000000"/>
              <w:right w:val="single" w:sz="5" w:space="0" w:color="000000"/>
            </w:tcBorders>
          </w:tcPr>
          <w:p w14:paraId="706B682E"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Žilne bolezni</w:t>
            </w:r>
          </w:p>
        </w:tc>
        <w:tc>
          <w:tcPr>
            <w:tcW w:w="2076" w:type="dxa"/>
            <w:tcBorders>
              <w:top w:val="single" w:sz="5" w:space="0" w:color="000000"/>
              <w:left w:val="single" w:sz="5" w:space="0" w:color="000000"/>
              <w:bottom w:val="single" w:sz="5" w:space="0" w:color="000000"/>
              <w:right w:val="single" w:sz="5" w:space="0" w:color="000000"/>
            </w:tcBorders>
          </w:tcPr>
          <w:p w14:paraId="6388B0A8"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0DEE184B" w14:textId="77777777" w:rsidR="0066522E" w:rsidRDefault="0066522E" w:rsidP="00183CD7">
            <w:pPr>
              <w:pStyle w:val="TableParagraph"/>
              <w:ind w:left="99" w:right="2870"/>
              <w:rPr>
                <w:rFonts w:ascii="Times New Roman" w:eastAsia="Times New Roman" w:hAnsi="Times New Roman" w:cs="Times New Roman"/>
                <w:lang w:val="sl-SI"/>
              </w:rPr>
            </w:pPr>
            <w:r>
              <w:rPr>
                <w:rFonts w:ascii="Times New Roman" w:eastAsia="Times New Roman" w:hAnsi="Times New Roman" w:cs="Times New Roman"/>
                <w:spacing w:val="-1"/>
                <w:lang w:val="sl-SI"/>
              </w:rPr>
              <w:t>hipertenzija, zardevanje, hematom</w:t>
            </w:r>
          </w:p>
        </w:tc>
      </w:tr>
      <w:tr w:rsidR="0066522E" w14:paraId="4DFA9086" w14:textId="77777777" w:rsidTr="00183CD7">
        <w:tc>
          <w:tcPr>
            <w:tcW w:w="2599" w:type="dxa"/>
            <w:vMerge/>
            <w:tcBorders>
              <w:left w:val="single" w:sz="5" w:space="0" w:color="000000"/>
              <w:bottom w:val="single" w:sz="5" w:space="0" w:color="000000"/>
              <w:right w:val="single" w:sz="5" w:space="0" w:color="000000"/>
            </w:tcBorders>
          </w:tcPr>
          <w:p w14:paraId="1EFB8034"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31720065"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7D85E154"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aortna anevrizma,</w:t>
            </w:r>
          </w:p>
          <w:p w14:paraId="14224E07" w14:textId="77777777" w:rsidR="0066522E" w:rsidRDefault="0066522E" w:rsidP="00183CD7">
            <w:pPr>
              <w:pStyle w:val="TableParagraph"/>
              <w:ind w:left="99" w:right="658"/>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žilna arterijska okluzija, </w:t>
            </w:r>
          </w:p>
          <w:p w14:paraId="0318156C" w14:textId="77777777" w:rsidR="0066522E" w:rsidRDefault="0066522E" w:rsidP="00183CD7">
            <w:pPr>
              <w:pStyle w:val="TableParagraph"/>
              <w:ind w:left="99" w:right="658"/>
              <w:rPr>
                <w:rFonts w:ascii="Times New Roman" w:eastAsia="Times New Roman" w:hAnsi="Times New Roman" w:cs="Times New Roman"/>
                <w:lang w:val="sl-SI"/>
              </w:rPr>
            </w:pPr>
            <w:r>
              <w:rPr>
                <w:rFonts w:ascii="Times New Roman" w:eastAsia="Times New Roman" w:hAnsi="Times New Roman" w:cs="Times New Roman"/>
                <w:spacing w:val="-1"/>
                <w:lang w:val="sl-SI"/>
              </w:rPr>
              <w:t>tromboflebitis</w:t>
            </w:r>
          </w:p>
        </w:tc>
      </w:tr>
      <w:tr w:rsidR="0066522E" w14:paraId="2278E8F8" w14:textId="77777777" w:rsidTr="00183CD7">
        <w:tc>
          <w:tcPr>
            <w:tcW w:w="2599" w:type="dxa"/>
            <w:vMerge w:val="restart"/>
            <w:tcBorders>
              <w:top w:val="single" w:sz="5" w:space="0" w:color="000000"/>
              <w:left w:val="single" w:sz="5" w:space="0" w:color="000000"/>
              <w:right w:val="single" w:sz="5" w:space="0" w:color="000000"/>
            </w:tcBorders>
          </w:tcPr>
          <w:p w14:paraId="208738AE" w14:textId="77777777" w:rsidR="0066522E" w:rsidRDefault="0066522E" w:rsidP="00183CD7">
            <w:pPr>
              <w:pStyle w:val="TableParagraph"/>
              <w:ind w:left="102" w:right="163"/>
              <w:rPr>
                <w:rFonts w:ascii="Times New Roman" w:eastAsia="Times New Roman" w:hAnsi="Times New Roman" w:cs="Times New Roman"/>
                <w:lang w:val="sl-SI"/>
              </w:rPr>
            </w:pPr>
            <w:r>
              <w:rPr>
                <w:rFonts w:ascii="Times New Roman" w:eastAsia="Times New Roman" w:hAnsi="Times New Roman" w:cs="Times New Roman"/>
                <w:spacing w:val="-1"/>
                <w:lang w:val="sl-SI"/>
              </w:rPr>
              <w:t>Bolezni dihal, prsnega koša in mediastinalnega prostora</w:t>
            </w:r>
            <w:r w:rsidRPr="00566D4D">
              <w:rPr>
                <w:rFonts w:ascii="Times New Roman" w:eastAsia="Times New Roman" w:hAnsi="Times New Roman" w:cs="Times New Roman"/>
                <w:spacing w:val="-1"/>
                <w:lang w:val="es-ES"/>
              </w:rPr>
              <w:t>*</w:t>
            </w:r>
          </w:p>
        </w:tc>
        <w:tc>
          <w:tcPr>
            <w:tcW w:w="2076" w:type="dxa"/>
            <w:tcBorders>
              <w:top w:val="single" w:sz="5" w:space="0" w:color="000000"/>
              <w:left w:val="single" w:sz="5" w:space="0" w:color="000000"/>
              <w:bottom w:val="single" w:sz="5" w:space="0" w:color="000000"/>
              <w:right w:val="single" w:sz="5" w:space="0" w:color="000000"/>
            </w:tcBorders>
          </w:tcPr>
          <w:p w14:paraId="7E962713"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61660920" w14:textId="77777777" w:rsidR="0066522E" w:rsidRDefault="0066522E" w:rsidP="00183CD7">
            <w:pPr>
              <w:pStyle w:val="TableParagraph"/>
              <w:ind w:left="99" w:right="3074"/>
              <w:rPr>
                <w:rFonts w:ascii="Times New Roman" w:eastAsia="Times New Roman" w:hAnsi="Times New Roman" w:cs="Times New Roman"/>
                <w:lang w:val="sl-SI"/>
              </w:rPr>
            </w:pPr>
            <w:r>
              <w:rPr>
                <w:rFonts w:ascii="Times New Roman" w:eastAsia="Times New Roman" w:hAnsi="Times New Roman" w:cs="Times New Roman"/>
                <w:spacing w:val="-1"/>
                <w:lang w:val="sl-SI"/>
              </w:rPr>
              <w:t>astma, dispneja, kašelj.</w:t>
            </w:r>
          </w:p>
        </w:tc>
      </w:tr>
      <w:tr w:rsidR="0066522E" w:rsidRPr="00797234" w14:paraId="270A8D2E" w14:textId="77777777" w:rsidTr="00183CD7">
        <w:tc>
          <w:tcPr>
            <w:tcW w:w="2599" w:type="dxa"/>
            <w:vMerge/>
            <w:tcBorders>
              <w:left w:val="single" w:sz="5" w:space="0" w:color="000000"/>
              <w:right w:val="single" w:sz="5" w:space="0" w:color="000000"/>
            </w:tcBorders>
          </w:tcPr>
          <w:p w14:paraId="138E2B7E"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5027397E"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0BD583DF"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pljučna embolija</w:t>
            </w:r>
            <w:r>
              <w:rPr>
                <w:rFonts w:ascii="Times New Roman" w:eastAsia="Times New Roman" w:hAnsi="Times New Roman" w:cs="Times New Roman"/>
                <w:spacing w:val="-1"/>
                <w:vertAlign w:val="superscript"/>
                <w:lang w:val="sl-SI"/>
              </w:rPr>
              <w:t>1),</w:t>
            </w:r>
          </w:p>
          <w:p w14:paraId="1930C779"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intersticijska pljučna bolezen,</w:t>
            </w:r>
          </w:p>
          <w:p w14:paraId="7F612F0A" w14:textId="77777777" w:rsidR="0066522E" w:rsidRDefault="0066522E" w:rsidP="00183CD7">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kronična obstruktivna pljučna bolezen, </w:t>
            </w:r>
          </w:p>
          <w:p w14:paraId="4E569AC7"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pnevmonitis,</w:t>
            </w:r>
          </w:p>
          <w:p w14:paraId="6B7C9FC7"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plevralni izliv</w:t>
            </w:r>
            <w:r>
              <w:rPr>
                <w:rFonts w:ascii="Times New Roman" w:eastAsia="Times New Roman" w:hAnsi="Times New Roman" w:cs="Times New Roman"/>
                <w:spacing w:val="-1"/>
                <w:vertAlign w:val="superscript"/>
                <w:lang w:val="sl-SI"/>
              </w:rPr>
              <w:t>1)</w:t>
            </w:r>
          </w:p>
        </w:tc>
      </w:tr>
      <w:tr w:rsidR="0066522E" w14:paraId="39C1126D" w14:textId="77777777" w:rsidTr="00183CD7">
        <w:tc>
          <w:tcPr>
            <w:tcW w:w="2599" w:type="dxa"/>
            <w:vMerge/>
            <w:tcBorders>
              <w:left w:val="single" w:sz="5" w:space="0" w:color="000000"/>
              <w:bottom w:val="single" w:sz="5" w:space="0" w:color="000000"/>
              <w:right w:val="single" w:sz="5" w:space="0" w:color="000000"/>
            </w:tcBorders>
          </w:tcPr>
          <w:p w14:paraId="5AD6E92A"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1BBC6BB"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1BC39893"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pljučna fibroza</w:t>
            </w:r>
            <w:r>
              <w:rPr>
                <w:rFonts w:ascii="Times New Roman" w:eastAsia="Times New Roman" w:hAnsi="Times New Roman" w:cs="Times New Roman"/>
                <w:spacing w:val="-1"/>
                <w:vertAlign w:val="superscript"/>
                <w:lang w:val="sl-SI"/>
              </w:rPr>
              <w:t>1)</w:t>
            </w:r>
          </w:p>
        </w:tc>
      </w:tr>
      <w:tr w:rsidR="0066522E" w:rsidRPr="00AC7013" w14:paraId="28397BFD" w14:textId="77777777" w:rsidTr="00183CD7">
        <w:tc>
          <w:tcPr>
            <w:tcW w:w="2599" w:type="dxa"/>
            <w:vMerge w:val="restart"/>
            <w:tcBorders>
              <w:top w:val="single" w:sz="5" w:space="0" w:color="000000"/>
              <w:left w:val="single" w:sz="5" w:space="0" w:color="000000"/>
              <w:right w:val="single" w:sz="5" w:space="0" w:color="000000"/>
            </w:tcBorders>
          </w:tcPr>
          <w:p w14:paraId="3EECB3F8"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Bolezni prebavil</w:t>
            </w:r>
          </w:p>
        </w:tc>
        <w:tc>
          <w:tcPr>
            <w:tcW w:w="2076" w:type="dxa"/>
            <w:tcBorders>
              <w:top w:val="single" w:sz="5" w:space="0" w:color="000000"/>
              <w:left w:val="single" w:sz="5" w:space="0" w:color="000000"/>
              <w:bottom w:val="single" w:sz="5" w:space="0" w:color="000000"/>
              <w:right w:val="single" w:sz="5" w:space="0" w:color="000000"/>
            </w:tcBorders>
          </w:tcPr>
          <w:p w14:paraId="19C0F8CE"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1B15A3CC" w14:textId="77777777" w:rsidR="0066522E" w:rsidRDefault="0066522E" w:rsidP="00183CD7">
            <w:pPr>
              <w:pStyle w:val="TableParagraph"/>
              <w:ind w:left="99" w:right="2425"/>
              <w:rPr>
                <w:rFonts w:ascii="Times New Roman" w:eastAsia="Times New Roman" w:hAnsi="Times New Roman" w:cs="Times New Roman"/>
                <w:lang w:val="sl-SI"/>
              </w:rPr>
            </w:pPr>
            <w:r>
              <w:rPr>
                <w:rFonts w:ascii="Times New Roman" w:eastAsia="Times New Roman" w:hAnsi="Times New Roman" w:cs="Times New Roman"/>
                <w:spacing w:val="-1"/>
                <w:lang w:val="sl-SI"/>
              </w:rPr>
              <w:t>bolečine v trebuhu, navzea in bruhanje</w:t>
            </w:r>
          </w:p>
        </w:tc>
      </w:tr>
      <w:tr w:rsidR="0066522E" w:rsidRPr="00652F18" w14:paraId="37F211A9" w14:textId="77777777" w:rsidTr="00183CD7">
        <w:tc>
          <w:tcPr>
            <w:tcW w:w="2599" w:type="dxa"/>
            <w:vMerge/>
            <w:tcBorders>
              <w:left w:val="single" w:sz="5" w:space="0" w:color="000000"/>
              <w:right w:val="single" w:sz="5" w:space="0" w:color="000000"/>
            </w:tcBorders>
          </w:tcPr>
          <w:p w14:paraId="40565933"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4BA8CD86"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25E158E9"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krvavitev v prebavilih,</w:t>
            </w:r>
          </w:p>
          <w:p w14:paraId="511CA435"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dispepsija,</w:t>
            </w:r>
          </w:p>
          <w:p w14:paraId="52D45C9F" w14:textId="77777777" w:rsidR="0066522E" w:rsidRDefault="0066522E" w:rsidP="00183CD7">
            <w:pPr>
              <w:pStyle w:val="TableParagraph"/>
              <w:ind w:left="99" w:right="1237"/>
              <w:rPr>
                <w:rFonts w:ascii="Times New Roman" w:eastAsia="Times New Roman" w:hAnsi="Times New Roman" w:cs="Times New Roman"/>
                <w:lang w:val="sl-SI"/>
              </w:rPr>
            </w:pPr>
            <w:r>
              <w:rPr>
                <w:rFonts w:ascii="Times New Roman" w:eastAsia="Times New Roman" w:hAnsi="Times New Roman" w:cs="Times New Roman"/>
                <w:spacing w:val="-1"/>
                <w:lang w:val="sl-SI"/>
              </w:rPr>
              <w:t>gastroezofagealna refluksna bolezen, Sjögrenov sindrom</w:t>
            </w:r>
          </w:p>
        </w:tc>
      </w:tr>
      <w:tr w:rsidR="0066522E" w14:paraId="79A4CC3B" w14:textId="77777777" w:rsidTr="00183CD7">
        <w:tc>
          <w:tcPr>
            <w:tcW w:w="2599" w:type="dxa"/>
            <w:vMerge/>
            <w:tcBorders>
              <w:left w:val="single" w:sz="5" w:space="0" w:color="000000"/>
              <w:right w:val="single" w:sz="5" w:space="0" w:color="000000"/>
            </w:tcBorders>
          </w:tcPr>
          <w:p w14:paraId="5C9C4853"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728F8060"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063CD61E"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pankreatitis,</w:t>
            </w:r>
          </w:p>
          <w:p w14:paraId="66EEFE75" w14:textId="77777777" w:rsidR="0066522E" w:rsidRDefault="0066522E" w:rsidP="00183CD7">
            <w:pPr>
              <w:pStyle w:val="TableParagraph"/>
              <w:ind w:left="99" w:right="3183"/>
              <w:rPr>
                <w:rFonts w:ascii="Times New Roman" w:eastAsia="Times New Roman" w:hAnsi="Times New Roman" w:cs="Times New Roman"/>
                <w:lang w:val="sl-SI"/>
              </w:rPr>
            </w:pPr>
            <w:r>
              <w:rPr>
                <w:rFonts w:ascii="Times New Roman" w:eastAsia="Times New Roman" w:hAnsi="Times New Roman" w:cs="Times New Roman"/>
                <w:spacing w:val="-1"/>
                <w:lang w:val="sl-SI"/>
              </w:rPr>
              <w:t>disfagija, edem obraza</w:t>
            </w:r>
          </w:p>
        </w:tc>
      </w:tr>
      <w:tr w:rsidR="0066522E" w14:paraId="7BB68A2E" w14:textId="77777777" w:rsidTr="00183CD7">
        <w:tc>
          <w:tcPr>
            <w:tcW w:w="2599" w:type="dxa"/>
            <w:vMerge/>
            <w:tcBorders>
              <w:left w:val="single" w:sz="5" w:space="0" w:color="000000"/>
              <w:bottom w:val="single" w:sz="5" w:space="0" w:color="000000"/>
              <w:right w:val="single" w:sz="5" w:space="0" w:color="000000"/>
            </w:tcBorders>
          </w:tcPr>
          <w:p w14:paraId="423BEBB2"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FCDD3AC"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663E3650"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4"/>
                <w:lang w:val="sl-SI"/>
              </w:rPr>
              <w:t>perforacija črevesja</w:t>
            </w:r>
            <w:r>
              <w:rPr>
                <w:rFonts w:ascii="Times New Roman" w:eastAsia="Times New Roman" w:hAnsi="Times New Roman" w:cs="Times New Roman"/>
                <w:spacing w:val="-4"/>
                <w:vertAlign w:val="superscript"/>
                <w:lang w:val="sl-SI"/>
              </w:rPr>
              <w:t>1)</w:t>
            </w:r>
          </w:p>
        </w:tc>
      </w:tr>
      <w:tr w:rsidR="0066522E" w:rsidRPr="003138FB" w14:paraId="78AE70DC" w14:textId="77777777" w:rsidTr="00183CD7">
        <w:tc>
          <w:tcPr>
            <w:tcW w:w="2599" w:type="dxa"/>
            <w:vMerge w:val="restart"/>
            <w:tcBorders>
              <w:top w:val="single" w:sz="5" w:space="0" w:color="000000"/>
              <w:left w:val="single" w:sz="5" w:space="0" w:color="000000"/>
              <w:right w:val="single" w:sz="5" w:space="0" w:color="000000"/>
            </w:tcBorders>
          </w:tcPr>
          <w:p w14:paraId="24DFEEDD"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Bolezni jeter, žolčnika in žolčevodov*</w:t>
            </w:r>
          </w:p>
        </w:tc>
        <w:tc>
          <w:tcPr>
            <w:tcW w:w="2076" w:type="dxa"/>
            <w:tcBorders>
              <w:top w:val="single" w:sz="5" w:space="0" w:color="000000"/>
              <w:left w:val="single" w:sz="5" w:space="0" w:color="000000"/>
              <w:bottom w:val="single" w:sz="5" w:space="0" w:color="000000"/>
              <w:right w:val="single" w:sz="5" w:space="0" w:color="000000"/>
            </w:tcBorders>
          </w:tcPr>
          <w:p w14:paraId="3DDB5A58"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2325B571"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zvečanje vrednosti jetrnih encimov</w:t>
            </w:r>
          </w:p>
        </w:tc>
      </w:tr>
      <w:tr w:rsidR="0066522E" w14:paraId="03490BED" w14:textId="77777777" w:rsidTr="00183CD7">
        <w:tc>
          <w:tcPr>
            <w:tcW w:w="2599" w:type="dxa"/>
            <w:vMerge/>
            <w:tcBorders>
              <w:left w:val="single" w:sz="5" w:space="0" w:color="000000"/>
              <w:right w:val="single" w:sz="5" w:space="0" w:color="000000"/>
            </w:tcBorders>
          </w:tcPr>
          <w:p w14:paraId="572CACB2"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67E9FD68"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16AB6955"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vnetje žolčnika in holelitiaza,</w:t>
            </w:r>
          </w:p>
          <w:p w14:paraId="48F4A098"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 xml:space="preserve">jetrna steatoza, </w:t>
            </w:r>
          </w:p>
          <w:p w14:paraId="6BC1C254"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zvečanje vrednosti bilirubina</w:t>
            </w:r>
          </w:p>
        </w:tc>
      </w:tr>
      <w:tr w:rsidR="0066522E" w:rsidRPr="003138FB" w14:paraId="22E0715C" w14:textId="77777777" w:rsidTr="00183CD7">
        <w:tc>
          <w:tcPr>
            <w:tcW w:w="2599" w:type="dxa"/>
            <w:vMerge/>
            <w:tcBorders>
              <w:left w:val="single" w:sz="5" w:space="0" w:color="000000"/>
              <w:right w:val="single" w:sz="5" w:space="0" w:color="000000"/>
            </w:tcBorders>
          </w:tcPr>
          <w:p w14:paraId="245B3CDF"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right w:val="single" w:sz="5" w:space="0" w:color="000000"/>
            </w:tcBorders>
          </w:tcPr>
          <w:p w14:paraId="5B3AEC36"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right w:val="single" w:sz="5" w:space="0" w:color="000000"/>
            </w:tcBorders>
          </w:tcPr>
          <w:p w14:paraId="7E84C31B"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hepatitis,</w:t>
            </w:r>
          </w:p>
          <w:p w14:paraId="463DEDCD"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reaktivacija hepatitisa B</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w:t>
            </w:r>
          </w:p>
          <w:p w14:paraId="50D8A937"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avtoimunski hepatitis</w:t>
            </w:r>
            <w:r>
              <w:rPr>
                <w:rFonts w:ascii="Times New Roman" w:eastAsia="Times New Roman" w:hAnsi="Times New Roman" w:cs="Times New Roman"/>
                <w:spacing w:val="-1"/>
                <w:vertAlign w:val="superscript"/>
                <w:lang w:val="sl-SI"/>
              </w:rPr>
              <w:t>1)</w:t>
            </w:r>
          </w:p>
        </w:tc>
      </w:tr>
      <w:tr w:rsidR="0066522E" w14:paraId="28F1FCB0" w14:textId="77777777" w:rsidTr="00183CD7">
        <w:tc>
          <w:tcPr>
            <w:tcW w:w="2599" w:type="dxa"/>
            <w:vMerge/>
            <w:tcBorders>
              <w:left w:val="single" w:sz="5" w:space="0" w:color="000000"/>
              <w:bottom w:val="single" w:sz="5" w:space="0" w:color="000000"/>
              <w:right w:val="single" w:sz="5" w:space="0" w:color="000000"/>
            </w:tcBorders>
          </w:tcPr>
          <w:p w14:paraId="176989C0"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46D64E7C"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Neznana pogostnost</w:t>
            </w:r>
          </w:p>
        </w:tc>
        <w:tc>
          <w:tcPr>
            <w:tcW w:w="4574" w:type="dxa"/>
            <w:tcBorders>
              <w:top w:val="single" w:sz="5" w:space="0" w:color="000000"/>
              <w:left w:val="single" w:sz="5" w:space="0" w:color="000000"/>
              <w:bottom w:val="single" w:sz="5" w:space="0" w:color="000000"/>
              <w:right w:val="single" w:sz="5" w:space="0" w:color="000000"/>
            </w:tcBorders>
          </w:tcPr>
          <w:p w14:paraId="268DCCAE"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odpoved jeter</w:t>
            </w:r>
            <w:r>
              <w:rPr>
                <w:rFonts w:ascii="Times New Roman" w:eastAsia="Times New Roman" w:hAnsi="Times New Roman" w:cs="Times New Roman"/>
                <w:spacing w:val="-1"/>
                <w:vertAlign w:val="superscript"/>
                <w:lang w:val="sl-SI"/>
              </w:rPr>
              <w:t>1)</w:t>
            </w:r>
          </w:p>
        </w:tc>
      </w:tr>
      <w:tr w:rsidR="0066522E" w:rsidRPr="00652F18" w14:paraId="0A071D6E" w14:textId="77777777" w:rsidTr="00183CD7">
        <w:tc>
          <w:tcPr>
            <w:tcW w:w="2599" w:type="dxa"/>
            <w:vMerge w:val="restart"/>
            <w:tcBorders>
              <w:top w:val="single" w:sz="5" w:space="0" w:color="000000"/>
              <w:left w:val="single" w:sz="5" w:space="0" w:color="000000"/>
              <w:right w:val="single" w:sz="5" w:space="0" w:color="000000"/>
            </w:tcBorders>
          </w:tcPr>
          <w:p w14:paraId="6677BEBB" w14:textId="77777777" w:rsidR="0066522E" w:rsidRDefault="0066522E" w:rsidP="00183CD7">
            <w:pPr>
              <w:pStyle w:val="TableParagraph"/>
              <w:ind w:left="102" w:right="11"/>
              <w:rPr>
                <w:rFonts w:ascii="Times New Roman" w:eastAsia="Times New Roman" w:hAnsi="Times New Roman" w:cs="Times New Roman"/>
                <w:lang w:val="sl-SI"/>
              </w:rPr>
            </w:pPr>
            <w:r>
              <w:rPr>
                <w:rFonts w:ascii="Times New Roman" w:eastAsia="Times New Roman" w:hAnsi="Times New Roman" w:cs="Times New Roman"/>
                <w:spacing w:val="-1"/>
                <w:lang w:val="sl-SI"/>
              </w:rPr>
              <w:t>Bolezni kože in podkožja</w:t>
            </w:r>
          </w:p>
        </w:tc>
        <w:tc>
          <w:tcPr>
            <w:tcW w:w="2076" w:type="dxa"/>
            <w:tcBorders>
              <w:top w:val="single" w:sz="5" w:space="0" w:color="000000"/>
              <w:left w:val="single" w:sz="5" w:space="0" w:color="000000"/>
              <w:bottom w:val="single" w:sz="5" w:space="0" w:color="000000"/>
              <w:right w:val="single" w:sz="5" w:space="0" w:color="000000"/>
            </w:tcBorders>
          </w:tcPr>
          <w:p w14:paraId="1ADD0120"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2B80DF66"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izpuščaj (vključno z eksfoliativnim izpuščajem)</w:t>
            </w:r>
          </w:p>
        </w:tc>
      </w:tr>
      <w:tr w:rsidR="0066522E" w14:paraId="2164B778" w14:textId="77777777" w:rsidTr="00183CD7">
        <w:tc>
          <w:tcPr>
            <w:tcW w:w="2599" w:type="dxa"/>
            <w:vMerge/>
            <w:tcBorders>
              <w:left w:val="single" w:sz="5" w:space="0" w:color="000000"/>
              <w:right w:val="single" w:sz="5" w:space="0" w:color="000000"/>
            </w:tcBorders>
          </w:tcPr>
          <w:p w14:paraId="4E00C27A"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E31A108"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20FB7A2A" w14:textId="77777777" w:rsidR="0066522E" w:rsidRDefault="0066522E" w:rsidP="00183CD7">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lang w:val="sl-SI"/>
              </w:rPr>
              <w:t xml:space="preserve">poslabšanje ali nov pojav psoriaze (vključno s </w:t>
            </w:r>
            <w:r>
              <w:rPr>
                <w:rFonts w:ascii="Times New Roman" w:eastAsia="Times New Roman" w:hAnsi="Times New Roman" w:cs="Times New Roman"/>
                <w:spacing w:val="-1"/>
                <w:lang w:val="sl-SI"/>
              </w:rPr>
              <w:t xml:space="preserve">palmoplantarno pustularno psoriazo </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 xml:space="preserve">, </w:t>
            </w:r>
          </w:p>
          <w:p w14:paraId="6A8A50F5"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urtikarija,</w:t>
            </w:r>
          </w:p>
          <w:p w14:paraId="5750AD94"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modrice (vključno s purpuro),</w:t>
            </w:r>
          </w:p>
          <w:p w14:paraId="4D1FFA28" w14:textId="77777777" w:rsidR="0066522E" w:rsidRDefault="0066522E" w:rsidP="00183CD7">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dermatitis (vključno z ekcemom), </w:t>
            </w:r>
          </w:p>
          <w:p w14:paraId="5ECC9FE1"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lomljenje nohtov,</w:t>
            </w:r>
          </w:p>
          <w:p w14:paraId="6B1E6249"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hiperhidroza,</w:t>
            </w:r>
          </w:p>
          <w:p w14:paraId="07AD8BC6" w14:textId="77777777" w:rsidR="0066522E" w:rsidRDefault="0066522E" w:rsidP="00183CD7">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alopecija</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 xml:space="preserve">, </w:t>
            </w:r>
          </w:p>
          <w:p w14:paraId="27D7EB25"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pruritus</w:t>
            </w:r>
          </w:p>
        </w:tc>
      </w:tr>
      <w:tr w:rsidR="0066522E" w:rsidRPr="00652F18" w14:paraId="1C6BDAA9" w14:textId="77777777" w:rsidTr="00183CD7">
        <w:tc>
          <w:tcPr>
            <w:tcW w:w="2599" w:type="dxa"/>
            <w:vMerge/>
            <w:tcBorders>
              <w:left w:val="single" w:sz="5" w:space="0" w:color="000000"/>
              <w:right w:val="single" w:sz="5" w:space="0" w:color="000000"/>
            </w:tcBorders>
          </w:tcPr>
          <w:p w14:paraId="2FDF45F2"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238B161B"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29DBBE56"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nočno znojenje,</w:t>
            </w:r>
          </w:p>
          <w:p w14:paraId="6E21A961"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brazgotinjenje</w:t>
            </w:r>
          </w:p>
        </w:tc>
      </w:tr>
      <w:tr w:rsidR="0066522E" w:rsidRPr="00652F18" w14:paraId="2F7349AD" w14:textId="77777777" w:rsidTr="00183CD7">
        <w:tc>
          <w:tcPr>
            <w:tcW w:w="2599" w:type="dxa"/>
            <w:vMerge/>
            <w:tcBorders>
              <w:left w:val="single" w:sz="5" w:space="0" w:color="000000"/>
              <w:right w:val="single" w:sz="5" w:space="0" w:color="000000"/>
            </w:tcBorders>
          </w:tcPr>
          <w:p w14:paraId="70B058F0"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3850DD55"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1147E052" w14:textId="77777777" w:rsidR="0066522E" w:rsidRDefault="0066522E" w:rsidP="00183CD7">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multiformni eritem </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 xml:space="preserve">, </w:t>
            </w:r>
          </w:p>
          <w:p w14:paraId="0D75667C" w14:textId="77777777" w:rsidR="0066522E" w:rsidRDefault="0066522E" w:rsidP="00183CD7">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Stevens-Johnsonov sindrom</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 xml:space="preserve">, </w:t>
            </w:r>
          </w:p>
          <w:p w14:paraId="6BE95B77"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angioedem</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w:t>
            </w:r>
          </w:p>
          <w:p w14:paraId="7266DBD0" w14:textId="77777777" w:rsidR="0066522E" w:rsidRDefault="0066522E" w:rsidP="00183CD7">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kožni vaskulitis</w:t>
            </w:r>
            <w:r>
              <w:rPr>
                <w:rFonts w:ascii="Times New Roman" w:eastAsia="Times New Roman" w:hAnsi="Times New Roman" w:cs="Times New Roman"/>
                <w:spacing w:val="-1"/>
                <w:vertAlign w:val="superscript"/>
                <w:lang w:val="sl-SI"/>
              </w:rPr>
              <w:t>1)</w:t>
            </w:r>
            <w:r>
              <w:rPr>
                <w:rFonts w:ascii="Times New Roman" w:eastAsia="Times New Roman" w:hAnsi="Times New Roman" w:cs="Times New Roman"/>
                <w:spacing w:val="-1"/>
                <w:lang w:val="sl-SI"/>
              </w:rPr>
              <w:t>,</w:t>
            </w:r>
          </w:p>
          <w:p w14:paraId="6F0BB6DE"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lihenoidna kožna reakcija</w:t>
            </w:r>
            <w:r>
              <w:rPr>
                <w:rFonts w:ascii="Times New Roman" w:eastAsia="Times New Roman" w:hAnsi="Times New Roman" w:cs="Times New Roman"/>
                <w:spacing w:val="-1"/>
                <w:vertAlign w:val="superscript"/>
                <w:lang w:val="sl-SI"/>
              </w:rPr>
              <w:t>1)</w:t>
            </w:r>
          </w:p>
        </w:tc>
      </w:tr>
      <w:tr w:rsidR="0066522E" w14:paraId="52C51CA3" w14:textId="77777777" w:rsidTr="00183CD7">
        <w:tc>
          <w:tcPr>
            <w:tcW w:w="2599" w:type="dxa"/>
            <w:vMerge/>
            <w:tcBorders>
              <w:left w:val="single" w:sz="5" w:space="0" w:color="000000"/>
              <w:bottom w:val="single" w:sz="5" w:space="0" w:color="000000"/>
              <w:right w:val="single" w:sz="5" w:space="0" w:color="000000"/>
            </w:tcBorders>
          </w:tcPr>
          <w:p w14:paraId="74DE4265"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DA600A6"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Neznana pogostnost</w:t>
            </w:r>
          </w:p>
        </w:tc>
        <w:tc>
          <w:tcPr>
            <w:tcW w:w="4574" w:type="dxa"/>
            <w:tcBorders>
              <w:top w:val="single" w:sz="5" w:space="0" w:color="000000"/>
              <w:left w:val="single" w:sz="5" w:space="0" w:color="000000"/>
              <w:bottom w:val="single" w:sz="5" w:space="0" w:color="000000"/>
              <w:right w:val="single" w:sz="5" w:space="0" w:color="000000"/>
            </w:tcBorders>
          </w:tcPr>
          <w:p w14:paraId="34739FC5"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poslabšanje simptomov dermatomiozitisa</w:t>
            </w:r>
            <w:r>
              <w:rPr>
                <w:rFonts w:ascii="Times New Roman" w:eastAsia="Times New Roman" w:hAnsi="Times New Roman" w:cs="Times New Roman"/>
                <w:vertAlign w:val="superscript"/>
                <w:lang w:val="sl-SI"/>
              </w:rPr>
              <w:t>1)</w:t>
            </w:r>
          </w:p>
        </w:tc>
      </w:tr>
      <w:tr w:rsidR="0066522E" w14:paraId="46BC7631" w14:textId="77777777" w:rsidTr="00183CD7">
        <w:tc>
          <w:tcPr>
            <w:tcW w:w="2599" w:type="dxa"/>
            <w:vMerge w:val="restart"/>
            <w:tcBorders>
              <w:top w:val="single" w:sz="5" w:space="0" w:color="000000"/>
              <w:left w:val="single" w:sz="5" w:space="0" w:color="000000"/>
              <w:right w:val="single" w:sz="5" w:space="0" w:color="000000"/>
            </w:tcBorders>
          </w:tcPr>
          <w:p w14:paraId="6EE86B69"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lastRenderedPageBreak/>
              <w:t>Bolezni mišično-skeletnega sistema in vezivnega tkiva</w:t>
            </w:r>
          </w:p>
        </w:tc>
        <w:tc>
          <w:tcPr>
            <w:tcW w:w="2076" w:type="dxa"/>
            <w:tcBorders>
              <w:top w:val="single" w:sz="5" w:space="0" w:color="000000"/>
              <w:left w:val="single" w:sz="5" w:space="0" w:color="000000"/>
              <w:bottom w:val="single" w:sz="5" w:space="0" w:color="000000"/>
              <w:right w:val="single" w:sz="5" w:space="0" w:color="000000"/>
            </w:tcBorders>
          </w:tcPr>
          <w:p w14:paraId="656D7EF2"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bottom w:val="single" w:sz="5" w:space="0" w:color="000000"/>
              <w:right w:val="single" w:sz="5" w:space="0" w:color="000000"/>
            </w:tcBorders>
          </w:tcPr>
          <w:p w14:paraId="34AC0805"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mišičnoskeletne bolečine</w:t>
            </w:r>
          </w:p>
        </w:tc>
      </w:tr>
      <w:tr w:rsidR="0066522E" w:rsidRPr="00652F18" w14:paraId="0B440967" w14:textId="77777777" w:rsidTr="00183CD7">
        <w:tc>
          <w:tcPr>
            <w:tcW w:w="2599" w:type="dxa"/>
            <w:vMerge/>
            <w:tcBorders>
              <w:left w:val="single" w:sz="5" w:space="0" w:color="000000"/>
              <w:right w:val="single" w:sz="5" w:space="0" w:color="000000"/>
            </w:tcBorders>
          </w:tcPr>
          <w:p w14:paraId="470F0F7D"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27D21883"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420314DC"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lang w:val="sl-SI"/>
              </w:rPr>
              <w:t>mišični krči (vključno s zvečanjem vrednosti kreatin-fosfokinaze v krvi)</w:t>
            </w:r>
          </w:p>
        </w:tc>
      </w:tr>
      <w:tr w:rsidR="0066522E" w14:paraId="6F002EF7" w14:textId="77777777" w:rsidTr="00183CD7">
        <w:tc>
          <w:tcPr>
            <w:tcW w:w="2599" w:type="dxa"/>
            <w:vMerge/>
            <w:tcBorders>
              <w:left w:val="single" w:sz="5" w:space="0" w:color="000000"/>
              <w:right w:val="single" w:sz="5" w:space="0" w:color="000000"/>
            </w:tcBorders>
          </w:tcPr>
          <w:p w14:paraId="4C2960DA"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6A755A05"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330B4EF4"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rabdomioliza, </w:t>
            </w:r>
          </w:p>
          <w:p w14:paraId="53E0B803"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sistemski eritematozni lupus</w:t>
            </w:r>
          </w:p>
        </w:tc>
      </w:tr>
      <w:tr w:rsidR="0066522E" w14:paraId="2B41D252" w14:textId="77777777" w:rsidTr="00183CD7">
        <w:tc>
          <w:tcPr>
            <w:tcW w:w="2599" w:type="dxa"/>
            <w:vMerge/>
            <w:tcBorders>
              <w:left w:val="single" w:sz="5" w:space="0" w:color="000000"/>
              <w:bottom w:val="single" w:sz="5" w:space="0" w:color="000000"/>
              <w:right w:val="single" w:sz="5" w:space="0" w:color="000000"/>
            </w:tcBorders>
          </w:tcPr>
          <w:p w14:paraId="7516BECD"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4A2AF18"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lang w:val="sl-SI"/>
              </w:rPr>
              <w:t>Redki</w:t>
            </w:r>
          </w:p>
        </w:tc>
        <w:tc>
          <w:tcPr>
            <w:tcW w:w="4574" w:type="dxa"/>
            <w:tcBorders>
              <w:top w:val="single" w:sz="5" w:space="0" w:color="000000"/>
              <w:left w:val="single" w:sz="5" w:space="0" w:color="000000"/>
              <w:bottom w:val="single" w:sz="5" w:space="0" w:color="000000"/>
              <w:right w:val="single" w:sz="5" w:space="0" w:color="000000"/>
            </w:tcBorders>
          </w:tcPr>
          <w:p w14:paraId="7023DF7E"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lupusu podoben sindrom</w:t>
            </w:r>
            <w:r>
              <w:rPr>
                <w:rFonts w:ascii="Times New Roman" w:eastAsia="Times New Roman" w:hAnsi="Times New Roman" w:cs="Times New Roman"/>
                <w:spacing w:val="-1"/>
                <w:vertAlign w:val="superscript"/>
                <w:lang w:val="sl-SI"/>
              </w:rPr>
              <w:t>1)</w:t>
            </w:r>
          </w:p>
        </w:tc>
      </w:tr>
      <w:tr w:rsidR="0066522E" w14:paraId="0B3B237D" w14:textId="77777777" w:rsidTr="00183CD7">
        <w:tc>
          <w:tcPr>
            <w:tcW w:w="2599" w:type="dxa"/>
            <w:vMerge w:val="restart"/>
            <w:tcBorders>
              <w:top w:val="single" w:sz="5" w:space="0" w:color="000000"/>
              <w:left w:val="single" w:sz="5" w:space="0" w:color="000000"/>
              <w:right w:val="single" w:sz="5" w:space="0" w:color="000000"/>
            </w:tcBorders>
          </w:tcPr>
          <w:p w14:paraId="172E5CD9" w14:textId="77777777" w:rsidR="0066522E" w:rsidRDefault="0066522E" w:rsidP="00183CD7">
            <w:pPr>
              <w:pStyle w:val="TableParagraph"/>
              <w:ind w:left="102" w:right="196"/>
              <w:rPr>
                <w:rFonts w:ascii="Times New Roman" w:eastAsia="Times New Roman" w:hAnsi="Times New Roman" w:cs="Times New Roman"/>
                <w:lang w:val="sl-SI"/>
              </w:rPr>
            </w:pPr>
            <w:r>
              <w:rPr>
                <w:rFonts w:ascii="Times New Roman" w:eastAsia="Times New Roman" w:hAnsi="Times New Roman" w:cs="Times New Roman"/>
                <w:spacing w:val="-1"/>
                <w:lang w:val="sl-SI"/>
              </w:rPr>
              <w:t>Bolezni sečil</w:t>
            </w:r>
          </w:p>
        </w:tc>
        <w:tc>
          <w:tcPr>
            <w:tcW w:w="2076" w:type="dxa"/>
            <w:tcBorders>
              <w:top w:val="single" w:sz="5" w:space="0" w:color="000000"/>
              <w:left w:val="single" w:sz="5" w:space="0" w:color="000000"/>
              <w:bottom w:val="single" w:sz="5" w:space="0" w:color="000000"/>
              <w:right w:val="single" w:sz="5" w:space="0" w:color="000000"/>
            </w:tcBorders>
          </w:tcPr>
          <w:p w14:paraId="68ACA821"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42BAD5C7" w14:textId="77777777" w:rsidR="0066522E" w:rsidRDefault="0066522E" w:rsidP="00183CD7">
            <w:pPr>
              <w:pStyle w:val="TableParagraph"/>
              <w:ind w:left="99"/>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okvara ledvic, </w:t>
            </w:r>
          </w:p>
          <w:p w14:paraId="14A7FA54"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hematurija</w:t>
            </w:r>
          </w:p>
        </w:tc>
      </w:tr>
      <w:tr w:rsidR="0066522E" w14:paraId="79705BD5" w14:textId="77777777" w:rsidTr="00183CD7">
        <w:tc>
          <w:tcPr>
            <w:tcW w:w="2599" w:type="dxa"/>
            <w:vMerge/>
            <w:tcBorders>
              <w:left w:val="single" w:sz="5" w:space="0" w:color="000000"/>
              <w:bottom w:val="single" w:sz="5" w:space="0" w:color="000000"/>
              <w:right w:val="single" w:sz="5" w:space="0" w:color="000000"/>
            </w:tcBorders>
          </w:tcPr>
          <w:p w14:paraId="76CD2402"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36EB6A5F"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005C8BEB"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nokturija</w:t>
            </w:r>
          </w:p>
        </w:tc>
      </w:tr>
      <w:tr w:rsidR="0066522E" w14:paraId="4AE98AC1" w14:textId="77777777" w:rsidTr="00183CD7">
        <w:tc>
          <w:tcPr>
            <w:tcW w:w="2599" w:type="dxa"/>
            <w:tcBorders>
              <w:top w:val="single" w:sz="5" w:space="0" w:color="000000"/>
              <w:left w:val="single" w:sz="5" w:space="0" w:color="000000"/>
              <w:bottom w:val="single" w:sz="5" w:space="0" w:color="000000"/>
              <w:right w:val="single" w:sz="5" w:space="0" w:color="000000"/>
            </w:tcBorders>
          </w:tcPr>
          <w:p w14:paraId="667FF3B0"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Motnje reprodukcije in dojk</w:t>
            </w:r>
          </w:p>
        </w:tc>
        <w:tc>
          <w:tcPr>
            <w:tcW w:w="2076" w:type="dxa"/>
            <w:tcBorders>
              <w:top w:val="single" w:sz="5" w:space="0" w:color="000000"/>
              <w:left w:val="single" w:sz="5" w:space="0" w:color="000000"/>
              <w:bottom w:val="single" w:sz="5" w:space="0" w:color="000000"/>
              <w:right w:val="single" w:sz="5" w:space="0" w:color="000000"/>
            </w:tcBorders>
          </w:tcPr>
          <w:p w14:paraId="55B49229"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0B5805F7"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erektilna disfunkcija</w:t>
            </w:r>
          </w:p>
        </w:tc>
      </w:tr>
      <w:tr w:rsidR="0066522E" w:rsidRPr="00652F18" w14:paraId="39494F62" w14:textId="77777777" w:rsidTr="00183CD7">
        <w:tc>
          <w:tcPr>
            <w:tcW w:w="2599" w:type="dxa"/>
            <w:vMerge w:val="restart"/>
            <w:tcBorders>
              <w:top w:val="single" w:sz="5" w:space="0" w:color="000000"/>
              <w:left w:val="single" w:sz="5" w:space="0" w:color="000000"/>
              <w:right w:val="single" w:sz="5" w:space="0" w:color="000000"/>
            </w:tcBorders>
          </w:tcPr>
          <w:p w14:paraId="7C7CE686"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Splošne težave in spremembe na mestu aplikacije*</w:t>
            </w:r>
          </w:p>
        </w:tc>
        <w:tc>
          <w:tcPr>
            <w:tcW w:w="2076" w:type="dxa"/>
            <w:tcBorders>
              <w:top w:val="single" w:sz="5" w:space="0" w:color="000000"/>
              <w:left w:val="single" w:sz="5" w:space="0" w:color="000000"/>
              <w:right w:val="single" w:sz="5" w:space="0" w:color="000000"/>
            </w:tcBorders>
          </w:tcPr>
          <w:p w14:paraId="5EA4AFC5"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Zelo pogosti</w:t>
            </w:r>
          </w:p>
        </w:tc>
        <w:tc>
          <w:tcPr>
            <w:tcW w:w="4574" w:type="dxa"/>
            <w:tcBorders>
              <w:top w:val="single" w:sz="5" w:space="0" w:color="000000"/>
              <w:left w:val="single" w:sz="5" w:space="0" w:color="000000"/>
              <w:right w:val="single" w:sz="5" w:space="0" w:color="000000"/>
            </w:tcBorders>
          </w:tcPr>
          <w:p w14:paraId="6EF7F39A"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4"/>
                <w:lang w:val="sl-SI"/>
              </w:rPr>
              <w:t xml:space="preserve">reakcija na mestu injiciranja (vključno z eritemom na mestu </w:t>
            </w:r>
            <w:r>
              <w:rPr>
                <w:rFonts w:ascii="Times New Roman" w:eastAsia="Times New Roman" w:hAnsi="Times New Roman" w:cs="Times New Roman"/>
                <w:spacing w:val="-1"/>
                <w:lang w:val="sl-SI"/>
              </w:rPr>
              <w:t>injiciranja)</w:t>
            </w:r>
          </w:p>
        </w:tc>
      </w:tr>
      <w:tr w:rsidR="0066522E" w:rsidRPr="00652F18" w14:paraId="15DC9387" w14:textId="77777777" w:rsidTr="00183CD7">
        <w:tc>
          <w:tcPr>
            <w:tcW w:w="2599" w:type="dxa"/>
            <w:vMerge/>
            <w:tcBorders>
              <w:left w:val="single" w:sz="5" w:space="0" w:color="000000"/>
              <w:right w:val="single" w:sz="5" w:space="0" w:color="000000"/>
            </w:tcBorders>
          </w:tcPr>
          <w:p w14:paraId="4C7746EE"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16E8FA9F"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02E3574B"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bolečina v prsih,</w:t>
            </w:r>
          </w:p>
          <w:p w14:paraId="66988E31" w14:textId="77777777" w:rsidR="0066522E" w:rsidRDefault="0066522E" w:rsidP="00183CD7">
            <w:pPr>
              <w:pStyle w:val="TableParagraph"/>
              <w:ind w:left="99" w:right="2976"/>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edem, </w:t>
            </w:r>
          </w:p>
          <w:p w14:paraId="0593E59E" w14:textId="77777777" w:rsidR="0066522E" w:rsidRDefault="0066522E" w:rsidP="00183CD7">
            <w:pPr>
              <w:pStyle w:val="TableParagraph"/>
              <w:ind w:left="99" w:right="2976"/>
              <w:rPr>
                <w:rFonts w:ascii="Times New Roman" w:eastAsia="Times New Roman" w:hAnsi="Times New Roman" w:cs="Times New Roman"/>
                <w:lang w:val="sl-SI"/>
              </w:rPr>
            </w:pPr>
            <w:r>
              <w:rPr>
                <w:rFonts w:ascii="Times New Roman" w:eastAsia="Times New Roman" w:hAnsi="Times New Roman" w:cs="Times New Roman"/>
                <w:spacing w:val="-1"/>
                <w:lang w:val="sl-SI"/>
              </w:rPr>
              <w:t>pireksija</w:t>
            </w:r>
            <w:r>
              <w:rPr>
                <w:rFonts w:ascii="Times New Roman" w:eastAsia="Times New Roman" w:hAnsi="Times New Roman" w:cs="Times New Roman"/>
                <w:spacing w:val="-1"/>
                <w:vertAlign w:val="superscript"/>
                <w:lang w:val="sl-SI"/>
              </w:rPr>
              <w:t>1)</w:t>
            </w:r>
          </w:p>
        </w:tc>
      </w:tr>
      <w:tr w:rsidR="0066522E" w14:paraId="75EB08B0" w14:textId="77777777" w:rsidTr="00183CD7">
        <w:tc>
          <w:tcPr>
            <w:tcW w:w="2599" w:type="dxa"/>
            <w:vMerge/>
            <w:tcBorders>
              <w:left w:val="single" w:sz="5" w:space="0" w:color="000000"/>
              <w:bottom w:val="single" w:sz="5" w:space="0" w:color="000000"/>
              <w:right w:val="single" w:sz="5" w:space="0" w:color="000000"/>
            </w:tcBorders>
          </w:tcPr>
          <w:p w14:paraId="4A144D34" w14:textId="77777777" w:rsidR="0066522E" w:rsidRDefault="0066522E" w:rsidP="00183CD7">
            <w:pPr>
              <w:rPr>
                <w:rFonts w:ascii="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07E28F59"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Občasni</w:t>
            </w:r>
          </w:p>
        </w:tc>
        <w:tc>
          <w:tcPr>
            <w:tcW w:w="4574" w:type="dxa"/>
            <w:tcBorders>
              <w:top w:val="single" w:sz="5" w:space="0" w:color="000000"/>
              <w:left w:val="single" w:sz="5" w:space="0" w:color="000000"/>
              <w:bottom w:val="single" w:sz="5" w:space="0" w:color="000000"/>
              <w:right w:val="single" w:sz="5" w:space="0" w:color="000000"/>
            </w:tcBorders>
          </w:tcPr>
          <w:p w14:paraId="19A1F970"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4"/>
                <w:lang w:val="sl-SI"/>
              </w:rPr>
              <w:t>vnetje</w:t>
            </w:r>
          </w:p>
        </w:tc>
      </w:tr>
      <w:tr w:rsidR="0066522E" w:rsidRPr="00652F18" w14:paraId="55226F98" w14:textId="77777777" w:rsidTr="00183CD7">
        <w:tc>
          <w:tcPr>
            <w:tcW w:w="2599" w:type="dxa"/>
            <w:vMerge w:val="restart"/>
            <w:tcBorders>
              <w:top w:val="single" w:sz="5" w:space="0" w:color="000000"/>
              <w:left w:val="single" w:sz="5" w:space="0" w:color="000000"/>
              <w:right w:val="single" w:sz="5" w:space="0" w:color="000000"/>
            </w:tcBorders>
          </w:tcPr>
          <w:p w14:paraId="54B94152"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4"/>
                <w:lang w:val="sl-SI"/>
              </w:rPr>
              <w:t>Preiskave*</w:t>
            </w:r>
          </w:p>
          <w:p w14:paraId="620BCA84" w14:textId="77777777" w:rsidR="0066522E" w:rsidRDefault="0066522E" w:rsidP="00183CD7">
            <w:pPr>
              <w:pStyle w:val="TableParagraph"/>
              <w:ind w:left="102"/>
              <w:rPr>
                <w:rFonts w:ascii="Times New Roman" w:eastAsia="Times New Roman" w:hAnsi="Times New Roman" w:cs="Times New Roman"/>
                <w:lang w:val="sl-SI"/>
              </w:rPr>
            </w:pPr>
          </w:p>
        </w:tc>
        <w:tc>
          <w:tcPr>
            <w:tcW w:w="2076" w:type="dxa"/>
            <w:tcBorders>
              <w:top w:val="single" w:sz="5" w:space="0" w:color="000000"/>
              <w:left w:val="single" w:sz="5" w:space="0" w:color="000000"/>
              <w:bottom w:val="single" w:sz="5" w:space="0" w:color="000000"/>
              <w:right w:val="single" w:sz="5" w:space="0" w:color="000000"/>
            </w:tcBorders>
          </w:tcPr>
          <w:p w14:paraId="79652116"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37B341DA"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koagulacije in motnje krvavitve (vključno s podaljšanim aktiviranim parcialnim tromboplastinskim časom),</w:t>
            </w:r>
          </w:p>
          <w:p w14:paraId="72F22195"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pozitiven test avtoprotiteles (vključno s protitelesi proti dvoverižni DNA),</w:t>
            </w:r>
          </w:p>
          <w:p w14:paraId="4DFF45B8"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1"/>
                <w:lang w:val="sl-SI"/>
              </w:rPr>
              <w:t>zvečanje vrednosti laktat-dehidrogenaze v krvi</w:t>
            </w:r>
          </w:p>
        </w:tc>
      </w:tr>
      <w:tr w:rsidR="0066522E" w14:paraId="19502A33" w14:textId="77777777" w:rsidTr="00183CD7">
        <w:tc>
          <w:tcPr>
            <w:tcW w:w="2599" w:type="dxa"/>
            <w:vMerge/>
            <w:tcBorders>
              <w:left w:val="single" w:sz="5" w:space="0" w:color="000000"/>
              <w:bottom w:val="single" w:sz="5" w:space="0" w:color="000000"/>
              <w:right w:val="single" w:sz="5" w:space="0" w:color="000000"/>
            </w:tcBorders>
          </w:tcPr>
          <w:p w14:paraId="25200C90" w14:textId="77777777" w:rsidR="0066522E" w:rsidRDefault="0066522E" w:rsidP="00183CD7">
            <w:pPr>
              <w:pStyle w:val="TableParagraph"/>
              <w:ind w:left="102"/>
              <w:rPr>
                <w:rFonts w:ascii="Times New Roman" w:eastAsia="Times New Roman" w:hAnsi="Times New Roman" w:cs="Times New Roman"/>
                <w:spacing w:val="-4"/>
                <w:lang w:val="sl-SI"/>
              </w:rPr>
            </w:pPr>
          </w:p>
        </w:tc>
        <w:tc>
          <w:tcPr>
            <w:tcW w:w="2076" w:type="dxa"/>
            <w:tcBorders>
              <w:top w:val="single" w:sz="5" w:space="0" w:color="000000"/>
              <w:left w:val="single" w:sz="5" w:space="0" w:color="000000"/>
              <w:bottom w:val="single" w:sz="5" w:space="0" w:color="000000"/>
              <w:right w:val="single" w:sz="5" w:space="0" w:color="000000"/>
            </w:tcBorders>
          </w:tcPr>
          <w:p w14:paraId="598EAAD5" w14:textId="77777777" w:rsidR="0066522E" w:rsidRDefault="0066522E" w:rsidP="00183CD7">
            <w:pPr>
              <w:pStyle w:val="TableParagraph"/>
              <w:ind w:left="102"/>
              <w:rPr>
                <w:rFonts w:ascii="Times New Roman" w:eastAsia="Times New Roman" w:hAnsi="Times New Roman" w:cs="Times New Roman"/>
                <w:spacing w:val="-2"/>
                <w:lang w:val="sl-SI"/>
              </w:rPr>
            </w:pPr>
            <w:r>
              <w:rPr>
                <w:rFonts w:ascii="Times New Roman" w:eastAsia="Times New Roman" w:hAnsi="Times New Roman" w:cs="Times New Roman"/>
                <w:spacing w:val="-1"/>
                <w:lang w:val="sl-SI"/>
              </w:rPr>
              <w:t>Neznana pogostnost</w:t>
            </w:r>
          </w:p>
        </w:tc>
        <w:tc>
          <w:tcPr>
            <w:tcW w:w="4574" w:type="dxa"/>
            <w:tcBorders>
              <w:top w:val="single" w:sz="5" w:space="0" w:color="000000"/>
              <w:left w:val="single" w:sz="5" w:space="0" w:color="000000"/>
              <w:bottom w:val="single" w:sz="5" w:space="0" w:color="000000"/>
              <w:right w:val="single" w:sz="5" w:space="0" w:color="000000"/>
            </w:tcBorders>
          </w:tcPr>
          <w:p w14:paraId="513C81E6" w14:textId="77777777" w:rsidR="0066522E" w:rsidRDefault="0066522E" w:rsidP="00183CD7">
            <w:pPr>
              <w:pStyle w:val="TableParagraph"/>
              <w:ind w:left="99"/>
              <w:rPr>
                <w:rFonts w:ascii="Times New Roman" w:eastAsia="Times New Roman" w:hAnsi="Times New Roman" w:cs="Times New Roman"/>
                <w:spacing w:val="-1"/>
                <w:lang w:val="sl-SI"/>
              </w:rPr>
            </w:pPr>
            <w:r w:rsidRPr="00907360">
              <w:rPr>
                <w:rFonts w:ascii="Times New Roman" w:eastAsia="Times New Roman" w:hAnsi="Times New Roman" w:cs="Times New Roman"/>
                <w:spacing w:val="-1"/>
                <w:lang w:val="sl-SI"/>
              </w:rPr>
              <w:t>povečana telesna masa</w:t>
            </w:r>
            <w:r w:rsidRPr="00DA5D63">
              <w:rPr>
                <w:rFonts w:ascii="Times New Roman" w:eastAsia="Times New Roman" w:hAnsi="Times New Roman" w:cs="Times New Roman"/>
                <w:spacing w:val="-1"/>
                <w:vertAlign w:val="superscript"/>
                <w:lang w:val="sl-SI"/>
              </w:rPr>
              <w:t>2)</w:t>
            </w:r>
          </w:p>
        </w:tc>
      </w:tr>
      <w:tr w:rsidR="0066522E" w14:paraId="1165B57F" w14:textId="77777777" w:rsidTr="00183CD7">
        <w:tc>
          <w:tcPr>
            <w:tcW w:w="2599" w:type="dxa"/>
            <w:tcBorders>
              <w:top w:val="single" w:sz="5" w:space="0" w:color="000000"/>
              <w:left w:val="single" w:sz="5" w:space="0" w:color="000000"/>
              <w:bottom w:val="single" w:sz="5" w:space="0" w:color="000000"/>
              <w:right w:val="single" w:sz="5" w:space="0" w:color="000000"/>
            </w:tcBorders>
          </w:tcPr>
          <w:p w14:paraId="336FB19B"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Poškodbe, zastrupitve in zapleti pri posegih</w:t>
            </w:r>
          </w:p>
        </w:tc>
        <w:tc>
          <w:tcPr>
            <w:tcW w:w="2076" w:type="dxa"/>
            <w:tcBorders>
              <w:top w:val="single" w:sz="5" w:space="0" w:color="000000"/>
              <w:left w:val="single" w:sz="5" w:space="0" w:color="000000"/>
              <w:bottom w:val="single" w:sz="5" w:space="0" w:color="000000"/>
              <w:right w:val="single" w:sz="5" w:space="0" w:color="000000"/>
            </w:tcBorders>
          </w:tcPr>
          <w:p w14:paraId="5EFD614C"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Pogosti</w:t>
            </w:r>
          </w:p>
        </w:tc>
        <w:tc>
          <w:tcPr>
            <w:tcW w:w="4574" w:type="dxa"/>
            <w:tcBorders>
              <w:top w:val="single" w:sz="5" w:space="0" w:color="000000"/>
              <w:left w:val="single" w:sz="5" w:space="0" w:color="000000"/>
              <w:bottom w:val="single" w:sz="5" w:space="0" w:color="000000"/>
              <w:right w:val="single" w:sz="5" w:space="0" w:color="000000"/>
            </w:tcBorders>
          </w:tcPr>
          <w:p w14:paraId="398A8038" w14:textId="77777777" w:rsidR="0066522E" w:rsidRDefault="0066522E" w:rsidP="00183CD7">
            <w:pPr>
              <w:pStyle w:val="TableParagraph"/>
              <w:ind w:left="99"/>
              <w:rPr>
                <w:rFonts w:ascii="Times New Roman" w:eastAsia="Times New Roman" w:hAnsi="Times New Roman" w:cs="Times New Roman"/>
                <w:lang w:val="sl-SI"/>
              </w:rPr>
            </w:pPr>
            <w:r>
              <w:rPr>
                <w:rFonts w:ascii="Times New Roman" w:eastAsia="Times New Roman" w:hAnsi="Times New Roman" w:cs="Times New Roman"/>
                <w:spacing w:val="-2"/>
                <w:lang w:val="sl-SI"/>
              </w:rPr>
              <w:t>slabše celjenje</w:t>
            </w:r>
          </w:p>
        </w:tc>
      </w:tr>
    </w:tbl>
    <w:p w14:paraId="05F071C0" w14:textId="77777777" w:rsidR="0066522E" w:rsidRDefault="0066522E" w:rsidP="0066522E">
      <w:pPr>
        <w:spacing w:before="1" w:line="150" w:lineRule="exact"/>
        <w:rPr>
          <w:sz w:val="15"/>
          <w:szCs w:val="15"/>
          <w:lang w:val="sl-SI"/>
        </w:rPr>
      </w:pPr>
    </w:p>
    <w:p w14:paraId="74489775" w14:textId="77777777" w:rsidR="0066522E" w:rsidRDefault="0066522E" w:rsidP="0066522E">
      <w:pPr>
        <w:pStyle w:val="a3"/>
        <w:numPr>
          <w:ilvl w:val="0"/>
          <w:numId w:val="0"/>
        </w:numPr>
        <w:rPr>
          <w:lang w:val="sl-SI"/>
        </w:rPr>
      </w:pPr>
      <w:r>
        <w:rPr>
          <w:rFonts w:eastAsia="Times New Roman"/>
          <w:lang w:val="sl-SI"/>
        </w:rPr>
        <w:t>* Dodatne informacije lahko najdete drugje v poglavjih 4.3, 4.4 in 4.8.</w:t>
      </w:r>
    </w:p>
    <w:p w14:paraId="1FE75300" w14:textId="77777777" w:rsidR="0066522E" w:rsidRDefault="0066522E" w:rsidP="0066522E">
      <w:pPr>
        <w:pStyle w:val="a3"/>
        <w:rPr>
          <w:lang w:val="sl-SI"/>
        </w:rPr>
      </w:pPr>
      <w:r>
        <w:rPr>
          <w:rFonts w:eastAsia="Times New Roman"/>
          <w:lang w:val="sl-SI"/>
        </w:rPr>
        <w:t>** vključno z odprtimi podaljšanimi študijami</w:t>
      </w:r>
    </w:p>
    <w:p w14:paraId="0867E545" w14:textId="77777777" w:rsidR="0066522E" w:rsidRDefault="0066522E" w:rsidP="0066522E">
      <w:pPr>
        <w:pStyle w:val="a3"/>
        <w:rPr>
          <w:rFonts w:eastAsia="Times New Roman"/>
          <w:position w:val="8"/>
          <w:lang w:val="sl-SI"/>
        </w:rPr>
      </w:pPr>
      <w:r>
        <w:rPr>
          <w:rFonts w:eastAsia="Times New Roman"/>
          <w:position w:val="8"/>
          <w:vertAlign w:val="superscript"/>
          <w:lang w:val="sl-SI"/>
        </w:rPr>
        <w:t>1)</w:t>
      </w:r>
      <w:r>
        <w:rPr>
          <w:rFonts w:eastAsia="Times New Roman"/>
          <w:position w:val="8"/>
          <w:sz w:val="14"/>
          <w:szCs w:val="14"/>
          <w:lang w:val="sl-SI"/>
        </w:rPr>
        <w:t xml:space="preserve"> </w:t>
      </w:r>
      <w:r>
        <w:rPr>
          <w:rFonts w:eastAsia="Times New Roman"/>
          <w:position w:val="8"/>
          <w:lang w:val="sl-SI"/>
        </w:rPr>
        <w:t>vključno s podatki iz spontanega poročanja</w:t>
      </w:r>
    </w:p>
    <w:p w14:paraId="14D3395F" w14:textId="77777777" w:rsidR="0066522E" w:rsidRPr="00907360" w:rsidRDefault="0066522E" w:rsidP="0066522E">
      <w:pPr>
        <w:pStyle w:val="a3"/>
        <w:ind w:left="176" w:hangingChars="80" w:hanging="176"/>
        <w:rPr>
          <w:lang w:val="sl-SI"/>
        </w:rPr>
      </w:pPr>
      <w:r w:rsidRPr="00DA5D63">
        <w:rPr>
          <w:vertAlign w:val="superscript"/>
          <w:lang w:val="sl-SI"/>
        </w:rPr>
        <w:t xml:space="preserve">2) </w:t>
      </w:r>
      <w:r w:rsidRPr="00907360">
        <w:rPr>
          <w:lang w:val="sl-SI"/>
        </w:rPr>
        <w:t>Povprečna sprememba telesne mase glede na izhodiščno vrednost v skupini z adalimumabom je znašala od 0,3 kg do 1,0 kg pri vseh indikacijah za odrasle, v primerjavi z od (minus) –0,4 kg do 0,4 kg v skupini s placebom, v obdobju zdravljenja 4–6 mesecev. Povečanje telesne mase za 5–6 kg je bilo opaženo tudi pri dolgoročni podaljšani študiji zdravila ob povprečni izpostavljenosti približno 1–2 leti, brez kontrolne skupine, še zlasti pri bolnikih s Crohnovo boleznijo in ulceroznim kolitisom. Mehanizem tega učinka ni znan, vendar bi bil lahko povezan s protivnetnim učinkom adalimumaba.</w:t>
      </w:r>
    </w:p>
    <w:p w14:paraId="064CB8EC" w14:textId="77777777" w:rsidR="0066522E" w:rsidRDefault="0066522E" w:rsidP="0066522E">
      <w:pPr>
        <w:spacing w:before="13" w:line="240" w:lineRule="exact"/>
        <w:rPr>
          <w:sz w:val="24"/>
          <w:szCs w:val="24"/>
          <w:lang w:val="sl-SI"/>
        </w:rPr>
      </w:pPr>
    </w:p>
    <w:p w14:paraId="16B7C416" w14:textId="77777777" w:rsidR="0066522E" w:rsidRDefault="0066522E" w:rsidP="0066522E">
      <w:pPr>
        <w:pStyle w:val="a3"/>
        <w:rPr>
          <w:u w:val="single"/>
          <w:lang w:val="sl-SI"/>
        </w:rPr>
      </w:pPr>
      <w:r>
        <w:rPr>
          <w:rFonts w:eastAsia="Times New Roman"/>
          <w:u w:val="single" w:color="000000"/>
          <w:lang w:val="sl-SI"/>
        </w:rPr>
        <w:t>Uveitis</w:t>
      </w:r>
    </w:p>
    <w:p w14:paraId="22EA31D2" w14:textId="77777777" w:rsidR="0066522E" w:rsidRDefault="0066522E" w:rsidP="0066522E">
      <w:pPr>
        <w:spacing w:before="1" w:line="180" w:lineRule="exact"/>
        <w:rPr>
          <w:sz w:val="18"/>
          <w:szCs w:val="18"/>
          <w:lang w:val="sl-SI"/>
        </w:rPr>
      </w:pPr>
    </w:p>
    <w:p w14:paraId="0D86171D" w14:textId="77777777" w:rsidR="0066522E" w:rsidRDefault="0066522E" w:rsidP="0066522E">
      <w:pPr>
        <w:pStyle w:val="a3"/>
        <w:rPr>
          <w:lang w:val="sl-SI"/>
        </w:rPr>
      </w:pPr>
      <w:r>
        <w:rPr>
          <w:rFonts w:eastAsia="Times New Roman"/>
          <w:lang w:val="sl-SI"/>
        </w:rPr>
        <w:t>Varnostni profil bolnikov s uveitisom, ki so se zdravili z adalimumabom vsak drug teden, je bil skladen z znanim varnostnim profilom adalimumaba.</w:t>
      </w:r>
    </w:p>
    <w:p w14:paraId="6C31747F" w14:textId="77777777" w:rsidR="0066522E" w:rsidRDefault="0066522E" w:rsidP="0066522E">
      <w:pPr>
        <w:spacing w:before="11" w:line="240" w:lineRule="exact"/>
        <w:rPr>
          <w:sz w:val="24"/>
          <w:szCs w:val="24"/>
          <w:lang w:val="sl-SI"/>
        </w:rPr>
      </w:pPr>
    </w:p>
    <w:p w14:paraId="404F187C" w14:textId="77777777" w:rsidR="0066522E" w:rsidRPr="0030421B" w:rsidRDefault="0066522E" w:rsidP="0066522E">
      <w:pPr>
        <w:pStyle w:val="a3"/>
        <w:rPr>
          <w:u w:val="single"/>
          <w:lang w:val="sl-SI"/>
        </w:rPr>
      </w:pPr>
      <w:r w:rsidRPr="0030421B">
        <w:rPr>
          <w:rFonts w:eastAsia="Times New Roman"/>
          <w:u w:val="single" w:color="000000"/>
          <w:lang w:val="sl-SI"/>
        </w:rPr>
        <w:t>Opis izbranih neželenih učinkov</w:t>
      </w:r>
    </w:p>
    <w:p w14:paraId="356B19B3" w14:textId="77777777" w:rsidR="0066522E" w:rsidRDefault="0066522E" w:rsidP="0066522E">
      <w:pPr>
        <w:pStyle w:val="a3"/>
        <w:rPr>
          <w:sz w:val="18"/>
          <w:szCs w:val="18"/>
          <w:lang w:val="sl-SI"/>
        </w:rPr>
      </w:pPr>
    </w:p>
    <w:p w14:paraId="68C5BAE5" w14:textId="77777777" w:rsidR="0066522E" w:rsidRDefault="0066522E" w:rsidP="0066522E">
      <w:pPr>
        <w:pStyle w:val="a3"/>
        <w:rPr>
          <w:rFonts w:eastAsia="Times New Roman"/>
          <w:lang w:val="sl-SI"/>
        </w:rPr>
      </w:pPr>
      <w:r>
        <w:rPr>
          <w:rFonts w:eastAsia="Times New Roman"/>
          <w:i/>
          <w:iCs/>
          <w:spacing w:val="-1"/>
          <w:lang w:val="sl-SI"/>
        </w:rPr>
        <w:t>Reakcije na mestu injiciranja</w:t>
      </w:r>
    </w:p>
    <w:p w14:paraId="049FDF5A" w14:textId="77777777" w:rsidR="0066522E" w:rsidRDefault="0066522E" w:rsidP="0066522E">
      <w:pPr>
        <w:pStyle w:val="a3"/>
        <w:rPr>
          <w:sz w:val="24"/>
          <w:szCs w:val="24"/>
          <w:lang w:val="sl-SI"/>
        </w:rPr>
      </w:pPr>
    </w:p>
    <w:p w14:paraId="0448325A" w14:textId="77777777" w:rsidR="0066522E" w:rsidRDefault="0066522E" w:rsidP="0066522E">
      <w:pPr>
        <w:pStyle w:val="a3"/>
        <w:rPr>
          <w:lang w:val="sl-SI"/>
        </w:rPr>
      </w:pPr>
      <w:r>
        <w:rPr>
          <w:rFonts w:eastAsia="Times New Roman"/>
          <w:lang w:val="sl-SI"/>
        </w:rPr>
        <w:t>V ključnih kontroliranih preskušanjih pri odraslih in otrocih so se pri 12,9 % bolnikov, zdravljenih z adalimumabom, pojavile reakcije na mestu injiciranja (eritem in/ali srbenje, krvavitve, bolečine ali otekanje), v primerjavi s 7,2 % bolnikov, ki so prejemali placebo ali kontrolno učinkovino. Zaradi reakcij na mestu injiciranja uporabe zdravila praviloma ni bilo treba prekiniti.</w:t>
      </w:r>
    </w:p>
    <w:p w14:paraId="60C05214" w14:textId="77777777" w:rsidR="0066522E" w:rsidRDefault="0066522E" w:rsidP="0066522E">
      <w:pPr>
        <w:pStyle w:val="a3"/>
        <w:rPr>
          <w:lang w:val="sl-SI"/>
        </w:rPr>
      </w:pPr>
    </w:p>
    <w:p w14:paraId="4D19A99F" w14:textId="77777777" w:rsidR="0066522E" w:rsidRDefault="0066522E" w:rsidP="0066522E">
      <w:pPr>
        <w:pStyle w:val="a3"/>
        <w:rPr>
          <w:rFonts w:eastAsia="Times New Roman"/>
          <w:lang w:val="sl-SI"/>
        </w:rPr>
      </w:pPr>
      <w:r>
        <w:rPr>
          <w:rFonts w:eastAsia="Times New Roman"/>
          <w:i/>
          <w:iCs/>
          <w:spacing w:val="-1"/>
          <w:lang w:val="sl-SI"/>
        </w:rPr>
        <w:t>Okužbe</w:t>
      </w:r>
    </w:p>
    <w:p w14:paraId="6C8D293A" w14:textId="77777777" w:rsidR="0066522E" w:rsidRDefault="0066522E" w:rsidP="0066522E">
      <w:pPr>
        <w:pStyle w:val="a3"/>
        <w:rPr>
          <w:lang w:val="sl-SI"/>
        </w:rPr>
      </w:pPr>
    </w:p>
    <w:p w14:paraId="7E73888F" w14:textId="77777777" w:rsidR="0066522E" w:rsidRDefault="0066522E" w:rsidP="0066522E">
      <w:pPr>
        <w:pStyle w:val="a3"/>
        <w:rPr>
          <w:lang w:val="sl-SI"/>
        </w:rPr>
      </w:pPr>
      <w:r>
        <w:rPr>
          <w:rFonts w:eastAsia="Times New Roman"/>
          <w:lang w:val="sl-SI"/>
        </w:rPr>
        <w:t xml:space="preserve">V ključnih kontroliranih preskušanjih pri odraslih in otrocih je bil delež okužb pri bolnikih, zdravljenih z </w:t>
      </w:r>
      <w:r>
        <w:rPr>
          <w:rFonts w:eastAsia="Times New Roman"/>
          <w:lang w:val="sl-SI"/>
        </w:rPr>
        <w:lastRenderedPageBreak/>
        <w:t>adalimumabom, 1,51 na bolnikov-let, in 1,46 na bolnikov-let pri bolnikih, ki so prejemali placebo ali kontrolno učinkovino. Pri okužbah je šlo predvsem za nazofaringitis, okužbo zgornjih dihal in sinusitis. Večina bolnikov je po ozdravitvi okužbe nadaljevala zdravljenje z adalimumabom.</w:t>
      </w:r>
    </w:p>
    <w:p w14:paraId="314AC4C5" w14:textId="77777777" w:rsidR="0066522E" w:rsidRDefault="0066522E" w:rsidP="0066522E">
      <w:pPr>
        <w:pStyle w:val="a3"/>
        <w:rPr>
          <w:lang w:val="sl-SI"/>
        </w:rPr>
      </w:pPr>
    </w:p>
    <w:p w14:paraId="1C6B85EC" w14:textId="77777777" w:rsidR="0066522E" w:rsidRDefault="0066522E" w:rsidP="0066522E">
      <w:pPr>
        <w:pStyle w:val="a3"/>
        <w:rPr>
          <w:lang w:val="sl-SI"/>
        </w:rPr>
      </w:pPr>
      <w:r>
        <w:rPr>
          <w:rFonts w:eastAsia="Times New Roman"/>
          <w:lang w:val="sl-SI"/>
        </w:rPr>
        <w:t>Pri bolnikih, zdravljenih z adalimumabom, je bila incidenca resnih okužb 0,04 na bolnikov-let, pri bolnikih, zdravljenih s placebom in aktivno kontrolo, pa 0,03 na bolnikov-let.</w:t>
      </w:r>
    </w:p>
    <w:p w14:paraId="63FD65BB" w14:textId="77777777" w:rsidR="0066522E" w:rsidRDefault="0066522E" w:rsidP="0066522E">
      <w:pPr>
        <w:pStyle w:val="a3"/>
        <w:rPr>
          <w:lang w:val="sl-SI"/>
        </w:rPr>
      </w:pPr>
    </w:p>
    <w:p w14:paraId="0B349D37" w14:textId="77777777" w:rsidR="0066522E" w:rsidRDefault="0066522E" w:rsidP="0066522E">
      <w:pPr>
        <w:pStyle w:val="a3"/>
        <w:rPr>
          <w:lang w:val="sl-SI"/>
        </w:rPr>
      </w:pPr>
      <w:r>
        <w:rPr>
          <w:rFonts w:eastAsia="Times New Roman"/>
          <w:lang w:val="sl-SI"/>
        </w:rPr>
        <w:t>V kontroliranih in odprtih študijah z adalimumabom pri odraslih in otrocih so poročali o resnih okužbah (vključno s smrtnimi okužbami, ki so se pojavile redko), med katerimi so bile tuberkuloza (tudi miliarna in zunajpljučna) in invazivne oportunistične okužbe (npr. diseminirana ali zunajpljučna histoplazmoza, blastomikoza, kokcidioidomikoza, pnevmocistoza, kandidoza, aspergiloza in listerioza). Večina primerov tuberkuloze se je pojavila v prvih osmih mesecih po uvedbi zdravljenja in mogoče je, da gre za ponoven izbruh latentne bolezni.</w:t>
      </w:r>
    </w:p>
    <w:p w14:paraId="7C7FF821" w14:textId="77777777" w:rsidR="0066522E" w:rsidRDefault="0066522E" w:rsidP="0066522E">
      <w:pPr>
        <w:pStyle w:val="a3"/>
        <w:rPr>
          <w:lang w:val="sl-SI"/>
        </w:rPr>
      </w:pPr>
    </w:p>
    <w:p w14:paraId="545F102F" w14:textId="77777777" w:rsidR="0066522E" w:rsidRDefault="0066522E" w:rsidP="0066522E">
      <w:pPr>
        <w:pStyle w:val="a3"/>
        <w:rPr>
          <w:rFonts w:eastAsia="Times New Roman"/>
          <w:lang w:val="sl-SI"/>
        </w:rPr>
      </w:pPr>
      <w:r>
        <w:rPr>
          <w:rFonts w:eastAsia="Times New Roman"/>
          <w:i/>
          <w:iCs/>
          <w:spacing w:val="-1"/>
          <w:lang w:val="sl-SI"/>
        </w:rPr>
        <w:t>Maligne in limfoproliferativne bolezni</w:t>
      </w:r>
    </w:p>
    <w:p w14:paraId="5DFCC133" w14:textId="77777777" w:rsidR="0066522E" w:rsidRDefault="0066522E" w:rsidP="0066522E">
      <w:pPr>
        <w:pStyle w:val="a3"/>
        <w:rPr>
          <w:lang w:val="sl-SI"/>
        </w:rPr>
      </w:pPr>
    </w:p>
    <w:p w14:paraId="448CB178" w14:textId="1FF78BDB" w:rsidR="0066522E" w:rsidRDefault="0066522E" w:rsidP="0066522E">
      <w:pPr>
        <w:pStyle w:val="a3"/>
        <w:rPr>
          <w:lang w:val="sl-SI"/>
        </w:rPr>
      </w:pPr>
      <w:r>
        <w:rPr>
          <w:rFonts w:eastAsia="Times New Roman"/>
          <w:lang w:val="sl-SI"/>
        </w:rPr>
        <w:t>Pri 249 pediatričnih bolnikih z juvenilnim idiopatskim artritisom (s poliartikularnim juvenilnim idiopatskim artritisom in artritisom, povezanim z entezitisom), ki so bili med preskušanji zdravila adalimumabom</w:t>
      </w:r>
      <w:r w:rsidDel="00982DE1">
        <w:rPr>
          <w:rFonts w:eastAsia="Times New Roman"/>
          <w:lang w:val="sl-SI"/>
        </w:rPr>
        <w:t xml:space="preserve"> </w:t>
      </w:r>
      <w:r>
        <w:rPr>
          <w:rFonts w:eastAsia="Times New Roman"/>
          <w:lang w:val="sl-SI"/>
        </w:rPr>
        <w:t>zdravilu izpostavljeni 655,6 bolnikov-let, niso ugotovili nobenega malignoma. Malignomov prav tako niso opazili pri 192 pediatričnih bolnikih, ki so bili izpostavljeni 498,1 bolnikov-let med študijami z adalimumabom pri pediatričnih bolnikih s Crohnovo boleznijo. Pri 77 pediatričnih bolnikih v preskušanju adalimumaba pri pediatričnih bolnikih s kronično psoriazo v plakih z izpostavljenostjo 80,0 bolnikov-let niso opazili malignomov</w:t>
      </w:r>
      <w:r>
        <w:rPr>
          <w:rStyle w:val="normaltextrun"/>
          <w:shd w:val="clear" w:color="auto" w:fill="FFFFFF"/>
          <w:lang w:val="sl-SI"/>
        </w:rPr>
        <w:t>.</w:t>
      </w:r>
      <w:r>
        <w:rPr>
          <w:rFonts w:eastAsia="Times New Roman"/>
          <w:lang w:val="sl-SI"/>
        </w:rPr>
        <w:t xml:space="preserve"> Pri 60 pediatričnih bolnikih z uveitisom, ki so bili med preskušanji adalimumaba izpostavljeni 58,4 bolnikov-let, niso ugotovili nobenega malignoma.</w:t>
      </w:r>
    </w:p>
    <w:p w14:paraId="648130AB" w14:textId="77777777" w:rsidR="0066522E" w:rsidRDefault="0066522E" w:rsidP="0066522E">
      <w:pPr>
        <w:spacing w:before="13" w:line="240" w:lineRule="exact"/>
        <w:rPr>
          <w:sz w:val="24"/>
          <w:szCs w:val="24"/>
          <w:lang w:val="sl-SI"/>
        </w:rPr>
      </w:pPr>
    </w:p>
    <w:p w14:paraId="4B34F56C" w14:textId="77777777" w:rsidR="0066522E" w:rsidRDefault="0066522E" w:rsidP="0066522E">
      <w:pPr>
        <w:pStyle w:val="a3"/>
        <w:rPr>
          <w:lang w:val="sl-SI"/>
        </w:rPr>
      </w:pPr>
      <w:r>
        <w:rPr>
          <w:rFonts w:eastAsia="Times New Roman"/>
          <w:lang w:val="sl-SI"/>
        </w:rPr>
        <w:t>V kontroliranih delih ključnih preskušanj adalimumaba pri odraslih, ki so trajala vsaj 12 tednov, pri bolnikih z zmerno do hudo aktivnim revmatoidnim artritisom, ankilozirajočim spondilitisom, aksialnim spondiloartritisom brez radiografskega dokaza za AS, psoriatičnim artritisom, psoriazo, hidradenitis suppurativa, Crohnovo boleznijo, ulceroznim kolitisom in uveitisom so malignome (razen limfoma in nemelanomskega kožnega raka) opažali z deležem (95-% interval zaupanja) 6,8 (4,4; 10,5) na 1000 bolnikov-let med 5291 bolniki, ki so prejemali adalimumab, in 6,3 (3,4; 11,8) na 1000 bolnikov-let med 3444 kontrolnimi bolniki (pri prvih je zdravljenje mediano trajalo 4,0 meseca, pri drugih pa 3,8 meseca). Delež (95-% interval zaupanja) nemelanomskih kožnih rakov je bil 8,8 (6,0; 13,0) na 1.000 bolnikov-let med bolniki, zdravljenimi z adalimumabom, in 3,2 (1,3; 7,6) na 1.000 bolnikov-let med bolniki v kontrolni skupini. Med temi kožnimi raki je bil delež (95-% interval zaupanja) skvamocelularnega karcinoma 2,7 (1,4; 5,4) na 1000 bolnikov-let med bolniki, ki so prejemali adalimumab, in 0,6 (0,1; 4,5) na 1000 bolnikov-let v kontrolni skupini bolnikov. Delež (95-% interval zaupanja) limfomov je bil 0,7 (0,2; 2,7) na 1.000 bolnikov-let med bolniki, ki so prejemali adalimumab, in 0,6 (0,1; 4,5) na 1.000 bolnikov-let v kontrolni skupini bolnikov.</w:t>
      </w:r>
    </w:p>
    <w:p w14:paraId="49B82040" w14:textId="77777777" w:rsidR="0066522E" w:rsidRDefault="0066522E" w:rsidP="0066522E">
      <w:pPr>
        <w:spacing w:before="13" w:line="240" w:lineRule="exact"/>
        <w:rPr>
          <w:sz w:val="24"/>
          <w:szCs w:val="24"/>
          <w:lang w:val="sl-SI"/>
        </w:rPr>
      </w:pPr>
    </w:p>
    <w:p w14:paraId="37BA264B" w14:textId="77777777" w:rsidR="0066522E" w:rsidRDefault="0066522E" w:rsidP="0066522E">
      <w:pPr>
        <w:pStyle w:val="a3"/>
        <w:rPr>
          <w:lang w:val="sl-SI"/>
        </w:rPr>
      </w:pPr>
      <w:r>
        <w:rPr>
          <w:rFonts w:eastAsia="Times New Roman"/>
          <w:lang w:val="sl-SI"/>
        </w:rPr>
        <w:t>Pri kombiniranju nadzorovanih delov teh preskušanj in potekajočih ter končanih odprtih nadaljevalnih študij z mediano trajanja približno 3,3 let, ki je vključevala približno 6.427 bolnikov in več kot 26.439 bolnikov-let zdravljenja, je ugotovljeni delež malignomov, razen limfoma in nemelanomskih kožnih rakov, približno 8,5 na 1.000 bolnikov-let. Ugotovljeni delež nemelanomskih kožnih rakov je približno 9,6 na 1.000 bolnikov-let, ugotovljeni delež limfomov pa približno 1,3 na 1.000 bolnikov-let.</w:t>
      </w:r>
    </w:p>
    <w:p w14:paraId="7B5BEC6D" w14:textId="77777777" w:rsidR="0066522E" w:rsidRDefault="0066522E" w:rsidP="0066522E">
      <w:pPr>
        <w:spacing w:before="14" w:line="240" w:lineRule="exact"/>
        <w:rPr>
          <w:sz w:val="24"/>
          <w:szCs w:val="24"/>
          <w:lang w:val="sl-SI"/>
        </w:rPr>
      </w:pPr>
    </w:p>
    <w:p w14:paraId="3DB99DD5" w14:textId="6AD9EB87" w:rsidR="00BA42B8" w:rsidRDefault="00BA42B8" w:rsidP="00BA42B8">
      <w:pPr>
        <w:pStyle w:val="a3"/>
        <w:rPr>
          <w:lang w:val="sl-SI"/>
        </w:rPr>
      </w:pPr>
      <w:r>
        <w:rPr>
          <w:rFonts w:eastAsia="Times New Roman"/>
          <w:lang w:val="sl-SI"/>
        </w:rPr>
        <w:t xml:space="preserve">V obdobju trženja zdravila od januarja 2003 do decembra 2010, pretežno pri bolnikih z revmatoidnim artritisom, je bil </w:t>
      </w:r>
      <w:r>
        <w:rPr>
          <w:rFonts w:hint="eastAsia"/>
          <w:lang w:val="sl-SI" w:eastAsia="ko-KR"/>
        </w:rPr>
        <w:t xml:space="preserve">spontano </w:t>
      </w:r>
      <w:r>
        <w:rPr>
          <w:rFonts w:eastAsia="Times New Roman"/>
          <w:lang w:val="sl-SI"/>
        </w:rPr>
        <w:t xml:space="preserve">zabeleženi delež malignomov približno 2,7 na 1000 bolnikov-let zdravljenja. </w:t>
      </w:r>
      <w:r>
        <w:rPr>
          <w:rFonts w:hint="eastAsia"/>
          <w:lang w:val="sl-SI" w:eastAsia="ko-KR"/>
        </w:rPr>
        <w:t>Spontano u</w:t>
      </w:r>
      <w:r>
        <w:rPr>
          <w:rFonts w:eastAsia="Times New Roman"/>
          <w:lang w:val="sl-SI"/>
        </w:rPr>
        <w:t>gotovljeni delež nemelanomskih rakov je približno 0,2 na 1000 bolnikov-let zdravljenja, limfomov pa približno 0,3 na 1000 bolnikov-let zdravljenja (glejte poglavje 4.4).</w:t>
      </w:r>
    </w:p>
    <w:p w14:paraId="197B326F" w14:textId="77777777" w:rsidR="0066522E" w:rsidRPr="00BA42B8" w:rsidRDefault="0066522E" w:rsidP="0066522E">
      <w:pPr>
        <w:spacing w:before="17" w:line="240" w:lineRule="exact"/>
        <w:rPr>
          <w:sz w:val="24"/>
          <w:szCs w:val="24"/>
          <w:lang w:val="sl-SI"/>
        </w:rPr>
      </w:pPr>
    </w:p>
    <w:p w14:paraId="264A98E7" w14:textId="77777777" w:rsidR="0066522E" w:rsidRDefault="0066522E" w:rsidP="0066522E">
      <w:pPr>
        <w:pStyle w:val="a3"/>
        <w:rPr>
          <w:lang w:val="sl-SI"/>
        </w:rPr>
      </w:pPr>
      <w:r>
        <w:rPr>
          <w:rFonts w:eastAsia="Times New Roman"/>
          <w:lang w:val="sl-SI"/>
        </w:rPr>
        <w:t>V redkih primerih med obdobjem trženja so pri bolnikih, zdravljenih z adalimumabom, poročali o hepatospleničnem limfomu celic T (glejte poglavje 4.4).</w:t>
      </w:r>
    </w:p>
    <w:p w14:paraId="16D8A1D3" w14:textId="77777777" w:rsidR="0066522E" w:rsidRDefault="0066522E" w:rsidP="0066522E">
      <w:pPr>
        <w:pStyle w:val="a3"/>
        <w:rPr>
          <w:sz w:val="24"/>
          <w:szCs w:val="24"/>
          <w:lang w:val="sl-SI"/>
        </w:rPr>
      </w:pPr>
    </w:p>
    <w:p w14:paraId="0FC4CF35" w14:textId="77777777" w:rsidR="0066522E" w:rsidRDefault="0066522E" w:rsidP="0066522E">
      <w:pPr>
        <w:pStyle w:val="a3"/>
        <w:rPr>
          <w:rFonts w:eastAsia="Times New Roman"/>
          <w:lang w:val="sl-SI"/>
        </w:rPr>
      </w:pPr>
      <w:r>
        <w:rPr>
          <w:rFonts w:eastAsia="Times New Roman"/>
          <w:i/>
          <w:iCs/>
          <w:spacing w:val="-1"/>
          <w:lang w:val="sl-SI"/>
        </w:rPr>
        <w:lastRenderedPageBreak/>
        <w:t>Avtoprotitelesa</w:t>
      </w:r>
    </w:p>
    <w:p w14:paraId="0C4DD689" w14:textId="77777777" w:rsidR="0066522E" w:rsidRDefault="0066522E" w:rsidP="0066522E">
      <w:pPr>
        <w:pStyle w:val="a3"/>
        <w:rPr>
          <w:sz w:val="24"/>
          <w:szCs w:val="24"/>
          <w:lang w:val="sl-SI"/>
        </w:rPr>
      </w:pPr>
    </w:p>
    <w:p w14:paraId="212BF4AD" w14:textId="77777777" w:rsidR="0066522E" w:rsidRDefault="0066522E" w:rsidP="0066522E">
      <w:pPr>
        <w:pStyle w:val="a3"/>
        <w:rPr>
          <w:lang w:val="sl-SI"/>
        </w:rPr>
      </w:pPr>
      <w:r>
        <w:rPr>
          <w:rFonts w:eastAsia="Times New Roman"/>
          <w:lang w:val="sl-SI"/>
        </w:rPr>
        <w:t>V študijah revmatoidnega artritisa I−V so pri bolnikih na več časovnih točkah testirali vzorce avtoprotiteles v serumu. V teh preskušanjih so pozitivne titre protiteles proti jedrnim antigenom po 24 tednih ugotovili pri 11,9 % prejemnikov adalimumaba in 8,1 % prejemnikov placeba in kontrolne učinkovine, ki so imeli ob izhodišču negativne titre teh protiteles. V vseh študijah revmatoidnega artritisa in psoriatičnega artritisa so se klinični znaki, ki so nakazovali novonastali lupusni sindrom, pojavili pri 2 od 3441 bolnikov, zdravljenih z adalimumabom. Stanje bolnikov se je po prekinitvi zdravljenja izboljšalo. Pri nobenem bolniku se niso pojavili lupus nefritis ali simptomi osrednjega živčevja.</w:t>
      </w:r>
    </w:p>
    <w:p w14:paraId="2E565F73" w14:textId="77777777" w:rsidR="0066522E" w:rsidRDefault="0066522E" w:rsidP="0066522E">
      <w:pPr>
        <w:pStyle w:val="a3"/>
        <w:rPr>
          <w:sz w:val="24"/>
          <w:szCs w:val="24"/>
          <w:lang w:val="sl-SI"/>
        </w:rPr>
      </w:pPr>
    </w:p>
    <w:p w14:paraId="42988702" w14:textId="77777777" w:rsidR="0066522E" w:rsidRDefault="0066522E" w:rsidP="0066522E">
      <w:pPr>
        <w:pStyle w:val="a3"/>
        <w:rPr>
          <w:rFonts w:eastAsia="Times New Roman"/>
          <w:lang w:val="sl-SI"/>
        </w:rPr>
      </w:pPr>
      <w:r>
        <w:rPr>
          <w:rFonts w:eastAsia="Times New Roman"/>
          <w:i/>
          <w:iCs/>
          <w:lang w:val="sl-SI"/>
        </w:rPr>
        <w:t>Dogodki na jetrih, žolčniku in žolčevodih</w:t>
      </w:r>
    </w:p>
    <w:p w14:paraId="70803576" w14:textId="77777777" w:rsidR="0066522E" w:rsidRDefault="0066522E" w:rsidP="0066522E">
      <w:pPr>
        <w:pStyle w:val="a3"/>
        <w:rPr>
          <w:sz w:val="24"/>
          <w:szCs w:val="24"/>
          <w:lang w:val="sl-SI"/>
        </w:rPr>
      </w:pPr>
    </w:p>
    <w:p w14:paraId="018FD2A0" w14:textId="77777777" w:rsidR="0066522E" w:rsidRDefault="0066522E" w:rsidP="0066522E">
      <w:pPr>
        <w:pStyle w:val="a3"/>
        <w:rPr>
          <w:lang w:val="sl-SI"/>
        </w:rPr>
      </w:pPr>
      <w:r>
        <w:rPr>
          <w:rFonts w:eastAsia="Times New Roman"/>
          <w:lang w:val="sl-SI"/>
        </w:rPr>
        <w:t>V kontroliranih preskušanjih faze 3 z adalimumabom pri bolnikih z revmatoidnim artritisom in psoriatičnim artritisom s trajanjem kontrolnega obdobja od 4 do 104 tedne, se je zvišanje ALT ≥ 3 x ULN (Upper Limits of Normal – zgornja meja normalne vrednosti) pojavilo pri 3,7 % bolnikov, zdravljenih z adalimumabom, in pri 1,6 % bolnikov v kontrolni skupini.</w:t>
      </w:r>
    </w:p>
    <w:p w14:paraId="05900731" w14:textId="77777777" w:rsidR="0066522E" w:rsidRDefault="0066522E" w:rsidP="0066522E">
      <w:pPr>
        <w:pStyle w:val="a3"/>
        <w:rPr>
          <w:sz w:val="24"/>
          <w:szCs w:val="24"/>
          <w:lang w:val="sl-SI"/>
        </w:rPr>
      </w:pPr>
    </w:p>
    <w:p w14:paraId="017085B9" w14:textId="77777777" w:rsidR="0066522E" w:rsidRDefault="0066522E" w:rsidP="0066522E">
      <w:pPr>
        <w:pStyle w:val="a3"/>
        <w:rPr>
          <w:lang w:val="sl-SI"/>
        </w:rPr>
      </w:pPr>
      <w:r>
        <w:rPr>
          <w:rFonts w:eastAsia="Times New Roman"/>
          <w:lang w:val="sl-SI"/>
        </w:rPr>
        <w:t>V kontroliranih preskušanjih faze 3 z adalimumabom pri bolnikih s poliartikularnim juvenilnim idiopatskim artritisom, ki so bili stari od 4 do 17 let, in bolnikih z artritisom, povezanim z entezitisom, ki so bili stari od 6 do 17 let, se je zvišanje ALT ≥ 3 x ULN pojavilo pri 6,1 % bolnikov zdravljenih z adalimumabom, in pri 1,3 % bolnikov v kontrolni skupini. Večina zvišanj ALT se je pojavila pri sočasni uporabi metotreksata. Zvišanja ALT ≥ 3 x ULN se niso pojavila v preskušanju 3. faze z adalimumabom pri bolnikih s poliartikularnim juvenilnim idiopatskim artritisom, ki so bili stari od 2 do &lt; 4 let.</w:t>
      </w:r>
    </w:p>
    <w:p w14:paraId="54C6BB8B" w14:textId="77777777" w:rsidR="0066522E" w:rsidRDefault="0066522E" w:rsidP="0066522E">
      <w:pPr>
        <w:pStyle w:val="a3"/>
        <w:rPr>
          <w:sz w:val="24"/>
          <w:szCs w:val="24"/>
          <w:lang w:val="sl-SI"/>
        </w:rPr>
      </w:pPr>
    </w:p>
    <w:p w14:paraId="671599F0" w14:textId="77777777" w:rsidR="0066522E" w:rsidRDefault="0066522E" w:rsidP="0066522E">
      <w:pPr>
        <w:pStyle w:val="a3"/>
        <w:rPr>
          <w:lang w:val="sl-SI"/>
        </w:rPr>
      </w:pPr>
      <w:r>
        <w:rPr>
          <w:rFonts w:eastAsia="Times New Roman"/>
          <w:lang w:val="sl-SI"/>
        </w:rPr>
        <w:t>V kontroliranih preskušanjih faze 3 z adalimumabom pri bolnikih s Crohnovo boleznijo in ulceroznim kolitisom s kontrolnim obdobjem od 4 do 52 tednov, se je zvišanje ALT ≥ 3 x ULN pojavilo pri 0,9 % bolnikov, zdravljenih z adalimumabom, in pri 0,9 % bolnikov v kontrolni skupini.</w:t>
      </w:r>
    </w:p>
    <w:p w14:paraId="42BF893E" w14:textId="77777777" w:rsidR="0066522E" w:rsidRDefault="0066522E" w:rsidP="0066522E">
      <w:pPr>
        <w:spacing w:before="11" w:line="240" w:lineRule="exact"/>
        <w:rPr>
          <w:sz w:val="24"/>
          <w:szCs w:val="24"/>
          <w:lang w:val="sl-SI"/>
        </w:rPr>
      </w:pPr>
    </w:p>
    <w:p w14:paraId="4900EF6E" w14:textId="77777777" w:rsidR="0066522E" w:rsidRDefault="0066522E" w:rsidP="0066522E">
      <w:pPr>
        <w:pStyle w:val="a3"/>
        <w:rPr>
          <w:lang w:val="sl-SI"/>
        </w:rPr>
      </w:pPr>
      <w:r>
        <w:rPr>
          <w:rFonts w:eastAsia="Times New Roman"/>
          <w:lang w:val="sl-SI"/>
        </w:rPr>
        <w:t>V preskušanju 3. faze z adalimumabom pri bolnikih s pediatrično Crohnovo boleznijo, kjer so ocenjevali učinkovitost in varnost dveh telesni masi prilagojenih vzdrževalnih režimov odmerjanja, ki sta sledila telesni masi prilagojenemu začetnemu zdravljenju do 52 tednov zdravljenja, so se pojavila zvišanja ALT ≥ 3 x ULN pri 2,6 % (5/192) bolnikov, od katerih so 4 sočasno prejemali imunosupresive ob začetku preskušanja.</w:t>
      </w:r>
    </w:p>
    <w:p w14:paraId="43EE3BFB" w14:textId="77777777" w:rsidR="0066522E" w:rsidRDefault="0066522E" w:rsidP="0066522E">
      <w:pPr>
        <w:spacing w:before="13" w:line="240" w:lineRule="exact"/>
        <w:rPr>
          <w:sz w:val="24"/>
          <w:szCs w:val="24"/>
          <w:lang w:val="sl-SI"/>
        </w:rPr>
      </w:pPr>
    </w:p>
    <w:p w14:paraId="257FF10A" w14:textId="77777777" w:rsidR="0066522E" w:rsidRDefault="0066522E" w:rsidP="0066522E">
      <w:pPr>
        <w:pStyle w:val="a3"/>
        <w:rPr>
          <w:lang w:val="sl-SI"/>
        </w:rPr>
      </w:pPr>
      <w:r>
        <w:rPr>
          <w:rFonts w:eastAsia="Times New Roman"/>
          <w:lang w:val="sl-SI"/>
        </w:rPr>
        <w:t>V nadzorovanih preskušanjih z adalimumabom 3. faze pri bolnikih s psoriazo v plakih, ki so imeli kontrolno obdobje od 12 do 24 tednov, so se povišanja ALT ≥ 3 x ULN pojavila pri 1,8 % bolnikov, zdravljenih z adalimumabom, in pri 1,8 % bolnikov v kontrolni skupini.</w:t>
      </w:r>
    </w:p>
    <w:p w14:paraId="384ED2D7" w14:textId="77777777" w:rsidR="0066522E" w:rsidRDefault="0066522E" w:rsidP="0066522E">
      <w:pPr>
        <w:spacing w:before="17" w:line="240" w:lineRule="exact"/>
        <w:rPr>
          <w:sz w:val="24"/>
          <w:szCs w:val="24"/>
          <w:lang w:val="sl-SI"/>
        </w:rPr>
      </w:pPr>
    </w:p>
    <w:p w14:paraId="42FB6383" w14:textId="77777777" w:rsidR="0066522E" w:rsidRDefault="0066522E" w:rsidP="0066522E">
      <w:pPr>
        <w:pStyle w:val="a3"/>
        <w:rPr>
          <w:lang w:val="sl-SI"/>
        </w:rPr>
      </w:pPr>
      <w:r>
        <w:rPr>
          <w:rFonts w:eastAsia="Times New Roman"/>
          <w:lang w:val="sl-SI"/>
        </w:rPr>
        <w:t>V preskušanju 3. faze z adalimumabom pri pediatričnih bolnikih s psoriazo s plaki ni bilo nobenih zvišanj ALT ≥ 3 X ULN.</w:t>
      </w:r>
    </w:p>
    <w:p w14:paraId="41257786" w14:textId="77777777" w:rsidR="0066522E" w:rsidRDefault="0066522E" w:rsidP="0066522E">
      <w:pPr>
        <w:spacing w:before="11" w:line="240" w:lineRule="exact"/>
        <w:rPr>
          <w:sz w:val="24"/>
          <w:szCs w:val="24"/>
          <w:lang w:val="sl-SI"/>
        </w:rPr>
      </w:pPr>
    </w:p>
    <w:p w14:paraId="363DB58A" w14:textId="77777777" w:rsidR="0066522E" w:rsidRPr="00982DE1" w:rsidRDefault="0066522E" w:rsidP="0066522E">
      <w:pPr>
        <w:pStyle w:val="a3"/>
        <w:rPr>
          <w:rFonts w:eastAsia="Times New Roman"/>
          <w:lang w:val="sl-SI"/>
        </w:rPr>
      </w:pPr>
      <w:r>
        <w:rPr>
          <w:rFonts w:eastAsia="Times New Roman"/>
          <w:lang w:val="sl-SI"/>
        </w:rPr>
        <w:t xml:space="preserve">V kontroliranih preskušanjih z adalimumabom (začetni odmerek 80 mg v 0. tednu, ki mu sledi odmerek 40 mg vsak drugi teden z začetkom v 1. tednu) pri odraslih bolnikih z uveitisom, ki so trajala do 80 tednov, z mediano izpostavljenosti 166,5 dneva pri bolnikih zdravljenih z adalimumabom in 105,0 dneva pri bolnikih v kontrolni skupini, se je zvišanje ALT ≥ 3 x ULN pojavilo pri 2,4 % bolnikov, </w:t>
      </w:r>
      <w:r w:rsidRPr="00982DE1">
        <w:rPr>
          <w:rFonts w:eastAsia="Times New Roman"/>
          <w:lang w:val="sl-SI"/>
        </w:rPr>
        <w:t>zdravljenih z adalimumabom, in pri 2,4 % bolnikov v kontrolni skupini.</w:t>
      </w:r>
    </w:p>
    <w:p w14:paraId="786A3197" w14:textId="77777777" w:rsidR="0066522E" w:rsidRPr="00982DE1" w:rsidRDefault="0066522E" w:rsidP="0066522E">
      <w:pPr>
        <w:pStyle w:val="a3"/>
        <w:rPr>
          <w:lang w:val="sl-SI"/>
        </w:rPr>
      </w:pPr>
    </w:p>
    <w:p w14:paraId="058230F2" w14:textId="77777777" w:rsidR="0066522E" w:rsidRDefault="0066522E" w:rsidP="0066522E">
      <w:pPr>
        <w:pStyle w:val="a3"/>
        <w:rPr>
          <w:lang w:val="sl-SI"/>
        </w:rPr>
      </w:pPr>
      <w:r>
        <w:rPr>
          <w:rFonts w:eastAsia="Times New Roman"/>
          <w:lang w:val="sl-SI"/>
        </w:rPr>
        <w:t>Pri vseh indikacijah v kliničnih preskušanjih so bili bolniki z zvišano ALT asimptomatski in v večini primerov so bila zvišanja prehodna ter so izzvenela med nadaljnjim zdravljenjem. Vendar pa so v obdobju trženja poročali tudi o jetrni odpovedi in o manj hudih jetrnih boleznih, ki lahko pri bolnikih, ki prejemajo adalimumab, vodijo v jetrno odpoved, kot je hepatitis, vključno z avtoimunskim hepatitisom.</w:t>
      </w:r>
    </w:p>
    <w:p w14:paraId="6E9C69A3" w14:textId="77777777" w:rsidR="0066522E" w:rsidRDefault="0066522E" w:rsidP="0066522E">
      <w:pPr>
        <w:pStyle w:val="a3"/>
        <w:rPr>
          <w:u w:color="000000"/>
          <w:lang w:val="sl-SI"/>
        </w:rPr>
      </w:pPr>
    </w:p>
    <w:p w14:paraId="018D7520" w14:textId="77777777" w:rsidR="0066522E" w:rsidRDefault="0066522E" w:rsidP="0066522E">
      <w:pPr>
        <w:pStyle w:val="a3"/>
        <w:rPr>
          <w:u w:val="single"/>
          <w:lang w:val="sl-SI"/>
        </w:rPr>
      </w:pPr>
      <w:r>
        <w:rPr>
          <w:rFonts w:eastAsia="Times New Roman"/>
          <w:u w:val="single" w:color="000000"/>
          <w:lang w:val="sl-SI"/>
        </w:rPr>
        <w:t>Sočasna uporaba azatioprina/6-merkaptopurina</w:t>
      </w:r>
    </w:p>
    <w:p w14:paraId="2AD2F71C" w14:textId="77777777" w:rsidR="0066522E" w:rsidRDefault="0066522E" w:rsidP="0066522E">
      <w:pPr>
        <w:spacing w:before="1" w:line="180" w:lineRule="exact"/>
        <w:rPr>
          <w:sz w:val="18"/>
          <w:szCs w:val="18"/>
          <w:lang w:val="sl-SI"/>
        </w:rPr>
      </w:pPr>
    </w:p>
    <w:p w14:paraId="7A5EC6A2" w14:textId="77777777" w:rsidR="0066522E" w:rsidRDefault="0066522E" w:rsidP="0066522E">
      <w:pPr>
        <w:pStyle w:val="a3"/>
        <w:rPr>
          <w:lang w:val="sl-SI"/>
        </w:rPr>
      </w:pPr>
      <w:r>
        <w:rPr>
          <w:rFonts w:eastAsia="Times New Roman"/>
          <w:lang w:val="sl-SI"/>
        </w:rPr>
        <w:t xml:space="preserve">V študijah Crohnove bolezni pri odraslih so pri kombinaciji adalimumaba in azatioprina/6-merkaptopurina </w:t>
      </w:r>
      <w:r>
        <w:rPr>
          <w:rFonts w:eastAsia="Times New Roman"/>
          <w:lang w:val="sl-SI"/>
        </w:rPr>
        <w:lastRenderedPageBreak/>
        <w:t>opazili večjo incidenco malignih bolezni in resnih neželenih dogodkov, povezanih z okužbo, kot pri uporabi samo adalimumaba.</w:t>
      </w:r>
    </w:p>
    <w:p w14:paraId="20F73BE9" w14:textId="77777777" w:rsidR="0066522E" w:rsidRDefault="0066522E" w:rsidP="0066522E">
      <w:pPr>
        <w:spacing w:before="13" w:line="240" w:lineRule="exact"/>
        <w:rPr>
          <w:sz w:val="24"/>
          <w:szCs w:val="24"/>
          <w:lang w:val="sl-SI"/>
        </w:rPr>
      </w:pPr>
    </w:p>
    <w:p w14:paraId="47C23009" w14:textId="77777777" w:rsidR="0066522E" w:rsidRDefault="0066522E" w:rsidP="0066522E">
      <w:pPr>
        <w:pStyle w:val="a3"/>
        <w:rPr>
          <w:u w:val="single"/>
          <w:lang w:val="sl-SI"/>
        </w:rPr>
      </w:pPr>
      <w:r>
        <w:rPr>
          <w:rFonts w:eastAsia="Times New Roman"/>
          <w:u w:val="single" w:color="000000"/>
          <w:lang w:val="sl-SI"/>
        </w:rPr>
        <w:t>Poročanje o domnevnih neželenih učinkih</w:t>
      </w:r>
    </w:p>
    <w:p w14:paraId="7FB9B3AA" w14:textId="77777777" w:rsidR="0066522E" w:rsidRDefault="0066522E" w:rsidP="0066522E">
      <w:pPr>
        <w:spacing w:before="9" w:line="170" w:lineRule="exact"/>
        <w:rPr>
          <w:sz w:val="17"/>
          <w:szCs w:val="17"/>
          <w:lang w:val="sl-SI"/>
        </w:rPr>
      </w:pPr>
    </w:p>
    <w:p w14:paraId="122E7E44" w14:textId="77777777" w:rsidR="0066522E" w:rsidRDefault="0066522E" w:rsidP="0066522E">
      <w:pPr>
        <w:pStyle w:val="a3"/>
        <w:rPr>
          <w:lang w:val="sl-SI"/>
        </w:rPr>
      </w:pPr>
      <w:r>
        <w:rPr>
          <w:rFonts w:eastAsia="Times New Roman"/>
          <w:lang w:val="sl-SI"/>
        </w:rPr>
        <w:t xml:space="preserve">Poročanje o domnevnih neželenih učinkih zdravila po izdaji dovoljenja za promet je pomembno. Omogoča namreč stalno spremljanje razmerja med koristmi in tveganji zdravila. Od zdravstvenih delavcev se zahteva, da poročajo o katerem koli domnevnem neželenem učinku zdravila na </w:t>
      </w:r>
      <w:r w:rsidRPr="008E1817">
        <w:rPr>
          <w:rFonts w:eastAsia="Times New Roman"/>
          <w:highlight w:val="lightGray"/>
          <w:lang w:val="sl-SI"/>
        </w:rPr>
        <w:t xml:space="preserve">nacionalni center za poročanje, ki je naveden v </w:t>
      </w:r>
      <w:hyperlink r:id="rId26" w:history="1">
        <w:r w:rsidRPr="008E1817">
          <w:rPr>
            <w:rFonts w:eastAsia="Times New Roman"/>
            <w:color w:val="0000FF"/>
            <w:highlight w:val="lightGray"/>
            <w:u w:val="single"/>
            <w:lang w:val="sl-SI"/>
          </w:rPr>
          <w:t>Prilogi V</w:t>
        </w:r>
        <w:r w:rsidRPr="008E1817">
          <w:rPr>
            <w:rFonts w:eastAsia="Times New Roman"/>
            <w:color w:val="000000"/>
            <w:highlight w:val="lightGray"/>
            <w:lang w:val="sl-SI"/>
          </w:rPr>
          <w:t>.</w:t>
        </w:r>
      </w:hyperlink>
    </w:p>
    <w:p w14:paraId="1CAEB3C6" w14:textId="77777777" w:rsidR="0066522E" w:rsidRDefault="0066522E" w:rsidP="0066522E">
      <w:pPr>
        <w:spacing w:before="6" w:line="180" w:lineRule="exact"/>
        <w:rPr>
          <w:sz w:val="18"/>
          <w:szCs w:val="18"/>
          <w:lang w:val="sl-SI"/>
        </w:rPr>
      </w:pPr>
    </w:p>
    <w:p w14:paraId="753367D3" w14:textId="77777777" w:rsidR="0066522E" w:rsidRDefault="0066522E" w:rsidP="007811C6">
      <w:pPr>
        <w:widowControl/>
        <w:numPr>
          <w:ilvl w:val="1"/>
          <w:numId w:val="146"/>
        </w:numPr>
        <w:tabs>
          <w:tab w:val="left" w:pos="567"/>
        </w:tabs>
        <w:spacing w:line="260" w:lineRule="exact"/>
        <w:ind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Preveliko odmerjanje</w:t>
      </w:r>
    </w:p>
    <w:p w14:paraId="502312FF" w14:textId="77777777" w:rsidR="0066522E" w:rsidRDefault="0066522E" w:rsidP="0066522E">
      <w:pPr>
        <w:spacing w:before="12" w:line="240" w:lineRule="exact"/>
        <w:rPr>
          <w:sz w:val="24"/>
          <w:szCs w:val="24"/>
          <w:lang w:val="sl-SI"/>
        </w:rPr>
      </w:pPr>
    </w:p>
    <w:p w14:paraId="6C9C9886" w14:textId="77777777" w:rsidR="0066522E" w:rsidRDefault="0066522E" w:rsidP="0066522E">
      <w:pPr>
        <w:pStyle w:val="a3"/>
        <w:rPr>
          <w:lang w:val="sl-SI"/>
        </w:rPr>
      </w:pPr>
      <w:r>
        <w:rPr>
          <w:rFonts w:eastAsia="Times New Roman"/>
          <w:lang w:val="sl-SI"/>
        </w:rPr>
        <w:t>Med kliničnimi preskušanji niso opazili toksičnih učinkov, ki bi omejevali odmerek. Največji ocenjeni odmerek je obsegal več intravenskih odmerkov po 10 mg/kg, kar je približno 15-kratni priporočeni odmerek.</w:t>
      </w:r>
    </w:p>
    <w:p w14:paraId="4E944F5B" w14:textId="77777777" w:rsidR="0066522E" w:rsidRDefault="0066522E" w:rsidP="0066522E">
      <w:pPr>
        <w:spacing w:line="200" w:lineRule="exact"/>
        <w:rPr>
          <w:sz w:val="20"/>
          <w:szCs w:val="20"/>
          <w:lang w:val="sl-SI"/>
        </w:rPr>
      </w:pPr>
    </w:p>
    <w:p w14:paraId="2AB52782" w14:textId="77777777" w:rsidR="0066522E" w:rsidRDefault="0066522E" w:rsidP="0066522E">
      <w:pPr>
        <w:widowControl/>
        <w:tabs>
          <w:tab w:val="left" w:pos="567"/>
        </w:tabs>
        <w:spacing w:line="260" w:lineRule="exact"/>
        <w:rPr>
          <w:rFonts w:ascii="Times New Roman" w:eastAsia="Times New Roman" w:hAnsi="Times New Roman" w:cs="Times New Roman"/>
          <w:b/>
          <w:noProof/>
          <w:lang w:val="sl-SI"/>
        </w:rPr>
      </w:pPr>
    </w:p>
    <w:p w14:paraId="02B96AB7" w14:textId="77777777" w:rsidR="0066522E" w:rsidRDefault="0066522E" w:rsidP="007811C6">
      <w:pPr>
        <w:widowControl/>
        <w:numPr>
          <w:ilvl w:val="0"/>
          <w:numId w:val="145"/>
        </w:numPr>
        <w:tabs>
          <w:tab w:val="left" w:pos="567"/>
        </w:tabs>
        <w:spacing w:line="260" w:lineRule="exact"/>
        <w:ind w:left="0"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FARMAKOLOŠKE LASTNOSTI</w:t>
      </w:r>
    </w:p>
    <w:p w14:paraId="1E3FA2B5" w14:textId="77777777" w:rsidR="0066522E" w:rsidRDefault="0066522E" w:rsidP="0066522E">
      <w:pPr>
        <w:spacing w:before="11" w:line="240" w:lineRule="exact"/>
        <w:rPr>
          <w:sz w:val="24"/>
          <w:szCs w:val="24"/>
          <w:lang w:val="sl-SI"/>
        </w:rPr>
      </w:pPr>
    </w:p>
    <w:p w14:paraId="0A51C463" w14:textId="77777777" w:rsidR="0066522E" w:rsidRDefault="0066522E" w:rsidP="007811C6">
      <w:pPr>
        <w:widowControl/>
        <w:numPr>
          <w:ilvl w:val="1"/>
          <w:numId w:val="147"/>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Farmakodinamične lastnosti</w:t>
      </w:r>
    </w:p>
    <w:p w14:paraId="7DE7D125" w14:textId="77777777" w:rsidR="0066522E" w:rsidRDefault="0066522E" w:rsidP="0066522E">
      <w:pPr>
        <w:spacing w:before="9" w:line="240" w:lineRule="exact"/>
        <w:rPr>
          <w:sz w:val="24"/>
          <w:szCs w:val="24"/>
          <w:lang w:val="sl-SI"/>
        </w:rPr>
      </w:pPr>
    </w:p>
    <w:p w14:paraId="414F67B6" w14:textId="77777777" w:rsidR="0066522E" w:rsidRDefault="0066522E" w:rsidP="0066522E">
      <w:pPr>
        <w:pStyle w:val="a3"/>
        <w:rPr>
          <w:lang w:val="sl-SI"/>
        </w:rPr>
      </w:pPr>
      <w:r>
        <w:rPr>
          <w:rFonts w:eastAsia="Times New Roman"/>
          <w:lang w:val="sl-SI"/>
        </w:rPr>
        <w:t>Farmakoterapevtska skupina: Zdravila za zaviranje imunske odzivnosti, zaviralci tumorje-nekrotizirajočega faktorja alfa (TNF-α).Oznaka ATC: L04AB04</w:t>
      </w:r>
    </w:p>
    <w:p w14:paraId="1E4A80EB" w14:textId="77777777" w:rsidR="0066522E" w:rsidRDefault="0066522E" w:rsidP="0066522E">
      <w:pPr>
        <w:pStyle w:val="a3"/>
        <w:rPr>
          <w:lang w:val="sl-SI"/>
        </w:rPr>
      </w:pPr>
    </w:p>
    <w:p w14:paraId="2B407C02" w14:textId="77777777" w:rsidR="0066522E" w:rsidRDefault="0066522E" w:rsidP="0066522E">
      <w:pPr>
        <w:pStyle w:val="a3"/>
        <w:rPr>
          <w:lang w:val="sl-SI"/>
        </w:rPr>
      </w:pPr>
      <w:r>
        <w:rPr>
          <w:rFonts w:eastAsia="Times New Roman"/>
          <w:lang w:val="sl-SI"/>
        </w:rPr>
        <w:t xml:space="preserve">Zdravilo Yuflyma je podobno biološko zdravilo. Podrobne informacije so objavljene na spletni strani Evropske agencije za zdravila </w:t>
      </w:r>
      <w:hyperlink r:id="rId27" w:history="1">
        <w:r w:rsidRPr="008E1817">
          <w:rPr>
            <w:rStyle w:val="ad"/>
            <w:rFonts w:eastAsia="Times New Roman"/>
            <w:lang w:val="sl-SI"/>
          </w:rPr>
          <w:t>http://www.ema.europa.eu</w:t>
        </w:r>
      </w:hyperlink>
      <w:r>
        <w:rPr>
          <w:rFonts w:eastAsia="Times New Roman"/>
          <w:color w:val="0000FF"/>
          <w:u w:val="single"/>
          <w:lang w:val="sl-SI"/>
        </w:rPr>
        <w:t>.</w:t>
      </w:r>
    </w:p>
    <w:p w14:paraId="63E21AE3" w14:textId="77777777" w:rsidR="0066522E" w:rsidRDefault="0066522E" w:rsidP="0066522E">
      <w:pPr>
        <w:spacing w:before="10" w:line="240" w:lineRule="exact"/>
        <w:rPr>
          <w:sz w:val="24"/>
          <w:szCs w:val="24"/>
          <w:lang w:val="sl-SI"/>
        </w:rPr>
      </w:pPr>
    </w:p>
    <w:p w14:paraId="742E5F36" w14:textId="77777777" w:rsidR="0066522E" w:rsidRDefault="0066522E" w:rsidP="0066522E">
      <w:pPr>
        <w:pStyle w:val="a3"/>
        <w:rPr>
          <w:u w:val="single"/>
          <w:lang w:val="sl-SI"/>
        </w:rPr>
      </w:pPr>
      <w:r>
        <w:rPr>
          <w:rFonts w:eastAsia="Times New Roman"/>
          <w:u w:val="single" w:color="000000"/>
          <w:lang w:val="sl-SI"/>
        </w:rPr>
        <w:t>Mehanizem delovanja</w:t>
      </w:r>
    </w:p>
    <w:p w14:paraId="32079846" w14:textId="77777777" w:rsidR="0066522E" w:rsidRDefault="0066522E" w:rsidP="0066522E">
      <w:pPr>
        <w:spacing w:before="1" w:line="180" w:lineRule="exact"/>
        <w:rPr>
          <w:sz w:val="18"/>
          <w:szCs w:val="18"/>
          <w:lang w:val="sl-SI"/>
        </w:rPr>
      </w:pPr>
    </w:p>
    <w:p w14:paraId="6869806E" w14:textId="77777777" w:rsidR="0066522E" w:rsidRDefault="0066522E" w:rsidP="0066522E">
      <w:pPr>
        <w:pStyle w:val="a3"/>
        <w:rPr>
          <w:lang w:val="sl-SI"/>
        </w:rPr>
      </w:pPr>
      <w:r>
        <w:rPr>
          <w:rFonts w:eastAsia="Times New Roman"/>
          <w:lang w:val="sl-SI"/>
        </w:rPr>
        <w:t>Adalimumab se specifično veže na TNF in nevtralizira njegovo biološko delovanje, tako da blokira njegovo interakcijo z receptorji p55 in p75 za TNF na površini celic.</w:t>
      </w:r>
    </w:p>
    <w:p w14:paraId="3270F559" w14:textId="77777777" w:rsidR="0066522E" w:rsidRDefault="0066522E" w:rsidP="0066522E">
      <w:pPr>
        <w:spacing w:before="10" w:line="240" w:lineRule="exact"/>
        <w:rPr>
          <w:sz w:val="24"/>
          <w:szCs w:val="24"/>
          <w:lang w:val="sl-SI"/>
        </w:rPr>
      </w:pPr>
    </w:p>
    <w:p w14:paraId="328114B3" w14:textId="77777777" w:rsidR="0066522E" w:rsidRDefault="0066522E" w:rsidP="0066522E">
      <w:pPr>
        <w:pStyle w:val="a3"/>
        <w:rPr>
          <w:lang w:val="sl-SI"/>
        </w:rPr>
      </w:pPr>
      <w:r>
        <w:rPr>
          <w:rFonts w:eastAsia="Times New Roman"/>
          <w:lang w:val="sl-SI"/>
        </w:rPr>
        <w:t>Adalimumab prav tako modulira biološke odzive, ki jih sproži ali uravnava TNF, vključno s spremembami koncentracije adhezijskih molekul, odgovornih za migracijo levkocitov (ELAM-1, VCAM-1 in ICAM-1 z IK</w:t>
      </w:r>
      <w:r>
        <w:rPr>
          <w:rFonts w:eastAsia="Times New Roman"/>
          <w:sz w:val="14"/>
          <w:szCs w:val="14"/>
          <w:lang w:val="sl-SI"/>
        </w:rPr>
        <w:t>50</w:t>
      </w:r>
      <w:r>
        <w:rPr>
          <w:rFonts w:eastAsia="Times New Roman"/>
          <w:lang w:val="sl-SI"/>
        </w:rPr>
        <w:t xml:space="preserve"> 0,1–0,2 nM).</w:t>
      </w:r>
    </w:p>
    <w:p w14:paraId="1D03E7CD" w14:textId="77777777" w:rsidR="0066522E" w:rsidRDefault="0066522E" w:rsidP="0066522E">
      <w:pPr>
        <w:spacing w:before="12" w:line="240" w:lineRule="exact"/>
        <w:rPr>
          <w:sz w:val="24"/>
          <w:szCs w:val="24"/>
          <w:lang w:val="sl-SI"/>
        </w:rPr>
      </w:pPr>
    </w:p>
    <w:p w14:paraId="39E075F8" w14:textId="77777777" w:rsidR="0066522E" w:rsidRDefault="0066522E" w:rsidP="0066522E">
      <w:pPr>
        <w:pStyle w:val="a3"/>
        <w:rPr>
          <w:u w:val="single"/>
          <w:lang w:val="sl-SI"/>
        </w:rPr>
      </w:pPr>
      <w:r>
        <w:rPr>
          <w:rFonts w:eastAsia="Times New Roman"/>
          <w:u w:val="single" w:color="000000"/>
          <w:lang w:val="sl-SI"/>
        </w:rPr>
        <w:t>Farmakodinamični učinki</w:t>
      </w:r>
    </w:p>
    <w:p w14:paraId="731A8468" w14:textId="77777777" w:rsidR="0066522E" w:rsidRDefault="0066522E" w:rsidP="0066522E">
      <w:pPr>
        <w:spacing w:before="1" w:line="180" w:lineRule="exact"/>
        <w:rPr>
          <w:sz w:val="18"/>
          <w:szCs w:val="18"/>
          <w:lang w:val="sl-SI"/>
        </w:rPr>
      </w:pPr>
    </w:p>
    <w:p w14:paraId="5B567766" w14:textId="77777777" w:rsidR="0066522E" w:rsidRDefault="0066522E" w:rsidP="0066522E">
      <w:pPr>
        <w:pStyle w:val="a3"/>
        <w:rPr>
          <w:lang w:val="sl-SI"/>
        </w:rPr>
      </w:pPr>
      <w:r>
        <w:rPr>
          <w:rFonts w:eastAsia="Times New Roman"/>
          <w:lang w:val="sl-SI"/>
        </w:rPr>
        <w:t>Po zdravljenju z adalimumabom so pri bolnikih z revmatoidnim artritisom opažali hitro znižanje reaktantov akutne faze vnetja</w:t>
      </w:r>
    </w:p>
    <w:p w14:paraId="1F2F7A5E" w14:textId="77777777" w:rsidR="0066522E" w:rsidRDefault="0066522E" w:rsidP="0066522E">
      <w:pPr>
        <w:pStyle w:val="a3"/>
        <w:rPr>
          <w:lang w:val="sl-SI"/>
        </w:rPr>
      </w:pPr>
      <w:r>
        <w:rPr>
          <w:rFonts w:eastAsia="Times New Roman"/>
          <w:lang w:val="sl-SI"/>
        </w:rPr>
        <w:t>(C-reaktivnega proteina (CRP) in hitrosti sedimentacije eritrocitov (ESR)) ter serumskih citokinov (IL-6) v primerjavi z izhodiščem. Po uporabi adalimumaba se je zmanjšala tudi raven matriksnih metaloproteinaz v serumu (MMP-1 in MMP-3), ki povzročajo remodeliranje tkiva, odgovorno za uničenje hrustanca. Pri bolnikih, zdravljenih z adalimumabom, so se hematološki znaki kroničnega vnetja običajno izboljšali.</w:t>
      </w:r>
    </w:p>
    <w:p w14:paraId="7B763AB7" w14:textId="77777777" w:rsidR="0066522E" w:rsidRDefault="0066522E" w:rsidP="0066522E">
      <w:pPr>
        <w:spacing w:before="10" w:line="240" w:lineRule="exact"/>
        <w:rPr>
          <w:sz w:val="24"/>
          <w:szCs w:val="24"/>
          <w:lang w:val="sl-SI"/>
        </w:rPr>
      </w:pPr>
    </w:p>
    <w:p w14:paraId="01B78521" w14:textId="77777777" w:rsidR="0066522E" w:rsidRDefault="0066522E" w:rsidP="0066522E">
      <w:pPr>
        <w:pStyle w:val="a3"/>
        <w:rPr>
          <w:lang w:val="sl-SI"/>
        </w:rPr>
      </w:pPr>
      <w:r>
        <w:rPr>
          <w:rFonts w:eastAsia="Times New Roman"/>
          <w:lang w:val="sl-SI"/>
        </w:rPr>
        <w:t>Pri bolnikih s poliartikularnim juvenilnim idiopatskim artritisom, Crohnovo boleznijo, ulceroznim kolitisom in hidradenitis suppurativa so opazili naglo znižanje koncentracij CRP po zdravljenju z adalimumabom. Pri bolnikih s Crohnovo boleznijo so opazili zmanjšanje števila celic, ki izražajo vnetne označevalce v kolonu, vključno z bistvenim zmanjšanjem izražanja TNFα. Endoskopske študije na črevesni sluznici so pokazale znake celjenja sluznice pri bolnikih, zdravljenih z adalimumabom.</w:t>
      </w:r>
    </w:p>
    <w:p w14:paraId="787B0632" w14:textId="77777777" w:rsidR="0066522E" w:rsidRDefault="0066522E" w:rsidP="0066522E">
      <w:pPr>
        <w:pStyle w:val="a3"/>
        <w:rPr>
          <w:u w:val="single" w:color="000000"/>
          <w:lang w:val="sl-SI"/>
        </w:rPr>
      </w:pPr>
    </w:p>
    <w:p w14:paraId="22A9A9C0" w14:textId="77777777" w:rsidR="0066522E" w:rsidRDefault="0066522E" w:rsidP="0066522E">
      <w:pPr>
        <w:pStyle w:val="a3"/>
        <w:rPr>
          <w:u w:val="single"/>
          <w:lang w:val="sl-SI"/>
        </w:rPr>
      </w:pPr>
      <w:r>
        <w:rPr>
          <w:rFonts w:eastAsia="Times New Roman"/>
          <w:u w:val="single" w:color="000000"/>
          <w:lang w:val="sl-SI"/>
        </w:rPr>
        <w:t>Klinična učinkovitost in varnost</w:t>
      </w:r>
    </w:p>
    <w:p w14:paraId="61E1DF6C" w14:textId="77777777" w:rsidR="0066522E" w:rsidRDefault="0066522E" w:rsidP="0066522E">
      <w:pPr>
        <w:spacing w:line="180" w:lineRule="exact"/>
        <w:rPr>
          <w:sz w:val="18"/>
          <w:szCs w:val="18"/>
          <w:lang w:val="sl-SI"/>
        </w:rPr>
      </w:pPr>
    </w:p>
    <w:p w14:paraId="314526AD" w14:textId="29DB7130" w:rsidR="0066522E" w:rsidRPr="007811C6" w:rsidRDefault="00641902" w:rsidP="0066522E">
      <w:pPr>
        <w:pStyle w:val="a3"/>
        <w:rPr>
          <w:rFonts w:eastAsia="Times New Roman"/>
          <w:i/>
          <w:iCs/>
          <w:lang w:val="sl-SI"/>
        </w:rPr>
      </w:pPr>
      <w:r w:rsidRPr="007811C6">
        <w:rPr>
          <w:rFonts w:eastAsia="Times New Roman"/>
          <w:i/>
          <w:iCs/>
          <w:lang w:val="sl-SI"/>
        </w:rPr>
        <w:t>Revmatoidni artritis pri odraslih</w:t>
      </w:r>
    </w:p>
    <w:p w14:paraId="44E978AA" w14:textId="77777777" w:rsidR="0066522E" w:rsidRDefault="0066522E" w:rsidP="0066522E">
      <w:pPr>
        <w:pStyle w:val="a3"/>
        <w:rPr>
          <w:sz w:val="24"/>
          <w:szCs w:val="24"/>
          <w:lang w:val="sl-SI"/>
        </w:rPr>
      </w:pPr>
    </w:p>
    <w:p w14:paraId="4BC6E5FA" w14:textId="0D8A4D4E" w:rsidR="0066522E" w:rsidRDefault="0066522E" w:rsidP="0066522E">
      <w:pPr>
        <w:pStyle w:val="a3"/>
        <w:rPr>
          <w:lang w:val="sl-SI"/>
        </w:rPr>
      </w:pPr>
      <w:r>
        <w:rPr>
          <w:rFonts w:eastAsia="Times New Roman"/>
          <w:lang w:val="sl-SI"/>
        </w:rPr>
        <w:t xml:space="preserve">V vseh kliničnih preskušanjih revmatoidnega artritisa so adalimumab ocenili pri več kot 3000 bolnikih. Učinkovitost in varnost adalimumaba so ocenili v petih randomiziranih, dvojno slepih in dobro </w:t>
      </w:r>
      <w:r>
        <w:rPr>
          <w:rFonts w:eastAsia="Times New Roman"/>
          <w:lang w:val="sl-SI"/>
        </w:rPr>
        <w:lastRenderedPageBreak/>
        <w:t>nadzorovanih študijah. Nekatere bolnike so zdravili do 120 mesecev.</w:t>
      </w:r>
    </w:p>
    <w:p w14:paraId="287187F4" w14:textId="77777777" w:rsidR="0066522E" w:rsidRDefault="0066522E" w:rsidP="0066522E">
      <w:pPr>
        <w:spacing w:before="13" w:line="240" w:lineRule="exact"/>
        <w:rPr>
          <w:sz w:val="24"/>
          <w:szCs w:val="24"/>
          <w:lang w:val="sl-SI"/>
        </w:rPr>
      </w:pPr>
    </w:p>
    <w:p w14:paraId="1CDEDE62" w14:textId="131B3924" w:rsidR="0066522E" w:rsidRDefault="0066522E" w:rsidP="0066522E">
      <w:pPr>
        <w:pStyle w:val="a3"/>
        <w:rPr>
          <w:lang w:val="sl-SI"/>
        </w:rPr>
      </w:pPr>
      <w:r>
        <w:rPr>
          <w:rFonts w:eastAsia="Times New Roman"/>
          <w:lang w:val="sl-SI"/>
        </w:rPr>
        <w:t>V študiji revmatoidnega artritisa I je bilo ocenjeno 271 bolnikov z zmerno do hudo aktivnim revmatoidnim artritisom, starih</w:t>
      </w:r>
      <w:r w:rsidR="00641902">
        <w:rPr>
          <w:rFonts w:eastAsia="Times New Roman"/>
          <w:lang w:val="sl-SI"/>
        </w:rPr>
        <w:t xml:space="preserve">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 xml:space="preserve">18 let, pri katerih zdravljenje z vsaj enim imunomodulirajočim antirevmatičnim zdravilom ni bilo uspešno, pri katerih metotreksat v odmerkih od 12,5 do 25 mg (10 mg, če so bili intolerantni za metotreksat) vsak teden ni bil dovolj učinkovit in pri katerih je odmerek metotreksata od 10 do 25 mg ostal stalen vsak teden. Bolniki so 24 tednov vsak drugi teden dobivali odmerke 20, 40 ali </w:t>
      </w:r>
    </w:p>
    <w:p w14:paraId="2D061CEF" w14:textId="77777777" w:rsidR="0066522E" w:rsidRDefault="0066522E" w:rsidP="0066522E">
      <w:pPr>
        <w:pStyle w:val="a3"/>
        <w:rPr>
          <w:lang w:val="sl-SI"/>
        </w:rPr>
      </w:pPr>
      <w:r>
        <w:rPr>
          <w:rFonts w:eastAsia="Times New Roman"/>
          <w:lang w:val="sl-SI"/>
        </w:rPr>
        <w:t>80 mg adalimumaba ali placebo.</w:t>
      </w:r>
    </w:p>
    <w:p w14:paraId="5E90D3AA" w14:textId="77777777" w:rsidR="0066522E" w:rsidRDefault="0066522E" w:rsidP="0066522E">
      <w:pPr>
        <w:spacing w:before="13" w:line="240" w:lineRule="exact"/>
        <w:rPr>
          <w:sz w:val="24"/>
          <w:szCs w:val="24"/>
          <w:lang w:val="sl-SI"/>
        </w:rPr>
      </w:pPr>
    </w:p>
    <w:p w14:paraId="75150E9A" w14:textId="77777777" w:rsidR="0066522E" w:rsidRDefault="0066522E" w:rsidP="0066522E">
      <w:pPr>
        <w:pStyle w:val="a3"/>
        <w:rPr>
          <w:lang w:val="sl-SI"/>
        </w:rPr>
      </w:pPr>
      <w:r>
        <w:rPr>
          <w:rFonts w:eastAsia="Times New Roman"/>
          <w:lang w:val="sl-SI"/>
        </w:rPr>
        <w:t xml:space="preserve">V študiji revmatoidnega artritisa II je bilo ocenjenih 544 bolnikov z zmerno do hudo aktivnim revmatoidnim artritisom, starih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18 let, pri katerih zdravljenje z vsaj enim imunomodulirajočim antirevmatičnim zdravilom ni bilo uspešno. Bolniki so 26 tednov dobivali odmerka 20 ali 40 mg adalimumaba s subkutanim injiciranjem vsak drugi teden, s placebom vsak vmesni teden ali vsak teden; placebo so dobivali vsak teden enako dolgo. Uporaba drugih antirevmatskih imunomodulirajočih zdravil ni bila dovoljena.</w:t>
      </w:r>
    </w:p>
    <w:p w14:paraId="43DE0EB9" w14:textId="77777777" w:rsidR="0066522E" w:rsidRDefault="0066522E" w:rsidP="0066522E">
      <w:pPr>
        <w:spacing w:before="13" w:line="240" w:lineRule="exact"/>
        <w:rPr>
          <w:sz w:val="24"/>
          <w:szCs w:val="24"/>
          <w:lang w:val="sl-SI"/>
        </w:rPr>
      </w:pPr>
    </w:p>
    <w:p w14:paraId="38E7B4E3" w14:textId="77777777" w:rsidR="0066522E" w:rsidRDefault="0066522E" w:rsidP="0066522E">
      <w:pPr>
        <w:pStyle w:val="a3"/>
        <w:rPr>
          <w:lang w:val="sl-SI"/>
        </w:rPr>
      </w:pPr>
      <w:r>
        <w:rPr>
          <w:rFonts w:eastAsia="Times New Roman"/>
          <w:lang w:val="sl-SI"/>
        </w:rPr>
        <w:t xml:space="preserve">V študiji revmatoidnega artritisa III je bilo ocenjeno 619 bolnikov z zmerno do zelo aktivnim revmatoidnim artritisom, starih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18 let, ki se niso učinkovito odzvali na odmerke metotreksata od 12,5 do 25 mg ali niso prenašali 10 mg metotreksata vsak teden. V tej študiji so bile tri skupine. Prva je 52 tednov vsak teden dobivala injekcije placeba, druga je 52 tednov vsak teden dobivala 20 mg adalimumaba, tretja pa je vsak drugi teden dobivala 40 mg adalimumaba in injekcije placeba vsak vmesni teden. Po zaključenih prvih 52 tednih so 457 bolnikov vključili v odprto nadaljevalno fazo, med katero so dobivali 40 mg adalimumba/MTX vsak drugi teden v obdobju do 10 let.</w:t>
      </w:r>
    </w:p>
    <w:p w14:paraId="2C132E99" w14:textId="77777777" w:rsidR="0066522E" w:rsidRDefault="0066522E" w:rsidP="0066522E">
      <w:pPr>
        <w:spacing w:before="13" w:line="240" w:lineRule="exact"/>
        <w:rPr>
          <w:sz w:val="24"/>
          <w:szCs w:val="24"/>
          <w:lang w:val="sl-SI"/>
        </w:rPr>
      </w:pPr>
    </w:p>
    <w:p w14:paraId="76EF7E04" w14:textId="77777777" w:rsidR="0066522E" w:rsidRDefault="0066522E" w:rsidP="0066522E">
      <w:pPr>
        <w:pStyle w:val="a3"/>
        <w:rPr>
          <w:lang w:val="sl-SI"/>
        </w:rPr>
      </w:pPr>
      <w:r>
        <w:rPr>
          <w:rFonts w:eastAsia="Times New Roman"/>
          <w:lang w:val="sl-SI"/>
        </w:rPr>
        <w:t>V študiji revmatoidnega artritisa IV je bila v prvi vrsti ocenjena varnost pri 636 bolnikih z zmerno do hudo aktivnim revmatoidnim artritisom, starih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18 let. Bolniki lahko pred tem še niso prejemali imunomodulirajočih antirevmatičnih zdravil ali pa so ohranili svojo prejšnjo revmatološko terapijo pod pogojem, da je bila ta terapija stabilna vsaj 28 dni. Terapije so vključevale metotreksat, leflunomid, hidroksiklorokin, sulfasalazin in/ali soli zlata. Bolnike so randomizirali na 40 mg adalimumaba ali placebo vsak drugi teden za 24 tednov.</w:t>
      </w:r>
    </w:p>
    <w:p w14:paraId="5CC268DF" w14:textId="77777777" w:rsidR="0066522E" w:rsidRDefault="0066522E" w:rsidP="0066522E">
      <w:pPr>
        <w:spacing w:before="11" w:line="240" w:lineRule="exact"/>
        <w:rPr>
          <w:sz w:val="24"/>
          <w:szCs w:val="24"/>
          <w:lang w:val="sl-SI"/>
        </w:rPr>
      </w:pPr>
    </w:p>
    <w:p w14:paraId="293E11F3" w14:textId="77777777" w:rsidR="0066522E" w:rsidRDefault="0066522E" w:rsidP="0066522E">
      <w:pPr>
        <w:pStyle w:val="a3"/>
        <w:rPr>
          <w:lang w:val="sl-SI"/>
        </w:rPr>
      </w:pPr>
      <w:r>
        <w:rPr>
          <w:rFonts w:eastAsia="Times New Roman"/>
          <w:lang w:val="sl-SI"/>
        </w:rPr>
        <w:t>Študija revmatoidnega artritisa V je ocenila 799 odraslih bolnikov, ki še niso dobivali metotreksata, in so imeli zmerno do zelo aktiven zgoden revmatoidni artritis (povprečno trajanje bolezni manj kot 9 mesecev). Ta študija je ocenila učinkovitost kombiniranega zdravljenja z adalimumabom 40 mg vsak drugi teden/metotreksatom, monoterapija z adalimumabom 40 mg vsak drugi teden in monoterapijo z metotreksatom za zmanjšanje znakov in simptomov ter hitrosti napredovanja sklepne okvare pri revmatoidnem artritisu v obdobju 104 tednov. Po zaključenih prvih 104 tednih so 497 bolnikov vključili v odprto nadaljevalno fazo, med katero so še do 10 let dobivali 40 mg adalimumab vsak drugi teden.</w:t>
      </w:r>
    </w:p>
    <w:p w14:paraId="4D435013" w14:textId="77777777" w:rsidR="0066522E" w:rsidRDefault="0066522E" w:rsidP="0066522E">
      <w:pPr>
        <w:spacing w:before="13" w:line="240" w:lineRule="exact"/>
        <w:rPr>
          <w:sz w:val="24"/>
          <w:szCs w:val="24"/>
          <w:lang w:val="sl-SI"/>
        </w:rPr>
      </w:pPr>
    </w:p>
    <w:p w14:paraId="7E21B7C3" w14:textId="01ED0119" w:rsidR="0066522E" w:rsidRDefault="0066522E" w:rsidP="0066522E">
      <w:pPr>
        <w:pStyle w:val="a3"/>
        <w:rPr>
          <w:lang w:val="sl-SI"/>
        </w:rPr>
      </w:pPr>
      <w:r>
        <w:rPr>
          <w:rFonts w:eastAsia="Times New Roman"/>
          <w:lang w:val="sl-SI"/>
        </w:rPr>
        <w:t>Primarni opazovani dogodek v študijah revmatoidnega artritisa I, II in III ter sekundarni opazovani dogodek v študiji revmatoidnega artritisa IV je bil odstotek bolnikov, ki so po 24 oz. 26 tednih dosegli odziv 20 po ACR. Primarni opazovani dogodek študije revmatoidnega artritisa V je bil odstotek bolnikov, ki so do 52. tedna dosegli odziv ACR 50. V študijah III in V je bil dodatni primarni opazovani dogodek po 52 tednih upočasnitev napredovanja bolezni (ugotovljena z izvidi rentgenskega slikanja). Študija revmatoidnega artritisa III je imela kot primarni opazovani dogodek tudi spremembe v kakovosti življenja</w:t>
      </w:r>
      <w:r w:rsidR="00813F52">
        <w:rPr>
          <w:rFonts w:eastAsia="Times New Roman"/>
          <w:lang w:val="sl-SI"/>
        </w:rPr>
        <w:t>.</w:t>
      </w:r>
    </w:p>
    <w:p w14:paraId="6E93B876" w14:textId="77777777" w:rsidR="0066522E" w:rsidRDefault="0066522E" w:rsidP="0066522E">
      <w:pPr>
        <w:spacing w:before="13" w:line="240" w:lineRule="exact"/>
        <w:rPr>
          <w:sz w:val="24"/>
          <w:szCs w:val="24"/>
          <w:lang w:val="sl-SI"/>
        </w:rPr>
      </w:pPr>
    </w:p>
    <w:p w14:paraId="34187430" w14:textId="77777777" w:rsidR="0066522E" w:rsidRDefault="0066522E" w:rsidP="0066522E">
      <w:pPr>
        <w:rPr>
          <w:rFonts w:ascii="Times New Roman" w:eastAsia="Times New Roman" w:hAnsi="Times New Roman" w:cs="Times New Roman"/>
          <w:lang w:val="sl-SI"/>
        </w:rPr>
      </w:pPr>
      <w:r>
        <w:rPr>
          <w:rFonts w:ascii="Times New Roman" w:eastAsia="Times New Roman" w:hAnsi="Times New Roman" w:cs="Times New Roman"/>
          <w:i/>
          <w:iCs/>
          <w:spacing w:val="-1"/>
          <w:u w:val="single" w:color="000000"/>
          <w:lang w:val="sl-SI"/>
        </w:rPr>
        <w:t>Odziv po ACR</w:t>
      </w:r>
    </w:p>
    <w:p w14:paraId="292E2FE1" w14:textId="77777777" w:rsidR="0066522E" w:rsidRDefault="0066522E" w:rsidP="0066522E">
      <w:pPr>
        <w:spacing w:before="1" w:line="180" w:lineRule="exact"/>
        <w:rPr>
          <w:sz w:val="18"/>
          <w:szCs w:val="18"/>
          <w:lang w:val="sl-SI"/>
        </w:rPr>
      </w:pPr>
    </w:p>
    <w:p w14:paraId="6BEF876E" w14:textId="1D6CD918" w:rsidR="0066522E" w:rsidRDefault="0066522E" w:rsidP="0066522E">
      <w:pPr>
        <w:pStyle w:val="a3"/>
        <w:rPr>
          <w:lang w:val="sl-SI"/>
        </w:rPr>
      </w:pPr>
      <w:r>
        <w:rPr>
          <w:rFonts w:eastAsia="Times New Roman"/>
          <w:lang w:val="sl-SI"/>
        </w:rPr>
        <w:t>Odstotek bolnikov, zdravljenih z adalimumabom, ki so dosegli odziv 20, 50 in 70 po ACR, se je v študijah revmatoidnega artritisa I, II in III skladal. Rezultati odmerka 40 mg vsak drugi teden so strnjeni v preglednici </w:t>
      </w:r>
      <w:r w:rsidR="00813F52">
        <w:rPr>
          <w:rFonts w:eastAsia="Times New Roman"/>
          <w:lang w:val="sl-SI"/>
        </w:rPr>
        <w:t>7</w:t>
      </w:r>
      <w:r>
        <w:rPr>
          <w:rFonts w:eastAsia="Times New Roman"/>
          <w:lang w:val="sl-SI"/>
        </w:rPr>
        <w:t>.</w:t>
      </w:r>
    </w:p>
    <w:p w14:paraId="5F2B65BE" w14:textId="77777777" w:rsidR="0066522E" w:rsidRDefault="0066522E" w:rsidP="0066522E">
      <w:pPr>
        <w:spacing w:before="15" w:line="240" w:lineRule="exact"/>
        <w:rPr>
          <w:sz w:val="24"/>
          <w:szCs w:val="24"/>
          <w:lang w:val="sl-SI"/>
        </w:rPr>
      </w:pPr>
    </w:p>
    <w:p w14:paraId="1EEB21B0" w14:textId="472F701E" w:rsidR="0066522E" w:rsidRDefault="0066522E" w:rsidP="0066522E">
      <w:pPr>
        <w:pStyle w:val="a3"/>
        <w:jc w:val="center"/>
        <w:rPr>
          <w:b/>
          <w:lang w:val="sl-SI"/>
        </w:rPr>
      </w:pPr>
      <w:r>
        <w:rPr>
          <w:rFonts w:eastAsia="Times New Roman"/>
          <w:b/>
          <w:bCs/>
          <w:lang w:val="sl-SI"/>
        </w:rPr>
        <w:t xml:space="preserve">Preglednica </w:t>
      </w:r>
      <w:r w:rsidR="00813F52">
        <w:rPr>
          <w:rFonts w:eastAsia="Times New Roman"/>
          <w:b/>
          <w:bCs/>
          <w:lang w:val="sl-SI"/>
        </w:rPr>
        <w:t>7</w:t>
      </w:r>
      <w:r>
        <w:rPr>
          <w:rFonts w:eastAsia="Times New Roman"/>
          <w:b/>
          <w:bCs/>
          <w:lang w:val="sl-SI"/>
        </w:rPr>
        <w:t>.</w:t>
      </w:r>
    </w:p>
    <w:p w14:paraId="3D78137C" w14:textId="77777777" w:rsidR="0066522E" w:rsidRDefault="0066522E" w:rsidP="0066522E">
      <w:pPr>
        <w:pStyle w:val="a3"/>
        <w:jc w:val="center"/>
        <w:rPr>
          <w:b/>
          <w:lang w:val="sl-SI"/>
        </w:rPr>
      </w:pPr>
      <w:r>
        <w:rPr>
          <w:rFonts w:eastAsia="Times New Roman"/>
          <w:b/>
          <w:bCs/>
          <w:lang w:val="sl-SI"/>
        </w:rPr>
        <w:t xml:space="preserve">Odziv po ACR v študijah, kontroliranih s placebom </w:t>
      </w:r>
      <w:r>
        <w:rPr>
          <w:rFonts w:eastAsia="Times New Roman"/>
          <w:b/>
          <w:bCs/>
          <w:lang w:val="sl-SI"/>
        </w:rPr>
        <w:br/>
        <w:t>(odstotek bolnikov)</w:t>
      </w:r>
    </w:p>
    <w:p w14:paraId="42905EE1" w14:textId="77777777" w:rsidR="0066522E" w:rsidRDefault="0066522E" w:rsidP="0066522E">
      <w:pPr>
        <w:spacing w:before="11" w:line="240" w:lineRule="exact"/>
        <w:rPr>
          <w:sz w:val="24"/>
          <w:szCs w:val="24"/>
          <w:lang w:val="sl-SI"/>
        </w:rPr>
      </w:pPr>
    </w:p>
    <w:tbl>
      <w:tblPr>
        <w:tblStyle w:val="TableNormal1"/>
        <w:tblW w:w="0" w:type="auto"/>
        <w:tblInd w:w="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12"/>
        <w:gridCol w:w="1276"/>
        <w:gridCol w:w="1381"/>
        <w:gridCol w:w="1273"/>
        <w:gridCol w:w="1288"/>
        <w:gridCol w:w="1151"/>
        <w:gridCol w:w="1544"/>
      </w:tblGrid>
      <w:tr w:rsidR="0066522E" w:rsidRPr="00652F18" w14:paraId="6F4788ED" w14:textId="77777777" w:rsidTr="00183CD7">
        <w:tc>
          <w:tcPr>
            <w:tcW w:w="1212" w:type="dxa"/>
            <w:vMerge w:val="restart"/>
          </w:tcPr>
          <w:p w14:paraId="3794A79E" w14:textId="77777777" w:rsidR="0066522E" w:rsidRDefault="0066522E" w:rsidP="00183CD7">
            <w:pPr>
              <w:rPr>
                <w:rFonts w:ascii="Times New Roman" w:eastAsia="Times New Roman" w:hAnsi="Times New Roman" w:cs="Times New Roman"/>
                <w:lang w:val="sl-SI"/>
              </w:rPr>
            </w:pPr>
            <w:r>
              <w:rPr>
                <w:rFonts w:ascii="Times New Roman" w:eastAsia="Times New Roman" w:hAnsi="Times New Roman" w:cs="Times New Roman"/>
                <w:lang w:val="sl-SI"/>
              </w:rPr>
              <w:t>Odziv</w:t>
            </w:r>
          </w:p>
        </w:tc>
        <w:tc>
          <w:tcPr>
            <w:tcW w:w="2657" w:type="dxa"/>
            <w:gridSpan w:val="2"/>
            <w:tcBorders>
              <w:bottom w:val="single" w:sz="4" w:space="0" w:color="auto"/>
            </w:tcBorders>
            <w:vAlign w:val="center"/>
          </w:tcPr>
          <w:p w14:paraId="5CEF35FC"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Študija revmatoidnega artritisa I</w:t>
            </w:r>
            <w:r>
              <w:rPr>
                <w:rFonts w:ascii="Times New Roman" w:eastAsia="Times New Roman" w:hAnsi="Times New Roman" w:cs="Times New Roman"/>
                <w:spacing w:val="-1"/>
                <w:vertAlign w:val="superscript"/>
                <w:lang w:val="sl-SI"/>
              </w:rPr>
              <w:t>a</w:t>
            </w:r>
            <w:r>
              <w:rPr>
                <w:rFonts w:ascii="Times New Roman" w:eastAsia="Times New Roman" w:hAnsi="Times New Roman" w:cs="Times New Roman"/>
                <w:spacing w:val="-1"/>
                <w:lang w:val="sl-SI"/>
              </w:rPr>
              <w:t>**</w:t>
            </w:r>
          </w:p>
        </w:tc>
        <w:tc>
          <w:tcPr>
            <w:tcW w:w="2561" w:type="dxa"/>
            <w:gridSpan w:val="2"/>
            <w:tcBorders>
              <w:bottom w:val="single" w:sz="4" w:space="0" w:color="auto"/>
            </w:tcBorders>
            <w:vAlign w:val="center"/>
          </w:tcPr>
          <w:p w14:paraId="5FF6D95D"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Študija revmatoidnega artritisa II</w:t>
            </w:r>
            <w:r>
              <w:rPr>
                <w:rFonts w:ascii="Times New Roman" w:eastAsia="Times New Roman" w:hAnsi="Times New Roman" w:cs="Times New Roman"/>
                <w:spacing w:val="-1"/>
                <w:vertAlign w:val="superscript"/>
                <w:lang w:val="sl-SI"/>
              </w:rPr>
              <w:t>a</w:t>
            </w:r>
            <w:r>
              <w:rPr>
                <w:rFonts w:ascii="Times New Roman" w:eastAsia="Times New Roman" w:hAnsi="Times New Roman" w:cs="Times New Roman"/>
                <w:spacing w:val="-1"/>
                <w:lang w:val="sl-SI"/>
              </w:rPr>
              <w:t>**</w:t>
            </w:r>
          </w:p>
        </w:tc>
        <w:tc>
          <w:tcPr>
            <w:tcW w:w="2695" w:type="dxa"/>
            <w:gridSpan w:val="2"/>
            <w:tcBorders>
              <w:bottom w:val="single" w:sz="4" w:space="0" w:color="auto"/>
            </w:tcBorders>
            <w:vAlign w:val="center"/>
          </w:tcPr>
          <w:p w14:paraId="1BFDB64E"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Študija revmatoidnega artritisa III</w:t>
            </w:r>
            <w:r>
              <w:rPr>
                <w:rFonts w:ascii="Times New Roman" w:eastAsia="Times New Roman" w:hAnsi="Times New Roman" w:cs="Times New Roman"/>
                <w:spacing w:val="-1"/>
                <w:vertAlign w:val="superscript"/>
                <w:lang w:val="sl-SI"/>
              </w:rPr>
              <w:t>a</w:t>
            </w:r>
            <w:r>
              <w:rPr>
                <w:rFonts w:ascii="Times New Roman" w:eastAsia="Times New Roman" w:hAnsi="Times New Roman" w:cs="Times New Roman"/>
                <w:spacing w:val="-1"/>
                <w:lang w:val="sl-SI"/>
              </w:rPr>
              <w:t>**</w:t>
            </w:r>
          </w:p>
        </w:tc>
      </w:tr>
      <w:tr w:rsidR="0066522E" w14:paraId="1CE50B09" w14:textId="77777777" w:rsidTr="00183CD7">
        <w:tc>
          <w:tcPr>
            <w:tcW w:w="1212" w:type="dxa"/>
            <w:vMerge/>
            <w:tcBorders>
              <w:bottom w:val="single" w:sz="4" w:space="0" w:color="auto"/>
            </w:tcBorders>
          </w:tcPr>
          <w:p w14:paraId="265CEDF3" w14:textId="77777777" w:rsidR="0066522E" w:rsidRDefault="0066522E" w:rsidP="00183CD7">
            <w:pPr>
              <w:rPr>
                <w:lang w:val="sl-SI"/>
              </w:rPr>
            </w:pPr>
          </w:p>
        </w:tc>
        <w:tc>
          <w:tcPr>
            <w:tcW w:w="1276" w:type="dxa"/>
            <w:tcBorders>
              <w:bottom w:val="single" w:sz="4" w:space="0" w:color="auto"/>
              <w:right w:val="nil"/>
            </w:tcBorders>
          </w:tcPr>
          <w:p w14:paraId="562154E0"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Placebo/</w:t>
            </w:r>
          </w:p>
          <w:p w14:paraId="57C1E7CC" w14:textId="77777777" w:rsidR="0066522E" w:rsidRDefault="0066522E" w:rsidP="00183CD7">
            <w:pPr>
              <w:pStyle w:val="TableParagraph"/>
              <w:spacing w:before="5" w:line="252" w:lineRule="exact"/>
              <w:ind w:right="226"/>
              <w:jc w:val="center"/>
              <w:rPr>
                <w:rFonts w:ascii="Times New Roman" w:eastAsia="Times New Roman" w:hAnsi="Times New Roman" w:cs="Times New Roman"/>
                <w:lang w:val="sl-SI"/>
              </w:rPr>
            </w:pPr>
            <w:r>
              <w:rPr>
                <w:rFonts w:ascii="Times New Roman" w:eastAsia="Times New Roman" w:hAnsi="Times New Roman" w:cs="Times New Roman"/>
                <w:lang w:val="sl-SI"/>
              </w:rPr>
              <w:t>MTX</w:t>
            </w:r>
            <w:r>
              <w:rPr>
                <w:rFonts w:ascii="Times New Roman" w:eastAsia="Times New Roman" w:hAnsi="Times New Roman" w:cs="Times New Roman"/>
                <w:vertAlign w:val="superscript"/>
                <w:lang w:val="sl-SI"/>
              </w:rPr>
              <w:t>c</w:t>
            </w:r>
            <w:r>
              <w:rPr>
                <w:rFonts w:ascii="Times New Roman" w:eastAsia="Times New Roman" w:hAnsi="Times New Roman" w:cs="Times New Roman"/>
                <w:lang w:val="sl-SI"/>
              </w:rPr>
              <w:t xml:space="preserve"> </w:t>
            </w:r>
          </w:p>
          <w:p w14:paraId="44E64F75" w14:textId="77777777" w:rsidR="0066522E" w:rsidRDefault="0066522E" w:rsidP="00183CD7">
            <w:pPr>
              <w:pStyle w:val="TableParagraph"/>
              <w:spacing w:before="5" w:line="252" w:lineRule="exact"/>
              <w:ind w:right="226"/>
              <w:jc w:val="center"/>
              <w:rPr>
                <w:rFonts w:ascii="Times New Roman" w:eastAsia="Times New Roman" w:hAnsi="Times New Roman" w:cs="Times New Roman"/>
                <w:lang w:val="sl-SI"/>
              </w:rPr>
            </w:pPr>
            <w:r>
              <w:rPr>
                <w:rFonts w:ascii="Times New Roman" w:eastAsia="Times New Roman" w:hAnsi="Times New Roman" w:cs="Times New Roman"/>
                <w:lang w:val="sl-SI"/>
              </w:rPr>
              <w:t>n = 60</w:t>
            </w:r>
          </w:p>
        </w:tc>
        <w:tc>
          <w:tcPr>
            <w:tcW w:w="1381" w:type="dxa"/>
            <w:tcBorders>
              <w:left w:val="nil"/>
              <w:bottom w:val="single" w:sz="4" w:space="0" w:color="auto"/>
            </w:tcBorders>
          </w:tcPr>
          <w:p w14:paraId="528306E2" w14:textId="77777777" w:rsidR="0066522E" w:rsidRDefault="0066522E" w:rsidP="00183CD7">
            <w:pPr>
              <w:pStyle w:val="TableParagraph"/>
              <w:spacing w:line="246" w:lineRule="exact"/>
              <w:ind w:right="50"/>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Adalimumab</w:t>
            </w:r>
            <w:r>
              <w:rPr>
                <w:rFonts w:ascii="Times New Roman" w:eastAsia="Times New Roman" w:hAnsi="Times New Roman" w:cs="Times New Roman"/>
                <w:spacing w:val="-1"/>
                <w:vertAlign w:val="superscript"/>
                <w:lang w:val="sl-SI"/>
              </w:rPr>
              <w:t>b</w:t>
            </w:r>
            <w:r>
              <w:rPr>
                <w:rFonts w:ascii="Times New Roman" w:eastAsia="Times New Roman" w:hAnsi="Times New Roman" w:cs="Times New Roman"/>
                <w:spacing w:val="-1"/>
                <w:lang w:val="sl-SI"/>
              </w:rPr>
              <w:t>/</w:t>
            </w:r>
          </w:p>
          <w:p w14:paraId="07ABDB9B" w14:textId="77777777" w:rsidR="0066522E" w:rsidRDefault="0066522E" w:rsidP="00183CD7">
            <w:pPr>
              <w:pStyle w:val="TableParagraph"/>
              <w:spacing w:line="246" w:lineRule="exact"/>
              <w:ind w:right="50"/>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MTX</w:t>
            </w:r>
            <w:r>
              <w:rPr>
                <w:rFonts w:ascii="Times New Roman" w:eastAsia="Times New Roman" w:hAnsi="Times New Roman" w:cs="Times New Roman"/>
                <w:spacing w:val="-1"/>
                <w:vertAlign w:val="superscript"/>
                <w:lang w:val="sl-SI"/>
              </w:rPr>
              <w:t>c</w:t>
            </w:r>
          </w:p>
          <w:p w14:paraId="67147211"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n = 63</w:t>
            </w:r>
          </w:p>
        </w:tc>
        <w:tc>
          <w:tcPr>
            <w:tcW w:w="1273" w:type="dxa"/>
            <w:tcBorders>
              <w:bottom w:val="single" w:sz="4" w:space="0" w:color="auto"/>
              <w:right w:val="nil"/>
            </w:tcBorders>
          </w:tcPr>
          <w:p w14:paraId="1668EF30"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placebo</w:t>
            </w:r>
          </w:p>
          <w:p w14:paraId="52ACC553"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n = 110</w:t>
            </w:r>
          </w:p>
        </w:tc>
        <w:tc>
          <w:tcPr>
            <w:tcW w:w="1288" w:type="dxa"/>
            <w:tcBorders>
              <w:left w:val="nil"/>
              <w:bottom w:val="single" w:sz="4" w:space="0" w:color="auto"/>
            </w:tcBorders>
          </w:tcPr>
          <w:p w14:paraId="491AE688"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Adalimumab</w:t>
            </w:r>
            <w:r>
              <w:rPr>
                <w:rFonts w:ascii="Times New Roman" w:eastAsia="Times New Roman" w:hAnsi="Times New Roman" w:cs="Times New Roman"/>
                <w:spacing w:val="-1"/>
                <w:vertAlign w:val="superscript"/>
                <w:lang w:val="sl-SI"/>
              </w:rPr>
              <w:t>b</w:t>
            </w:r>
          </w:p>
          <w:p w14:paraId="280AC008"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n = 113</w:t>
            </w:r>
          </w:p>
        </w:tc>
        <w:tc>
          <w:tcPr>
            <w:tcW w:w="1151" w:type="dxa"/>
            <w:tcBorders>
              <w:bottom w:val="single" w:sz="4" w:space="0" w:color="auto"/>
              <w:right w:val="nil"/>
            </w:tcBorders>
          </w:tcPr>
          <w:p w14:paraId="3F75B777"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Placebo/</w:t>
            </w:r>
          </w:p>
          <w:p w14:paraId="220C31CA" w14:textId="77777777" w:rsidR="0066522E" w:rsidRDefault="0066522E" w:rsidP="00183CD7">
            <w:pPr>
              <w:pStyle w:val="TableParagraph"/>
              <w:spacing w:line="252" w:lineRule="exact"/>
              <w:ind w:hanging="4"/>
              <w:jc w:val="center"/>
              <w:rPr>
                <w:rFonts w:ascii="Times New Roman" w:eastAsia="Times New Roman" w:hAnsi="Times New Roman" w:cs="Times New Roman"/>
                <w:lang w:val="sl-SI"/>
              </w:rPr>
            </w:pPr>
            <w:r>
              <w:rPr>
                <w:rFonts w:ascii="Times New Roman" w:eastAsia="Times New Roman" w:hAnsi="Times New Roman" w:cs="Times New Roman"/>
                <w:lang w:val="sl-SI"/>
              </w:rPr>
              <w:t>MTX</w:t>
            </w:r>
            <w:r>
              <w:rPr>
                <w:rFonts w:ascii="Times New Roman" w:eastAsia="Times New Roman" w:hAnsi="Times New Roman" w:cs="Times New Roman"/>
                <w:vertAlign w:val="superscript"/>
                <w:lang w:val="sl-SI"/>
              </w:rPr>
              <w:t>c</w:t>
            </w:r>
            <w:r>
              <w:rPr>
                <w:rFonts w:ascii="Times New Roman" w:eastAsia="Times New Roman" w:hAnsi="Times New Roman" w:cs="Times New Roman"/>
                <w:lang w:val="sl-SI"/>
              </w:rPr>
              <w:t xml:space="preserve"> </w:t>
            </w:r>
          </w:p>
          <w:p w14:paraId="48DED8E4" w14:textId="77777777" w:rsidR="0066522E" w:rsidRDefault="0066522E" w:rsidP="00183CD7">
            <w:pPr>
              <w:pStyle w:val="TableParagraph"/>
              <w:spacing w:line="252" w:lineRule="exact"/>
              <w:ind w:hanging="4"/>
              <w:jc w:val="center"/>
              <w:rPr>
                <w:rFonts w:ascii="Times New Roman" w:eastAsia="Times New Roman" w:hAnsi="Times New Roman" w:cs="Times New Roman"/>
                <w:lang w:val="sl-SI"/>
              </w:rPr>
            </w:pPr>
            <w:r>
              <w:rPr>
                <w:rFonts w:ascii="Times New Roman" w:eastAsia="Times New Roman" w:hAnsi="Times New Roman" w:cs="Times New Roman"/>
                <w:lang w:val="sl-SI"/>
              </w:rPr>
              <w:t>n = 200</w:t>
            </w:r>
          </w:p>
        </w:tc>
        <w:tc>
          <w:tcPr>
            <w:tcW w:w="1544" w:type="dxa"/>
            <w:tcBorders>
              <w:left w:val="nil"/>
              <w:bottom w:val="single" w:sz="4" w:space="0" w:color="auto"/>
            </w:tcBorders>
          </w:tcPr>
          <w:p w14:paraId="283379BF" w14:textId="77777777" w:rsidR="0066522E" w:rsidRDefault="0066522E" w:rsidP="00183CD7">
            <w:pPr>
              <w:pStyle w:val="TableParagraph"/>
              <w:spacing w:line="246" w:lineRule="exact"/>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Adalimumab</w:t>
            </w:r>
            <w:r>
              <w:rPr>
                <w:rFonts w:ascii="Times New Roman" w:eastAsia="Times New Roman" w:hAnsi="Times New Roman" w:cs="Times New Roman"/>
                <w:spacing w:val="-1"/>
                <w:vertAlign w:val="superscript"/>
                <w:lang w:val="sl-SI"/>
              </w:rPr>
              <w:t>b</w:t>
            </w:r>
            <w:r>
              <w:rPr>
                <w:rFonts w:ascii="Times New Roman" w:eastAsia="Times New Roman" w:hAnsi="Times New Roman" w:cs="Times New Roman"/>
                <w:spacing w:val="-1"/>
                <w:lang w:val="sl-SI"/>
              </w:rPr>
              <w:t>/</w:t>
            </w:r>
          </w:p>
          <w:p w14:paraId="59D262D6"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MTX</w:t>
            </w:r>
            <w:r>
              <w:rPr>
                <w:rFonts w:ascii="Times New Roman" w:eastAsia="Times New Roman" w:hAnsi="Times New Roman" w:cs="Times New Roman"/>
                <w:spacing w:val="-1"/>
                <w:vertAlign w:val="superscript"/>
                <w:lang w:val="sl-SI"/>
              </w:rPr>
              <w:t>c</w:t>
            </w:r>
          </w:p>
          <w:p w14:paraId="77268C66"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n = 207</w:t>
            </w:r>
          </w:p>
        </w:tc>
      </w:tr>
      <w:tr w:rsidR="0066522E" w14:paraId="7FCE872C" w14:textId="77777777" w:rsidTr="00183CD7">
        <w:tc>
          <w:tcPr>
            <w:tcW w:w="1212" w:type="dxa"/>
            <w:tcBorders>
              <w:bottom w:val="nil"/>
            </w:tcBorders>
          </w:tcPr>
          <w:p w14:paraId="19E513FD" w14:textId="77777777" w:rsidR="0066522E" w:rsidRDefault="0066522E" w:rsidP="00183CD7">
            <w:pPr>
              <w:pStyle w:val="TableParagraph"/>
              <w:spacing w:line="248"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ACR 20</w:t>
            </w:r>
          </w:p>
        </w:tc>
        <w:tc>
          <w:tcPr>
            <w:tcW w:w="1276" w:type="dxa"/>
            <w:vMerge w:val="restart"/>
            <w:tcBorders>
              <w:bottom w:val="nil"/>
              <w:right w:val="nil"/>
            </w:tcBorders>
          </w:tcPr>
          <w:p w14:paraId="043CA1D6"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p w14:paraId="251948D0"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13,3 %</w:t>
            </w:r>
          </w:p>
        </w:tc>
        <w:tc>
          <w:tcPr>
            <w:tcW w:w="1381" w:type="dxa"/>
            <w:vMerge w:val="restart"/>
            <w:tcBorders>
              <w:left w:val="nil"/>
              <w:bottom w:val="nil"/>
            </w:tcBorders>
          </w:tcPr>
          <w:p w14:paraId="560B24A2"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p w14:paraId="0489493A"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65,1 %</w:t>
            </w:r>
          </w:p>
        </w:tc>
        <w:tc>
          <w:tcPr>
            <w:tcW w:w="1273" w:type="dxa"/>
            <w:vMerge w:val="restart"/>
            <w:tcBorders>
              <w:bottom w:val="nil"/>
              <w:right w:val="nil"/>
            </w:tcBorders>
          </w:tcPr>
          <w:p w14:paraId="21CAD88A"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p w14:paraId="7DE1EEE2"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19,1 %</w:t>
            </w:r>
          </w:p>
        </w:tc>
        <w:tc>
          <w:tcPr>
            <w:tcW w:w="1288" w:type="dxa"/>
            <w:vMerge w:val="restart"/>
            <w:tcBorders>
              <w:left w:val="nil"/>
              <w:bottom w:val="nil"/>
            </w:tcBorders>
          </w:tcPr>
          <w:p w14:paraId="5F96629D"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p w14:paraId="27520D75"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46,0 %</w:t>
            </w:r>
          </w:p>
        </w:tc>
        <w:tc>
          <w:tcPr>
            <w:tcW w:w="1151" w:type="dxa"/>
            <w:vMerge w:val="restart"/>
            <w:tcBorders>
              <w:bottom w:val="nil"/>
              <w:right w:val="nil"/>
            </w:tcBorders>
          </w:tcPr>
          <w:p w14:paraId="11DB14FA"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p w14:paraId="1CC07BA3"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29,5 %</w:t>
            </w:r>
          </w:p>
        </w:tc>
        <w:tc>
          <w:tcPr>
            <w:tcW w:w="1544" w:type="dxa"/>
            <w:vMerge w:val="restart"/>
            <w:tcBorders>
              <w:left w:val="nil"/>
              <w:bottom w:val="nil"/>
            </w:tcBorders>
          </w:tcPr>
          <w:p w14:paraId="1F53D443"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p w14:paraId="6E02E315"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63,3 %</w:t>
            </w:r>
          </w:p>
        </w:tc>
      </w:tr>
      <w:tr w:rsidR="0066522E" w14:paraId="04B3ACAF" w14:textId="77777777" w:rsidTr="00183CD7">
        <w:tc>
          <w:tcPr>
            <w:tcW w:w="1212" w:type="dxa"/>
            <w:tcBorders>
              <w:top w:val="nil"/>
              <w:bottom w:val="nil"/>
            </w:tcBorders>
          </w:tcPr>
          <w:p w14:paraId="3124AE94" w14:textId="77777777" w:rsidR="0066522E" w:rsidRDefault="0066522E" w:rsidP="00183CD7">
            <w:pPr>
              <w:pStyle w:val="TableParagraph"/>
              <w:spacing w:line="241" w:lineRule="exact"/>
              <w:ind w:left="144"/>
              <w:rPr>
                <w:rFonts w:ascii="Times New Roman" w:eastAsia="Times New Roman" w:hAnsi="Times New Roman" w:cs="Times New Roman"/>
                <w:lang w:val="sl-SI"/>
              </w:rPr>
            </w:pPr>
            <w:r>
              <w:rPr>
                <w:rFonts w:ascii="Times New Roman" w:eastAsia="Times New Roman" w:hAnsi="Times New Roman" w:cs="Times New Roman"/>
                <w:lang w:val="sl-SI"/>
              </w:rPr>
              <w:t>6 mesecev</w:t>
            </w:r>
          </w:p>
        </w:tc>
        <w:tc>
          <w:tcPr>
            <w:tcW w:w="1276" w:type="dxa"/>
            <w:vMerge/>
            <w:tcBorders>
              <w:top w:val="nil"/>
              <w:bottom w:val="nil"/>
              <w:right w:val="nil"/>
            </w:tcBorders>
          </w:tcPr>
          <w:p w14:paraId="674A2686"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tc>
        <w:tc>
          <w:tcPr>
            <w:tcW w:w="1381" w:type="dxa"/>
            <w:vMerge/>
            <w:tcBorders>
              <w:top w:val="nil"/>
              <w:left w:val="nil"/>
              <w:bottom w:val="nil"/>
            </w:tcBorders>
          </w:tcPr>
          <w:p w14:paraId="22B4DCD1"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tc>
        <w:tc>
          <w:tcPr>
            <w:tcW w:w="1273" w:type="dxa"/>
            <w:vMerge/>
            <w:tcBorders>
              <w:top w:val="nil"/>
              <w:bottom w:val="nil"/>
              <w:right w:val="nil"/>
            </w:tcBorders>
          </w:tcPr>
          <w:p w14:paraId="0F87F441"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tc>
        <w:tc>
          <w:tcPr>
            <w:tcW w:w="1288" w:type="dxa"/>
            <w:vMerge/>
            <w:tcBorders>
              <w:top w:val="nil"/>
              <w:left w:val="nil"/>
              <w:bottom w:val="nil"/>
            </w:tcBorders>
          </w:tcPr>
          <w:p w14:paraId="6DB2092C"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tc>
        <w:tc>
          <w:tcPr>
            <w:tcW w:w="1151" w:type="dxa"/>
            <w:vMerge/>
            <w:tcBorders>
              <w:top w:val="nil"/>
              <w:bottom w:val="nil"/>
              <w:right w:val="nil"/>
            </w:tcBorders>
          </w:tcPr>
          <w:p w14:paraId="6216D997"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tc>
        <w:tc>
          <w:tcPr>
            <w:tcW w:w="1544" w:type="dxa"/>
            <w:vMerge/>
            <w:tcBorders>
              <w:top w:val="nil"/>
              <w:left w:val="nil"/>
              <w:bottom w:val="nil"/>
            </w:tcBorders>
          </w:tcPr>
          <w:p w14:paraId="21A65265"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tc>
      </w:tr>
      <w:tr w:rsidR="0066522E" w14:paraId="44A0D747" w14:textId="77777777" w:rsidTr="00183CD7">
        <w:tc>
          <w:tcPr>
            <w:tcW w:w="1212" w:type="dxa"/>
            <w:tcBorders>
              <w:top w:val="nil"/>
              <w:bottom w:val="nil"/>
            </w:tcBorders>
          </w:tcPr>
          <w:p w14:paraId="7BF46DB1" w14:textId="77777777" w:rsidR="0066522E" w:rsidRDefault="0066522E" w:rsidP="00183CD7">
            <w:pPr>
              <w:pStyle w:val="TableParagraph"/>
              <w:spacing w:line="241" w:lineRule="exact"/>
              <w:ind w:left="144"/>
              <w:rPr>
                <w:rFonts w:ascii="Times New Roman" w:eastAsia="Times New Roman" w:hAnsi="Times New Roman" w:cs="Times New Roman"/>
                <w:lang w:val="sl-SI"/>
              </w:rPr>
            </w:pPr>
            <w:r>
              <w:rPr>
                <w:rFonts w:ascii="Times New Roman" w:eastAsia="Times New Roman" w:hAnsi="Times New Roman" w:cs="Times New Roman"/>
                <w:lang w:val="sl-SI"/>
              </w:rPr>
              <w:t>12 mesecev</w:t>
            </w:r>
          </w:p>
        </w:tc>
        <w:tc>
          <w:tcPr>
            <w:tcW w:w="1276" w:type="dxa"/>
            <w:tcBorders>
              <w:top w:val="nil"/>
              <w:bottom w:val="nil"/>
              <w:right w:val="nil"/>
            </w:tcBorders>
          </w:tcPr>
          <w:p w14:paraId="6B212160"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381" w:type="dxa"/>
            <w:tcBorders>
              <w:top w:val="nil"/>
              <w:left w:val="nil"/>
              <w:bottom w:val="nil"/>
            </w:tcBorders>
          </w:tcPr>
          <w:p w14:paraId="710A464D"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273" w:type="dxa"/>
            <w:tcBorders>
              <w:top w:val="nil"/>
              <w:bottom w:val="nil"/>
              <w:right w:val="nil"/>
            </w:tcBorders>
          </w:tcPr>
          <w:p w14:paraId="3237DD80"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288" w:type="dxa"/>
            <w:tcBorders>
              <w:top w:val="nil"/>
              <w:left w:val="nil"/>
              <w:bottom w:val="nil"/>
            </w:tcBorders>
          </w:tcPr>
          <w:p w14:paraId="24395623"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151" w:type="dxa"/>
            <w:tcBorders>
              <w:top w:val="nil"/>
              <w:bottom w:val="nil"/>
              <w:right w:val="nil"/>
            </w:tcBorders>
          </w:tcPr>
          <w:p w14:paraId="46AA4000" w14:textId="77777777" w:rsidR="0066522E" w:rsidRDefault="0066522E" w:rsidP="00183CD7">
            <w:pPr>
              <w:pStyle w:val="TableParagraph"/>
              <w:spacing w:line="241" w:lineRule="exact"/>
              <w:ind w:left="344" w:right="103"/>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24,0 %</w:t>
            </w:r>
          </w:p>
        </w:tc>
        <w:tc>
          <w:tcPr>
            <w:tcW w:w="1544" w:type="dxa"/>
            <w:tcBorders>
              <w:top w:val="nil"/>
              <w:left w:val="nil"/>
              <w:bottom w:val="nil"/>
            </w:tcBorders>
          </w:tcPr>
          <w:p w14:paraId="0C661E30" w14:textId="77777777" w:rsidR="0066522E" w:rsidRDefault="0066522E" w:rsidP="00183CD7">
            <w:pPr>
              <w:pStyle w:val="TableParagraph"/>
              <w:spacing w:line="241" w:lineRule="exact"/>
              <w:ind w:left="567" w:right="103"/>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58,9 %</w:t>
            </w:r>
          </w:p>
        </w:tc>
      </w:tr>
      <w:tr w:rsidR="0066522E" w14:paraId="5E3DA578" w14:textId="77777777" w:rsidTr="00183CD7">
        <w:tc>
          <w:tcPr>
            <w:tcW w:w="1212" w:type="dxa"/>
            <w:tcBorders>
              <w:top w:val="nil"/>
              <w:bottom w:val="nil"/>
            </w:tcBorders>
          </w:tcPr>
          <w:p w14:paraId="696F8F57" w14:textId="77777777" w:rsidR="0066522E" w:rsidRDefault="0066522E" w:rsidP="00183CD7">
            <w:pPr>
              <w:pStyle w:val="TableParagraph"/>
              <w:spacing w:line="242"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ACR 50</w:t>
            </w:r>
          </w:p>
        </w:tc>
        <w:tc>
          <w:tcPr>
            <w:tcW w:w="1276" w:type="dxa"/>
            <w:tcBorders>
              <w:top w:val="nil"/>
              <w:bottom w:val="nil"/>
              <w:right w:val="nil"/>
            </w:tcBorders>
          </w:tcPr>
          <w:p w14:paraId="77DAE08F"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tc>
        <w:tc>
          <w:tcPr>
            <w:tcW w:w="1381" w:type="dxa"/>
            <w:tcBorders>
              <w:top w:val="nil"/>
              <w:left w:val="nil"/>
              <w:bottom w:val="nil"/>
            </w:tcBorders>
          </w:tcPr>
          <w:p w14:paraId="22E5B3A1"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tc>
        <w:tc>
          <w:tcPr>
            <w:tcW w:w="1273" w:type="dxa"/>
            <w:tcBorders>
              <w:top w:val="nil"/>
              <w:bottom w:val="nil"/>
              <w:right w:val="nil"/>
            </w:tcBorders>
          </w:tcPr>
          <w:p w14:paraId="6128EDB2"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tc>
        <w:tc>
          <w:tcPr>
            <w:tcW w:w="1288" w:type="dxa"/>
            <w:tcBorders>
              <w:top w:val="nil"/>
              <w:left w:val="nil"/>
              <w:bottom w:val="nil"/>
            </w:tcBorders>
          </w:tcPr>
          <w:p w14:paraId="7A33A711"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tc>
        <w:tc>
          <w:tcPr>
            <w:tcW w:w="1151" w:type="dxa"/>
            <w:tcBorders>
              <w:top w:val="nil"/>
              <w:bottom w:val="nil"/>
              <w:right w:val="nil"/>
            </w:tcBorders>
          </w:tcPr>
          <w:p w14:paraId="2A9D3C7A"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tc>
        <w:tc>
          <w:tcPr>
            <w:tcW w:w="1544" w:type="dxa"/>
            <w:tcBorders>
              <w:top w:val="nil"/>
              <w:left w:val="nil"/>
              <w:bottom w:val="nil"/>
            </w:tcBorders>
          </w:tcPr>
          <w:p w14:paraId="6D25CD30"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tc>
      </w:tr>
      <w:tr w:rsidR="0066522E" w14:paraId="7FB3652C" w14:textId="77777777" w:rsidTr="00183CD7">
        <w:tc>
          <w:tcPr>
            <w:tcW w:w="1212" w:type="dxa"/>
            <w:tcBorders>
              <w:top w:val="nil"/>
              <w:bottom w:val="nil"/>
            </w:tcBorders>
          </w:tcPr>
          <w:p w14:paraId="7E01D052" w14:textId="77777777" w:rsidR="0066522E" w:rsidRDefault="0066522E" w:rsidP="00183CD7">
            <w:pPr>
              <w:pStyle w:val="TableParagraph"/>
              <w:spacing w:line="241" w:lineRule="exact"/>
              <w:ind w:left="144"/>
              <w:rPr>
                <w:rFonts w:ascii="Times New Roman" w:eastAsia="Times New Roman" w:hAnsi="Times New Roman" w:cs="Times New Roman"/>
                <w:lang w:val="sl-SI"/>
              </w:rPr>
            </w:pPr>
            <w:r>
              <w:rPr>
                <w:rFonts w:ascii="Times New Roman" w:eastAsia="Times New Roman" w:hAnsi="Times New Roman" w:cs="Times New Roman"/>
                <w:lang w:val="sl-SI"/>
              </w:rPr>
              <w:t>6 mesecev</w:t>
            </w:r>
          </w:p>
        </w:tc>
        <w:tc>
          <w:tcPr>
            <w:tcW w:w="1276" w:type="dxa"/>
            <w:tcBorders>
              <w:top w:val="nil"/>
              <w:bottom w:val="nil"/>
              <w:right w:val="nil"/>
            </w:tcBorders>
          </w:tcPr>
          <w:p w14:paraId="26A1D0ED"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6,7 %</w:t>
            </w:r>
          </w:p>
        </w:tc>
        <w:tc>
          <w:tcPr>
            <w:tcW w:w="1381" w:type="dxa"/>
            <w:tcBorders>
              <w:top w:val="nil"/>
              <w:left w:val="nil"/>
              <w:bottom w:val="nil"/>
            </w:tcBorders>
          </w:tcPr>
          <w:p w14:paraId="28D8E6BF"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52,4 %</w:t>
            </w:r>
          </w:p>
        </w:tc>
        <w:tc>
          <w:tcPr>
            <w:tcW w:w="1273" w:type="dxa"/>
            <w:tcBorders>
              <w:top w:val="nil"/>
              <w:bottom w:val="nil"/>
              <w:right w:val="nil"/>
            </w:tcBorders>
          </w:tcPr>
          <w:p w14:paraId="2418EE47"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8,2 %</w:t>
            </w:r>
          </w:p>
        </w:tc>
        <w:tc>
          <w:tcPr>
            <w:tcW w:w="1288" w:type="dxa"/>
            <w:tcBorders>
              <w:top w:val="nil"/>
              <w:left w:val="nil"/>
              <w:bottom w:val="nil"/>
            </w:tcBorders>
          </w:tcPr>
          <w:p w14:paraId="6B79D8CE"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22,1 %</w:t>
            </w:r>
          </w:p>
        </w:tc>
        <w:tc>
          <w:tcPr>
            <w:tcW w:w="1151" w:type="dxa"/>
            <w:tcBorders>
              <w:top w:val="nil"/>
              <w:bottom w:val="nil"/>
              <w:right w:val="nil"/>
            </w:tcBorders>
          </w:tcPr>
          <w:p w14:paraId="3C7F4DD3"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9,5 %</w:t>
            </w:r>
          </w:p>
        </w:tc>
        <w:tc>
          <w:tcPr>
            <w:tcW w:w="1544" w:type="dxa"/>
            <w:tcBorders>
              <w:top w:val="nil"/>
              <w:left w:val="nil"/>
              <w:bottom w:val="nil"/>
            </w:tcBorders>
          </w:tcPr>
          <w:p w14:paraId="7AD95C35"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39,1 %</w:t>
            </w:r>
          </w:p>
        </w:tc>
      </w:tr>
      <w:tr w:rsidR="0066522E" w14:paraId="1BF4D230" w14:textId="77777777" w:rsidTr="00183CD7">
        <w:tc>
          <w:tcPr>
            <w:tcW w:w="1212" w:type="dxa"/>
            <w:tcBorders>
              <w:top w:val="nil"/>
              <w:bottom w:val="nil"/>
            </w:tcBorders>
          </w:tcPr>
          <w:p w14:paraId="203D3602" w14:textId="77777777" w:rsidR="0066522E" w:rsidRDefault="0066522E" w:rsidP="00183CD7">
            <w:pPr>
              <w:pStyle w:val="TableParagraph"/>
              <w:spacing w:line="242" w:lineRule="exact"/>
              <w:ind w:left="144"/>
              <w:rPr>
                <w:rFonts w:ascii="Times New Roman" w:eastAsia="Times New Roman" w:hAnsi="Times New Roman" w:cs="Times New Roman"/>
                <w:lang w:val="sl-SI"/>
              </w:rPr>
            </w:pPr>
            <w:r>
              <w:rPr>
                <w:rFonts w:ascii="Times New Roman" w:eastAsia="Times New Roman" w:hAnsi="Times New Roman" w:cs="Times New Roman"/>
                <w:lang w:val="sl-SI"/>
              </w:rPr>
              <w:t>12 mesecev</w:t>
            </w:r>
          </w:p>
        </w:tc>
        <w:tc>
          <w:tcPr>
            <w:tcW w:w="1276" w:type="dxa"/>
            <w:tcBorders>
              <w:top w:val="nil"/>
              <w:bottom w:val="nil"/>
              <w:right w:val="nil"/>
            </w:tcBorders>
          </w:tcPr>
          <w:p w14:paraId="674DA94A"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381" w:type="dxa"/>
            <w:tcBorders>
              <w:top w:val="nil"/>
              <w:left w:val="nil"/>
              <w:bottom w:val="nil"/>
            </w:tcBorders>
          </w:tcPr>
          <w:p w14:paraId="29646F6D"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273" w:type="dxa"/>
            <w:tcBorders>
              <w:top w:val="nil"/>
              <w:bottom w:val="nil"/>
              <w:right w:val="nil"/>
            </w:tcBorders>
          </w:tcPr>
          <w:p w14:paraId="0D135F86"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288" w:type="dxa"/>
            <w:tcBorders>
              <w:top w:val="nil"/>
              <w:left w:val="nil"/>
              <w:bottom w:val="nil"/>
            </w:tcBorders>
          </w:tcPr>
          <w:p w14:paraId="3B4450A0"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151" w:type="dxa"/>
            <w:tcBorders>
              <w:top w:val="nil"/>
              <w:bottom w:val="nil"/>
              <w:right w:val="nil"/>
            </w:tcBorders>
          </w:tcPr>
          <w:p w14:paraId="46D5E5C3"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9,5 %</w:t>
            </w:r>
          </w:p>
        </w:tc>
        <w:tc>
          <w:tcPr>
            <w:tcW w:w="1544" w:type="dxa"/>
            <w:tcBorders>
              <w:top w:val="nil"/>
              <w:left w:val="nil"/>
              <w:bottom w:val="nil"/>
            </w:tcBorders>
          </w:tcPr>
          <w:p w14:paraId="16DC494D"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41,5 %</w:t>
            </w:r>
          </w:p>
        </w:tc>
      </w:tr>
      <w:tr w:rsidR="0066522E" w14:paraId="0D85E880" w14:textId="77777777" w:rsidTr="00183CD7">
        <w:tc>
          <w:tcPr>
            <w:tcW w:w="1212" w:type="dxa"/>
            <w:tcBorders>
              <w:top w:val="nil"/>
              <w:bottom w:val="nil"/>
            </w:tcBorders>
          </w:tcPr>
          <w:p w14:paraId="1A302C4B" w14:textId="77777777" w:rsidR="0066522E" w:rsidRDefault="0066522E" w:rsidP="00183CD7">
            <w:pPr>
              <w:pStyle w:val="TableParagraph"/>
              <w:spacing w:line="241"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ACR 70</w:t>
            </w:r>
          </w:p>
        </w:tc>
        <w:tc>
          <w:tcPr>
            <w:tcW w:w="1276" w:type="dxa"/>
            <w:tcBorders>
              <w:top w:val="nil"/>
              <w:bottom w:val="nil"/>
              <w:right w:val="nil"/>
            </w:tcBorders>
          </w:tcPr>
          <w:p w14:paraId="451FFD35"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tc>
        <w:tc>
          <w:tcPr>
            <w:tcW w:w="1381" w:type="dxa"/>
            <w:tcBorders>
              <w:top w:val="nil"/>
              <w:left w:val="nil"/>
              <w:bottom w:val="nil"/>
            </w:tcBorders>
          </w:tcPr>
          <w:p w14:paraId="7741AA6D"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tc>
        <w:tc>
          <w:tcPr>
            <w:tcW w:w="1273" w:type="dxa"/>
            <w:tcBorders>
              <w:top w:val="nil"/>
              <w:bottom w:val="nil"/>
              <w:right w:val="nil"/>
            </w:tcBorders>
          </w:tcPr>
          <w:p w14:paraId="2D33FF13"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tc>
        <w:tc>
          <w:tcPr>
            <w:tcW w:w="1288" w:type="dxa"/>
            <w:tcBorders>
              <w:top w:val="nil"/>
              <w:left w:val="nil"/>
              <w:bottom w:val="nil"/>
            </w:tcBorders>
          </w:tcPr>
          <w:p w14:paraId="3ECD4FE6"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tc>
        <w:tc>
          <w:tcPr>
            <w:tcW w:w="1151" w:type="dxa"/>
            <w:tcBorders>
              <w:top w:val="nil"/>
              <w:bottom w:val="nil"/>
              <w:right w:val="nil"/>
            </w:tcBorders>
          </w:tcPr>
          <w:p w14:paraId="657EF5C8"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tc>
        <w:tc>
          <w:tcPr>
            <w:tcW w:w="1544" w:type="dxa"/>
            <w:tcBorders>
              <w:top w:val="nil"/>
              <w:left w:val="nil"/>
              <w:bottom w:val="nil"/>
            </w:tcBorders>
          </w:tcPr>
          <w:p w14:paraId="52A7E195"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p>
        </w:tc>
      </w:tr>
      <w:tr w:rsidR="0066522E" w14:paraId="01C32B12" w14:textId="77777777" w:rsidTr="00183CD7">
        <w:tc>
          <w:tcPr>
            <w:tcW w:w="1212" w:type="dxa"/>
            <w:tcBorders>
              <w:top w:val="nil"/>
              <w:bottom w:val="nil"/>
            </w:tcBorders>
          </w:tcPr>
          <w:p w14:paraId="65352208" w14:textId="77777777" w:rsidR="0066522E" w:rsidRDefault="0066522E" w:rsidP="00183CD7">
            <w:pPr>
              <w:pStyle w:val="TableParagraph"/>
              <w:spacing w:line="242" w:lineRule="exact"/>
              <w:ind w:left="144"/>
              <w:rPr>
                <w:rFonts w:ascii="Times New Roman" w:eastAsia="Times New Roman" w:hAnsi="Times New Roman" w:cs="Times New Roman"/>
                <w:lang w:val="sl-SI"/>
              </w:rPr>
            </w:pPr>
            <w:r>
              <w:rPr>
                <w:rFonts w:ascii="Times New Roman" w:eastAsia="Times New Roman" w:hAnsi="Times New Roman" w:cs="Times New Roman"/>
                <w:lang w:val="sl-SI"/>
              </w:rPr>
              <w:t>6 mesecev</w:t>
            </w:r>
          </w:p>
        </w:tc>
        <w:tc>
          <w:tcPr>
            <w:tcW w:w="1276" w:type="dxa"/>
            <w:tcBorders>
              <w:top w:val="nil"/>
              <w:bottom w:val="nil"/>
              <w:right w:val="nil"/>
            </w:tcBorders>
          </w:tcPr>
          <w:p w14:paraId="42677B33"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3,3 %</w:t>
            </w:r>
          </w:p>
        </w:tc>
        <w:tc>
          <w:tcPr>
            <w:tcW w:w="1381" w:type="dxa"/>
            <w:tcBorders>
              <w:top w:val="nil"/>
              <w:left w:val="nil"/>
              <w:bottom w:val="nil"/>
            </w:tcBorders>
          </w:tcPr>
          <w:p w14:paraId="16EE3BC1"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23,8 %</w:t>
            </w:r>
          </w:p>
        </w:tc>
        <w:tc>
          <w:tcPr>
            <w:tcW w:w="1273" w:type="dxa"/>
            <w:tcBorders>
              <w:top w:val="nil"/>
              <w:bottom w:val="nil"/>
              <w:right w:val="nil"/>
            </w:tcBorders>
          </w:tcPr>
          <w:p w14:paraId="4C7727FD"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1,8 %</w:t>
            </w:r>
          </w:p>
        </w:tc>
        <w:tc>
          <w:tcPr>
            <w:tcW w:w="1288" w:type="dxa"/>
            <w:tcBorders>
              <w:top w:val="nil"/>
              <w:left w:val="nil"/>
              <w:bottom w:val="nil"/>
            </w:tcBorders>
          </w:tcPr>
          <w:p w14:paraId="1245FCB0"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12,4 %</w:t>
            </w:r>
          </w:p>
        </w:tc>
        <w:tc>
          <w:tcPr>
            <w:tcW w:w="1151" w:type="dxa"/>
            <w:tcBorders>
              <w:top w:val="nil"/>
              <w:bottom w:val="nil"/>
              <w:right w:val="nil"/>
            </w:tcBorders>
          </w:tcPr>
          <w:p w14:paraId="21FBB55F"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2,5 %</w:t>
            </w:r>
          </w:p>
        </w:tc>
        <w:tc>
          <w:tcPr>
            <w:tcW w:w="1544" w:type="dxa"/>
            <w:tcBorders>
              <w:top w:val="nil"/>
              <w:left w:val="nil"/>
              <w:bottom w:val="nil"/>
            </w:tcBorders>
          </w:tcPr>
          <w:p w14:paraId="5069B149"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20,8 %</w:t>
            </w:r>
          </w:p>
        </w:tc>
      </w:tr>
      <w:tr w:rsidR="0066522E" w14:paraId="42806664" w14:textId="77777777" w:rsidTr="00183CD7">
        <w:tc>
          <w:tcPr>
            <w:tcW w:w="1212" w:type="dxa"/>
            <w:tcBorders>
              <w:top w:val="nil"/>
            </w:tcBorders>
          </w:tcPr>
          <w:p w14:paraId="3757F415" w14:textId="77777777" w:rsidR="0066522E" w:rsidRDefault="0066522E" w:rsidP="00183CD7">
            <w:pPr>
              <w:pStyle w:val="TableParagraph"/>
              <w:spacing w:line="241" w:lineRule="exact"/>
              <w:ind w:left="144"/>
              <w:rPr>
                <w:rFonts w:ascii="Times New Roman" w:eastAsia="Times New Roman" w:hAnsi="Times New Roman" w:cs="Times New Roman"/>
                <w:lang w:val="sl-SI"/>
              </w:rPr>
            </w:pPr>
            <w:r>
              <w:rPr>
                <w:rFonts w:ascii="Times New Roman" w:eastAsia="Times New Roman" w:hAnsi="Times New Roman" w:cs="Times New Roman"/>
                <w:lang w:val="sl-SI"/>
              </w:rPr>
              <w:t>12 mesecev</w:t>
            </w:r>
          </w:p>
        </w:tc>
        <w:tc>
          <w:tcPr>
            <w:tcW w:w="1276" w:type="dxa"/>
            <w:tcBorders>
              <w:top w:val="nil"/>
              <w:right w:val="nil"/>
            </w:tcBorders>
          </w:tcPr>
          <w:p w14:paraId="443B995B"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381" w:type="dxa"/>
            <w:tcBorders>
              <w:top w:val="nil"/>
              <w:left w:val="nil"/>
            </w:tcBorders>
          </w:tcPr>
          <w:p w14:paraId="3D770CBA"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273" w:type="dxa"/>
            <w:tcBorders>
              <w:top w:val="nil"/>
              <w:right w:val="nil"/>
            </w:tcBorders>
          </w:tcPr>
          <w:p w14:paraId="1B301F27"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288" w:type="dxa"/>
            <w:tcBorders>
              <w:top w:val="nil"/>
              <w:left w:val="nil"/>
            </w:tcBorders>
          </w:tcPr>
          <w:p w14:paraId="2027DE02"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Ni na voljo</w:t>
            </w:r>
          </w:p>
        </w:tc>
        <w:tc>
          <w:tcPr>
            <w:tcW w:w="1151" w:type="dxa"/>
            <w:tcBorders>
              <w:top w:val="nil"/>
              <w:right w:val="nil"/>
            </w:tcBorders>
          </w:tcPr>
          <w:p w14:paraId="347CA71A"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4,5 %</w:t>
            </w:r>
          </w:p>
        </w:tc>
        <w:tc>
          <w:tcPr>
            <w:tcW w:w="1544" w:type="dxa"/>
            <w:tcBorders>
              <w:top w:val="nil"/>
              <w:left w:val="nil"/>
            </w:tcBorders>
          </w:tcPr>
          <w:p w14:paraId="2D236903" w14:textId="77777777" w:rsidR="0066522E" w:rsidRDefault="0066522E" w:rsidP="00183CD7">
            <w:pPr>
              <w:pStyle w:val="TableParagraph"/>
              <w:spacing w:line="241" w:lineRule="exact"/>
              <w:ind w:left="178" w:right="103"/>
              <w:jc w:val="center"/>
              <w:rPr>
                <w:rFonts w:ascii="Times New Roman" w:eastAsia="Times New Roman" w:hAnsi="Times New Roman" w:cs="Times New Roman"/>
                <w:spacing w:val="-2"/>
                <w:lang w:val="sl-SI"/>
              </w:rPr>
            </w:pPr>
            <w:r>
              <w:rPr>
                <w:rFonts w:ascii="Times New Roman" w:eastAsia="Times New Roman" w:hAnsi="Times New Roman" w:cs="Times New Roman"/>
                <w:spacing w:val="-2"/>
                <w:lang w:val="sl-SI"/>
              </w:rPr>
              <w:t>23,2 %</w:t>
            </w:r>
          </w:p>
        </w:tc>
      </w:tr>
    </w:tbl>
    <w:p w14:paraId="52E4DD0C" w14:textId="77777777" w:rsidR="0066522E" w:rsidRDefault="0066522E" w:rsidP="007811C6">
      <w:pPr>
        <w:pStyle w:val="a3"/>
        <w:numPr>
          <w:ilvl w:val="0"/>
          <w:numId w:val="0"/>
        </w:numPr>
        <w:ind w:leftChars="100" w:left="220"/>
        <w:rPr>
          <w:lang w:val="sl-SI"/>
        </w:rPr>
      </w:pPr>
      <w:r>
        <w:rPr>
          <w:rFonts w:eastAsia="Times New Roman"/>
          <w:position w:val="8"/>
          <w:vertAlign w:val="superscript"/>
          <w:lang w:val="sl-SI"/>
        </w:rPr>
        <w:t>a</w:t>
      </w:r>
      <w:r>
        <w:rPr>
          <w:rFonts w:eastAsia="Times New Roman"/>
          <w:position w:val="8"/>
          <w:lang w:val="sl-SI"/>
        </w:rPr>
        <w:t xml:space="preserve"> Študija revmatoidnega artritisa I po 24 tednih, študija revmatoidnega artritisa II po 26 tednih ter študija revmatoidnega artritisa III po 24 in 52 tednih</w:t>
      </w:r>
    </w:p>
    <w:p w14:paraId="31010395" w14:textId="77777777" w:rsidR="0066522E" w:rsidRDefault="0066522E" w:rsidP="007811C6">
      <w:pPr>
        <w:pStyle w:val="a3"/>
        <w:numPr>
          <w:ilvl w:val="0"/>
          <w:numId w:val="0"/>
        </w:numPr>
        <w:ind w:leftChars="100" w:left="220"/>
        <w:rPr>
          <w:lang w:val="sl-SI"/>
        </w:rPr>
      </w:pPr>
      <w:r>
        <w:rPr>
          <w:rFonts w:eastAsia="Times New Roman"/>
          <w:position w:val="8"/>
          <w:vertAlign w:val="superscript"/>
          <w:lang w:val="sl-SI"/>
        </w:rPr>
        <w:t>b</w:t>
      </w:r>
      <w:r>
        <w:rPr>
          <w:rFonts w:eastAsia="Times New Roman"/>
          <w:position w:val="8"/>
          <w:lang w:val="sl-SI"/>
        </w:rPr>
        <w:t xml:space="preserve"> 40 mg adalimumaba vsak drugi teden</w:t>
      </w:r>
    </w:p>
    <w:p w14:paraId="0EF32607" w14:textId="77777777" w:rsidR="0066522E" w:rsidRDefault="0066522E" w:rsidP="007811C6">
      <w:pPr>
        <w:pStyle w:val="a3"/>
        <w:ind w:leftChars="100" w:left="220"/>
        <w:rPr>
          <w:lang w:val="sl-SI"/>
        </w:rPr>
      </w:pPr>
      <w:r>
        <w:rPr>
          <w:rFonts w:eastAsia="Times New Roman"/>
          <w:position w:val="8"/>
          <w:vertAlign w:val="superscript"/>
          <w:lang w:val="sl-SI"/>
        </w:rPr>
        <w:t>c</w:t>
      </w:r>
      <w:r>
        <w:rPr>
          <w:rFonts w:eastAsia="Times New Roman"/>
          <w:position w:val="8"/>
          <w:lang w:val="sl-SI"/>
        </w:rPr>
        <w:t xml:space="preserve"> MTX = metotreksat</w:t>
      </w:r>
    </w:p>
    <w:p w14:paraId="2106852E" w14:textId="77777777" w:rsidR="0066522E" w:rsidRDefault="0066522E" w:rsidP="007811C6">
      <w:pPr>
        <w:spacing w:before="1"/>
        <w:ind w:leftChars="100" w:left="220"/>
        <w:rPr>
          <w:rFonts w:ascii="Times New Roman" w:eastAsia="Times New Roman" w:hAnsi="Times New Roman" w:cs="Times New Roman"/>
          <w:lang w:val="sl-SI"/>
        </w:rPr>
      </w:pPr>
      <w:r>
        <w:rPr>
          <w:rFonts w:ascii="Times New Roman" w:eastAsia="Times New Roman" w:hAnsi="Times New Roman" w:cs="Times New Roman"/>
          <w:lang w:val="sl-SI"/>
        </w:rPr>
        <w:t>**p &lt; 0,01, adalimumab v primerjavi s</w:t>
      </w:r>
      <w:r>
        <w:rPr>
          <w:rFonts w:ascii="Times New Roman" w:eastAsia="Times New Roman" w:hAnsi="Times New Roman" w:cs="Times New Roman"/>
          <w:i/>
          <w:iCs/>
          <w:lang w:val="sl-SI"/>
        </w:rPr>
        <w:t xml:space="preserve"> </w:t>
      </w:r>
      <w:r>
        <w:rPr>
          <w:rFonts w:ascii="Times New Roman" w:eastAsia="Times New Roman" w:hAnsi="Times New Roman" w:cs="Times New Roman"/>
          <w:lang w:val="sl-SI"/>
        </w:rPr>
        <w:t>placebom</w:t>
      </w:r>
    </w:p>
    <w:p w14:paraId="122FF6C0" w14:textId="77777777" w:rsidR="0066522E" w:rsidRDefault="0066522E" w:rsidP="0066522E">
      <w:pPr>
        <w:spacing w:before="1" w:line="180" w:lineRule="exact"/>
        <w:rPr>
          <w:sz w:val="18"/>
          <w:szCs w:val="18"/>
          <w:lang w:val="sl-SI"/>
        </w:rPr>
      </w:pPr>
    </w:p>
    <w:p w14:paraId="5519F0B3" w14:textId="77777777" w:rsidR="0066522E" w:rsidRDefault="0066522E" w:rsidP="0066522E">
      <w:pPr>
        <w:pStyle w:val="a3"/>
        <w:rPr>
          <w:lang w:val="sl-SI"/>
        </w:rPr>
      </w:pPr>
      <w:r>
        <w:rPr>
          <w:rFonts w:eastAsia="Times New Roman"/>
          <w:lang w:val="sl-SI"/>
        </w:rPr>
        <w:t>V študijah revmatoidnega artritisa I–IV so se v primerjavi s placebom po 24 oz. 26 tednih izboljšali vsi posamezni elementi meril odziva po ACR (število bolečih in oteklih sklepov, zdravnikova in bolnikova ocena aktivnosti bolezni in bolečin, vrednost indeksa invalidnosti (HAQ) in vrednost CRP (mg/dl)). V študiji revmatoidnega artritisa III so se ta izboljšanja ohranila 52 tednov.</w:t>
      </w:r>
    </w:p>
    <w:p w14:paraId="5F33F1C5" w14:textId="77777777" w:rsidR="0066522E" w:rsidRDefault="0066522E" w:rsidP="0066522E">
      <w:pPr>
        <w:spacing w:before="13" w:line="240" w:lineRule="exact"/>
        <w:rPr>
          <w:sz w:val="24"/>
          <w:szCs w:val="24"/>
          <w:lang w:val="sl-SI"/>
        </w:rPr>
      </w:pPr>
    </w:p>
    <w:p w14:paraId="66CEFE3C" w14:textId="77777777" w:rsidR="0066522E" w:rsidRDefault="0066522E" w:rsidP="0066522E">
      <w:pPr>
        <w:pStyle w:val="a3"/>
        <w:rPr>
          <w:lang w:val="sl-SI"/>
        </w:rPr>
      </w:pPr>
      <w:r>
        <w:rPr>
          <w:rFonts w:eastAsia="Times New Roman"/>
          <w:lang w:val="sl-SI"/>
        </w:rPr>
        <w:t>V odprtem podaljšanju študije revmatoidnega artritisa III se je večina bolnikov, ki so se odzvali na ACR, odzivala še naprej v času sledenja do 10 let. Od 207 bolnikov, ki so bili randomizirani na adalimumab 40 mg vsak drugi teden, jih je 114 nadaljevalo zdravljenje z adalimumabom 40 mg vsak drugi teden še 5 let. Med temi je 86 bolnikov (75,4 %) imelo odziv 20 po ACR; 72 bolnikov (63,2 %) je imelo odziv 50 po ACR; in 41 bolnikov (36 %) je imelo odziv 70 po ACR. Od 207 bolnikov jih je 81 nadaljevalo zdravljenje z adalimumabom 40 mg vsak drugi teden še 10 let. Med temi je 64 bolnikov (79,0 %) imelo odziv 20 po ACR; 56 bolnikov (69,1 %) je imelo odziv 50 po ACR; in 43 bolnikov (53,1 %) je imelo odziv 70 po ACR.</w:t>
      </w:r>
    </w:p>
    <w:p w14:paraId="2DFC44AD" w14:textId="77777777" w:rsidR="0066522E" w:rsidRDefault="0066522E" w:rsidP="0066522E">
      <w:pPr>
        <w:spacing w:before="17" w:line="240" w:lineRule="exact"/>
        <w:rPr>
          <w:sz w:val="24"/>
          <w:szCs w:val="24"/>
          <w:lang w:val="sl-SI"/>
        </w:rPr>
      </w:pPr>
    </w:p>
    <w:p w14:paraId="41E36482" w14:textId="77777777" w:rsidR="0066522E" w:rsidRDefault="0066522E" w:rsidP="0066522E">
      <w:pPr>
        <w:pStyle w:val="a3"/>
        <w:rPr>
          <w:lang w:val="sl-SI"/>
        </w:rPr>
      </w:pPr>
      <w:r>
        <w:rPr>
          <w:rFonts w:eastAsia="Times New Roman"/>
          <w:lang w:val="sl-SI"/>
        </w:rPr>
        <w:t>V študiji revmatoidnega artritisa IV je bil odziv 20 po ACR pri bolnikih, zdravljenih z adalimumabom in standardno oskrbo, statistično značilno boljši kot pri bolnikih, zdravljenih s placebom in standardno oskrbo (p &lt; 0,001).</w:t>
      </w:r>
    </w:p>
    <w:p w14:paraId="4B93A9E4" w14:textId="77777777" w:rsidR="0066522E" w:rsidRDefault="0066522E" w:rsidP="0066522E">
      <w:pPr>
        <w:spacing w:before="11" w:line="240" w:lineRule="exact"/>
        <w:rPr>
          <w:sz w:val="24"/>
          <w:szCs w:val="24"/>
          <w:lang w:val="sl-SI"/>
        </w:rPr>
      </w:pPr>
    </w:p>
    <w:p w14:paraId="7AE9616C" w14:textId="77777777" w:rsidR="0066522E" w:rsidRDefault="0066522E" w:rsidP="0066522E">
      <w:pPr>
        <w:pStyle w:val="a3"/>
        <w:rPr>
          <w:lang w:val="sl-SI"/>
        </w:rPr>
      </w:pPr>
      <w:r>
        <w:rPr>
          <w:rFonts w:eastAsia="Times New Roman"/>
          <w:lang w:val="sl-SI"/>
        </w:rPr>
        <w:t>V študijah revmatoidnega artritisa I-IV so bolniki, zdravljeni z adalimumabom, v primerjavi z bolniki, ki so prejemali placebo, dosegli statistično značilen odziv 20 in 50 po ACR že en do dva tedna po začetku zdravljenja.</w:t>
      </w:r>
    </w:p>
    <w:p w14:paraId="664B6504" w14:textId="77777777" w:rsidR="0066522E" w:rsidRDefault="0066522E" w:rsidP="0066522E">
      <w:pPr>
        <w:pStyle w:val="a3"/>
        <w:rPr>
          <w:lang w:val="sl-SI"/>
        </w:rPr>
      </w:pPr>
    </w:p>
    <w:p w14:paraId="756F4329" w14:textId="56379809" w:rsidR="0066522E" w:rsidRDefault="0066522E" w:rsidP="0066522E">
      <w:pPr>
        <w:pStyle w:val="a3"/>
        <w:rPr>
          <w:lang w:val="sl-SI"/>
        </w:rPr>
      </w:pPr>
      <w:r>
        <w:rPr>
          <w:rFonts w:eastAsia="Times New Roman"/>
          <w:lang w:val="sl-SI"/>
        </w:rPr>
        <w:t>V študiji revmatoidnega artritisa V pri bolnikih z zgodnjim revmatoidnim artritisom, ki še niso dobivali metotreksata, je kombinirana terapija z adalimumabom in metotreksatom po 52 tednih prinesla hitrejše in značilno večje odzive ACR kakor monoterapija z metotreksatom ali monoterapija z adalimumabom odzivi pa so se ohranili do 104. tedna (glejte preglednico </w:t>
      </w:r>
      <w:r w:rsidR="00813F52">
        <w:rPr>
          <w:rFonts w:eastAsia="Times New Roman"/>
          <w:lang w:val="sl-SI"/>
        </w:rPr>
        <w:t>8</w:t>
      </w:r>
      <w:r>
        <w:rPr>
          <w:rFonts w:eastAsia="Times New Roman"/>
          <w:lang w:val="sl-SI"/>
        </w:rPr>
        <w:t>).</w:t>
      </w:r>
    </w:p>
    <w:p w14:paraId="48706DA3" w14:textId="77777777" w:rsidR="0066522E" w:rsidRDefault="0066522E" w:rsidP="0066522E">
      <w:pPr>
        <w:pStyle w:val="a3"/>
        <w:jc w:val="center"/>
        <w:rPr>
          <w:b/>
          <w:lang w:val="sl-SI"/>
        </w:rPr>
      </w:pPr>
    </w:p>
    <w:p w14:paraId="1C2AD5DE" w14:textId="2DD06830" w:rsidR="0066522E" w:rsidRDefault="0066522E" w:rsidP="0066522E">
      <w:pPr>
        <w:pStyle w:val="a3"/>
        <w:jc w:val="center"/>
        <w:rPr>
          <w:b/>
          <w:lang w:val="sl-SI"/>
        </w:rPr>
      </w:pPr>
      <w:r>
        <w:rPr>
          <w:rFonts w:eastAsia="Times New Roman"/>
          <w:b/>
          <w:bCs/>
          <w:lang w:val="sl-SI"/>
        </w:rPr>
        <w:t>Preglednica </w:t>
      </w:r>
      <w:r w:rsidR="00813F52">
        <w:rPr>
          <w:rFonts w:eastAsia="Times New Roman"/>
          <w:b/>
          <w:bCs/>
          <w:lang w:val="sl-SI"/>
        </w:rPr>
        <w:t>8</w:t>
      </w:r>
      <w:r>
        <w:rPr>
          <w:rFonts w:eastAsia="Times New Roman"/>
          <w:b/>
          <w:bCs/>
          <w:lang w:val="sl-SI"/>
        </w:rPr>
        <w:t>.</w:t>
      </w:r>
    </w:p>
    <w:p w14:paraId="325B5C59" w14:textId="77777777" w:rsidR="0066522E" w:rsidRDefault="0066522E" w:rsidP="0066522E">
      <w:pPr>
        <w:pStyle w:val="a3"/>
        <w:jc w:val="center"/>
        <w:rPr>
          <w:b/>
          <w:lang w:val="sl-SI"/>
        </w:rPr>
      </w:pPr>
      <w:r>
        <w:rPr>
          <w:rFonts w:eastAsia="Times New Roman"/>
          <w:b/>
          <w:bCs/>
          <w:lang w:val="sl-SI"/>
        </w:rPr>
        <w:t>Odzivi ACR v študiji revmatoidnega artritisa V</w:t>
      </w:r>
    </w:p>
    <w:p w14:paraId="75F28CBC" w14:textId="77777777" w:rsidR="0066522E" w:rsidRDefault="0066522E" w:rsidP="0066522E">
      <w:pPr>
        <w:pStyle w:val="a3"/>
        <w:jc w:val="center"/>
        <w:rPr>
          <w:b/>
          <w:lang w:val="sl-SI"/>
        </w:rPr>
      </w:pPr>
      <w:r>
        <w:rPr>
          <w:rFonts w:eastAsia="Times New Roman"/>
          <w:b/>
          <w:bCs/>
          <w:lang w:val="sl-SI"/>
        </w:rPr>
        <w:t>Odstotek bolnikov</w:t>
      </w:r>
    </w:p>
    <w:p w14:paraId="750DF04B" w14:textId="77777777" w:rsidR="0066522E" w:rsidRDefault="0066522E" w:rsidP="0066522E">
      <w:pPr>
        <w:pStyle w:val="a3"/>
        <w:jc w:val="center"/>
        <w:rPr>
          <w:b/>
          <w:lang w:val="sl-SI"/>
        </w:rPr>
      </w:pPr>
    </w:p>
    <w:tbl>
      <w:tblPr>
        <w:tblStyle w:val="TableNormal1"/>
        <w:tblW w:w="0" w:type="auto"/>
        <w:tblInd w:w="1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29"/>
        <w:gridCol w:w="992"/>
        <w:gridCol w:w="1418"/>
        <w:gridCol w:w="1984"/>
        <w:gridCol w:w="1236"/>
        <w:gridCol w:w="1174"/>
        <w:gridCol w:w="1216"/>
      </w:tblGrid>
      <w:tr w:rsidR="0066522E" w14:paraId="7BE201E8" w14:textId="77777777" w:rsidTr="00183CD7">
        <w:tc>
          <w:tcPr>
            <w:tcW w:w="1229" w:type="dxa"/>
            <w:vAlign w:val="center"/>
          </w:tcPr>
          <w:p w14:paraId="32C871F2"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Odziv</w:t>
            </w:r>
          </w:p>
        </w:tc>
        <w:tc>
          <w:tcPr>
            <w:tcW w:w="992" w:type="dxa"/>
            <w:vAlign w:val="center"/>
          </w:tcPr>
          <w:p w14:paraId="4EC81EC4" w14:textId="77777777" w:rsidR="0066522E" w:rsidRDefault="0066522E" w:rsidP="00183CD7">
            <w:pPr>
              <w:pStyle w:val="TableParagraph"/>
              <w:spacing w:line="252" w:lineRule="exact"/>
              <w:ind w:firstLine="33"/>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MTX n = 257</w:t>
            </w:r>
          </w:p>
        </w:tc>
        <w:tc>
          <w:tcPr>
            <w:tcW w:w="1418" w:type="dxa"/>
            <w:vAlign w:val="center"/>
          </w:tcPr>
          <w:p w14:paraId="6E51147A" w14:textId="77777777" w:rsidR="0066522E" w:rsidRDefault="0066522E" w:rsidP="00183CD7">
            <w:pPr>
              <w:pStyle w:val="TableParagraph"/>
              <w:spacing w:line="252" w:lineRule="exact"/>
              <w:ind w:firstLine="5"/>
              <w:jc w:val="center"/>
              <w:rPr>
                <w:rFonts w:ascii="Times New Roman" w:eastAsia="Times New Roman" w:hAnsi="Times New Roman" w:cs="Times New Roman"/>
                <w:lang w:val="sl-SI"/>
              </w:rPr>
            </w:pPr>
            <w:r>
              <w:rPr>
                <w:rFonts w:ascii="Times New Roman" w:eastAsia="Times New Roman" w:hAnsi="Times New Roman" w:cs="Times New Roman"/>
                <w:b/>
                <w:bCs/>
                <w:lang w:val="sl-SI"/>
              </w:rPr>
              <w:t>Adalimumab n = 274</w:t>
            </w:r>
          </w:p>
        </w:tc>
        <w:tc>
          <w:tcPr>
            <w:tcW w:w="1984" w:type="dxa"/>
            <w:vAlign w:val="center"/>
          </w:tcPr>
          <w:p w14:paraId="378B6CE7" w14:textId="77777777" w:rsidR="0066522E" w:rsidRDefault="0066522E" w:rsidP="00183CD7">
            <w:pPr>
              <w:pStyle w:val="TableParagraph"/>
              <w:spacing w:line="252" w:lineRule="exact"/>
              <w:jc w:val="center"/>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Adalimumab/MTX</w:t>
            </w:r>
          </w:p>
          <w:p w14:paraId="7ADDB900" w14:textId="77777777" w:rsidR="0066522E" w:rsidRDefault="0066522E" w:rsidP="00183CD7">
            <w:pPr>
              <w:pStyle w:val="TableParagraph"/>
              <w:spacing w:line="252" w:lineRule="exact"/>
              <w:ind w:hanging="372"/>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268</w:t>
            </w:r>
          </w:p>
        </w:tc>
        <w:tc>
          <w:tcPr>
            <w:tcW w:w="1236" w:type="dxa"/>
            <w:vAlign w:val="center"/>
          </w:tcPr>
          <w:p w14:paraId="270F2219"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Vrednost p</w:t>
            </w:r>
            <w:r>
              <w:rPr>
                <w:rFonts w:ascii="Times New Roman" w:eastAsia="Times New Roman" w:hAnsi="Times New Roman" w:cs="Times New Roman"/>
                <w:b/>
                <w:bCs/>
                <w:spacing w:val="-1"/>
                <w:vertAlign w:val="superscript"/>
                <w:lang w:val="sl-SI"/>
              </w:rPr>
              <w:t>a</w:t>
            </w:r>
          </w:p>
        </w:tc>
        <w:tc>
          <w:tcPr>
            <w:tcW w:w="1174" w:type="dxa"/>
            <w:vAlign w:val="center"/>
          </w:tcPr>
          <w:p w14:paraId="0A9BDE8B"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Vrednost p</w:t>
            </w:r>
            <w:r>
              <w:rPr>
                <w:rFonts w:ascii="Times New Roman" w:eastAsia="Times New Roman" w:hAnsi="Times New Roman" w:cs="Times New Roman"/>
                <w:b/>
                <w:bCs/>
                <w:spacing w:val="-1"/>
                <w:vertAlign w:val="superscript"/>
                <w:lang w:val="sl-SI"/>
              </w:rPr>
              <w:t>b</w:t>
            </w:r>
          </w:p>
        </w:tc>
        <w:tc>
          <w:tcPr>
            <w:tcW w:w="1216" w:type="dxa"/>
            <w:vAlign w:val="center"/>
          </w:tcPr>
          <w:p w14:paraId="18B53C96"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Vrednost p</w:t>
            </w:r>
            <w:r>
              <w:rPr>
                <w:rFonts w:ascii="Times New Roman" w:eastAsia="Times New Roman" w:hAnsi="Times New Roman" w:cs="Times New Roman"/>
                <w:b/>
                <w:bCs/>
                <w:spacing w:val="-1"/>
                <w:vertAlign w:val="superscript"/>
                <w:lang w:val="sl-SI"/>
              </w:rPr>
              <w:t>c</w:t>
            </w:r>
          </w:p>
        </w:tc>
      </w:tr>
      <w:tr w:rsidR="0066522E" w14:paraId="70FDC100" w14:textId="77777777" w:rsidTr="00183CD7">
        <w:tc>
          <w:tcPr>
            <w:tcW w:w="9249" w:type="dxa"/>
            <w:gridSpan w:val="7"/>
          </w:tcPr>
          <w:p w14:paraId="2870230F" w14:textId="77777777" w:rsidR="0066522E" w:rsidRDefault="0066522E" w:rsidP="00183CD7">
            <w:pPr>
              <w:rPr>
                <w:lang w:val="sl-SI"/>
              </w:rPr>
            </w:pPr>
            <w:r>
              <w:rPr>
                <w:rFonts w:ascii="Times New Roman" w:eastAsia="Times New Roman" w:hAnsi="Times New Roman" w:cs="Times New Roman"/>
                <w:spacing w:val="-1"/>
                <w:lang w:val="sl-SI"/>
              </w:rPr>
              <w:lastRenderedPageBreak/>
              <w:t>ACR 20</w:t>
            </w:r>
          </w:p>
        </w:tc>
      </w:tr>
      <w:tr w:rsidR="0066522E" w14:paraId="11459485" w14:textId="77777777" w:rsidTr="00183CD7">
        <w:tc>
          <w:tcPr>
            <w:tcW w:w="1229" w:type="dxa"/>
          </w:tcPr>
          <w:p w14:paraId="51E212F0" w14:textId="77777777" w:rsidR="0066522E" w:rsidRDefault="0066522E" w:rsidP="00183CD7">
            <w:pPr>
              <w:pStyle w:val="TableParagraph"/>
              <w:spacing w:line="248"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52. teden</w:t>
            </w:r>
          </w:p>
        </w:tc>
        <w:tc>
          <w:tcPr>
            <w:tcW w:w="992" w:type="dxa"/>
            <w:vAlign w:val="center"/>
          </w:tcPr>
          <w:p w14:paraId="68FD576E"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62,6 %</w:t>
            </w:r>
          </w:p>
        </w:tc>
        <w:tc>
          <w:tcPr>
            <w:tcW w:w="1418" w:type="dxa"/>
            <w:vAlign w:val="center"/>
          </w:tcPr>
          <w:p w14:paraId="5A0FF36C"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54,4 %</w:t>
            </w:r>
          </w:p>
        </w:tc>
        <w:tc>
          <w:tcPr>
            <w:tcW w:w="1984" w:type="dxa"/>
            <w:vAlign w:val="center"/>
          </w:tcPr>
          <w:p w14:paraId="30FA559F"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72,8 %</w:t>
            </w:r>
          </w:p>
        </w:tc>
        <w:tc>
          <w:tcPr>
            <w:tcW w:w="1236" w:type="dxa"/>
            <w:vAlign w:val="center"/>
          </w:tcPr>
          <w:p w14:paraId="0EB37102"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0,013</w:t>
            </w:r>
          </w:p>
        </w:tc>
        <w:tc>
          <w:tcPr>
            <w:tcW w:w="1174" w:type="dxa"/>
            <w:vAlign w:val="center"/>
          </w:tcPr>
          <w:p w14:paraId="15030EB4"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216" w:type="dxa"/>
            <w:vAlign w:val="center"/>
          </w:tcPr>
          <w:p w14:paraId="3157D2FA"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0,043</w:t>
            </w:r>
          </w:p>
        </w:tc>
      </w:tr>
      <w:tr w:rsidR="0066522E" w14:paraId="734F0549" w14:textId="77777777" w:rsidTr="00183CD7">
        <w:tc>
          <w:tcPr>
            <w:tcW w:w="1229" w:type="dxa"/>
          </w:tcPr>
          <w:p w14:paraId="355F61AC" w14:textId="77777777" w:rsidR="0066522E" w:rsidRDefault="0066522E" w:rsidP="00183CD7">
            <w:pPr>
              <w:pStyle w:val="TableParagraph"/>
              <w:spacing w:line="248"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104. teden</w:t>
            </w:r>
          </w:p>
        </w:tc>
        <w:tc>
          <w:tcPr>
            <w:tcW w:w="992" w:type="dxa"/>
            <w:vAlign w:val="center"/>
          </w:tcPr>
          <w:p w14:paraId="2732D588"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56,0 %</w:t>
            </w:r>
          </w:p>
        </w:tc>
        <w:tc>
          <w:tcPr>
            <w:tcW w:w="1418" w:type="dxa"/>
            <w:vAlign w:val="center"/>
          </w:tcPr>
          <w:p w14:paraId="64369846"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49,3 %</w:t>
            </w:r>
          </w:p>
        </w:tc>
        <w:tc>
          <w:tcPr>
            <w:tcW w:w="1984" w:type="dxa"/>
            <w:vAlign w:val="center"/>
          </w:tcPr>
          <w:p w14:paraId="1D7C956A"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69,4 %</w:t>
            </w:r>
          </w:p>
        </w:tc>
        <w:tc>
          <w:tcPr>
            <w:tcW w:w="1236" w:type="dxa"/>
            <w:vAlign w:val="center"/>
          </w:tcPr>
          <w:p w14:paraId="4F7CD122"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0,002</w:t>
            </w:r>
          </w:p>
        </w:tc>
        <w:tc>
          <w:tcPr>
            <w:tcW w:w="1174" w:type="dxa"/>
            <w:vAlign w:val="center"/>
          </w:tcPr>
          <w:p w14:paraId="026FE617"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216" w:type="dxa"/>
            <w:vAlign w:val="center"/>
          </w:tcPr>
          <w:p w14:paraId="19DAA094"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0,140</w:t>
            </w:r>
          </w:p>
        </w:tc>
      </w:tr>
      <w:tr w:rsidR="0066522E" w14:paraId="1C561B06" w14:textId="77777777" w:rsidTr="00183CD7">
        <w:tc>
          <w:tcPr>
            <w:tcW w:w="9249" w:type="dxa"/>
            <w:gridSpan w:val="7"/>
          </w:tcPr>
          <w:p w14:paraId="398AC937" w14:textId="77777777" w:rsidR="0066522E" w:rsidRDefault="0066522E" w:rsidP="00183CD7">
            <w:pPr>
              <w:rPr>
                <w:lang w:val="sl-SI"/>
              </w:rPr>
            </w:pPr>
            <w:r>
              <w:rPr>
                <w:rFonts w:ascii="Times New Roman" w:eastAsia="Times New Roman" w:hAnsi="Times New Roman" w:cs="Times New Roman"/>
                <w:spacing w:val="-1"/>
                <w:lang w:val="sl-SI"/>
              </w:rPr>
              <w:t>ACR 50</w:t>
            </w:r>
          </w:p>
        </w:tc>
      </w:tr>
      <w:tr w:rsidR="0066522E" w14:paraId="04662351" w14:textId="77777777" w:rsidTr="00183CD7">
        <w:tc>
          <w:tcPr>
            <w:tcW w:w="1229" w:type="dxa"/>
          </w:tcPr>
          <w:p w14:paraId="2E577911" w14:textId="77777777" w:rsidR="0066522E" w:rsidRDefault="0066522E" w:rsidP="00183CD7">
            <w:pPr>
              <w:pStyle w:val="TableParagraph"/>
              <w:spacing w:line="246"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52. teden</w:t>
            </w:r>
          </w:p>
        </w:tc>
        <w:tc>
          <w:tcPr>
            <w:tcW w:w="992" w:type="dxa"/>
            <w:vAlign w:val="center"/>
          </w:tcPr>
          <w:p w14:paraId="6CCC4A61"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45,9 %</w:t>
            </w:r>
          </w:p>
        </w:tc>
        <w:tc>
          <w:tcPr>
            <w:tcW w:w="1418" w:type="dxa"/>
            <w:vAlign w:val="center"/>
          </w:tcPr>
          <w:p w14:paraId="744E56D5"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41,2 %</w:t>
            </w:r>
          </w:p>
        </w:tc>
        <w:tc>
          <w:tcPr>
            <w:tcW w:w="1984" w:type="dxa"/>
            <w:vAlign w:val="center"/>
          </w:tcPr>
          <w:p w14:paraId="7C662349"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61,6 %</w:t>
            </w:r>
          </w:p>
        </w:tc>
        <w:tc>
          <w:tcPr>
            <w:tcW w:w="1236" w:type="dxa"/>
            <w:vAlign w:val="center"/>
          </w:tcPr>
          <w:p w14:paraId="756495BC"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174" w:type="dxa"/>
            <w:vAlign w:val="center"/>
          </w:tcPr>
          <w:p w14:paraId="2ED154FE"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216" w:type="dxa"/>
            <w:vAlign w:val="center"/>
          </w:tcPr>
          <w:p w14:paraId="2FB66C51"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0,317</w:t>
            </w:r>
          </w:p>
        </w:tc>
      </w:tr>
      <w:tr w:rsidR="0066522E" w14:paraId="233D8F52" w14:textId="77777777" w:rsidTr="00183CD7">
        <w:tc>
          <w:tcPr>
            <w:tcW w:w="1229" w:type="dxa"/>
          </w:tcPr>
          <w:p w14:paraId="5D657D44" w14:textId="77777777" w:rsidR="0066522E" w:rsidRDefault="0066522E" w:rsidP="00183CD7">
            <w:pPr>
              <w:pStyle w:val="TableParagraph"/>
              <w:spacing w:line="246"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104. teden</w:t>
            </w:r>
          </w:p>
        </w:tc>
        <w:tc>
          <w:tcPr>
            <w:tcW w:w="992" w:type="dxa"/>
            <w:vAlign w:val="center"/>
          </w:tcPr>
          <w:p w14:paraId="1983854E"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42,8 %</w:t>
            </w:r>
          </w:p>
        </w:tc>
        <w:tc>
          <w:tcPr>
            <w:tcW w:w="1418" w:type="dxa"/>
            <w:vAlign w:val="center"/>
          </w:tcPr>
          <w:p w14:paraId="659DAE84"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36,9 %</w:t>
            </w:r>
          </w:p>
        </w:tc>
        <w:tc>
          <w:tcPr>
            <w:tcW w:w="1984" w:type="dxa"/>
            <w:vAlign w:val="center"/>
          </w:tcPr>
          <w:p w14:paraId="6D3CEC18"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59,0 %</w:t>
            </w:r>
          </w:p>
        </w:tc>
        <w:tc>
          <w:tcPr>
            <w:tcW w:w="1236" w:type="dxa"/>
            <w:vAlign w:val="center"/>
          </w:tcPr>
          <w:p w14:paraId="553A555F"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174" w:type="dxa"/>
            <w:vAlign w:val="center"/>
          </w:tcPr>
          <w:p w14:paraId="39E9F2B5"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216" w:type="dxa"/>
            <w:vAlign w:val="center"/>
          </w:tcPr>
          <w:p w14:paraId="5F10D162"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0,162</w:t>
            </w:r>
          </w:p>
        </w:tc>
      </w:tr>
      <w:tr w:rsidR="0066522E" w14:paraId="78284C4B" w14:textId="77777777" w:rsidTr="00183CD7">
        <w:tc>
          <w:tcPr>
            <w:tcW w:w="9249" w:type="dxa"/>
            <w:gridSpan w:val="7"/>
          </w:tcPr>
          <w:p w14:paraId="0BAFF3CA" w14:textId="77777777" w:rsidR="0066522E" w:rsidRDefault="0066522E" w:rsidP="00183CD7">
            <w:pPr>
              <w:rPr>
                <w:lang w:val="sl-SI"/>
              </w:rPr>
            </w:pPr>
            <w:r>
              <w:rPr>
                <w:rFonts w:ascii="Times New Roman" w:eastAsia="Times New Roman" w:hAnsi="Times New Roman" w:cs="Times New Roman"/>
                <w:spacing w:val="-1"/>
                <w:lang w:val="sl-SI"/>
              </w:rPr>
              <w:t>ACR 70</w:t>
            </w:r>
          </w:p>
        </w:tc>
      </w:tr>
      <w:tr w:rsidR="0066522E" w14:paraId="18F5903A" w14:textId="77777777" w:rsidTr="00183CD7">
        <w:tc>
          <w:tcPr>
            <w:tcW w:w="1229" w:type="dxa"/>
          </w:tcPr>
          <w:p w14:paraId="3D03D720" w14:textId="77777777" w:rsidR="0066522E" w:rsidRDefault="0066522E" w:rsidP="00183CD7">
            <w:pPr>
              <w:pStyle w:val="TableParagraph"/>
              <w:spacing w:line="248"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52. teden</w:t>
            </w:r>
          </w:p>
        </w:tc>
        <w:tc>
          <w:tcPr>
            <w:tcW w:w="992" w:type="dxa"/>
            <w:vAlign w:val="center"/>
          </w:tcPr>
          <w:p w14:paraId="5760C675"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27,2 %</w:t>
            </w:r>
          </w:p>
        </w:tc>
        <w:tc>
          <w:tcPr>
            <w:tcW w:w="1418" w:type="dxa"/>
            <w:vAlign w:val="center"/>
          </w:tcPr>
          <w:p w14:paraId="36AA5C8F"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25,9 %</w:t>
            </w:r>
          </w:p>
        </w:tc>
        <w:tc>
          <w:tcPr>
            <w:tcW w:w="1984" w:type="dxa"/>
            <w:vAlign w:val="center"/>
          </w:tcPr>
          <w:p w14:paraId="40AD9C90"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45,5 %</w:t>
            </w:r>
          </w:p>
        </w:tc>
        <w:tc>
          <w:tcPr>
            <w:tcW w:w="1236" w:type="dxa"/>
            <w:vAlign w:val="center"/>
          </w:tcPr>
          <w:p w14:paraId="5F5C0625"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174" w:type="dxa"/>
            <w:vAlign w:val="center"/>
          </w:tcPr>
          <w:p w14:paraId="68649E5E"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216" w:type="dxa"/>
            <w:vAlign w:val="center"/>
          </w:tcPr>
          <w:p w14:paraId="771C6FAF"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0,656</w:t>
            </w:r>
          </w:p>
        </w:tc>
      </w:tr>
      <w:tr w:rsidR="0066522E" w14:paraId="0BD10493" w14:textId="77777777" w:rsidTr="00183CD7">
        <w:tc>
          <w:tcPr>
            <w:tcW w:w="1229" w:type="dxa"/>
          </w:tcPr>
          <w:p w14:paraId="1FAABA18" w14:textId="77777777" w:rsidR="0066522E" w:rsidRDefault="0066522E" w:rsidP="00183CD7">
            <w:pPr>
              <w:pStyle w:val="TableParagraph"/>
              <w:spacing w:line="248"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104. teden</w:t>
            </w:r>
          </w:p>
        </w:tc>
        <w:tc>
          <w:tcPr>
            <w:tcW w:w="992" w:type="dxa"/>
            <w:vAlign w:val="center"/>
          </w:tcPr>
          <w:p w14:paraId="73B1E6F5"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28,4 %</w:t>
            </w:r>
          </w:p>
        </w:tc>
        <w:tc>
          <w:tcPr>
            <w:tcW w:w="1418" w:type="dxa"/>
            <w:vAlign w:val="center"/>
          </w:tcPr>
          <w:p w14:paraId="0AF646B5"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28,1 %</w:t>
            </w:r>
          </w:p>
        </w:tc>
        <w:tc>
          <w:tcPr>
            <w:tcW w:w="1984" w:type="dxa"/>
            <w:vAlign w:val="center"/>
          </w:tcPr>
          <w:p w14:paraId="2503516B"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46,6 %</w:t>
            </w:r>
          </w:p>
        </w:tc>
        <w:tc>
          <w:tcPr>
            <w:tcW w:w="1236" w:type="dxa"/>
            <w:vAlign w:val="center"/>
          </w:tcPr>
          <w:p w14:paraId="0B572A2D"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174" w:type="dxa"/>
            <w:vAlign w:val="center"/>
          </w:tcPr>
          <w:p w14:paraId="29F9AB95"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216" w:type="dxa"/>
            <w:vAlign w:val="center"/>
          </w:tcPr>
          <w:p w14:paraId="6A38458C"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0,864</w:t>
            </w:r>
          </w:p>
        </w:tc>
      </w:tr>
    </w:tbl>
    <w:p w14:paraId="6CA9206A" w14:textId="77777777" w:rsidR="0066522E" w:rsidRDefault="0066522E" w:rsidP="00385E1F">
      <w:pPr>
        <w:tabs>
          <w:tab w:val="left" w:pos="433"/>
        </w:tabs>
        <w:ind w:leftChars="100" w:left="220"/>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 xml:space="preserve">a </w:t>
      </w:r>
      <w:r>
        <w:rPr>
          <w:rFonts w:ascii="Times New Roman" w:eastAsia="Times New Roman" w:hAnsi="Times New Roman" w:cs="Times New Roman"/>
          <w:position w:val="8"/>
          <w:lang w:val="sl-SI"/>
        </w:rPr>
        <w:t>Vrednost p se nanaša na parno primerjavo monoterapije z metotreksatom in kombinirane terapije z adalimumabom/metotreksatom z Mann-Whitneyevim testom U.</w:t>
      </w:r>
    </w:p>
    <w:p w14:paraId="2F4D785F" w14:textId="77777777" w:rsidR="0066522E" w:rsidRDefault="0066522E" w:rsidP="00385E1F">
      <w:pPr>
        <w:tabs>
          <w:tab w:val="left" w:pos="433"/>
        </w:tabs>
        <w:ind w:leftChars="100" w:left="220"/>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b</w:t>
      </w:r>
      <w:r>
        <w:rPr>
          <w:rFonts w:ascii="Times New Roman" w:eastAsia="Times New Roman" w:hAnsi="Times New Roman" w:cs="Times New Roman"/>
          <w:position w:val="8"/>
          <w:lang w:val="sl-SI"/>
        </w:rPr>
        <w:t xml:space="preserve"> Vrednost p se nanaša na parno primerjavo monoterapije z adalimumabom in kombinirane terapije z adalimumabom/metotreksatom z Mann-Whitneyevim testom U.</w:t>
      </w:r>
    </w:p>
    <w:p w14:paraId="4A0FA3B6" w14:textId="77777777" w:rsidR="0066522E" w:rsidRDefault="0066522E" w:rsidP="00385E1F">
      <w:pPr>
        <w:tabs>
          <w:tab w:val="left" w:pos="421"/>
        </w:tabs>
        <w:ind w:leftChars="100" w:left="220"/>
        <w:rPr>
          <w:lang w:val="sl-SI"/>
        </w:rPr>
      </w:pPr>
      <w:r>
        <w:rPr>
          <w:rFonts w:ascii="Times New Roman" w:eastAsia="Times New Roman" w:hAnsi="Times New Roman" w:cs="Times New Roman"/>
          <w:position w:val="8"/>
          <w:vertAlign w:val="superscript"/>
          <w:lang w:val="sl-SI"/>
        </w:rPr>
        <w:t>c</w:t>
      </w:r>
      <w:r>
        <w:rPr>
          <w:rFonts w:ascii="Times New Roman" w:eastAsia="Times New Roman" w:hAnsi="Times New Roman" w:cs="Times New Roman"/>
          <w:position w:val="8"/>
          <w:lang w:val="sl-SI"/>
        </w:rPr>
        <w:t xml:space="preserve"> Vrednost p se nanaša na parno primerjavo monoterapije z adalimumabom in monoterapije z metotreksatom z Mann-Whitneyevim testom U.</w:t>
      </w:r>
    </w:p>
    <w:p w14:paraId="550856BB" w14:textId="77777777" w:rsidR="0066522E" w:rsidRDefault="0066522E" w:rsidP="0066522E">
      <w:pPr>
        <w:spacing w:before="5"/>
        <w:rPr>
          <w:lang w:val="sl-SI"/>
        </w:rPr>
      </w:pPr>
    </w:p>
    <w:p w14:paraId="3BF42710" w14:textId="77777777" w:rsidR="0066522E" w:rsidRDefault="0066522E" w:rsidP="0066522E">
      <w:pPr>
        <w:pStyle w:val="a3"/>
        <w:rPr>
          <w:lang w:val="sl-SI"/>
        </w:rPr>
      </w:pPr>
      <w:r>
        <w:rPr>
          <w:rFonts w:eastAsia="Times New Roman"/>
          <w:lang w:val="sl-SI"/>
        </w:rPr>
        <w:t>V odprtem podaljšanju študije revmatoidnega artritisa V so se stopnje odzivov po ACR ohranile tudi do 10 let. Od 542 bolnikov, ki so bili randomizirani na adalimumab 40 mg vsak drugi teden, jih je 170 nadaljevalo zdravljenje z adalimumabom 40 mg vsak drugi teden še 10 let. Med temi je 154 bolnikov (90,6 %) imelo odziv 20 po ACR; 127 bolnikov (74,7 %) je imelo odziv 50 po ACR; 102 bolnika (60,0 %) pa sta imela odziv 70 po ACR.</w:t>
      </w:r>
    </w:p>
    <w:p w14:paraId="208B7691" w14:textId="77777777" w:rsidR="0066522E" w:rsidRDefault="0066522E" w:rsidP="0066522E">
      <w:pPr>
        <w:spacing w:before="13" w:line="240" w:lineRule="exact"/>
        <w:rPr>
          <w:sz w:val="24"/>
          <w:szCs w:val="24"/>
          <w:lang w:val="sl-SI"/>
        </w:rPr>
      </w:pPr>
    </w:p>
    <w:p w14:paraId="215065C7" w14:textId="77777777" w:rsidR="0066522E" w:rsidRDefault="0066522E" w:rsidP="0066522E">
      <w:pPr>
        <w:pStyle w:val="a3"/>
        <w:rPr>
          <w:lang w:val="sl-SI"/>
        </w:rPr>
      </w:pPr>
      <w:r>
        <w:rPr>
          <w:rFonts w:eastAsia="Times New Roman"/>
          <w:lang w:val="sl-SI"/>
        </w:rPr>
        <w:t>Po 52. tednih je klinično remisijo (DAS28 (CRP) &lt; 2,6) doseglo 42,9 % bolnikov, ki so dobivali kombinirano terapijo z adalimumabom/metotreksatom, 20,6 % bolnikov, ki so dobivali metotreksat v monoterapiji, in 23,4 % bolnikov, ki so dobivali adalimumab v monoterapiji. Za doseganje nizkega stanja bolezni pri bolnikih z nedavno diagnosticiranim zmernim do hudim revmatoidnim artritisom je bila kombinirana terapija z adalimumabom in metotreksatom klinično in statistično boljša od monoterapije z metotreksatom (p &lt; 0,001) in monoterapije z adalimumabom (p &lt; 0,001). V obeh krakih z monoterapijo je bil odziv podoben (p = 0,447). Od 342 oseb, ki so bile od začetka randomizirane na monoterapijo z adalimumabom ali kombinirano zdravljenje z adalimumabom/metotreksat in so bile vključene v odprto podaljšanje študije, je 171 bolnikov zaključilo 10-letno zdravljenje z adalimumabom. Med temi je bilo 109 oseb (63,7 %) po 10 letih v stanju remisije.</w:t>
      </w:r>
    </w:p>
    <w:p w14:paraId="245D599D" w14:textId="77777777" w:rsidR="0066522E" w:rsidRDefault="0066522E" w:rsidP="0066522E">
      <w:pPr>
        <w:pStyle w:val="a3"/>
        <w:rPr>
          <w:lang w:val="sl-SI"/>
        </w:rPr>
      </w:pPr>
    </w:p>
    <w:p w14:paraId="2C43991A" w14:textId="77777777" w:rsidR="0066522E" w:rsidRDefault="0066522E" w:rsidP="0066522E">
      <w:pPr>
        <w:pStyle w:val="a3"/>
        <w:rPr>
          <w:rFonts w:eastAsia="Times New Roman"/>
          <w:lang w:val="sl-SI"/>
        </w:rPr>
      </w:pPr>
      <w:r>
        <w:rPr>
          <w:rFonts w:eastAsia="Times New Roman"/>
          <w:i/>
          <w:iCs/>
          <w:spacing w:val="-1"/>
          <w:u w:val="single" w:color="000000"/>
          <w:lang w:val="sl-SI"/>
        </w:rPr>
        <w:t>Rentgenografski odziv</w:t>
      </w:r>
    </w:p>
    <w:p w14:paraId="385555B5" w14:textId="77777777" w:rsidR="0066522E" w:rsidRDefault="0066522E" w:rsidP="0066522E">
      <w:pPr>
        <w:pStyle w:val="a3"/>
        <w:rPr>
          <w:sz w:val="18"/>
          <w:szCs w:val="18"/>
          <w:lang w:val="sl-SI"/>
        </w:rPr>
      </w:pPr>
    </w:p>
    <w:p w14:paraId="3CC5E3BC" w14:textId="6EC2A025" w:rsidR="0066522E" w:rsidRDefault="0066522E" w:rsidP="0066522E">
      <w:pPr>
        <w:pStyle w:val="a3"/>
        <w:rPr>
          <w:lang w:val="sl-SI"/>
        </w:rPr>
      </w:pPr>
      <w:r>
        <w:rPr>
          <w:rFonts w:eastAsia="Times New Roman"/>
          <w:lang w:val="sl-SI"/>
        </w:rPr>
        <w:t>Bolniki, ki so v študiji revmatoidnega artritisa III dobivali adalimumab, so imeli revmatoidni artritis v povprečju približno 11 let. V študiji so strukturno prizadetost sklepov ocenjevali rentgenografsko. Okvaro so izrazili kot spremembo modificirane celotne Sharpove ocene (TSS – Total Sharp Score) in njenih komponent, ocene erozij in ocene zožitve sklepne špranje. Pri bolnikih, ki so dobivali adalimumab in metotreksat, je bilo po 6 in 12 mesecih (glejte preglednico </w:t>
      </w:r>
      <w:r w:rsidR="00813F52">
        <w:rPr>
          <w:rFonts w:eastAsia="Times New Roman"/>
          <w:lang w:val="sl-SI"/>
        </w:rPr>
        <w:t>9</w:t>
      </w:r>
      <w:r>
        <w:rPr>
          <w:rFonts w:eastAsia="Times New Roman"/>
          <w:lang w:val="sl-SI"/>
        </w:rPr>
        <w:t>) statistično značilno manj rentgenografskih znakov napredovanja kot pri bolnikih, ki so dobivali samo metotreksat.</w:t>
      </w:r>
    </w:p>
    <w:p w14:paraId="0EBE7B1E" w14:textId="77777777" w:rsidR="0066522E" w:rsidRDefault="0066522E" w:rsidP="0066522E">
      <w:pPr>
        <w:pStyle w:val="a3"/>
        <w:rPr>
          <w:lang w:val="sl-SI"/>
        </w:rPr>
      </w:pPr>
    </w:p>
    <w:p w14:paraId="3C85DCE1" w14:textId="77777777" w:rsidR="0066522E" w:rsidRDefault="0066522E" w:rsidP="0066522E">
      <w:pPr>
        <w:pStyle w:val="a3"/>
        <w:rPr>
          <w:lang w:val="sl-SI"/>
        </w:rPr>
      </w:pPr>
      <w:r>
        <w:rPr>
          <w:rFonts w:eastAsia="Times New Roman"/>
          <w:lang w:val="sl-SI"/>
        </w:rPr>
        <w:t>V odprtem podaljšanju študije revmatoidnega artritisa III se upočasnitev napredovanja strukturne prizadetosti sklepov ohrani vseskozi 8 in 10 let v tej podskupini bolnikov. 81 od 207 bolnikov, ki so bili zdravljeni s 40 mg adalimumaba vsak drugi teden, so rentgenografsko ocenili po 8 letih. Med temi bolniki jih 48 ni kazalo napredovanja strukturne prizadetosti izražene s spremembo srednje celotne Sharpove ocene 0,5 ali manj od začetka študije. Po 10 letih so rentgenografsko ocenili 79 od 207 bolnikov, ki so bili od začetka zdravljeni s 40 mg adalimumaba vsak drugi teden. Med njimi 40 bolnikov ni pokazalo napredovanja strukturne prizadetosti izražene s spremembo srednje Sharpove ocene 0,5 ali manj od začetka študije.</w:t>
      </w:r>
    </w:p>
    <w:p w14:paraId="7677794E" w14:textId="77777777" w:rsidR="0066522E" w:rsidRDefault="0066522E" w:rsidP="0066522E">
      <w:pPr>
        <w:spacing w:before="18" w:line="240" w:lineRule="exact"/>
        <w:rPr>
          <w:sz w:val="24"/>
          <w:szCs w:val="24"/>
          <w:lang w:val="sl-SI"/>
        </w:rPr>
      </w:pPr>
    </w:p>
    <w:p w14:paraId="60758FCF" w14:textId="3B86A4AD" w:rsidR="0066522E" w:rsidRDefault="0066522E" w:rsidP="0066522E">
      <w:pPr>
        <w:pStyle w:val="a3"/>
        <w:jc w:val="center"/>
        <w:rPr>
          <w:b/>
          <w:lang w:val="sl-SI"/>
        </w:rPr>
      </w:pPr>
      <w:r>
        <w:rPr>
          <w:rFonts w:eastAsia="Times New Roman"/>
          <w:b/>
          <w:bCs/>
          <w:lang w:val="sl-SI"/>
        </w:rPr>
        <w:t>Preglednica </w:t>
      </w:r>
      <w:r w:rsidR="00813F52">
        <w:rPr>
          <w:rFonts w:eastAsia="Times New Roman"/>
          <w:b/>
          <w:bCs/>
          <w:lang w:val="sl-SI"/>
        </w:rPr>
        <w:t>9</w:t>
      </w:r>
      <w:r>
        <w:rPr>
          <w:rFonts w:eastAsia="Times New Roman"/>
          <w:b/>
          <w:bCs/>
          <w:lang w:val="sl-SI"/>
        </w:rPr>
        <w:t>.</w:t>
      </w:r>
    </w:p>
    <w:p w14:paraId="191AD663" w14:textId="77777777" w:rsidR="0066522E" w:rsidRDefault="0066522E" w:rsidP="0066522E">
      <w:pPr>
        <w:pStyle w:val="a3"/>
        <w:jc w:val="center"/>
        <w:rPr>
          <w:b/>
          <w:lang w:val="sl-SI"/>
        </w:rPr>
      </w:pPr>
      <w:r>
        <w:rPr>
          <w:rFonts w:eastAsia="Times New Roman"/>
          <w:b/>
          <w:bCs/>
          <w:lang w:val="sl-SI"/>
        </w:rPr>
        <w:t>Povprečne rentgenografske spremembe v 12 mesecih študije revmatoidnega artritisa III</w:t>
      </w:r>
    </w:p>
    <w:p w14:paraId="359F53CE" w14:textId="77777777" w:rsidR="0066522E" w:rsidRDefault="0066522E" w:rsidP="0066522E">
      <w:pPr>
        <w:spacing w:before="14" w:line="240" w:lineRule="exact"/>
        <w:rPr>
          <w:sz w:val="24"/>
          <w:szCs w:val="24"/>
          <w:lang w:val="sl-SI"/>
        </w:rPr>
      </w:pPr>
    </w:p>
    <w:tbl>
      <w:tblPr>
        <w:tblStyle w:val="TableNormal1"/>
        <w:tblW w:w="0" w:type="auto"/>
        <w:jc w:val="center"/>
        <w:tblLayout w:type="fixed"/>
        <w:tblLook w:val="01E0" w:firstRow="1" w:lastRow="1" w:firstColumn="1" w:lastColumn="1" w:noHBand="0" w:noVBand="0"/>
      </w:tblPr>
      <w:tblGrid>
        <w:gridCol w:w="2583"/>
        <w:gridCol w:w="935"/>
        <w:gridCol w:w="1790"/>
        <w:gridCol w:w="1999"/>
        <w:gridCol w:w="1548"/>
      </w:tblGrid>
      <w:tr w:rsidR="0066522E" w14:paraId="7A942838" w14:textId="77777777" w:rsidTr="00183CD7">
        <w:trPr>
          <w:jc w:val="center"/>
        </w:trPr>
        <w:tc>
          <w:tcPr>
            <w:tcW w:w="2583" w:type="dxa"/>
            <w:tcBorders>
              <w:top w:val="single" w:sz="5" w:space="0" w:color="000000"/>
              <w:left w:val="single" w:sz="5" w:space="0" w:color="000000"/>
              <w:bottom w:val="single" w:sz="5" w:space="0" w:color="000000"/>
              <w:right w:val="single" w:sz="5" w:space="0" w:color="000000"/>
            </w:tcBorders>
            <w:vAlign w:val="center"/>
          </w:tcPr>
          <w:p w14:paraId="3C5ED662" w14:textId="77777777" w:rsidR="0066522E" w:rsidRDefault="0066522E" w:rsidP="00183CD7">
            <w:pPr>
              <w:jc w:val="center"/>
              <w:rPr>
                <w:lang w:val="sl-SI"/>
              </w:rPr>
            </w:pPr>
          </w:p>
        </w:tc>
        <w:tc>
          <w:tcPr>
            <w:tcW w:w="935" w:type="dxa"/>
            <w:tcBorders>
              <w:top w:val="single" w:sz="5" w:space="0" w:color="000000"/>
              <w:left w:val="single" w:sz="5" w:space="0" w:color="000000"/>
              <w:bottom w:val="single" w:sz="5" w:space="0" w:color="000000"/>
              <w:right w:val="single" w:sz="5" w:space="0" w:color="000000"/>
            </w:tcBorders>
            <w:vAlign w:val="center"/>
          </w:tcPr>
          <w:p w14:paraId="1D53518F"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Placebo/</w:t>
            </w:r>
          </w:p>
          <w:p w14:paraId="206C9A44" w14:textId="77777777" w:rsidR="0066522E" w:rsidRDefault="0066522E" w:rsidP="00183CD7">
            <w:pPr>
              <w:pStyle w:val="TableParagraph"/>
              <w:spacing w:line="254"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MTX</w:t>
            </w:r>
            <w:r>
              <w:rPr>
                <w:rFonts w:ascii="Times New Roman" w:eastAsia="Times New Roman" w:hAnsi="Times New Roman" w:cs="Times New Roman"/>
                <w:vertAlign w:val="superscript"/>
                <w:lang w:val="sl-SI"/>
              </w:rPr>
              <w:t>a</w:t>
            </w:r>
          </w:p>
        </w:tc>
        <w:tc>
          <w:tcPr>
            <w:tcW w:w="1790" w:type="dxa"/>
            <w:tcBorders>
              <w:top w:val="single" w:sz="5" w:space="0" w:color="000000"/>
              <w:left w:val="single" w:sz="5" w:space="0" w:color="000000"/>
              <w:bottom w:val="single" w:sz="5" w:space="0" w:color="000000"/>
              <w:right w:val="single" w:sz="5" w:space="0" w:color="000000"/>
            </w:tcBorders>
            <w:vAlign w:val="center"/>
          </w:tcPr>
          <w:p w14:paraId="0166E8D7"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Adalimumab/MTX</w:t>
            </w:r>
          </w:p>
          <w:p w14:paraId="63FF342E" w14:textId="77777777" w:rsidR="0066522E" w:rsidRDefault="0066522E" w:rsidP="00183CD7">
            <w:pPr>
              <w:pStyle w:val="TableParagraph"/>
              <w:spacing w:line="252" w:lineRule="exact"/>
              <w:ind w:hanging="63"/>
              <w:jc w:val="center"/>
              <w:rPr>
                <w:rFonts w:ascii="Times New Roman" w:eastAsia="Times New Roman" w:hAnsi="Times New Roman" w:cs="Times New Roman"/>
                <w:lang w:val="sl-SI"/>
              </w:rPr>
            </w:pPr>
            <w:r>
              <w:rPr>
                <w:rFonts w:ascii="Times New Roman" w:eastAsia="Times New Roman" w:hAnsi="Times New Roman" w:cs="Times New Roman"/>
                <w:lang w:val="sl-SI"/>
              </w:rPr>
              <w:t>40 mg vsak drugi teden</w:t>
            </w:r>
          </w:p>
        </w:tc>
        <w:tc>
          <w:tcPr>
            <w:tcW w:w="1999" w:type="dxa"/>
            <w:tcBorders>
              <w:top w:val="single" w:sz="5" w:space="0" w:color="000000"/>
              <w:left w:val="single" w:sz="5" w:space="0" w:color="000000"/>
              <w:bottom w:val="single" w:sz="5" w:space="0" w:color="000000"/>
              <w:right w:val="single" w:sz="5" w:space="0" w:color="000000"/>
            </w:tcBorders>
            <w:vAlign w:val="center"/>
          </w:tcPr>
          <w:p w14:paraId="5081ABC4"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Placebo/MTX-</w:t>
            </w:r>
          </w:p>
          <w:p w14:paraId="19A76874" w14:textId="77777777" w:rsidR="0066522E" w:rsidRDefault="0066522E" w:rsidP="00183CD7">
            <w:pPr>
              <w:pStyle w:val="TableParagraph"/>
              <w:spacing w:line="237" w:lineRule="auto"/>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adalimumab/MTX </w:t>
            </w:r>
          </w:p>
          <w:p w14:paraId="465EF358" w14:textId="77777777" w:rsidR="0066522E" w:rsidRDefault="0066522E" w:rsidP="00183CD7">
            <w:pPr>
              <w:pStyle w:val="TableParagraph"/>
              <w:spacing w:line="237" w:lineRule="auto"/>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(95-% interval zaupanja</w:t>
            </w:r>
            <w:r>
              <w:rPr>
                <w:rFonts w:ascii="Times New Roman" w:eastAsia="Times New Roman" w:hAnsi="Times New Roman" w:cs="Times New Roman"/>
                <w:spacing w:val="-1"/>
                <w:vertAlign w:val="superscript"/>
                <w:lang w:val="sl-SI"/>
              </w:rPr>
              <w:t>b</w:t>
            </w:r>
            <w:r>
              <w:rPr>
                <w:rFonts w:ascii="Times New Roman" w:eastAsia="Times New Roman" w:hAnsi="Times New Roman" w:cs="Times New Roman"/>
                <w:spacing w:val="-1"/>
                <w:lang w:val="sl-SI"/>
              </w:rPr>
              <w:t>)</w:t>
            </w:r>
          </w:p>
        </w:tc>
        <w:tc>
          <w:tcPr>
            <w:tcW w:w="1548" w:type="dxa"/>
            <w:tcBorders>
              <w:top w:val="single" w:sz="5" w:space="0" w:color="000000"/>
              <w:left w:val="single" w:sz="5" w:space="0" w:color="000000"/>
              <w:bottom w:val="single" w:sz="5" w:space="0" w:color="000000"/>
              <w:right w:val="single" w:sz="5" w:space="0" w:color="000000"/>
            </w:tcBorders>
            <w:vAlign w:val="center"/>
          </w:tcPr>
          <w:p w14:paraId="43AA6291"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Vrednost p</w:t>
            </w:r>
          </w:p>
        </w:tc>
      </w:tr>
      <w:tr w:rsidR="0066522E" w14:paraId="0F2054D9" w14:textId="77777777" w:rsidTr="00183CD7">
        <w:trPr>
          <w:jc w:val="center"/>
        </w:trPr>
        <w:tc>
          <w:tcPr>
            <w:tcW w:w="2583" w:type="dxa"/>
            <w:tcBorders>
              <w:top w:val="single" w:sz="5" w:space="0" w:color="000000"/>
              <w:left w:val="single" w:sz="5" w:space="0" w:color="000000"/>
              <w:bottom w:val="single" w:sz="5" w:space="0" w:color="000000"/>
              <w:right w:val="single" w:sz="5" w:space="0" w:color="000000"/>
            </w:tcBorders>
          </w:tcPr>
          <w:p w14:paraId="20D7DA7E" w14:textId="77777777" w:rsidR="0066522E" w:rsidRDefault="0066522E" w:rsidP="00183CD7">
            <w:pPr>
              <w:pStyle w:val="TableParagraph"/>
              <w:spacing w:line="246" w:lineRule="exact"/>
              <w:ind w:left="243"/>
              <w:rPr>
                <w:rFonts w:ascii="Times New Roman" w:eastAsia="Times New Roman" w:hAnsi="Times New Roman" w:cs="Times New Roman"/>
                <w:lang w:val="sl-SI"/>
              </w:rPr>
            </w:pPr>
            <w:r>
              <w:rPr>
                <w:rFonts w:ascii="Times New Roman" w:eastAsia="Times New Roman" w:hAnsi="Times New Roman" w:cs="Times New Roman"/>
                <w:spacing w:val="-1"/>
                <w:lang w:val="sl-SI"/>
              </w:rPr>
              <w:t>Celotna Sharpova ocena</w:t>
            </w:r>
          </w:p>
        </w:tc>
        <w:tc>
          <w:tcPr>
            <w:tcW w:w="935" w:type="dxa"/>
            <w:tcBorders>
              <w:top w:val="single" w:sz="5" w:space="0" w:color="000000"/>
              <w:left w:val="single" w:sz="5" w:space="0" w:color="000000"/>
              <w:bottom w:val="single" w:sz="5" w:space="0" w:color="000000"/>
              <w:right w:val="single" w:sz="5" w:space="0" w:color="000000"/>
            </w:tcBorders>
          </w:tcPr>
          <w:p w14:paraId="13E5C7DA" w14:textId="77777777" w:rsidR="0066522E" w:rsidRDefault="0066522E" w:rsidP="00183CD7">
            <w:pPr>
              <w:jc w:val="center"/>
              <w:rPr>
                <w:rFonts w:asciiTheme="majorBidi" w:hAnsiTheme="majorBidi" w:cstheme="majorBidi"/>
              </w:rPr>
            </w:pPr>
            <w:r>
              <w:rPr>
                <w:rFonts w:asciiTheme="majorBidi" w:hAnsiTheme="majorBidi" w:cstheme="majorBidi"/>
              </w:rPr>
              <w:t>2,7</w:t>
            </w:r>
          </w:p>
        </w:tc>
        <w:tc>
          <w:tcPr>
            <w:tcW w:w="1790" w:type="dxa"/>
            <w:tcBorders>
              <w:top w:val="single" w:sz="5" w:space="0" w:color="000000"/>
              <w:left w:val="single" w:sz="5" w:space="0" w:color="000000"/>
              <w:bottom w:val="single" w:sz="5" w:space="0" w:color="000000"/>
              <w:right w:val="single" w:sz="5" w:space="0" w:color="000000"/>
            </w:tcBorders>
          </w:tcPr>
          <w:p w14:paraId="7130B2E2" w14:textId="77777777" w:rsidR="0066522E" w:rsidRDefault="0066522E" w:rsidP="00183CD7">
            <w:pPr>
              <w:pStyle w:val="TableParagraph"/>
              <w:spacing w:line="246" w:lineRule="exact"/>
              <w:ind w:left="731" w:right="733"/>
              <w:jc w:val="center"/>
              <w:rPr>
                <w:rFonts w:ascii="Times New Roman" w:eastAsia="Times New Roman" w:hAnsi="Times New Roman" w:cs="Times New Roman"/>
                <w:lang w:val="sl-SI"/>
              </w:rPr>
            </w:pPr>
            <w:r>
              <w:rPr>
                <w:rFonts w:ascii="Times New Roman" w:eastAsia="Times New Roman" w:hAnsi="Times New Roman" w:cs="Times New Roman"/>
                <w:lang w:val="sl-SI"/>
              </w:rPr>
              <w:t>0,1</w:t>
            </w:r>
          </w:p>
        </w:tc>
        <w:tc>
          <w:tcPr>
            <w:tcW w:w="1999" w:type="dxa"/>
            <w:tcBorders>
              <w:top w:val="single" w:sz="5" w:space="0" w:color="000000"/>
              <w:left w:val="single" w:sz="5" w:space="0" w:color="000000"/>
              <w:bottom w:val="single" w:sz="5" w:space="0" w:color="000000"/>
              <w:right w:val="single" w:sz="5" w:space="0" w:color="000000"/>
            </w:tcBorders>
          </w:tcPr>
          <w:p w14:paraId="744B8D3F" w14:textId="77777777" w:rsidR="0066522E" w:rsidRDefault="0066522E" w:rsidP="00183CD7">
            <w:pPr>
              <w:pStyle w:val="TableParagraph"/>
              <w:spacing w:line="246" w:lineRule="exact"/>
              <w:ind w:left="423"/>
              <w:rPr>
                <w:rFonts w:ascii="Times New Roman" w:eastAsia="Times New Roman" w:hAnsi="Times New Roman" w:cs="Times New Roman"/>
                <w:lang w:val="sl-SI"/>
              </w:rPr>
            </w:pPr>
            <w:r>
              <w:rPr>
                <w:rFonts w:ascii="Times New Roman" w:eastAsia="Times New Roman" w:hAnsi="Times New Roman" w:cs="Times New Roman"/>
                <w:spacing w:val="-1"/>
                <w:lang w:val="sl-SI"/>
              </w:rPr>
              <w:t>2,6 (1,4; 3,8)</w:t>
            </w:r>
          </w:p>
        </w:tc>
        <w:tc>
          <w:tcPr>
            <w:tcW w:w="1548" w:type="dxa"/>
            <w:tcBorders>
              <w:top w:val="single" w:sz="5" w:space="0" w:color="000000"/>
              <w:left w:val="single" w:sz="5" w:space="0" w:color="000000"/>
              <w:bottom w:val="single" w:sz="5" w:space="0" w:color="000000"/>
              <w:right w:val="single" w:sz="5" w:space="0" w:color="000000"/>
            </w:tcBorders>
          </w:tcPr>
          <w:p w14:paraId="1176A18D" w14:textId="77777777" w:rsidR="0066522E" w:rsidRDefault="0066522E" w:rsidP="00183CD7">
            <w:pPr>
              <w:pStyle w:val="TableParagraph"/>
              <w:spacing w:line="246" w:lineRule="exact"/>
              <w:ind w:left="399"/>
              <w:rPr>
                <w:rFonts w:ascii="Times New Roman" w:eastAsia="Times New Roman" w:hAnsi="Times New Roman" w:cs="Times New Roman"/>
                <w:lang w:val="sl-SI"/>
              </w:rPr>
            </w:pPr>
            <w:r>
              <w:rPr>
                <w:rFonts w:ascii="Times New Roman" w:eastAsia="Times New Roman" w:hAnsi="Times New Roman" w:cs="Times New Roman"/>
                <w:lang w:val="sl-SI"/>
              </w:rPr>
              <w:t>&lt; 0,001</w:t>
            </w:r>
            <w:r>
              <w:rPr>
                <w:rFonts w:ascii="Times New Roman" w:eastAsia="Times New Roman" w:hAnsi="Times New Roman" w:cs="Times New Roman"/>
                <w:vertAlign w:val="superscript"/>
                <w:lang w:val="sl-SI"/>
              </w:rPr>
              <w:t>c</w:t>
            </w:r>
          </w:p>
        </w:tc>
      </w:tr>
      <w:tr w:rsidR="0066522E" w14:paraId="2FC2F937" w14:textId="77777777" w:rsidTr="00183CD7">
        <w:trPr>
          <w:jc w:val="center"/>
        </w:trPr>
        <w:tc>
          <w:tcPr>
            <w:tcW w:w="2583" w:type="dxa"/>
            <w:tcBorders>
              <w:top w:val="single" w:sz="5" w:space="0" w:color="000000"/>
              <w:left w:val="single" w:sz="5" w:space="0" w:color="000000"/>
              <w:bottom w:val="single" w:sz="5" w:space="0" w:color="000000"/>
              <w:right w:val="single" w:sz="5" w:space="0" w:color="000000"/>
            </w:tcBorders>
          </w:tcPr>
          <w:p w14:paraId="6663CC44" w14:textId="77777777" w:rsidR="0066522E" w:rsidRDefault="0066522E" w:rsidP="00183CD7">
            <w:pPr>
              <w:pStyle w:val="TableParagraph"/>
              <w:spacing w:line="246" w:lineRule="exact"/>
              <w:ind w:left="435"/>
              <w:rPr>
                <w:rFonts w:ascii="Times New Roman" w:eastAsia="Times New Roman" w:hAnsi="Times New Roman" w:cs="Times New Roman"/>
                <w:lang w:val="sl-SI"/>
              </w:rPr>
            </w:pPr>
            <w:r>
              <w:rPr>
                <w:rFonts w:ascii="Times New Roman" w:eastAsia="Times New Roman" w:hAnsi="Times New Roman" w:cs="Times New Roman"/>
                <w:spacing w:val="-1"/>
                <w:lang w:val="sl-SI"/>
              </w:rPr>
              <w:t>Ocena erozij</w:t>
            </w:r>
          </w:p>
        </w:tc>
        <w:tc>
          <w:tcPr>
            <w:tcW w:w="935" w:type="dxa"/>
            <w:tcBorders>
              <w:top w:val="single" w:sz="5" w:space="0" w:color="000000"/>
              <w:left w:val="single" w:sz="5" w:space="0" w:color="000000"/>
              <w:bottom w:val="single" w:sz="5" w:space="0" w:color="000000"/>
              <w:right w:val="single" w:sz="5" w:space="0" w:color="000000"/>
            </w:tcBorders>
          </w:tcPr>
          <w:p w14:paraId="1DA038D4" w14:textId="77777777" w:rsidR="0066522E" w:rsidRDefault="0066522E" w:rsidP="00183CD7">
            <w:pPr>
              <w:jc w:val="center"/>
              <w:rPr>
                <w:rFonts w:asciiTheme="majorBidi" w:hAnsiTheme="majorBidi" w:cstheme="majorBidi"/>
              </w:rPr>
            </w:pPr>
            <w:r>
              <w:rPr>
                <w:rFonts w:asciiTheme="majorBidi" w:hAnsiTheme="majorBidi" w:cstheme="majorBidi"/>
              </w:rPr>
              <w:t>1,6</w:t>
            </w:r>
          </w:p>
        </w:tc>
        <w:tc>
          <w:tcPr>
            <w:tcW w:w="1790" w:type="dxa"/>
            <w:tcBorders>
              <w:top w:val="single" w:sz="5" w:space="0" w:color="000000"/>
              <w:left w:val="single" w:sz="5" w:space="0" w:color="000000"/>
              <w:bottom w:val="single" w:sz="5" w:space="0" w:color="000000"/>
              <w:right w:val="single" w:sz="5" w:space="0" w:color="000000"/>
            </w:tcBorders>
          </w:tcPr>
          <w:p w14:paraId="26B0D49D" w14:textId="77777777" w:rsidR="0066522E" w:rsidRDefault="0066522E" w:rsidP="00183CD7">
            <w:pPr>
              <w:pStyle w:val="TableParagraph"/>
              <w:spacing w:line="246" w:lineRule="exact"/>
              <w:ind w:left="731" w:right="733"/>
              <w:jc w:val="center"/>
              <w:rPr>
                <w:rFonts w:ascii="Times New Roman" w:eastAsia="Times New Roman" w:hAnsi="Times New Roman" w:cs="Times New Roman"/>
                <w:lang w:val="sl-SI"/>
              </w:rPr>
            </w:pPr>
            <w:r>
              <w:rPr>
                <w:rFonts w:ascii="Times New Roman" w:eastAsia="Times New Roman" w:hAnsi="Times New Roman" w:cs="Times New Roman"/>
                <w:lang w:val="sl-SI"/>
              </w:rPr>
              <w:t>0,0</w:t>
            </w:r>
          </w:p>
        </w:tc>
        <w:tc>
          <w:tcPr>
            <w:tcW w:w="1999" w:type="dxa"/>
            <w:tcBorders>
              <w:top w:val="single" w:sz="5" w:space="0" w:color="000000"/>
              <w:left w:val="single" w:sz="5" w:space="0" w:color="000000"/>
              <w:bottom w:val="single" w:sz="5" w:space="0" w:color="000000"/>
              <w:right w:val="single" w:sz="5" w:space="0" w:color="000000"/>
            </w:tcBorders>
          </w:tcPr>
          <w:p w14:paraId="68D95C55" w14:textId="77777777" w:rsidR="0066522E" w:rsidRDefault="0066522E" w:rsidP="00183CD7">
            <w:pPr>
              <w:pStyle w:val="TableParagraph"/>
              <w:spacing w:line="246" w:lineRule="exact"/>
              <w:ind w:left="423"/>
              <w:rPr>
                <w:rFonts w:ascii="Times New Roman" w:eastAsia="Times New Roman" w:hAnsi="Times New Roman" w:cs="Times New Roman"/>
                <w:lang w:val="sl-SI"/>
              </w:rPr>
            </w:pPr>
            <w:r>
              <w:rPr>
                <w:rFonts w:ascii="Times New Roman" w:eastAsia="Times New Roman" w:hAnsi="Times New Roman" w:cs="Times New Roman"/>
                <w:spacing w:val="-1"/>
                <w:lang w:val="sl-SI"/>
              </w:rPr>
              <w:t>1,6 (0,9; 2,2)</w:t>
            </w:r>
          </w:p>
        </w:tc>
        <w:tc>
          <w:tcPr>
            <w:tcW w:w="1548" w:type="dxa"/>
            <w:tcBorders>
              <w:top w:val="single" w:sz="5" w:space="0" w:color="000000"/>
              <w:left w:val="single" w:sz="5" w:space="0" w:color="000000"/>
              <w:bottom w:val="single" w:sz="5" w:space="0" w:color="000000"/>
              <w:right w:val="single" w:sz="5" w:space="0" w:color="000000"/>
            </w:tcBorders>
          </w:tcPr>
          <w:p w14:paraId="75B805C9" w14:textId="77777777" w:rsidR="0066522E" w:rsidRDefault="0066522E" w:rsidP="00183CD7">
            <w:pPr>
              <w:pStyle w:val="TableParagraph"/>
              <w:spacing w:line="246" w:lineRule="exact"/>
              <w:ind w:left="431"/>
              <w:rPr>
                <w:rFonts w:ascii="Times New Roman" w:eastAsia="Times New Roman" w:hAnsi="Times New Roman" w:cs="Times New Roman"/>
                <w:lang w:val="sl-SI"/>
              </w:rPr>
            </w:pPr>
            <w:r>
              <w:rPr>
                <w:rFonts w:ascii="Times New Roman" w:eastAsia="Times New Roman" w:hAnsi="Times New Roman" w:cs="Times New Roman"/>
                <w:lang w:val="sl-SI"/>
              </w:rPr>
              <w:t>&lt; 0,001</w:t>
            </w:r>
          </w:p>
        </w:tc>
      </w:tr>
      <w:tr w:rsidR="0066522E" w14:paraId="6CC82340" w14:textId="77777777" w:rsidTr="00183CD7">
        <w:trPr>
          <w:jc w:val="center"/>
        </w:trPr>
        <w:tc>
          <w:tcPr>
            <w:tcW w:w="2583" w:type="dxa"/>
            <w:tcBorders>
              <w:top w:val="single" w:sz="5" w:space="0" w:color="000000"/>
              <w:left w:val="single" w:sz="5" w:space="0" w:color="000000"/>
              <w:bottom w:val="single" w:sz="5" w:space="0" w:color="000000"/>
              <w:right w:val="single" w:sz="5" w:space="0" w:color="000000"/>
            </w:tcBorders>
          </w:tcPr>
          <w:p w14:paraId="65DF7CEF" w14:textId="77777777" w:rsidR="0066522E" w:rsidRDefault="0066522E" w:rsidP="00183CD7">
            <w:pPr>
              <w:pStyle w:val="TableParagraph"/>
              <w:spacing w:line="246" w:lineRule="exact"/>
              <w:ind w:left="560"/>
              <w:rPr>
                <w:rFonts w:ascii="Times New Roman" w:eastAsia="Times New Roman" w:hAnsi="Times New Roman" w:cs="Times New Roman"/>
                <w:lang w:val="sl-SI"/>
              </w:rPr>
            </w:pPr>
            <w:r>
              <w:rPr>
                <w:rFonts w:ascii="Times New Roman" w:eastAsia="Times New Roman" w:hAnsi="Times New Roman" w:cs="Times New Roman"/>
                <w:spacing w:val="1"/>
                <w:lang w:val="sl-SI"/>
              </w:rPr>
              <w:t>Seštevek JSN</w:t>
            </w:r>
            <w:r>
              <w:rPr>
                <w:rFonts w:ascii="Times New Roman" w:eastAsia="Times New Roman" w:hAnsi="Times New Roman" w:cs="Times New Roman"/>
                <w:spacing w:val="1"/>
                <w:vertAlign w:val="superscript"/>
                <w:lang w:val="sl-SI"/>
              </w:rPr>
              <w:t>d</w:t>
            </w:r>
          </w:p>
        </w:tc>
        <w:tc>
          <w:tcPr>
            <w:tcW w:w="935" w:type="dxa"/>
            <w:tcBorders>
              <w:top w:val="single" w:sz="5" w:space="0" w:color="000000"/>
              <w:left w:val="single" w:sz="5" w:space="0" w:color="000000"/>
              <w:bottom w:val="single" w:sz="5" w:space="0" w:color="000000"/>
              <w:right w:val="single" w:sz="5" w:space="0" w:color="000000"/>
            </w:tcBorders>
          </w:tcPr>
          <w:p w14:paraId="49C8C161" w14:textId="77777777" w:rsidR="0066522E" w:rsidRDefault="0066522E" w:rsidP="00183CD7">
            <w:pPr>
              <w:jc w:val="center"/>
              <w:rPr>
                <w:rFonts w:asciiTheme="majorBidi" w:hAnsiTheme="majorBidi" w:cstheme="majorBidi"/>
              </w:rPr>
            </w:pPr>
            <w:r>
              <w:rPr>
                <w:rFonts w:asciiTheme="majorBidi" w:hAnsiTheme="majorBidi" w:cstheme="majorBidi"/>
              </w:rPr>
              <w:t>1,0</w:t>
            </w:r>
          </w:p>
        </w:tc>
        <w:tc>
          <w:tcPr>
            <w:tcW w:w="1790" w:type="dxa"/>
            <w:tcBorders>
              <w:top w:val="single" w:sz="5" w:space="0" w:color="000000"/>
              <w:left w:val="single" w:sz="5" w:space="0" w:color="000000"/>
              <w:bottom w:val="single" w:sz="5" w:space="0" w:color="000000"/>
              <w:right w:val="single" w:sz="5" w:space="0" w:color="000000"/>
            </w:tcBorders>
          </w:tcPr>
          <w:p w14:paraId="35AF76F0" w14:textId="77777777" w:rsidR="0066522E" w:rsidRDefault="0066522E" w:rsidP="00183CD7">
            <w:pPr>
              <w:pStyle w:val="TableParagraph"/>
              <w:spacing w:line="246" w:lineRule="exact"/>
              <w:ind w:left="731" w:right="733"/>
              <w:jc w:val="center"/>
              <w:rPr>
                <w:rFonts w:ascii="Times New Roman" w:eastAsia="Times New Roman" w:hAnsi="Times New Roman" w:cs="Times New Roman"/>
                <w:lang w:val="sl-SI"/>
              </w:rPr>
            </w:pPr>
            <w:r>
              <w:rPr>
                <w:rFonts w:ascii="Times New Roman" w:eastAsia="Times New Roman" w:hAnsi="Times New Roman" w:cs="Times New Roman"/>
                <w:lang w:val="sl-SI"/>
              </w:rPr>
              <w:t>0,1</w:t>
            </w:r>
          </w:p>
        </w:tc>
        <w:tc>
          <w:tcPr>
            <w:tcW w:w="1999" w:type="dxa"/>
            <w:tcBorders>
              <w:top w:val="single" w:sz="5" w:space="0" w:color="000000"/>
              <w:left w:val="single" w:sz="5" w:space="0" w:color="000000"/>
              <w:bottom w:val="single" w:sz="5" w:space="0" w:color="000000"/>
              <w:right w:val="single" w:sz="5" w:space="0" w:color="000000"/>
            </w:tcBorders>
          </w:tcPr>
          <w:p w14:paraId="2772A0B8" w14:textId="77777777" w:rsidR="0066522E" w:rsidRDefault="0066522E" w:rsidP="00183CD7">
            <w:pPr>
              <w:pStyle w:val="TableParagraph"/>
              <w:spacing w:line="246" w:lineRule="exact"/>
              <w:ind w:left="423"/>
              <w:rPr>
                <w:rFonts w:ascii="Times New Roman" w:eastAsia="Times New Roman" w:hAnsi="Times New Roman" w:cs="Times New Roman"/>
                <w:lang w:val="sl-SI"/>
              </w:rPr>
            </w:pPr>
            <w:r>
              <w:rPr>
                <w:rFonts w:ascii="Times New Roman" w:eastAsia="Times New Roman" w:hAnsi="Times New Roman" w:cs="Times New Roman"/>
                <w:spacing w:val="-1"/>
                <w:lang w:val="sl-SI"/>
              </w:rPr>
              <w:t>0,9 (0,3; 1,4)</w:t>
            </w:r>
          </w:p>
        </w:tc>
        <w:tc>
          <w:tcPr>
            <w:tcW w:w="1548" w:type="dxa"/>
            <w:tcBorders>
              <w:top w:val="single" w:sz="5" w:space="0" w:color="000000"/>
              <w:left w:val="single" w:sz="5" w:space="0" w:color="000000"/>
              <w:bottom w:val="single" w:sz="5" w:space="0" w:color="000000"/>
              <w:right w:val="single" w:sz="5" w:space="0" w:color="000000"/>
            </w:tcBorders>
          </w:tcPr>
          <w:p w14:paraId="738C69EA" w14:textId="77777777" w:rsidR="0066522E" w:rsidRDefault="0066522E" w:rsidP="00183CD7">
            <w:pPr>
              <w:pStyle w:val="TableParagraph"/>
              <w:spacing w:line="246" w:lineRule="exact"/>
              <w:ind w:left="575"/>
              <w:rPr>
                <w:rFonts w:ascii="Times New Roman" w:eastAsia="Times New Roman" w:hAnsi="Times New Roman" w:cs="Times New Roman"/>
                <w:lang w:val="sl-SI"/>
              </w:rPr>
            </w:pPr>
            <w:r>
              <w:rPr>
                <w:rFonts w:ascii="Times New Roman" w:eastAsia="Times New Roman" w:hAnsi="Times New Roman" w:cs="Times New Roman"/>
                <w:lang w:val="sl-SI"/>
              </w:rPr>
              <w:t>0,002</w:t>
            </w:r>
          </w:p>
        </w:tc>
      </w:tr>
    </w:tbl>
    <w:p w14:paraId="54FD4828" w14:textId="77777777" w:rsidR="0066522E" w:rsidRDefault="0066522E" w:rsidP="00385E1F">
      <w:pPr>
        <w:pStyle w:val="a3"/>
        <w:ind w:leftChars="200" w:left="440"/>
        <w:rPr>
          <w:lang w:val="sl-SI"/>
        </w:rPr>
      </w:pPr>
      <w:r>
        <w:rPr>
          <w:rFonts w:eastAsia="Times New Roman"/>
          <w:position w:val="8"/>
          <w:vertAlign w:val="superscript"/>
          <w:lang w:val="sl-SI"/>
        </w:rPr>
        <w:t xml:space="preserve">a </w:t>
      </w:r>
      <w:r>
        <w:rPr>
          <w:rFonts w:eastAsia="Times New Roman"/>
          <w:position w:val="8"/>
          <w:lang w:val="sl-SI"/>
        </w:rPr>
        <w:t>metotreksat</w:t>
      </w:r>
    </w:p>
    <w:p w14:paraId="13C614C1" w14:textId="77777777" w:rsidR="0066522E" w:rsidRDefault="0066522E" w:rsidP="00385E1F">
      <w:pPr>
        <w:pStyle w:val="a3"/>
        <w:ind w:leftChars="200" w:left="440"/>
        <w:rPr>
          <w:lang w:val="sl-SI"/>
        </w:rPr>
      </w:pPr>
      <w:r>
        <w:rPr>
          <w:rFonts w:eastAsia="Times New Roman"/>
          <w:position w:val="8"/>
          <w:vertAlign w:val="superscript"/>
          <w:lang w:val="sl-SI"/>
        </w:rPr>
        <w:t>b</w:t>
      </w:r>
      <w:r>
        <w:rPr>
          <w:rFonts w:eastAsia="Times New Roman"/>
          <w:position w:val="8"/>
          <w:lang w:val="sl-SI"/>
        </w:rPr>
        <w:t xml:space="preserve"> 95-% intervali zaupanja za razlike v spremembi ocen med metotreksatom in adalimumabom.</w:t>
      </w:r>
    </w:p>
    <w:p w14:paraId="3116EB02" w14:textId="77777777" w:rsidR="0066522E" w:rsidRDefault="0066522E" w:rsidP="00385E1F">
      <w:pPr>
        <w:pStyle w:val="a3"/>
        <w:ind w:leftChars="200" w:left="440"/>
        <w:rPr>
          <w:lang w:val="sl-SI"/>
        </w:rPr>
      </w:pPr>
      <w:r>
        <w:rPr>
          <w:rFonts w:eastAsia="Times New Roman"/>
          <w:position w:val="8"/>
          <w:vertAlign w:val="superscript"/>
          <w:lang w:val="sl-SI"/>
        </w:rPr>
        <w:t>c</w:t>
      </w:r>
      <w:r>
        <w:rPr>
          <w:rFonts w:eastAsia="Times New Roman"/>
          <w:position w:val="8"/>
          <w:lang w:val="sl-SI"/>
        </w:rPr>
        <w:t xml:space="preserve"> na podlagi analize rangov</w:t>
      </w:r>
    </w:p>
    <w:p w14:paraId="57427CB9" w14:textId="77777777" w:rsidR="0066522E" w:rsidRDefault="0066522E" w:rsidP="00385E1F">
      <w:pPr>
        <w:pStyle w:val="a3"/>
        <w:ind w:leftChars="200" w:left="440"/>
        <w:rPr>
          <w:lang w:val="sl-SI"/>
        </w:rPr>
      </w:pPr>
      <w:r>
        <w:rPr>
          <w:rFonts w:eastAsia="Times New Roman"/>
          <w:position w:val="8"/>
          <w:vertAlign w:val="superscript"/>
          <w:lang w:val="sl-SI"/>
        </w:rPr>
        <w:t>d</w:t>
      </w:r>
      <w:r>
        <w:rPr>
          <w:rFonts w:eastAsia="Times New Roman"/>
          <w:position w:val="8"/>
          <w:lang w:val="sl-SI"/>
        </w:rPr>
        <w:t xml:space="preserve"> zožitev sklepne špranje</w:t>
      </w:r>
    </w:p>
    <w:p w14:paraId="2CB7AC9C" w14:textId="77777777" w:rsidR="0066522E" w:rsidRDefault="0066522E" w:rsidP="0066522E">
      <w:pPr>
        <w:spacing w:before="17" w:line="240" w:lineRule="exact"/>
        <w:rPr>
          <w:sz w:val="24"/>
          <w:szCs w:val="24"/>
          <w:lang w:val="sl-SI"/>
        </w:rPr>
      </w:pPr>
    </w:p>
    <w:p w14:paraId="1D65A9A0" w14:textId="24370B8B" w:rsidR="0066522E" w:rsidRDefault="0066522E" w:rsidP="0066522E">
      <w:pPr>
        <w:pStyle w:val="a3"/>
        <w:rPr>
          <w:lang w:val="sl-SI"/>
        </w:rPr>
      </w:pPr>
      <w:r>
        <w:rPr>
          <w:rFonts w:eastAsia="Times New Roman"/>
          <w:lang w:val="sl-SI"/>
        </w:rPr>
        <w:t>V študiji revmatoidnega artritisa V so strukturno okvaro sklepov ocenili rentgenografsko in jo izrazili kot razliko v modificirani celotni Sharpovi oceni (glejte preglednico 1</w:t>
      </w:r>
      <w:r w:rsidR="00813F52">
        <w:rPr>
          <w:rFonts w:eastAsia="Times New Roman"/>
          <w:lang w:val="sl-SI"/>
        </w:rPr>
        <w:t>0</w:t>
      </w:r>
      <w:r>
        <w:rPr>
          <w:rFonts w:eastAsia="Times New Roman"/>
          <w:lang w:val="sl-SI"/>
        </w:rPr>
        <w:t>).</w:t>
      </w:r>
    </w:p>
    <w:p w14:paraId="60292781" w14:textId="77777777" w:rsidR="0066522E" w:rsidRDefault="0066522E" w:rsidP="0066522E">
      <w:pPr>
        <w:spacing w:before="15" w:line="240" w:lineRule="exact"/>
        <w:rPr>
          <w:sz w:val="24"/>
          <w:szCs w:val="24"/>
          <w:lang w:val="sl-SI"/>
        </w:rPr>
      </w:pPr>
    </w:p>
    <w:p w14:paraId="25DD6B8A" w14:textId="376856CB" w:rsidR="0066522E" w:rsidRDefault="0066522E" w:rsidP="0066522E">
      <w:pPr>
        <w:pStyle w:val="a3"/>
        <w:jc w:val="center"/>
        <w:rPr>
          <w:b/>
          <w:lang w:val="sl-SI"/>
        </w:rPr>
      </w:pPr>
      <w:r>
        <w:rPr>
          <w:rFonts w:eastAsia="Times New Roman"/>
          <w:b/>
          <w:bCs/>
          <w:lang w:val="sl-SI"/>
        </w:rPr>
        <w:t>Preglednica 1</w:t>
      </w:r>
      <w:r w:rsidR="00813F52">
        <w:rPr>
          <w:rFonts w:eastAsia="Times New Roman"/>
          <w:b/>
          <w:bCs/>
          <w:lang w:val="sl-SI"/>
        </w:rPr>
        <w:t>0</w:t>
      </w:r>
      <w:r>
        <w:rPr>
          <w:rFonts w:eastAsia="Times New Roman"/>
          <w:b/>
          <w:bCs/>
          <w:lang w:val="sl-SI"/>
        </w:rPr>
        <w:t>.</w:t>
      </w:r>
    </w:p>
    <w:p w14:paraId="3A734149" w14:textId="77777777" w:rsidR="0066522E" w:rsidRDefault="0066522E" w:rsidP="0066522E">
      <w:pPr>
        <w:pStyle w:val="a3"/>
        <w:jc w:val="center"/>
        <w:rPr>
          <w:b/>
          <w:lang w:val="sl-SI"/>
        </w:rPr>
      </w:pPr>
      <w:r>
        <w:rPr>
          <w:rFonts w:eastAsia="Times New Roman"/>
          <w:b/>
          <w:bCs/>
          <w:lang w:val="sl-SI"/>
        </w:rPr>
        <w:t>Povprečne rentgenografske spremembe po 52 tednih študije revmatoidnega artritisa V</w:t>
      </w:r>
    </w:p>
    <w:p w14:paraId="729C512D" w14:textId="77777777" w:rsidR="0066522E" w:rsidRDefault="0066522E" w:rsidP="0066522E">
      <w:pPr>
        <w:spacing w:before="11" w:line="240" w:lineRule="exact"/>
        <w:rPr>
          <w:sz w:val="24"/>
          <w:szCs w:val="24"/>
          <w:lang w:val="sl-SI"/>
        </w:rPr>
      </w:pPr>
    </w:p>
    <w:tbl>
      <w:tblPr>
        <w:tblStyle w:val="TableNormal1"/>
        <w:tblW w:w="0" w:type="auto"/>
        <w:tblLayout w:type="fixed"/>
        <w:tblLook w:val="01E0" w:firstRow="1" w:lastRow="1" w:firstColumn="1" w:lastColumn="1" w:noHBand="0" w:noVBand="0"/>
      </w:tblPr>
      <w:tblGrid>
        <w:gridCol w:w="1587"/>
        <w:gridCol w:w="1560"/>
        <w:gridCol w:w="1417"/>
        <w:gridCol w:w="1544"/>
        <w:gridCol w:w="1028"/>
        <w:gridCol w:w="1026"/>
        <w:gridCol w:w="1028"/>
      </w:tblGrid>
      <w:tr w:rsidR="0066522E" w14:paraId="049D272D" w14:textId="77777777" w:rsidTr="00183CD7">
        <w:trPr>
          <w:trHeight w:val="1036"/>
        </w:trPr>
        <w:tc>
          <w:tcPr>
            <w:tcW w:w="1587" w:type="dxa"/>
            <w:tcBorders>
              <w:top w:val="single" w:sz="5" w:space="0" w:color="000000"/>
              <w:left w:val="single" w:sz="5" w:space="0" w:color="000000"/>
              <w:bottom w:val="single" w:sz="5" w:space="0" w:color="000000"/>
              <w:right w:val="single" w:sz="5" w:space="0" w:color="000000"/>
            </w:tcBorders>
          </w:tcPr>
          <w:p w14:paraId="71E32C5F" w14:textId="77777777" w:rsidR="0066522E" w:rsidRDefault="0066522E" w:rsidP="00183CD7">
            <w:pPr>
              <w:rPr>
                <w:lang w:val="sl-SI"/>
              </w:rPr>
            </w:pPr>
          </w:p>
        </w:tc>
        <w:tc>
          <w:tcPr>
            <w:tcW w:w="1560" w:type="dxa"/>
            <w:tcBorders>
              <w:top w:val="single" w:sz="5" w:space="0" w:color="000000"/>
              <w:left w:val="single" w:sz="5" w:space="0" w:color="000000"/>
              <w:bottom w:val="single" w:sz="5" w:space="0" w:color="000000"/>
              <w:right w:val="single" w:sz="5" w:space="0" w:color="000000"/>
            </w:tcBorders>
          </w:tcPr>
          <w:p w14:paraId="332A309F" w14:textId="77777777" w:rsidR="0066522E" w:rsidRDefault="0066522E" w:rsidP="00183CD7">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Metotreksat </w:t>
            </w:r>
          </w:p>
          <w:p w14:paraId="74982431" w14:textId="77777777" w:rsidR="0066522E" w:rsidRDefault="0066522E" w:rsidP="00183CD7">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n = 257 </w:t>
            </w:r>
          </w:p>
          <w:p w14:paraId="0BB1633D" w14:textId="77777777" w:rsidR="0066522E" w:rsidRDefault="0066522E" w:rsidP="00183CD7">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(95-% </w:t>
            </w:r>
            <w:r>
              <w:rPr>
                <w:rFonts w:ascii="Times New Roman" w:eastAsia="Times New Roman" w:hAnsi="Times New Roman" w:cs="Times New Roman"/>
                <w:spacing w:val="-1"/>
                <w:lang w:val="sl-SI"/>
              </w:rPr>
              <w:t>interval zaupanja)</w:t>
            </w:r>
          </w:p>
        </w:tc>
        <w:tc>
          <w:tcPr>
            <w:tcW w:w="1417" w:type="dxa"/>
            <w:tcBorders>
              <w:top w:val="single" w:sz="5" w:space="0" w:color="000000"/>
              <w:left w:val="single" w:sz="5" w:space="0" w:color="000000"/>
              <w:bottom w:val="single" w:sz="5" w:space="0" w:color="000000"/>
              <w:right w:val="single" w:sz="5" w:space="0" w:color="000000"/>
            </w:tcBorders>
          </w:tcPr>
          <w:p w14:paraId="2F38E351" w14:textId="77777777" w:rsidR="0066522E" w:rsidRDefault="0066522E" w:rsidP="00183CD7">
            <w:pPr>
              <w:pStyle w:val="TableParagraph"/>
              <w:ind w:left="113" w:right="113"/>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Adalimumab </w:t>
            </w:r>
          </w:p>
          <w:p w14:paraId="34757132" w14:textId="77777777" w:rsidR="0066522E" w:rsidRDefault="0066522E" w:rsidP="00183CD7">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n = 274 </w:t>
            </w:r>
          </w:p>
          <w:p w14:paraId="18844BAE" w14:textId="77777777" w:rsidR="0066522E" w:rsidRDefault="0066522E" w:rsidP="00183CD7">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(95-% </w:t>
            </w:r>
            <w:r>
              <w:rPr>
                <w:rFonts w:ascii="Times New Roman" w:eastAsia="Times New Roman" w:hAnsi="Times New Roman" w:cs="Times New Roman"/>
                <w:spacing w:val="-1"/>
                <w:lang w:val="sl-SI"/>
              </w:rPr>
              <w:t>interval zaupanja)</w:t>
            </w:r>
          </w:p>
        </w:tc>
        <w:tc>
          <w:tcPr>
            <w:tcW w:w="1544" w:type="dxa"/>
            <w:tcBorders>
              <w:top w:val="single" w:sz="5" w:space="0" w:color="000000"/>
              <w:left w:val="single" w:sz="5" w:space="0" w:color="000000"/>
              <w:bottom w:val="single" w:sz="5" w:space="0" w:color="000000"/>
              <w:right w:val="single" w:sz="5" w:space="0" w:color="000000"/>
            </w:tcBorders>
          </w:tcPr>
          <w:p w14:paraId="265814C0" w14:textId="77777777" w:rsidR="0066522E" w:rsidRDefault="0066522E" w:rsidP="00183CD7">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Adalimumab/MTX</w:t>
            </w:r>
          </w:p>
          <w:p w14:paraId="1C20C89E" w14:textId="77777777" w:rsidR="0066522E" w:rsidRDefault="0066522E" w:rsidP="00183CD7">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n = 268 </w:t>
            </w:r>
          </w:p>
          <w:p w14:paraId="30BD1816" w14:textId="77777777" w:rsidR="0066522E" w:rsidRDefault="0066522E" w:rsidP="00183CD7">
            <w:pPr>
              <w:pStyle w:val="TableParagraph"/>
              <w:ind w:left="113" w:right="113"/>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(95-% </w:t>
            </w:r>
            <w:r>
              <w:rPr>
                <w:rFonts w:ascii="Times New Roman" w:eastAsia="Times New Roman" w:hAnsi="Times New Roman" w:cs="Times New Roman"/>
                <w:spacing w:val="-1"/>
                <w:lang w:val="sl-SI"/>
              </w:rPr>
              <w:t>interval zaupanja)</w:t>
            </w:r>
          </w:p>
        </w:tc>
        <w:tc>
          <w:tcPr>
            <w:tcW w:w="1028" w:type="dxa"/>
            <w:tcBorders>
              <w:top w:val="single" w:sz="5" w:space="0" w:color="000000"/>
              <w:left w:val="single" w:sz="5" w:space="0" w:color="000000"/>
              <w:bottom w:val="single" w:sz="5" w:space="0" w:color="000000"/>
              <w:right w:val="single" w:sz="5" w:space="0" w:color="000000"/>
            </w:tcBorders>
          </w:tcPr>
          <w:p w14:paraId="6151D0CB" w14:textId="77777777" w:rsidR="0066522E" w:rsidRDefault="0066522E" w:rsidP="00183CD7">
            <w:pPr>
              <w:pStyle w:val="TableParagraph"/>
              <w:spacing w:line="200" w:lineRule="exact"/>
              <w:rPr>
                <w:lang w:val="sl-SI"/>
              </w:rPr>
            </w:pPr>
          </w:p>
          <w:p w14:paraId="1AC3DC8E" w14:textId="77777777" w:rsidR="0066522E" w:rsidRDefault="0066522E" w:rsidP="00183CD7">
            <w:pPr>
              <w:pStyle w:val="TableParagraph"/>
              <w:ind w:left="126"/>
              <w:rPr>
                <w:rFonts w:ascii="Times New Roman" w:eastAsia="Times New Roman" w:hAnsi="Times New Roman" w:cs="Times New Roman"/>
                <w:lang w:val="sl-SI"/>
              </w:rPr>
            </w:pPr>
            <w:r>
              <w:rPr>
                <w:rFonts w:ascii="Times New Roman" w:eastAsia="Times New Roman" w:hAnsi="Times New Roman" w:cs="Times New Roman"/>
                <w:lang w:val="sl-SI"/>
              </w:rPr>
              <w:t>Vrednost p</w:t>
            </w:r>
            <w:r>
              <w:rPr>
                <w:rFonts w:ascii="Times New Roman" w:eastAsia="Times New Roman" w:hAnsi="Times New Roman" w:cs="Times New Roman"/>
                <w:vertAlign w:val="superscript"/>
                <w:lang w:val="sl-SI"/>
              </w:rPr>
              <w:t>a</w:t>
            </w:r>
          </w:p>
        </w:tc>
        <w:tc>
          <w:tcPr>
            <w:tcW w:w="1026" w:type="dxa"/>
            <w:tcBorders>
              <w:top w:val="single" w:sz="5" w:space="0" w:color="000000"/>
              <w:left w:val="single" w:sz="5" w:space="0" w:color="000000"/>
              <w:bottom w:val="single" w:sz="5" w:space="0" w:color="000000"/>
              <w:right w:val="single" w:sz="5" w:space="0" w:color="000000"/>
            </w:tcBorders>
          </w:tcPr>
          <w:p w14:paraId="66F10122" w14:textId="77777777" w:rsidR="0066522E" w:rsidRDefault="0066522E" w:rsidP="00183CD7">
            <w:pPr>
              <w:pStyle w:val="TableParagraph"/>
              <w:spacing w:line="200" w:lineRule="exact"/>
              <w:rPr>
                <w:lang w:val="sl-SI"/>
              </w:rPr>
            </w:pPr>
          </w:p>
          <w:p w14:paraId="46C5757B" w14:textId="77777777" w:rsidR="0066522E" w:rsidRDefault="0066522E" w:rsidP="00183CD7">
            <w:pPr>
              <w:pStyle w:val="TableParagraph"/>
              <w:ind w:left="121"/>
              <w:rPr>
                <w:rFonts w:ascii="Times New Roman" w:eastAsia="Times New Roman" w:hAnsi="Times New Roman" w:cs="Times New Roman"/>
                <w:lang w:val="sl-SI"/>
              </w:rPr>
            </w:pPr>
            <w:r>
              <w:rPr>
                <w:rFonts w:ascii="Times New Roman" w:eastAsia="Times New Roman" w:hAnsi="Times New Roman" w:cs="Times New Roman"/>
                <w:lang w:val="sl-SI"/>
              </w:rPr>
              <w:t>Vrednost p</w:t>
            </w:r>
            <w:r>
              <w:rPr>
                <w:rFonts w:ascii="Times New Roman" w:eastAsia="Times New Roman" w:hAnsi="Times New Roman" w:cs="Times New Roman"/>
                <w:vertAlign w:val="superscript"/>
                <w:lang w:val="sl-SI"/>
              </w:rPr>
              <w:t>b</w:t>
            </w:r>
          </w:p>
        </w:tc>
        <w:tc>
          <w:tcPr>
            <w:tcW w:w="1028" w:type="dxa"/>
            <w:tcBorders>
              <w:top w:val="single" w:sz="5" w:space="0" w:color="000000"/>
              <w:left w:val="single" w:sz="5" w:space="0" w:color="000000"/>
              <w:bottom w:val="single" w:sz="5" w:space="0" w:color="000000"/>
              <w:right w:val="single" w:sz="5" w:space="0" w:color="000000"/>
            </w:tcBorders>
          </w:tcPr>
          <w:p w14:paraId="2038BA64" w14:textId="77777777" w:rsidR="0066522E" w:rsidRDefault="0066522E" w:rsidP="00183CD7">
            <w:pPr>
              <w:pStyle w:val="TableParagraph"/>
              <w:spacing w:line="200" w:lineRule="exact"/>
              <w:rPr>
                <w:lang w:val="sl-SI"/>
              </w:rPr>
            </w:pPr>
          </w:p>
          <w:p w14:paraId="3B53457A" w14:textId="77777777" w:rsidR="0066522E" w:rsidRDefault="0066522E" w:rsidP="00183CD7">
            <w:pPr>
              <w:pStyle w:val="TableParagraph"/>
              <w:ind w:left="126"/>
              <w:rPr>
                <w:rFonts w:ascii="Times New Roman" w:eastAsia="Times New Roman" w:hAnsi="Times New Roman" w:cs="Times New Roman"/>
                <w:lang w:val="sl-SI"/>
              </w:rPr>
            </w:pPr>
            <w:r>
              <w:rPr>
                <w:rFonts w:ascii="Times New Roman" w:eastAsia="Times New Roman" w:hAnsi="Times New Roman" w:cs="Times New Roman"/>
                <w:lang w:val="sl-SI"/>
              </w:rPr>
              <w:t>Vrednost p</w:t>
            </w:r>
            <w:r>
              <w:rPr>
                <w:rFonts w:ascii="Times New Roman" w:eastAsia="Times New Roman" w:hAnsi="Times New Roman" w:cs="Times New Roman"/>
                <w:vertAlign w:val="superscript"/>
                <w:lang w:val="sl-SI"/>
              </w:rPr>
              <w:t>c</w:t>
            </w:r>
          </w:p>
        </w:tc>
      </w:tr>
      <w:tr w:rsidR="0066522E" w14:paraId="7E43E98E" w14:textId="77777777" w:rsidTr="00183CD7">
        <w:trPr>
          <w:trHeight w:val="341"/>
        </w:trPr>
        <w:tc>
          <w:tcPr>
            <w:tcW w:w="1587" w:type="dxa"/>
            <w:tcBorders>
              <w:top w:val="single" w:sz="5" w:space="0" w:color="000000"/>
              <w:left w:val="single" w:sz="5" w:space="0" w:color="000000"/>
              <w:bottom w:val="single" w:sz="5" w:space="0" w:color="000000"/>
              <w:right w:val="single" w:sz="5" w:space="0" w:color="000000"/>
            </w:tcBorders>
          </w:tcPr>
          <w:p w14:paraId="1BF49243" w14:textId="77777777" w:rsidR="0066522E" w:rsidRDefault="0066522E" w:rsidP="00183CD7">
            <w:pPr>
              <w:pStyle w:val="TableParagraph"/>
              <w:spacing w:line="246" w:lineRule="exact"/>
              <w:ind w:right="179"/>
              <w:rPr>
                <w:rFonts w:ascii="Times New Roman" w:eastAsia="Times New Roman" w:hAnsi="Times New Roman" w:cs="Times New Roman"/>
                <w:lang w:val="sl-SI"/>
              </w:rPr>
            </w:pPr>
            <w:r>
              <w:rPr>
                <w:rFonts w:ascii="Times New Roman" w:eastAsia="Times New Roman" w:hAnsi="Times New Roman" w:cs="Times New Roman"/>
                <w:spacing w:val="-1"/>
                <w:lang w:val="sl-SI"/>
              </w:rPr>
              <w:t>Celotna Sharpova</w:t>
            </w:r>
            <w:r>
              <w:rPr>
                <w:rFonts w:ascii="Times New Roman" w:hAnsi="Times New Roman" w:cs="Times New Roman" w:hint="eastAsia"/>
                <w:lang w:val="sl-SI" w:eastAsia="ko-KR"/>
              </w:rPr>
              <w:t xml:space="preserve"> </w:t>
            </w:r>
            <w:r>
              <w:rPr>
                <w:rFonts w:ascii="Times New Roman" w:eastAsia="Times New Roman" w:hAnsi="Times New Roman" w:cs="Times New Roman"/>
                <w:lang w:val="sl-SI"/>
              </w:rPr>
              <w:t>ocena</w:t>
            </w:r>
          </w:p>
        </w:tc>
        <w:tc>
          <w:tcPr>
            <w:tcW w:w="1560" w:type="dxa"/>
            <w:tcBorders>
              <w:top w:val="single" w:sz="5" w:space="0" w:color="000000"/>
              <w:left w:val="single" w:sz="5" w:space="0" w:color="000000"/>
              <w:bottom w:val="single" w:sz="5" w:space="0" w:color="000000"/>
              <w:right w:val="single" w:sz="5" w:space="0" w:color="000000"/>
            </w:tcBorders>
          </w:tcPr>
          <w:p w14:paraId="109BCE90"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5,7 (4,2-7,3)</w:t>
            </w:r>
          </w:p>
        </w:tc>
        <w:tc>
          <w:tcPr>
            <w:tcW w:w="1417" w:type="dxa"/>
            <w:tcBorders>
              <w:top w:val="single" w:sz="5" w:space="0" w:color="000000"/>
              <w:left w:val="single" w:sz="5" w:space="0" w:color="000000"/>
              <w:bottom w:val="single" w:sz="5" w:space="0" w:color="000000"/>
              <w:right w:val="single" w:sz="5" w:space="0" w:color="000000"/>
            </w:tcBorders>
          </w:tcPr>
          <w:p w14:paraId="445022F5"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3,0 (1,7-4,3)</w:t>
            </w:r>
          </w:p>
        </w:tc>
        <w:tc>
          <w:tcPr>
            <w:tcW w:w="1544" w:type="dxa"/>
            <w:tcBorders>
              <w:top w:val="single" w:sz="5" w:space="0" w:color="000000"/>
              <w:left w:val="single" w:sz="5" w:space="0" w:color="000000"/>
              <w:bottom w:val="single" w:sz="5" w:space="0" w:color="000000"/>
              <w:right w:val="single" w:sz="5" w:space="0" w:color="000000"/>
            </w:tcBorders>
          </w:tcPr>
          <w:p w14:paraId="5159F721"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1,3 (0,5-2,1)</w:t>
            </w:r>
          </w:p>
        </w:tc>
        <w:tc>
          <w:tcPr>
            <w:tcW w:w="1028" w:type="dxa"/>
            <w:tcBorders>
              <w:top w:val="single" w:sz="5" w:space="0" w:color="000000"/>
              <w:left w:val="single" w:sz="5" w:space="0" w:color="000000"/>
              <w:bottom w:val="single" w:sz="5" w:space="0" w:color="000000"/>
              <w:right w:val="single" w:sz="5" w:space="0" w:color="000000"/>
            </w:tcBorders>
          </w:tcPr>
          <w:p w14:paraId="036A9CEF"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026" w:type="dxa"/>
            <w:tcBorders>
              <w:top w:val="single" w:sz="5" w:space="0" w:color="000000"/>
              <w:left w:val="single" w:sz="5" w:space="0" w:color="000000"/>
              <w:bottom w:val="single" w:sz="5" w:space="0" w:color="000000"/>
              <w:right w:val="single" w:sz="5" w:space="0" w:color="000000"/>
            </w:tcBorders>
          </w:tcPr>
          <w:p w14:paraId="2C133E8A"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0,0020</w:t>
            </w:r>
          </w:p>
        </w:tc>
        <w:tc>
          <w:tcPr>
            <w:tcW w:w="1028" w:type="dxa"/>
            <w:tcBorders>
              <w:top w:val="single" w:sz="5" w:space="0" w:color="000000"/>
              <w:left w:val="single" w:sz="5" w:space="0" w:color="000000"/>
              <w:bottom w:val="single" w:sz="5" w:space="0" w:color="000000"/>
              <w:right w:val="single" w:sz="5" w:space="0" w:color="000000"/>
            </w:tcBorders>
          </w:tcPr>
          <w:p w14:paraId="7952F312"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r>
      <w:tr w:rsidR="0066522E" w14:paraId="3E53ADAA" w14:textId="77777777" w:rsidTr="00183CD7">
        <w:trPr>
          <w:trHeight w:val="334"/>
        </w:trPr>
        <w:tc>
          <w:tcPr>
            <w:tcW w:w="1587" w:type="dxa"/>
            <w:tcBorders>
              <w:top w:val="single" w:sz="5" w:space="0" w:color="000000"/>
              <w:left w:val="single" w:sz="5" w:space="0" w:color="000000"/>
              <w:bottom w:val="single" w:sz="5" w:space="0" w:color="000000"/>
              <w:right w:val="single" w:sz="5" w:space="0" w:color="000000"/>
            </w:tcBorders>
          </w:tcPr>
          <w:p w14:paraId="0E63DBB5" w14:textId="77777777" w:rsidR="0066522E" w:rsidRDefault="0066522E" w:rsidP="00183CD7">
            <w:pPr>
              <w:pStyle w:val="TableParagraph"/>
              <w:spacing w:line="246"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Ocena erozij</w:t>
            </w:r>
          </w:p>
        </w:tc>
        <w:tc>
          <w:tcPr>
            <w:tcW w:w="1560" w:type="dxa"/>
            <w:tcBorders>
              <w:top w:val="single" w:sz="5" w:space="0" w:color="000000"/>
              <w:left w:val="single" w:sz="5" w:space="0" w:color="000000"/>
              <w:bottom w:val="single" w:sz="5" w:space="0" w:color="000000"/>
              <w:right w:val="single" w:sz="5" w:space="0" w:color="000000"/>
            </w:tcBorders>
          </w:tcPr>
          <w:p w14:paraId="27F0709E"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3,7 (2,7-4,7)</w:t>
            </w:r>
          </w:p>
        </w:tc>
        <w:tc>
          <w:tcPr>
            <w:tcW w:w="1417" w:type="dxa"/>
            <w:tcBorders>
              <w:top w:val="single" w:sz="5" w:space="0" w:color="000000"/>
              <w:left w:val="single" w:sz="5" w:space="0" w:color="000000"/>
              <w:bottom w:val="single" w:sz="5" w:space="0" w:color="000000"/>
              <w:right w:val="single" w:sz="5" w:space="0" w:color="000000"/>
            </w:tcBorders>
          </w:tcPr>
          <w:p w14:paraId="4E1D2A46"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1,7 (1,0-2,4)</w:t>
            </w:r>
          </w:p>
        </w:tc>
        <w:tc>
          <w:tcPr>
            <w:tcW w:w="1544" w:type="dxa"/>
            <w:tcBorders>
              <w:top w:val="single" w:sz="5" w:space="0" w:color="000000"/>
              <w:left w:val="single" w:sz="5" w:space="0" w:color="000000"/>
              <w:bottom w:val="single" w:sz="5" w:space="0" w:color="000000"/>
              <w:right w:val="single" w:sz="5" w:space="0" w:color="000000"/>
            </w:tcBorders>
          </w:tcPr>
          <w:p w14:paraId="4FEBA734"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0,8 (0,4-1,2)</w:t>
            </w:r>
          </w:p>
        </w:tc>
        <w:tc>
          <w:tcPr>
            <w:tcW w:w="1028" w:type="dxa"/>
            <w:tcBorders>
              <w:top w:val="single" w:sz="5" w:space="0" w:color="000000"/>
              <w:left w:val="single" w:sz="5" w:space="0" w:color="000000"/>
              <w:bottom w:val="single" w:sz="5" w:space="0" w:color="000000"/>
              <w:right w:val="single" w:sz="5" w:space="0" w:color="000000"/>
            </w:tcBorders>
          </w:tcPr>
          <w:p w14:paraId="1E7A65B0"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026" w:type="dxa"/>
            <w:tcBorders>
              <w:top w:val="single" w:sz="5" w:space="0" w:color="000000"/>
              <w:left w:val="single" w:sz="5" w:space="0" w:color="000000"/>
              <w:bottom w:val="single" w:sz="5" w:space="0" w:color="000000"/>
              <w:right w:val="single" w:sz="5" w:space="0" w:color="000000"/>
            </w:tcBorders>
          </w:tcPr>
          <w:p w14:paraId="589BC4B6"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0,0082</w:t>
            </w:r>
          </w:p>
        </w:tc>
        <w:tc>
          <w:tcPr>
            <w:tcW w:w="1028" w:type="dxa"/>
            <w:tcBorders>
              <w:top w:val="single" w:sz="5" w:space="0" w:color="000000"/>
              <w:left w:val="single" w:sz="5" w:space="0" w:color="000000"/>
              <w:bottom w:val="single" w:sz="5" w:space="0" w:color="000000"/>
              <w:right w:val="single" w:sz="5" w:space="0" w:color="000000"/>
            </w:tcBorders>
          </w:tcPr>
          <w:p w14:paraId="6AD667A9"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r>
      <w:tr w:rsidR="0066522E" w14:paraId="636560A1" w14:textId="77777777" w:rsidTr="00183CD7">
        <w:trPr>
          <w:trHeight w:val="341"/>
        </w:trPr>
        <w:tc>
          <w:tcPr>
            <w:tcW w:w="1587" w:type="dxa"/>
            <w:tcBorders>
              <w:top w:val="single" w:sz="5" w:space="0" w:color="000000"/>
              <w:left w:val="single" w:sz="5" w:space="0" w:color="000000"/>
              <w:bottom w:val="single" w:sz="5" w:space="0" w:color="000000"/>
              <w:right w:val="single" w:sz="5" w:space="0" w:color="000000"/>
            </w:tcBorders>
          </w:tcPr>
          <w:p w14:paraId="2B3A228F" w14:textId="77777777" w:rsidR="0066522E" w:rsidRDefault="0066522E" w:rsidP="00183CD7">
            <w:pPr>
              <w:pStyle w:val="TableParagraph"/>
              <w:spacing w:line="246" w:lineRule="exact"/>
              <w:rPr>
                <w:rFonts w:ascii="Times New Roman" w:eastAsia="Times New Roman" w:hAnsi="Times New Roman" w:cs="Times New Roman"/>
                <w:lang w:val="sl-SI"/>
              </w:rPr>
            </w:pPr>
            <w:r>
              <w:rPr>
                <w:rFonts w:ascii="Times New Roman" w:eastAsia="Times New Roman" w:hAnsi="Times New Roman" w:cs="Times New Roman"/>
                <w:spacing w:val="-1"/>
                <w:lang w:val="sl-SI"/>
              </w:rPr>
              <w:t>Seštevek JSN</w:t>
            </w:r>
          </w:p>
        </w:tc>
        <w:tc>
          <w:tcPr>
            <w:tcW w:w="1560" w:type="dxa"/>
            <w:tcBorders>
              <w:top w:val="single" w:sz="5" w:space="0" w:color="000000"/>
              <w:left w:val="single" w:sz="5" w:space="0" w:color="000000"/>
              <w:bottom w:val="single" w:sz="5" w:space="0" w:color="000000"/>
              <w:right w:val="single" w:sz="5" w:space="0" w:color="000000"/>
            </w:tcBorders>
          </w:tcPr>
          <w:p w14:paraId="704C8C95"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2,0 (1,2-2,8)</w:t>
            </w:r>
          </w:p>
        </w:tc>
        <w:tc>
          <w:tcPr>
            <w:tcW w:w="1417" w:type="dxa"/>
            <w:tcBorders>
              <w:top w:val="single" w:sz="5" w:space="0" w:color="000000"/>
              <w:left w:val="single" w:sz="5" w:space="0" w:color="000000"/>
              <w:bottom w:val="single" w:sz="5" w:space="0" w:color="000000"/>
              <w:right w:val="single" w:sz="5" w:space="0" w:color="000000"/>
            </w:tcBorders>
          </w:tcPr>
          <w:p w14:paraId="43BA18A7"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1,3 (0,5-2,1)</w:t>
            </w:r>
          </w:p>
        </w:tc>
        <w:tc>
          <w:tcPr>
            <w:tcW w:w="1544" w:type="dxa"/>
            <w:tcBorders>
              <w:top w:val="single" w:sz="5" w:space="0" w:color="000000"/>
              <w:left w:val="single" w:sz="5" w:space="0" w:color="000000"/>
              <w:bottom w:val="single" w:sz="5" w:space="0" w:color="000000"/>
              <w:right w:val="single" w:sz="5" w:space="0" w:color="000000"/>
            </w:tcBorders>
          </w:tcPr>
          <w:p w14:paraId="5550A77E"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0,5 (0-1,0)</w:t>
            </w:r>
          </w:p>
        </w:tc>
        <w:tc>
          <w:tcPr>
            <w:tcW w:w="1028" w:type="dxa"/>
            <w:tcBorders>
              <w:top w:val="single" w:sz="5" w:space="0" w:color="000000"/>
              <w:left w:val="single" w:sz="5" w:space="0" w:color="000000"/>
              <w:bottom w:val="single" w:sz="5" w:space="0" w:color="000000"/>
              <w:right w:val="single" w:sz="5" w:space="0" w:color="000000"/>
            </w:tcBorders>
          </w:tcPr>
          <w:p w14:paraId="12366B09"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&lt; 0,001</w:t>
            </w:r>
          </w:p>
        </w:tc>
        <w:tc>
          <w:tcPr>
            <w:tcW w:w="1026" w:type="dxa"/>
            <w:tcBorders>
              <w:top w:val="single" w:sz="5" w:space="0" w:color="000000"/>
              <w:left w:val="single" w:sz="5" w:space="0" w:color="000000"/>
              <w:bottom w:val="single" w:sz="5" w:space="0" w:color="000000"/>
              <w:right w:val="single" w:sz="5" w:space="0" w:color="000000"/>
            </w:tcBorders>
          </w:tcPr>
          <w:p w14:paraId="4CB4FF14"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0,0037</w:t>
            </w:r>
          </w:p>
        </w:tc>
        <w:tc>
          <w:tcPr>
            <w:tcW w:w="1028" w:type="dxa"/>
            <w:tcBorders>
              <w:top w:val="single" w:sz="5" w:space="0" w:color="000000"/>
              <w:left w:val="single" w:sz="5" w:space="0" w:color="000000"/>
              <w:bottom w:val="single" w:sz="5" w:space="0" w:color="000000"/>
              <w:right w:val="single" w:sz="5" w:space="0" w:color="000000"/>
            </w:tcBorders>
          </w:tcPr>
          <w:p w14:paraId="56AA6EB1"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0,151</w:t>
            </w:r>
          </w:p>
        </w:tc>
      </w:tr>
    </w:tbl>
    <w:p w14:paraId="4338E2A5" w14:textId="77777777" w:rsidR="0066522E" w:rsidRDefault="0066522E" w:rsidP="0066522E">
      <w:pPr>
        <w:pStyle w:val="a3"/>
        <w:rPr>
          <w:lang w:val="sl-SI"/>
        </w:rPr>
      </w:pPr>
      <w:r>
        <w:rPr>
          <w:rFonts w:eastAsia="Times New Roman"/>
          <w:position w:val="8"/>
          <w:vertAlign w:val="superscript"/>
          <w:lang w:val="sl-SI"/>
        </w:rPr>
        <w:t>a</w:t>
      </w:r>
      <w:r>
        <w:rPr>
          <w:rFonts w:eastAsia="Times New Roman"/>
          <w:position w:val="8"/>
          <w:lang w:val="sl-SI"/>
        </w:rPr>
        <w:t xml:space="preserve"> Vrednost p se nanaša na parno primerjavo monoterapije z metotreksatom in kombinirane terapije z adalimumabom/metotreksatom z Mann-Whitneyevim testom U.</w:t>
      </w:r>
    </w:p>
    <w:p w14:paraId="785BABD4" w14:textId="77777777" w:rsidR="0066522E" w:rsidRDefault="0066522E" w:rsidP="0066522E">
      <w:pPr>
        <w:pStyle w:val="a3"/>
        <w:rPr>
          <w:lang w:val="sl-SI"/>
        </w:rPr>
      </w:pPr>
      <w:r>
        <w:rPr>
          <w:rFonts w:eastAsia="Times New Roman"/>
          <w:position w:val="8"/>
          <w:vertAlign w:val="superscript"/>
          <w:lang w:val="sl-SI"/>
        </w:rPr>
        <w:t>b</w:t>
      </w:r>
      <w:r>
        <w:rPr>
          <w:rFonts w:eastAsia="Times New Roman"/>
          <w:position w:val="8"/>
          <w:lang w:val="sl-SI"/>
        </w:rPr>
        <w:t xml:space="preserve"> Vrednost p se nanaša na parno primerjavo monoterapije z adalimumabom in kombinirane terapije z adalimumabom/metotreksatom z Mann-Whitneyevim testom U.</w:t>
      </w:r>
    </w:p>
    <w:p w14:paraId="6FDBE6B0" w14:textId="77777777" w:rsidR="0066522E" w:rsidRDefault="0066522E" w:rsidP="0066522E">
      <w:pPr>
        <w:pStyle w:val="a3"/>
        <w:rPr>
          <w:lang w:val="sl-SI"/>
        </w:rPr>
      </w:pPr>
      <w:r>
        <w:rPr>
          <w:rFonts w:eastAsia="Times New Roman"/>
          <w:position w:val="8"/>
          <w:vertAlign w:val="superscript"/>
          <w:lang w:val="sl-SI"/>
        </w:rPr>
        <w:t>c</w:t>
      </w:r>
      <w:r>
        <w:rPr>
          <w:rFonts w:eastAsia="Times New Roman"/>
          <w:position w:val="8"/>
          <w:lang w:val="sl-SI"/>
        </w:rPr>
        <w:t xml:space="preserve"> Vrednost p se nanaša na parno primerjavo monoterapije z adalimumabom in monoterapije z metotreksatom z Mann-Whitneyevim testom U.</w:t>
      </w:r>
    </w:p>
    <w:p w14:paraId="622DE5BF" w14:textId="77777777" w:rsidR="0066522E" w:rsidRDefault="0066522E" w:rsidP="0066522E">
      <w:pPr>
        <w:spacing w:before="8" w:line="170" w:lineRule="exact"/>
        <w:rPr>
          <w:sz w:val="17"/>
          <w:szCs w:val="17"/>
          <w:lang w:val="sl-SI"/>
        </w:rPr>
      </w:pPr>
    </w:p>
    <w:p w14:paraId="15D3BB50" w14:textId="77777777" w:rsidR="0066522E" w:rsidRDefault="0066522E" w:rsidP="0066522E">
      <w:pPr>
        <w:pStyle w:val="a3"/>
        <w:rPr>
          <w:lang w:val="sl-SI"/>
        </w:rPr>
      </w:pPr>
      <w:r>
        <w:rPr>
          <w:rFonts w:eastAsia="Times New Roman"/>
          <w:lang w:val="sl-SI"/>
        </w:rPr>
        <w:t xml:space="preserve">Po 52 oz. 104 tednih zdravljenja je bil v skupini s kombinirano terapijo z adalimumabom in metotreksatom odstotek bolnikov brez napredovanja bolezni (sprememba prilagojene Sharpove ocene od izhodišča </w:t>
      </w:r>
      <w:r>
        <w:rPr>
          <w:rFonts w:ascii="Symbol" w:eastAsia="Symbol" w:hAnsi="Symbol" w:cs="Symbol"/>
          <w:lang w:val="sl-SI"/>
        </w:rPr>
        <w:sym w:font="Symbol" w:char="F0A3"/>
      </w:r>
      <w:r>
        <w:rPr>
          <w:rFonts w:ascii="Symbol" w:eastAsia="Symbol" w:hAnsi="Symbol" w:cs="Symbol"/>
          <w:lang w:val="sl-SI"/>
        </w:rPr>
        <w:sym w:font="Symbol" w:char="F020"/>
      </w:r>
      <w:r>
        <w:rPr>
          <w:rFonts w:eastAsia="Times New Roman"/>
          <w:lang w:val="sl-SI"/>
        </w:rPr>
        <w:t> 0,5) značilno večji (63,8 % oz. 61,2 %) kot v skupinah, ki sta prejemali monoterapijo z metotreksatom (37,4 % in 33,5 %, p &lt; 0,001) ali monoterapijo z adalimumabom (50,7 %, p &lt; 0,002, oz. 44,5 %, p &lt; 0,001).</w:t>
      </w:r>
    </w:p>
    <w:p w14:paraId="76C5A741" w14:textId="77777777" w:rsidR="0066522E" w:rsidRDefault="0066522E" w:rsidP="0066522E">
      <w:pPr>
        <w:spacing w:before="10" w:line="240" w:lineRule="exact"/>
        <w:rPr>
          <w:sz w:val="24"/>
          <w:szCs w:val="24"/>
          <w:lang w:val="sl-SI"/>
        </w:rPr>
      </w:pPr>
    </w:p>
    <w:p w14:paraId="17AE557D" w14:textId="77777777" w:rsidR="0066522E" w:rsidRDefault="0066522E" w:rsidP="0066522E">
      <w:pPr>
        <w:pStyle w:val="a3"/>
        <w:rPr>
          <w:lang w:val="sl-SI"/>
        </w:rPr>
      </w:pPr>
      <w:r>
        <w:rPr>
          <w:rFonts w:eastAsia="Times New Roman"/>
          <w:lang w:val="sl-SI"/>
        </w:rPr>
        <w:t>V odprtem podaljšanju študije revmatoidnega artritisa V je bila povprečna sprememba celotne Sharpove ocene v 10. letu pri bolnikih, ki so jih na začetku randomizirali na monoterapijo z metotreksatom, monoterapijo z adalimumabom in kombinacijo adalimumab/metotreksat, glede na izhodišče 10,8, 9,2 oz. 3,9. Ustrezni deleži bolnikov, ki niso imeli rentgenografskih znakov napredovanja, so bili 31,3 %, 23,7 % oz. 36,7 %.</w:t>
      </w:r>
    </w:p>
    <w:p w14:paraId="16124D0B" w14:textId="77777777" w:rsidR="0066522E" w:rsidRDefault="0066522E" w:rsidP="0066522E">
      <w:pPr>
        <w:pStyle w:val="a3"/>
        <w:rPr>
          <w:sz w:val="24"/>
          <w:szCs w:val="24"/>
          <w:lang w:val="sl-SI"/>
        </w:rPr>
      </w:pPr>
    </w:p>
    <w:p w14:paraId="57224E0D" w14:textId="77777777" w:rsidR="0066522E" w:rsidRDefault="0066522E" w:rsidP="0066522E">
      <w:pPr>
        <w:pStyle w:val="a3"/>
        <w:rPr>
          <w:rFonts w:eastAsia="Times New Roman"/>
          <w:lang w:val="sl-SI"/>
        </w:rPr>
      </w:pPr>
      <w:r>
        <w:rPr>
          <w:rFonts w:eastAsia="Times New Roman"/>
          <w:i/>
          <w:iCs/>
          <w:spacing w:val="-1"/>
          <w:u w:val="single" w:color="000000"/>
          <w:lang w:val="sl-SI"/>
        </w:rPr>
        <w:t>Kakovost življenja in telesna funkcija</w:t>
      </w:r>
    </w:p>
    <w:p w14:paraId="5A192542" w14:textId="77777777" w:rsidR="0066522E" w:rsidRDefault="0066522E" w:rsidP="0066522E">
      <w:pPr>
        <w:pStyle w:val="a3"/>
        <w:rPr>
          <w:sz w:val="18"/>
          <w:szCs w:val="18"/>
          <w:lang w:val="sl-SI"/>
        </w:rPr>
      </w:pPr>
    </w:p>
    <w:p w14:paraId="11B73B55" w14:textId="77777777" w:rsidR="0066522E" w:rsidRDefault="0066522E" w:rsidP="0066522E">
      <w:pPr>
        <w:pStyle w:val="a3"/>
        <w:rPr>
          <w:lang w:val="sl-SI"/>
        </w:rPr>
      </w:pPr>
      <w:r>
        <w:rPr>
          <w:rFonts w:eastAsia="Times New Roman"/>
          <w:lang w:val="sl-SI"/>
        </w:rPr>
        <w:t xml:space="preserve">Z zdravjem povezano kakovost življenja in telesno funkcijo so v štirih originalnih ustreznih in dobro kontroliranih študijah ocenjevali z indeksom invalidnosti z vprašalnikom HAQ (Health Assessment Questionnaire) in je bila v študiji revmatoidnega artritisa III vnaprej določen primarni opazovani dogodek po 52 tednih. V vseh štirih študijah se je indeks invalidnosti po vprašalniku HAQ od izhodišča do 6. meseca z </w:t>
      </w:r>
      <w:r>
        <w:rPr>
          <w:rFonts w:eastAsia="Times New Roman"/>
          <w:lang w:val="sl-SI"/>
        </w:rPr>
        <w:lastRenderedPageBreak/>
        <w:t xml:space="preserve">vsemi odmerki/shemami adalimumaba izboljšal statistično značilno bolj kot s placebom; v </w:t>
      </w:r>
    </w:p>
    <w:p w14:paraId="3D6BE400" w14:textId="77777777" w:rsidR="0066522E" w:rsidRDefault="0066522E" w:rsidP="0066522E">
      <w:pPr>
        <w:pStyle w:val="a3"/>
        <w:rPr>
          <w:lang w:val="sl-SI"/>
        </w:rPr>
      </w:pPr>
      <w:r>
        <w:rPr>
          <w:rFonts w:eastAsia="Times New Roman"/>
          <w:lang w:val="sl-SI"/>
        </w:rPr>
        <w:t>študiji revmatoidnega artritisa III so isto ugotovili po 52 tednih. Te izsledke podpirajo rezultati SF 36 (Short Form Health Survey) za vse odmerke/sheme adalimumaba v vseh štirih študijah, s statistično značilnim seštevkom PCS (Physical Component Summary) in statistično značilnima seštevkoma za področje bolečin in vitalnosti za odmerek 40 mg vsak drugi teden. V vseh treh študijah (študije revmatoidnega artritisa I, III in IV), v katerih so ocenjevali utrujenost s funkcijsko oceno terapije kronične bolezni (functional assessment of chronic illness therapy (FACIT)), so ugotovili statistično značilno zmanjšanje utrujenosti.</w:t>
      </w:r>
    </w:p>
    <w:p w14:paraId="6F16AFB6" w14:textId="77777777" w:rsidR="0066522E" w:rsidRDefault="0066522E" w:rsidP="0066522E">
      <w:pPr>
        <w:pStyle w:val="a3"/>
        <w:rPr>
          <w:sz w:val="24"/>
          <w:szCs w:val="24"/>
          <w:lang w:val="sl-SI"/>
        </w:rPr>
      </w:pPr>
    </w:p>
    <w:p w14:paraId="545FBF8B" w14:textId="77777777" w:rsidR="0066522E" w:rsidRDefault="0066522E" w:rsidP="0066522E">
      <w:pPr>
        <w:pStyle w:val="a3"/>
        <w:rPr>
          <w:lang w:val="sl-SI"/>
        </w:rPr>
      </w:pPr>
      <w:r>
        <w:rPr>
          <w:rFonts w:eastAsia="Times New Roman"/>
          <w:lang w:val="sl-SI"/>
        </w:rPr>
        <w:t>V študiji revmatoidnega artritisa III se je pri večini bolnikov, ki so dosegli izboljšanje telesne funkcije in so nadaljevali zdravljenje, to izboljšanje ohranilo vseskozi do 520. tedna (120. meseca) odprte faze zdravljenja. Izboljšanje kvalitete življenja se je ocenjevalo do 156. tedna (36. meseca). V tem času se je izboljšanje tudi ohranjalo.</w:t>
      </w:r>
    </w:p>
    <w:p w14:paraId="78441D05" w14:textId="77777777" w:rsidR="0066522E" w:rsidRDefault="0066522E" w:rsidP="0066522E">
      <w:pPr>
        <w:pStyle w:val="a3"/>
        <w:rPr>
          <w:sz w:val="24"/>
          <w:szCs w:val="24"/>
          <w:lang w:val="sl-SI"/>
        </w:rPr>
      </w:pPr>
    </w:p>
    <w:p w14:paraId="681A4DBD" w14:textId="77777777" w:rsidR="0066522E" w:rsidRDefault="0066522E" w:rsidP="0066522E">
      <w:pPr>
        <w:pStyle w:val="a3"/>
        <w:rPr>
          <w:lang w:val="sl-SI"/>
        </w:rPr>
      </w:pPr>
      <w:r>
        <w:rPr>
          <w:rFonts w:eastAsia="Times New Roman"/>
          <w:lang w:val="sl-SI"/>
        </w:rPr>
        <w:t xml:space="preserve">V študiji revmatoidnega artritisa V sta se indeks invalidnosti HAQ in telesna komponenta SF 36 ob kombinirani terapiji z adalimumabom in metotreksatom po 52 tednih izboljšala bolj (p &lt; 0,001) </w:t>
      </w:r>
      <w:r>
        <w:rPr>
          <w:rFonts w:eastAsia="Times New Roman"/>
          <w:i/>
          <w:iCs/>
          <w:lang w:val="sl-SI"/>
        </w:rPr>
        <w:t>kot ob</w:t>
      </w:r>
      <w:r>
        <w:rPr>
          <w:rFonts w:eastAsia="Times New Roman"/>
          <w:lang w:val="sl-SI"/>
        </w:rPr>
        <w:t xml:space="preserve"> monoterapiji z metotreksatom ali ob monoterapiji z adalimumabom; to se je ohranilo do 104. tedna. Med 250 osebami, ki so zaključile podaljšano odprto študijo, se je izboljšanje telesne funkcije ohranilo skozi 10 let zdravljenja.</w:t>
      </w:r>
    </w:p>
    <w:p w14:paraId="54252E7D" w14:textId="77777777" w:rsidR="0066522E" w:rsidRDefault="0066522E" w:rsidP="0066522E">
      <w:pPr>
        <w:pStyle w:val="a3"/>
        <w:rPr>
          <w:sz w:val="24"/>
          <w:szCs w:val="24"/>
          <w:lang w:val="sl-SI"/>
        </w:rPr>
      </w:pPr>
    </w:p>
    <w:p w14:paraId="0C476E21" w14:textId="2D59E633" w:rsidR="0066522E" w:rsidRPr="007811C6" w:rsidRDefault="00813F52" w:rsidP="0066522E">
      <w:pPr>
        <w:pStyle w:val="a3"/>
        <w:rPr>
          <w:rFonts w:eastAsia="Times New Roman"/>
          <w:i/>
          <w:iCs/>
          <w:spacing w:val="-1"/>
          <w:lang w:val="sl-SI"/>
        </w:rPr>
      </w:pPr>
      <w:r w:rsidRPr="007811C6">
        <w:rPr>
          <w:rFonts w:eastAsia="Times New Roman"/>
          <w:i/>
          <w:iCs/>
          <w:spacing w:val="-1"/>
          <w:lang w:val="sl-SI"/>
        </w:rPr>
        <w:t>Psoriaza v plakih pri odraslih</w:t>
      </w:r>
    </w:p>
    <w:p w14:paraId="2B5893D3" w14:textId="77777777" w:rsidR="0066522E" w:rsidRDefault="0066522E" w:rsidP="0066522E">
      <w:pPr>
        <w:pStyle w:val="a3"/>
        <w:rPr>
          <w:sz w:val="24"/>
          <w:szCs w:val="24"/>
          <w:lang w:val="sl-SI"/>
        </w:rPr>
      </w:pPr>
    </w:p>
    <w:p w14:paraId="002BC319" w14:textId="77777777" w:rsidR="0066522E" w:rsidRDefault="0066522E" w:rsidP="0066522E">
      <w:pPr>
        <w:pStyle w:val="a3"/>
        <w:rPr>
          <w:lang w:val="sl-SI"/>
        </w:rPr>
      </w:pPr>
      <w:r>
        <w:rPr>
          <w:rFonts w:eastAsia="Times New Roman"/>
          <w:lang w:val="sl-SI"/>
        </w:rPr>
        <w:t xml:space="preserve">Varnost in učinkovitost adalimumaba so v randomiziranih, dvojno slepih študijah raziskali pri odraslih bolnikih s kronično psoriazo v plakih (zajete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 xml:space="preserve"> 10 % telesne površine ter indeksom obsežnosti in izrazitosti psoriaze (PASI – Psoriasis Area and Severity Index)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 xml:space="preserve"> 12 ali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 10), ki so bili kandidati za sistemsko zdravljenje ali fototerapijo. 73 % bolnikov, vključenih v študiji pri psoriazi I in II, je predhodno dobivalo sistemsko zdravljenje ali fototerapijo. Varnost in učinkovitost adalimumaba so raziskali tudi v randomizirani dvojno slepi študiji pri odraslih bolnikih z zmerno do hudo kronično psoriazo v plakih s sočasno psoriazo na dlaneh in/ali stopalih, ki so bili kandidati za sistemsko zdravljenje (Študija pri psoriazi III).</w:t>
      </w:r>
    </w:p>
    <w:p w14:paraId="29E84776" w14:textId="77777777" w:rsidR="0066522E" w:rsidRDefault="0066522E" w:rsidP="0066522E">
      <w:pPr>
        <w:pStyle w:val="a3"/>
        <w:rPr>
          <w:lang w:val="sl-SI"/>
        </w:rPr>
      </w:pPr>
    </w:p>
    <w:p w14:paraId="4F0A483E" w14:textId="77777777" w:rsidR="0066522E" w:rsidRDefault="0066522E" w:rsidP="0066522E">
      <w:pPr>
        <w:pStyle w:val="a3"/>
        <w:rPr>
          <w:lang w:val="sl-SI"/>
        </w:rPr>
      </w:pPr>
      <w:r>
        <w:rPr>
          <w:rFonts w:eastAsia="Times New Roman"/>
          <w:lang w:val="sl-SI"/>
        </w:rPr>
        <w:t xml:space="preserve">Študija pri psoriazi I (REVEAL) je ocenila 1212 bolnikov v treh obdobjih zdravljenja. V obdobju A so bolniki dobivali placebo ali adalimumab v začetnem odmerku 80 mg in potem 40 mg vsak drugi teden, začenši en teden po začetnem odmerku. Po 16 tednih zdravljenja so bolniki, ki so dosegli odziv PASI vsaj 75 (izboljšanje ocene PASI za vsaj 75 % glede na izhodišče), vstopili v obdobje B, med katerim so v odprti študiji dobivali 40 mg adalimumaba vsak drugi teden. Bolnike, ki so imeli 33. teden ohranjen odziv </w:t>
      </w:r>
      <w:r>
        <w:rPr>
          <w:rFonts w:ascii="Symbol" w:eastAsia="Symbol" w:hAnsi="Symbol" w:cs="Symbol"/>
          <w:lang w:val="sl-SI"/>
        </w:rPr>
        <w:sym w:font="Symbol" w:char="F0B3"/>
      </w:r>
      <w:r>
        <w:rPr>
          <w:rFonts w:eastAsia="Times New Roman"/>
          <w:lang w:val="sl-SI"/>
        </w:rPr>
        <w:t>PASI 75 in so bili v obdobju A randomizirani na aktivno terapijo, so med obdobjem C ponovno randomizirali tako, da so dodatnih 19 tednov dobivali 40 mg adalimumaba ali placebo vsak drugi teden . V vseh terapevtskih skupinah je bila povprečna izhodiščna ocena PASI 18,9, izhodiščna zdravnikova globalna ocena (PGA – Physician's Global Assessment) pa je segala od "zmerne" (53 % vključenih preiskovancev) do "hude" (41 %) in "zelo hude" (6 %).</w:t>
      </w:r>
    </w:p>
    <w:p w14:paraId="58825A99" w14:textId="77777777" w:rsidR="0066522E" w:rsidRDefault="0066522E" w:rsidP="0066522E">
      <w:pPr>
        <w:spacing w:before="14" w:line="240" w:lineRule="exact"/>
        <w:rPr>
          <w:sz w:val="24"/>
          <w:szCs w:val="24"/>
          <w:lang w:val="sl-SI"/>
        </w:rPr>
      </w:pPr>
    </w:p>
    <w:p w14:paraId="1BDA84E3" w14:textId="77777777" w:rsidR="0066522E" w:rsidRDefault="0066522E" w:rsidP="0066522E">
      <w:pPr>
        <w:pStyle w:val="a3"/>
        <w:rPr>
          <w:lang w:val="sl-SI"/>
        </w:rPr>
      </w:pPr>
      <w:r>
        <w:rPr>
          <w:rFonts w:eastAsia="Times New Roman"/>
          <w:lang w:val="sl-SI"/>
        </w:rPr>
        <w:t xml:space="preserve">Študija pri psoriazi II (CHAMPION) je primerjala učinkovitost in varnost adalimumaba z metotreksatom in placebom pri 271 bolnikih. Bolniki so dobivali placebo, začetni odmerek 7,5 mg metotreksata z nadaljnjim povečevanjem odmerka do 12. tedna; do največjega odmerka 25 mg, ali začetni odmerek 80 mg adalimumaba in potem 40 mg vsak drugi teden (začenši en teden po začetnem odmerku) 16 tednov. Podatkov za primerjavo adalimumaba in metotreksata med več kot 16-tedenskim zdravljenjem ni. Bolnikom, ki so dobivali metotreksat in so 8. in/ali 12. teden dosegli odziv </w:t>
      </w:r>
      <w:r>
        <w:rPr>
          <w:rFonts w:ascii="Symbol" w:eastAsia="Symbol" w:hAnsi="Symbol" w:cs="Symbol"/>
          <w:lang w:val="sl-SI"/>
        </w:rPr>
        <w:sym w:font="Symbol" w:char="F0B3"/>
      </w:r>
      <w:r>
        <w:rPr>
          <w:rFonts w:eastAsia="Times New Roman"/>
          <w:lang w:val="sl-SI"/>
        </w:rPr>
        <w:t>PASI 50, odmerka niso več povečevali. V vseh terapevtskih skupinah je bila povprečna izhodiščna ocena PASI 19,7, izhodiščna PGA pa je segala od "blage" (&lt; 1 %), "zmerne" (48 %) in "hude" (46 %) do "zelo hude" (6 %).</w:t>
      </w:r>
    </w:p>
    <w:p w14:paraId="2928C21F" w14:textId="77777777" w:rsidR="0066522E" w:rsidRDefault="0066522E" w:rsidP="0066522E">
      <w:pPr>
        <w:spacing w:before="17" w:line="240" w:lineRule="exact"/>
        <w:rPr>
          <w:sz w:val="24"/>
          <w:szCs w:val="24"/>
          <w:lang w:val="sl-SI"/>
        </w:rPr>
      </w:pPr>
    </w:p>
    <w:p w14:paraId="1BABE7F2" w14:textId="77777777" w:rsidR="0066522E" w:rsidRDefault="0066522E" w:rsidP="0066522E">
      <w:pPr>
        <w:pStyle w:val="a3"/>
        <w:rPr>
          <w:lang w:val="sl-SI"/>
        </w:rPr>
      </w:pPr>
      <w:r>
        <w:rPr>
          <w:rFonts w:eastAsia="Times New Roman"/>
          <w:lang w:val="sl-SI"/>
        </w:rPr>
        <w:t>Bolniki, ki so sodelovali v študijah psoriaze 2. in 3. faze, so bili lahko vključeni v odprto podaljšano preskušanje, v katerem so adalimumab prejemali vsaj še dodatnih 108 tednov.</w:t>
      </w:r>
    </w:p>
    <w:p w14:paraId="2CEDE9BC" w14:textId="77777777" w:rsidR="0066522E" w:rsidRDefault="0066522E" w:rsidP="0066522E">
      <w:pPr>
        <w:spacing w:before="14" w:line="240" w:lineRule="exact"/>
        <w:rPr>
          <w:sz w:val="24"/>
          <w:szCs w:val="24"/>
          <w:lang w:val="sl-SI"/>
        </w:rPr>
      </w:pPr>
    </w:p>
    <w:p w14:paraId="3E2C9B54" w14:textId="630C74A8" w:rsidR="0066522E" w:rsidRDefault="0066522E" w:rsidP="0066522E">
      <w:pPr>
        <w:pStyle w:val="a3"/>
        <w:rPr>
          <w:lang w:val="sl-SI"/>
        </w:rPr>
      </w:pPr>
      <w:r>
        <w:rPr>
          <w:rFonts w:eastAsia="Times New Roman"/>
          <w:lang w:val="sl-SI"/>
        </w:rPr>
        <w:t xml:space="preserve">V študijah pri psoriazi I in II je bil primarni opazovani dogodek delež bolnikov, ki so od izhodišča do </w:t>
      </w:r>
      <w:r>
        <w:rPr>
          <w:rFonts w:eastAsia="Times New Roman"/>
          <w:lang w:val="sl-SI"/>
        </w:rPr>
        <w:lastRenderedPageBreak/>
        <w:t>16. tedna dosegli PASI 75 (glejte preglednici </w:t>
      </w:r>
      <w:r w:rsidR="00813F52">
        <w:rPr>
          <w:rFonts w:eastAsia="Times New Roman"/>
          <w:lang w:val="sl-SI"/>
        </w:rPr>
        <w:t>11</w:t>
      </w:r>
      <w:r>
        <w:rPr>
          <w:rFonts w:eastAsia="Times New Roman"/>
          <w:lang w:val="sl-SI"/>
        </w:rPr>
        <w:t xml:space="preserve"> in </w:t>
      </w:r>
      <w:r w:rsidR="00813F52">
        <w:rPr>
          <w:rFonts w:eastAsia="Times New Roman"/>
          <w:lang w:val="sl-SI"/>
        </w:rPr>
        <w:t>12</w:t>
      </w:r>
      <w:r>
        <w:rPr>
          <w:rFonts w:eastAsia="Times New Roman"/>
          <w:lang w:val="sl-SI"/>
        </w:rPr>
        <w:t>).</w:t>
      </w:r>
    </w:p>
    <w:p w14:paraId="504FAAAC" w14:textId="77777777" w:rsidR="0066522E" w:rsidRDefault="0066522E" w:rsidP="0066522E">
      <w:pPr>
        <w:pStyle w:val="a3"/>
        <w:jc w:val="center"/>
        <w:rPr>
          <w:rFonts w:eastAsia="Times New Roman"/>
          <w:b/>
          <w:bCs/>
          <w:lang w:val="sl-SI"/>
        </w:rPr>
      </w:pPr>
    </w:p>
    <w:p w14:paraId="1B537B6D" w14:textId="0FF20BD7" w:rsidR="0066522E" w:rsidRDefault="0066522E" w:rsidP="0066522E">
      <w:pPr>
        <w:pStyle w:val="a3"/>
        <w:jc w:val="center"/>
        <w:rPr>
          <w:b/>
          <w:lang w:val="sl-SI"/>
        </w:rPr>
      </w:pPr>
      <w:r>
        <w:rPr>
          <w:rFonts w:eastAsia="Times New Roman"/>
          <w:b/>
          <w:bCs/>
          <w:lang w:val="sl-SI"/>
        </w:rPr>
        <w:t>Preglednica </w:t>
      </w:r>
      <w:r w:rsidR="00813F52">
        <w:rPr>
          <w:rFonts w:eastAsia="Times New Roman"/>
          <w:b/>
          <w:bCs/>
          <w:lang w:val="sl-SI"/>
        </w:rPr>
        <w:t>11</w:t>
      </w:r>
    </w:p>
    <w:p w14:paraId="6CB2D07F" w14:textId="77777777" w:rsidR="0066522E" w:rsidRDefault="0066522E" w:rsidP="0066522E">
      <w:pPr>
        <w:pStyle w:val="a3"/>
        <w:jc w:val="center"/>
        <w:rPr>
          <w:b/>
          <w:lang w:val="sl-SI"/>
        </w:rPr>
      </w:pPr>
      <w:r>
        <w:rPr>
          <w:rFonts w:eastAsia="Times New Roman"/>
          <w:b/>
          <w:bCs/>
          <w:lang w:val="sl-SI"/>
        </w:rPr>
        <w:t>Študija pri psoriazi I (REVEAL) Rezultati učinkovitosti po 16 tednih</w:t>
      </w:r>
    </w:p>
    <w:tbl>
      <w:tblPr>
        <w:tblStyle w:val="TableNormal1"/>
        <w:tblW w:w="8743" w:type="dxa"/>
        <w:jc w:val="center"/>
        <w:tblLayout w:type="fixed"/>
        <w:tblLook w:val="01E0" w:firstRow="1" w:lastRow="1" w:firstColumn="1" w:lastColumn="1" w:noHBand="0" w:noVBand="0"/>
      </w:tblPr>
      <w:tblGrid>
        <w:gridCol w:w="3220"/>
        <w:gridCol w:w="2086"/>
        <w:gridCol w:w="3437"/>
      </w:tblGrid>
      <w:tr w:rsidR="0066522E" w14:paraId="67A83277" w14:textId="77777777" w:rsidTr="00183CD7">
        <w:trPr>
          <w:jc w:val="center"/>
        </w:trPr>
        <w:tc>
          <w:tcPr>
            <w:tcW w:w="3220" w:type="dxa"/>
            <w:tcBorders>
              <w:top w:val="single" w:sz="5" w:space="0" w:color="000000"/>
              <w:left w:val="single" w:sz="5" w:space="0" w:color="000000"/>
              <w:bottom w:val="single" w:sz="5" w:space="0" w:color="000000"/>
              <w:right w:val="single" w:sz="5" w:space="0" w:color="000000"/>
            </w:tcBorders>
          </w:tcPr>
          <w:p w14:paraId="22F5986B" w14:textId="77777777" w:rsidR="0066522E" w:rsidRDefault="0066522E" w:rsidP="00183CD7">
            <w:pPr>
              <w:rPr>
                <w:lang w:val="sl-SI"/>
              </w:rPr>
            </w:pPr>
          </w:p>
        </w:tc>
        <w:tc>
          <w:tcPr>
            <w:tcW w:w="2086" w:type="dxa"/>
            <w:tcBorders>
              <w:top w:val="single" w:sz="5" w:space="0" w:color="000000"/>
              <w:left w:val="single" w:sz="5" w:space="0" w:color="000000"/>
              <w:bottom w:val="single" w:sz="5" w:space="0" w:color="000000"/>
              <w:right w:val="single" w:sz="5" w:space="0" w:color="000000"/>
            </w:tcBorders>
          </w:tcPr>
          <w:p w14:paraId="42E4F326" w14:textId="77777777" w:rsidR="0066522E" w:rsidRDefault="0066522E" w:rsidP="00183CD7">
            <w:pPr>
              <w:pStyle w:val="TableParagraph"/>
              <w:spacing w:before="3"/>
              <w:ind w:leftChars="14" w:left="31" w:rightChars="29" w:right="64"/>
              <w:jc w:val="center"/>
              <w:rPr>
                <w:rFonts w:ascii="Times New Roman" w:eastAsia="Times New Roman" w:hAnsi="Times New Roman" w:cs="Times New Roman"/>
                <w:b/>
                <w:bCs/>
                <w:lang w:val="sl-SI"/>
              </w:rPr>
            </w:pPr>
            <w:r>
              <w:rPr>
                <w:rFonts w:ascii="Times New Roman" w:eastAsia="Times New Roman" w:hAnsi="Times New Roman" w:cs="Times New Roman"/>
                <w:b/>
                <w:bCs/>
                <w:lang w:val="sl-SI"/>
              </w:rPr>
              <w:t xml:space="preserve">Placebo </w:t>
            </w:r>
          </w:p>
          <w:p w14:paraId="6450CE12" w14:textId="77777777" w:rsidR="0066522E" w:rsidRDefault="0066522E" w:rsidP="00183CD7">
            <w:pPr>
              <w:pStyle w:val="TableParagraph"/>
              <w:spacing w:before="3"/>
              <w:ind w:leftChars="14" w:left="31" w:rightChars="29" w:right="64"/>
              <w:jc w:val="center"/>
              <w:rPr>
                <w:rFonts w:ascii="Times New Roman" w:eastAsia="Times New Roman" w:hAnsi="Times New Roman" w:cs="Times New Roman"/>
                <w:b/>
                <w:bCs/>
                <w:spacing w:val="-1"/>
                <w:lang w:val="sl-SI"/>
              </w:rPr>
            </w:pPr>
            <w:r>
              <w:rPr>
                <w:rFonts w:ascii="Times New Roman" w:eastAsia="Times New Roman" w:hAnsi="Times New Roman" w:cs="Times New Roman"/>
                <w:b/>
                <w:bCs/>
                <w:lang w:val="sl-SI"/>
              </w:rPr>
              <w:t>N = 398</w:t>
            </w:r>
          </w:p>
          <w:p w14:paraId="0AFE7D81" w14:textId="77777777" w:rsidR="0066522E" w:rsidRDefault="0066522E" w:rsidP="00183CD7">
            <w:pPr>
              <w:pStyle w:val="TableParagraph"/>
              <w:spacing w:before="3"/>
              <w:ind w:leftChars="14" w:left="91" w:rightChars="29" w:right="64" w:hanging="60"/>
              <w:jc w:val="center"/>
              <w:rPr>
                <w:rFonts w:ascii="Times New Roman" w:eastAsia="Times New Roman" w:hAnsi="Times New Roman" w:cs="Times New Roman"/>
                <w:lang w:val="sl-SI"/>
              </w:rPr>
            </w:pPr>
            <w:r>
              <w:rPr>
                <w:rFonts w:ascii="Times New Roman" w:eastAsia="Times New Roman" w:hAnsi="Times New Roman" w:cs="Times New Roman"/>
                <w:b/>
                <w:bCs/>
                <w:lang w:val="sl-SI"/>
              </w:rPr>
              <w:t>n (%)</w:t>
            </w:r>
          </w:p>
        </w:tc>
        <w:tc>
          <w:tcPr>
            <w:tcW w:w="3437" w:type="dxa"/>
            <w:tcBorders>
              <w:top w:val="single" w:sz="5" w:space="0" w:color="000000"/>
              <w:left w:val="single" w:sz="5" w:space="0" w:color="000000"/>
              <w:bottom w:val="single" w:sz="5" w:space="0" w:color="000000"/>
              <w:right w:val="single" w:sz="5" w:space="0" w:color="000000"/>
            </w:tcBorders>
          </w:tcPr>
          <w:p w14:paraId="60218618" w14:textId="77777777" w:rsidR="0066522E" w:rsidRDefault="0066522E" w:rsidP="00183CD7">
            <w:pPr>
              <w:pStyle w:val="TableParagraph"/>
              <w:ind w:leftChars="51" w:left="112" w:rightChars="51" w:right="112"/>
              <w:jc w:val="center"/>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Adalimumab 40 mg vsak 2. teden</w:t>
            </w:r>
          </w:p>
          <w:p w14:paraId="01222475" w14:textId="77777777" w:rsidR="0066522E" w:rsidRDefault="0066522E" w:rsidP="00183CD7">
            <w:pPr>
              <w:pStyle w:val="TableParagraph"/>
              <w:spacing w:before="3"/>
              <w:ind w:leftChars="51" w:left="112" w:rightChars="51" w:right="112"/>
              <w:jc w:val="center"/>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N = 814</w:t>
            </w:r>
          </w:p>
          <w:p w14:paraId="15DD58E6" w14:textId="77777777" w:rsidR="0066522E" w:rsidRDefault="0066522E" w:rsidP="00183CD7">
            <w:pPr>
              <w:pStyle w:val="TableParagraph"/>
              <w:spacing w:before="3"/>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b/>
                <w:bCs/>
                <w:lang w:val="sl-SI"/>
              </w:rPr>
              <w:t>n (%)</w:t>
            </w:r>
          </w:p>
        </w:tc>
      </w:tr>
      <w:tr w:rsidR="0066522E" w14:paraId="643D506B" w14:textId="77777777" w:rsidTr="00183CD7">
        <w:trPr>
          <w:jc w:val="center"/>
        </w:trPr>
        <w:tc>
          <w:tcPr>
            <w:tcW w:w="3220" w:type="dxa"/>
            <w:tcBorders>
              <w:top w:val="single" w:sz="5" w:space="0" w:color="000000"/>
              <w:left w:val="single" w:sz="5" w:space="0" w:color="000000"/>
              <w:bottom w:val="single" w:sz="5" w:space="0" w:color="000000"/>
              <w:right w:val="single" w:sz="5" w:space="0" w:color="000000"/>
            </w:tcBorders>
          </w:tcPr>
          <w:p w14:paraId="3AA4EC70" w14:textId="77777777" w:rsidR="0066522E" w:rsidRDefault="0066522E" w:rsidP="00183CD7">
            <w:pPr>
              <w:pStyle w:val="TableParagraph"/>
              <w:ind w:left="320"/>
              <w:rPr>
                <w:rFonts w:ascii="Times New Roman" w:eastAsia="Times New Roman" w:hAnsi="Times New Roman" w:cs="Times New Roman"/>
                <w:lang w:val="sl-SI"/>
              </w:rPr>
            </w:pPr>
            <w:r>
              <w:rPr>
                <w:rFonts w:ascii="Symbol" w:eastAsia="Symbol" w:hAnsi="Symbol" w:cs="Symbol"/>
                <w:b/>
                <w:bCs/>
                <w:lang w:val="sl-SI"/>
              </w:rPr>
              <w:sym w:font="Symbol" w:char="F0B3"/>
            </w:r>
            <w:r>
              <w:rPr>
                <w:rFonts w:ascii="Symbol" w:eastAsia="Symbol" w:hAnsi="Symbol" w:cs="Symbol"/>
                <w:b/>
                <w:bCs/>
                <w:lang w:val="sl-SI"/>
              </w:rPr>
              <w:sym w:font="Symbol" w:char="F020"/>
            </w:r>
            <w:r>
              <w:rPr>
                <w:rFonts w:ascii="Times New Roman" w:eastAsia="Times New Roman" w:hAnsi="Times New Roman" w:cs="Times New Roman"/>
                <w:b/>
                <w:bCs/>
                <w:lang w:val="sl-SI"/>
              </w:rPr>
              <w:t>PASI 75</w:t>
            </w:r>
            <w:r>
              <w:rPr>
                <w:rFonts w:ascii="Times New Roman" w:eastAsia="Times New Roman" w:hAnsi="Times New Roman" w:cs="Times New Roman"/>
                <w:b/>
                <w:bCs/>
                <w:vertAlign w:val="superscript"/>
                <w:lang w:val="sl-SI"/>
              </w:rPr>
              <w:t>a</w:t>
            </w:r>
          </w:p>
        </w:tc>
        <w:tc>
          <w:tcPr>
            <w:tcW w:w="2086" w:type="dxa"/>
            <w:tcBorders>
              <w:top w:val="single" w:sz="5" w:space="0" w:color="000000"/>
              <w:left w:val="single" w:sz="5" w:space="0" w:color="000000"/>
              <w:bottom w:val="single" w:sz="5" w:space="0" w:color="000000"/>
              <w:right w:val="single" w:sz="5" w:space="0" w:color="000000"/>
            </w:tcBorders>
          </w:tcPr>
          <w:p w14:paraId="640F67BE" w14:textId="77777777" w:rsidR="0066522E" w:rsidRDefault="0066522E" w:rsidP="00183CD7">
            <w:pPr>
              <w:pStyle w:val="TableParagraph"/>
              <w:ind w:leftChars="14" w:left="31" w:rightChars="29" w:right="64"/>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26 (6,5)</w:t>
            </w:r>
          </w:p>
        </w:tc>
        <w:tc>
          <w:tcPr>
            <w:tcW w:w="3437" w:type="dxa"/>
            <w:tcBorders>
              <w:top w:val="single" w:sz="5" w:space="0" w:color="000000"/>
              <w:left w:val="single" w:sz="5" w:space="0" w:color="000000"/>
              <w:bottom w:val="single" w:sz="5" w:space="0" w:color="000000"/>
              <w:right w:val="single" w:sz="5" w:space="0" w:color="000000"/>
            </w:tcBorders>
          </w:tcPr>
          <w:p w14:paraId="3E0BC2CF" w14:textId="77777777" w:rsidR="0066522E" w:rsidRDefault="0066522E" w:rsidP="00183CD7">
            <w:pPr>
              <w:pStyle w:val="TableParagraph"/>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578 (70.9)</w:t>
            </w:r>
            <w:r>
              <w:rPr>
                <w:rFonts w:ascii="Times New Roman" w:eastAsia="Times New Roman" w:hAnsi="Times New Roman" w:cs="Times New Roman"/>
                <w:spacing w:val="-1"/>
                <w:vertAlign w:val="superscript"/>
                <w:lang w:val="sl-SI"/>
              </w:rPr>
              <w:t>b</w:t>
            </w:r>
          </w:p>
        </w:tc>
      </w:tr>
      <w:tr w:rsidR="0066522E" w14:paraId="413C4681" w14:textId="77777777" w:rsidTr="00183CD7">
        <w:trPr>
          <w:jc w:val="center"/>
        </w:trPr>
        <w:tc>
          <w:tcPr>
            <w:tcW w:w="3220" w:type="dxa"/>
            <w:tcBorders>
              <w:top w:val="single" w:sz="5" w:space="0" w:color="000000"/>
              <w:left w:val="single" w:sz="5" w:space="0" w:color="000000"/>
              <w:bottom w:val="single" w:sz="5" w:space="0" w:color="000000"/>
              <w:right w:val="single" w:sz="5" w:space="0" w:color="000000"/>
            </w:tcBorders>
          </w:tcPr>
          <w:p w14:paraId="1F43152E" w14:textId="77777777" w:rsidR="0066522E" w:rsidRDefault="0066522E" w:rsidP="00183CD7">
            <w:pPr>
              <w:pStyle w:val="TableParagraph"/>
              <w:ind w:left="323"/>
              <w:rPr>
                <w:rFonts w:ascii="Times New Roman" w:eastAsia="Times New Roman" w:hAnsi="Times New Roman" w:cs="Times New Roman"/>
                <w:lang w:val="sl-SI"/>
              </w:rPr>
            </w:pPr>
            <w:r>
              <w:rPr>
                <w:rFonts w:ascii="Times New Roman" w:eastAsia="Times New Roman" w:hAnsi="Times New Roman" w:cs="Times New Roman"/>
                <w:b/>
                <w:bCs/>
                <w:spacing w:val="-1"/>
                <w:lang w:val="sl-SI"/>
              </w:rPr>
              <w:t>PASI 100</w:t>
            </w:r>
          </w:p>
        </w:tc>
        <w:tc>
          <w:tcPr>
            <w:tcW w:w="2086" w:type="dxa"/>
            <w:tcBorders>
              <w:top w:val="single" w:sz="5" w:space="0" w:color="000000"/>
              <w:left w:val="single" w:sz="5" w:space="0" w:color="000000"/>
              <w:bottom w:val="single" w:sz="5" w:space="0" w:color="000000"/>
              <w:right w:val="single" w:sz="5" w:space="0" w:color="000000"/>
            </w:tcBorders>
          </w:tcPr>
          <w:p w14:paraId="6B90464C" w14:textId="77777777" w:rsidR="0066522E" w:rsidRDefault="0066522E" w:rsidP="00183CD7">
            <w:pPr>
              <w:pStyle w:val="TableParagraph"/>
              <w:ind w:leftChars="14" w:left="31" w:rightChars="29" w:right="64"/>
              <w:jc w:val="center"/>
              <w:rPr>
                <w:rFonts w:ascii="Times New Roman" w:eastAsia="Times New Roman" w:hAnsi="Times New Roman" w:cs="Times New Roman"/>
                <w:lang w:val="sl-SI"/>
              </w:rPr>
            </w:pPr>
            <w:r>
              <w:rPr>
                <w:rFonts w:ascii="Times New Roman" w:eastAsia="Times New Roman" w:hAnsi="Times New Roman" w:cs="Times New Roman"/>
                <w:lang w:val="sl-SI"/>
              </w:rPr>
              <w:t>3 (0,8)</w:t>
            </w:r>
          </w:p>
        </w:tc>
        <w:tc>
          <w:tcPr>
            <w:tcW w:w="3437" w:type="dxa"/>
            <w:tcBorders>
              <w:top w:val="single" w:sz="5" w:space="0" w:color="000000"/>
              <w:left w:val="single" w:sz="5" w:space="0" w:color="000000"/>
              <w:bottom w:val="single" w:sz="5" w:space="0" w:color="000000"/>
              <w:right w:val="single" w:sz="5" w:space="0" w:color="000000"/>
            </w:tcBorders>
          </w:tcPr>
          <w:p w14:paraId="18E5C17B" w14:textId="77777777" w:rsidR="0066522E" w:rsidRDefault="0066522E" w:rsidP="00183CD7">
            <w:pPr>
              <w:pStyle w:val="TableParagraph"/>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163 (20,0)</w:t>
            </w:r>
            <w:r>
              <w:rPr>
                <w:rFonts w:ascii="Times New Roman" w:eastAsia="Times New Roman" w:hAnsi="Times New Roman" w:cs="Times New Roman"/>
                <w:spacing w:val="-1"/>
                <w:vertAlign w:val="superscript"/>
                <w:lang w:val="sl-SI"/>
              </w:rPr>
              <w:t>b</w:t>
            </w:r>
          </w:p>
        </w:tc>
      </w:tr>
      <w:tr w:rsidR="0066522E" w14:paraId="7B1FD054" w14:textId="77777777" w:rsidTr="00183CD7">
        <w:trPr>
          <w:jc w:val="center"/>
        </w:trPr>
        <w:tc>
          <w:tcPr>
            <w:tcW w:w="3220" w:type="dxa"/>
            <w:tcBorders>
              <w:top w:val="single" w:sz="5" w:space="0" w:color="000000"/>
              <w:left w:val="single" w:sz="5" w:space="0" w:color="000000"/>
              <w:bottom w:val="single" w:sz="5" w:space="0" w:color="000000"/>
              <w:right w:val="single" w:sz="5" w:space="0" w:color="000000"/>
            </w:tcBorders>
          </w:tcPr>
          <w:p w14:paraId="40698CE5" w14:textId="77777777" w:rsidR="0066522E" w:rsidRDefault="0066522E" w:rsidP="00183CD7">
            <w:pPr>
              <w:pStyle w:val="TableParagraph"/>
              <w:ind w:left="323"/>
              <w:rPr>
                <w:rFonts w:ascii="Times New Roman" w:eastAsia="Times New Roman" w:hAnsi="Times New Roman" w:cs="Times New Roman"/>
                <w:lang w:val="sl-SI"/>
              </w:rPr>
            </w:pPr>
            <w:r>
              <w:rPr>
                <w:rFonts w:ascii="Times New Roman" w:eastAsia="Times New Roman" w:hAnsi="Times New Roman" w:cs="Times New Roman"/>
                <w:b/>
                <w:bCs/>
                <w:spacing w:val="-1"/>
                <w:lang w:val="sl-SI"/>
              </w:rPr>
              <w:t>PGA: čisto/minimalno</w:t>
            </w:r>
          </w:p>
        </w:tc>
        <w:tc>
          <w:tcPr>
            <w:tcW w:w="2086" w:type="dxa"/>
            <w:tcBorders>
              <w:top w:val="single" w:sz="5" w:space="0" w:color="000000"/>
              <w:left w:val="single" w:sz="5" w:space="0" w:color="000000"/>
              <w:bottom w:val="single" w:sz="5" w:space="0" w:color="000000"/>
              <w:right w:val="single" w:sz="5" w:space="0" w:color="000000"/>
            </w:tcBorders>
          </w:tcPr>
          <w:p w14:paraId="2C4EF25A" w14:textId="77777777" w:rsidR="0066522E" w:rsidRDefault="0066522E" w:rsidP="00183CD7">
            <w:pPr>
              <w:pStyle w:val="TableParagraph"/>
              <w:ind w:leftChars="14" w:left="31" w:rightChars="29" w:right="64"/>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17 (4,3)</w:t>
            </w:r>
          </w:p>
        </w:tc>
        <w:tc>
          <w:tcPr>
            <w:tcW w:w="3437" w:type="dxa"/>
            <w:tcBorders>
              <w:top w:val="single" w:sz="5" w:space="0" w:color="000000"/>
              <w:left w:val="single" w:sz="5" w:space="0" w:color="000000"/>
              <w:bottom w:val="single" w:sz="5" w:space="0" w:color="000000"/>
              <w:right w:val="single" w:sz="5" w:space="0" w:color="000000"/>
            </w:tcBorders>
          </w:tcPr>
          <w:p w14:paraId="6BB43345" w14:textId="77777777" w:rsidR="0066522E" w:rsidRDefault="0066522E" w:rsidP="00183CD7">
            <w:pPr>
              <w:pStyle w:val="TableParagraph"/>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506 (62,2)</w:t>
            </w:r>
            <w:r>
              <w:rPr>
                <w:rFonts w:ascii="Times New Roman" w:eastAsia="Times New Roman" w:hAnsi="Times New Roman" w:cs="Times New Roman"/>
                <w:spacing w:val="-1"/>
                <w:vertAlign w:val="superscript"/>
                <w:lang w:val="sl-SI"/>
              </w:rPr>
              <w:t>b</w:t>
            </w:r>
          </w:p>
        </w:tc>
      </w:tr>
      <w:tr w:rsidR="0066522E" w14:paraId="1B287EFF" w14:textId="77777777" w:rsidTr="00183CD7">
        <w:trPr>
          <w:jc w:val="center"/>
        </w:trPr>
        <w:tc>
          <w:tcPr>
            <w:tcW w:w="8743" w:type="dxa"/>
            <w:gridSpan w:val="3"/>
            <w:tcBorders>
              <w:top w:val="single" w:sz="5" w:space="0" w:color="000000"/>
              <w:left w:val="single" w:sz="5" w:space="0" w:color="000000"/>
              <w:bottom w:val="single" w:sz="5" w:space="0" w:color="000000"/>
              <w:right w:val="single" w:sz="5" w:space="0" w:color="000000"/>
            </w:tcBorders>
          </w:tcPr>
          <w:p w14:paraId="0E8826DF" w14:textId="77777777" w:rsidR="0066522E" w:rsidRDefault="0066522E" w:rsidP="00183CD7">
            <w:pPr>
              <w:pStyle w:val="TableParagraph"/>
              <w:ind w:left="102"/>
              <w:rPr>
                <w:rFonts w:ascii="Times New Roman" w:eastAsia="Times New Roman" w:hAnsi="Times New Roman" w:cs="Times New Roman"/>
                <w:lang w:val="sl-SI"/>
              </w:rPr>
            </w:pPr>
            <w:r w:rsidRPr="001452D7">
              <w:rPr>
                <w:rFonts w:ascii="Times New Roman" w:eastAsia="Times New Roman" w:hAnsi="Times New Roman" w:cs="Times New Roman"/>
                <w:vertAlign w:val="superscript"/>
                <w:lang w:val="sl-SI"/>
              </w:rPr>
              <w:t>a</w:t>
            </w:r>
            <w:r w:rsidRPr="001452D7">
              <w:rPr>
                <w:rFonts w:ascii="Times New Roman" w:eastAsia="Times New Roman" w:hAnsi="Times New Roman" w:cs="Times New Roman"/>
                <w:lang w:val="sl-SI"/>
              </w:rPr>
              <w:t xml:space="preserve"> Odstotek bolnikov, ki so dosegli odziv PASI 75, je bil izračunan kot delež, korigiran za center.</w:t>
            </w:r>
          </w:p>
          <w:p w14:paraId="1847F256" w14:textId="77777777" w:rsidR="0066522E" w:rsidRDefault="0066522E" w:rsidP="00183CD7">
            <w:pPr>
              <w:pStyle w:val="TableParagraph"/>
              <w:ind w:left="102"/>
              <w:rPr>
                <w:rFonts w:ascii="Times New Roman" w:eastAsia="Times New Roman" w:hAnsi="Times New Roman" w:cs="Times New Roman"/>
                <w:lang w:val="sl-SI"/>
              </w:rPr>
            </w:pPr>
            <w:r w:rsidRPr="001452D7">
              <w:rPr>
                <w:rFonts w:ascii="Times New Roman" w:eastAsia="Times New Roman" w:hAnsi="Times New Roman" w:cs="Times New Roman"/>
                <w:vertAlign w:val="superscript"/>
                <w:lang w:val="sl-SI"/>
              </w:rPr>
              <w:t>b</w:t>
            </w:r>
            <w:r w:rsidRPr="001452D7">
              <w:rPr>
                <w:rFonts w:ascii="Times New Roman" w:eastAsia="Times New Roman" w:hAnsi="Times New Roman" w:cs="Times New Roman"/>
                <w:lang w:val="sl-SI"/>
              </w:rPr>
              <w:t xml:space="preserve"> p &lt; 0,001, adalimumab v primerjavi s placebom</w:t>
            </w:r>
          </w:p>
        </w:tc>
      </w:tr>
    </w:tbl>
    <w:p w14:paraId="6E544AAD" w14:textId="6FE4300A" w:rsidR="0066522E" w:rsidRDefault="0066522E" w:rsidP="0066522E">
      <w:pPr>
        <w:rPr>
          <w:rFonts w:ascii="Times New Roman" w:eastAsia="Times New Roman" w:hAnsi="Times New Roman" w:cs="Times New Roman"/>
          <w:b/>
          <w:bCs/>
          <w:lang w:val="sl-SI"/>
        </w:rPr>
      </w:pPr>
    </w:p>
    <w:p w14:paraId="32C1D32C" w14:textId="2CF77BEC" w:rsidR="0066522E" w:rsidRDefault="0066522E" w:rsidP="0066522E">
      <w:pPr>
        <w:pStyle w:val="a3"/>
        <w:keepNext/>
        <w:keepLines/>
        <w:jc w:val="center"/>
        <w:rPr>
          <w:b/>
          <w:lang w:val="sl-SI"/>
        </w:rPr>
      </w:pPr>
      <w:r>
        <w:rPr>
          <w:rFonts w:eastAsia="Times New Roman"/>
          <w:b/>
          <w:bCs/>
          <w:lang w:val="sl-SI"/>
        </w:rPr>
        <w:t>Preglednica </w:t>
      </w:r>
      <w:r w:rsidR="00813F52">
        <w:rPr>
          <w:rFonts w:eastAsia="Times New Roman"/>
          <w:b/>
          <w:bCs/>
          <w:lang w:val="sl-SI"/>
        </w:rPr>
        <w:t>12</w:t>
      </w:r>
    </w:p>
    <w:p w14:paraId="50CF106E" w14:textId="77777777" w:rsidR="0066522E" w:rsidRDefault="0066522E" w:rsidP="0066522E">
      <w:pPr>
        <w:pStyle w:val="a3"/>
        <w:jc w:val="center"/>
        <w:rPr>
          <w:b/>
          <w:lang w:val="sl-SI"/>
        </w:rPr>
      </w:pPr>
      <w:r>
        <w:rPr>
          <w:rFonts w:eastAsia="Times New Roman"/>
          <w:b/>
          <w:bCs/>
          <w:lang w:val="sl-SI"/>
        </w:rPr>
        <w:t>Študija pri psoriazi II (CHAMPION) Rezultati učinkovitosti po 16 tednih</w:t>
      </w:r>
    </w:p>
    <w:tbl>
      <w:tblPr>
        <w:tblStyle w:val="ac"/>
        <w:tblW w:w="9439" w:type="dxa"/>
        <w:tblInd w:w="111" w:type="dxa"/>
        <w:tblLayout w:type="fixed"/>
        <w:tblLook w:val="04A0" w:firstRow="1" w:lastRow="0" w:firstColumn="1" w:lastColumn="0" w:noHBand="0" w:noVBand="1"/>
      </w:tblPr>
      <w:tblGrid>
        <w:gridCol w:w="2436"/>
        <w:gridCol w:w="2055"/>
        <w:gridCol w:w="2197"/>
        <w:gridCol w:w="2751"/>
      </w:tblGrid>
      <w:tr w:rsidR="0066522E" w14:paraId="01F5D1B3" w14:textId="77777777" w:rsidTr="00183CD7">
        <w:tc>
          <w:tcPr>
            <w:tcW w:w="2436" w:type="dxa"/>
            <w:vAlign w:val="center"/>
          </w:tcPr>
          <w:p w14:paraId="32B636CF" w14:textId="77777777" w:rsidR="0066522E" w:rsidRDefault="0066522E" w:rsidP="00183CD7">
            <w:pPr>
              <w:pStyle w:val="a3"/>
              <w:rPr>
                <w:lang w:val="sl-SI"/>
              </w:rPr>
            </w:pPr>
          </w:p>
        </w:tc>
        <w:tc>
          <w:tcPr>
            <w:tcW w:w="2055" w:type="dxa"/>
            <w:vAlign w:val="center"/>
          </w:tcPr>
          <w:p w14:paraId="13617DCA" w14:textId="77777777" w:rsidR="0066522E" w:rsidRDefault="0066522E" w:rsidP="00183CD7">
            <w:pPr>
              <w:pStyle w:val="TableParagraph"/>
              <w:spacing w:before="4"/>
              <w:ind w:left="459" w:right="459"/>
              <w:jc w:val="center"/>
              <w:rPr>
                <w:rFonts w:ascii="Times New Roman" w:eastAsia="Times New Roman" w:hAnsi="Times New Roman" w:cs="Times New Roman"/>
                <w:b/>
                <w:bCs/>
                <w:spacing w:val="-1"/>
                <w:lang w:val="sl-SI"/>
              </w:rPr>
            </w:pPr>
            <w:r>
              <w:rPr>
                <w:rFonts w:ascii="Times New Roman" w:eastAsia="Times New Roman" w:hAnsi="Times New Roman" w:cs="Times New Roman"/>
                <w:b/>
                <w:bCs/>
                <w:lang w:val="sl-SI"/>
              </w:rPr>
              <w:t>Placebo N = 53</w:t>
            </w:r>
          </w:p>
          <w:p w14:paraId="1E237904" w14:textId="77777777" w:rsidR="0066522E" w:rsidRDefault="0066522E" w:rsidP="00183CD7">
            <w:pPr>
              <w:pStyle w:val="TableParagraph"/>
              <w:spacing w:before="4"/>
              <w:ind w:left="459" w:right="459"/>
              <w:jc w:val="center"/>
              <w:rPr>
                <w:b/>
                <w:lang w:val="sl-SI"/>
              </w:rPr>
            </w:pPr>
            <w:r>
              <w:rPr>
                <w:rFonts w:ascii="Times New Roman" w:eastAsia="Times New Roman" w:hAnsi="Times New Roman" w:cs="Times New Roman"/>
                <w:b/>
                <w:bCs/>
                <w:lang w:val="sl-SI"/>
              </w:rPr>
              <w:t>n (%)</w:t>
            </w:r>
          </w:p>
        </w:tc>
        <w:tc>
          <w:tcPr>
            <w:tcW w:w="2197" w:type="dxa"/>
            <w:vAlign w:val="center"/>
          </w:tcPr>
          <w:p w14:paraId="51E63EA2" w14:textId="77777777" w:rsidR="0066522E" w:rsidRDefault="0066522E" w:rsidP="00183CD7">
            <w:pPr>
              <w:pStyle w:val="a3"/>
              <w:jc w:val="center"/>
              <w:rPr>
                <w:b/>
                <w:lang w:val="sl-SI"/>
              </w:rPr>
            </w:pPr>
            <w:r>
              <w:rPr>
                <w:rFonts w:eastAsia="Times New Roman"/>
                <w:b/>
                <w:bCs/>
                <w:lang w:val="sl-SI"/>
              </w:rPr>
              <w:t>Metotreksat</w:t>
            </w:r>
          </w:p>
          <w:p w14:paraId="08FD9ED4" w14:textId="77777777" w:rsidR="0066522E" w:rsidRDefault="0066522E" w:rsidP="00183CD7">
            <w:pPr>
              <w:pStyle w:val="a3"/>
              <w:jc w:val="center"/>
              <w:rPr>
                <w:b/>
                <w:lang w:val="sl-SI"/>
              </w:rPr>
            </w:pPr>
            <w:r>
              <w:rPr>
                <w:rFonts w:eastAsia="Times New Roman"/>
                <w:b/>
                <w:bCs/>
                <w:lang w:val="sl-SI"/>
              </w:rPr>
              <w:t>N = 110</w:t>
            </w:r>
          </w:p>
          <w:p w14:paraId="04C2D38E" w14:textId="77777777" w:rsidR="0066522E" w:rsidRDefault="0066522E" w:rsidP="00183CD7">
            <w:pPr>
              <w:pStyle w:val="a3"/>
              <w:jc w:val="center"/>
              <w:rPr>
                <w:lang w:val="sl-SI"/>
              </w:rPr>
            </w:pPr>
            <w:r>
              <w:rPr>
                <w:rFonts w:eastAsia="Times New Roman"/>
                <w:b/>
                <w:bCs/>
                <w:lang w:val="sl-SI"/>
              </w:rPr>
              <w:t>n (%)</w:t>
            </w:r>
          </w:p>
        </w:tc>
        <w:tc>
          <w:tcPr>
            <w:tcW w:w="2751" w:type="dxa"/>
            <w:vAlign w:val="center"/>
          </w:tcPr>
          <w:p w14:paraId="413AAC54" w14:textId="77777777" w:rsidR="0066522E" w:rsidRDefault="0066522E" w:rsidP="00183CD7">
            <w:pPr>
              <w:pStyle w:val="TableParagraph"/>
              <w:spacing w:before="4"/>
              <w:ind w:left="113" w:right="113"/>
              <w:jc w:val="center"/>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Adalimumab 40 mg vsak 2. teden</w:t>
            </w:r>
          </w:p>
          <w:p w14:paraId="02F1DFC5" w14:textId="77777777" w:rsidR="0066522E" w:rsidRDefault="0066522E" w:rsidP="00183CD7">
            <w:pPr>
              <w:pStyle w:val="TableParagraph"/>
              <w:spacing w:before="4"/>
              <w:ind w:left="113" w:right="113"/>
              <w:jc w:val="center"/>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N = 108</w:t>
            </w:r>
          </w:p>
          <w:p w14:paraId="14224676" w14:textId="77777777" w:rsidR="0066522E" w:rsidRDefault="0066522E" w:rsidP="00183CD7">
            <w:pPr>
              <w:pStyle w:val="TableParagraph"/>
              <w:spacing w:before="4"/>
              <w:ind w:left="113" w:right="113"/>
              <w:jc w:val="center"/>
              <w:rPr>
                <w:rFonts w:ascii="Times New Roman" w:eastAsia="Times New Roman" w:hAnsi="Times New Roman" w:cs="Times New Roman"/>
                <w:lang w:val="sl-SI"/>
              </w:rPr>
            </w:pPr>
            <w:r>
              <w:rPr>
                <w:rFonts w:ascii="Times New Roman" w:eastAsia="Times New Roman" w:hAnsi="Times New Roman" w:cs="Times New Roman"/>
                <w:b/>
                <w:bCs/>
                <w:lang w:val="sl-SI"/>
              </w:rPr>
              <w:t>n (%)</w:t>
            </w:r>
          </w:p>
        </w:tc>
      </w:tr>
      <w:tr w:rsidR="0066522E" w14:paraId="6F426D81" w14:textId="77777777" w:rsidTr="00183CD7">
        <w:tc>
          <w:tcPr>
            <w:tcW w:w="2436" w:type="dxa"/>
          </w:tcPr>
          <w:p w14:paraId="4E7A6651" w14:textId="77777777" w:rsidR="0066522E" w:rsidRPr="001452D7" w:rsidRDefault="0066522E" w:rsidP="00183CD7">
            <w:pPr>
              <w:pStyle w:val="a3"/>
              <w:rPr>
                <w:b/>
                <w:lang w:val="sl-SI"/>
              </w:rPr>
            </w:pPr>
            <w:r w:rsidRPr="001452D7">
              <w:rPr>
                <w:rFonts w:ascii="Symbol" w:eastAsia="Symbol" w:hAnsi="Symbol" w:cs="Symbol"/>
                <w:b/>
                <w:lang w:val="sl-SI"/>
              </w:rPr>
              <w:sym w:font="Symbol" w:char="F0B3"/>
            </w:r>
            <w:r w:rsidRPr="001452D7">
              <w:rPr>
                <w:rFonts w:ascii="Symbol" w:eastAsia="Symbol" w:hAnsi="Symbol" w:cs="Symbol"/>
                <w:b/>
                <w:lang w:val="sl-SI"/>
              </w:rPr>
              <w:sym w:font="Symbol" w:char="F020"/>
            </w:r>
            <w:r w:rsidRPr="001452D7">
              <w:rPr>
                <w:rFonts w:eastAsia="Times New Roman"/>
                <w:b/>
                <w:lang w:val="sl-SI"/>
              </w:rPr>
              <w:t>PASI 75</w:t>
            </w:r>
          </w:p>
        </w:tc>
        <w:tc>
          <w:tcPr>
            <w:tcW w:w="2055" w:type="dxa"/>
          </w:tcPr>
          <w:p w14:paraId="48B4044C" w14:textId="77777777" w:rsidR="0066522E" w:rsidRDefault="0066522E" w:rsidP="00183CD7">
            <w:pPr>
              <w:pStyle w:val="a3"/>
              <w:jc w:val="center"/>
              <w:rPr>
                <w:b/>
                <w:lang w:val="sl-SI"/>
              </w:rPr>
            </w:pPr>
            <w:r>
              <w:rPr>
                <w:rFonts w:eastAsia="Times New Roman"/>
                <w:lang w:val="sl-SI"/>
              </w:rPr>
              <w:t>10 (18,9)</w:t>
            </w:r>
          </w:p>
        </w:tc>
        <w:tc>
          <w:tcPr>
            <w:tcW w:w="2197" w:type="dxa"/>
          </w:tcPr>
          <w:p w14:paraId="3D15C468" w14:textId="77777777" w:rsidR="0066522E" w:rsidRDefault="0066522E" w:rsidP="00183CD7">
            <w:pPr>
              <w:pStyle w:val="a3"/>
              <w:jc w:val="center"/>
              <w:rPr>
                <w:b/>
                <w:lang w:val="sl-SI"/>
              </w:rPr>
            </w:pPr>
            <w:r>
              <w:rPr>
                <w:rFonts w:eastAsia="Times New Roman"/>
                <w:lang w:val="sl-SI"/>
              </w:rPr>
              <w:t>39 (35,5)</w:t>
            </w:r>
          </w:p>
        </w:tc>
        <w:tc>
          <w:tcPr>
            <w:tcW w:w="2751" w:type="dxa"/>
          </w:tcPr>
          <w:p w14:paraId="071C99BC" w14:textId="77777777" w:rsidR="0066522E" w:rsidRDefault="0066522E" w:rsidP="00183CD7">
            <w:pPr>
              <w:pStyle w:val="a3"/>
              <w:jc w:val="center"/>
              <w:rPr>
                <w:b/>
                <w:lang w:val="sl-SI"/>
              </w:rPr>
            </w:pPr>
            <w:r>
              <w:rPr>
                <w:rFonts w:eastAsia="Times New Roman"/>
                <w:spacing w:val="-1"/>
                <w:lang w:val="sl-SI"/>
              </w:rPr>
              <w:t xml:space="preserve">86 (79,6) </w:t>
            </w:r>
            <w:r>
              <w:rPr>
                <w:rFonts w:eastAsia="Times New Roman"/>
                <w:spacing w:val="-1"/>
                <w:vertAlign w:val="superscript"/>
                <w:lang w:val="sl-SI"/>
              </w:rPr>
              <w:t>a, b</w:t>
            </w:r>
          </w:p>
        </w:tc>
      </w:tr>
      <w:tr w:rsidR="0066522E" w14:paraId="64C46E96" w14:textId="77777777" w:rsidTr="00183CD7">
        <w:tc>
          <w:tcPr>
            <w:tcW w:w="2436" w:type="dxa"/>
          </w:tcPr>
          <w:p w14:paraId="626FCE25" w14:textId="77777777" w:rsidR="0066522E" w:rsidRPr="001452D7" w:rsidRDefault="0066522E" w:rsidP="00183CD7">
            <w:pPr>
              <w:pStyle w:val="a3"/>
              <w:rPr>
                <w:b/>
                <w:lang w:val="sl-SI"/>
              </w:rPr>
            </w:pPr>
            <w:r w:rsidRPr="001452D7">
              <w:rPr>
                <w:rFonts w:eastAsia="Times New Roman"/>
                <w:b/>
                <w:lang w:val="sl-SI"/>
              </w:rPr>
              <w:t>PASI 100</w:t>
            </w:r>
          </w:p>
        </w:tc>
        <w:tc>
          <w:tcPr>
            <w:tcW w:w="2055" w:type="dxa"/>
          </w:tcPr>
          <w:p w14:paraId="76444B03" w14:textId="77777777" w:rsidR="0066522E" w:rsidRDefault="0066522E" w:rsidP="00183CD7">
            <w:pPr>
              <w:pStyle w:val="a3"/>
              <w:jc w:val="center"/>
              <w:rPr>
                <w:b/>
                <w:lang w:val="sl-SI"/>
              </w:rPr>
            </w:pPr>
            <w:r>
              <w:rPr>
                <w:rFonts w:eastAsia="Times New Roman"/>
                <w:lang w:val="sl-SI"/>
              </w:rPr>
              <w:t>1 (1,9)</w:t>
            </w:r>
          </w:p>
        </w:tc>
        <w:tc>
          <w:tcPr>
            <w:tcW w:w="2197" w:type="dxa"/>
          </w:tcPr>
          <w:p w14:paraId="34FEAFAC" w14:textId="77777777" w:rsidR="0066522E" w:rsidRDefault="0066522E" w:rsidP="00183CD7">
            <w:pPr>
              <w:pStyle w:val="a3"/>
              <w:jc w:val="center"/>
              <w:rPr>
                <w:b/>
                <w:lang w:val="sl-SI"/>
              </w:rPr>
            </w:pPr>
            <w:r>
              <w:rPr>
                <w:rFonts w:eastAsia="Times New Roman"/>
                <w:lang w:val="sl-SI"/>
              </w:rPr>
              <w:t>8 (7,3)</w:t>
            </w:r>
          </w:p>
        </w:tc>
        <w:tc>
          <w:tcPr>
            <w:tcW w:w="2751" w:type="dxa"/>
          </w:tcPr>
          <w:p w14:paraId="29A61D72" w14:textId="77777777" w:rsidR="0066522E" w:rsidRDefault="0066522E" w:rsidP="00183CD7">
            <w:pPr>
              <w:pStyle w:val="a3"/>
              <w:jc w:val="center"/>
              <w:rPr>
                <w:b/>
                <w:lang w:val="sl-SI"/>
              </w:rPr>
            </w:pPr>
            <w:r>
              <w:rPr>
                <w:rFonts w:eastAsia="Times New Roman"/>
                <w:spacing w:val="-1"/>
                <w:lang w:val="sl-SI"/>
              </w:rPr>
              <w:t xml:space="preserve">18 (16.7) </w:t>
            </w:r>
            <w:r>
              <w:rPr>
                <w:rFonts w:eastAsia="Times New Roman"/>
                <w:spacing w:val="-1"/>
                <w:vertAlign w:val="superscript"/>
                <w:lang w:val="sl-SI"/>
              </w:rPr>
              <w:t>c, d</w:t>
            </w:r>
          </w:p>
        </w:tc>
      </w:tr>
      <w:tr w:rsidR="0066522E" w14:paraId="31382E1F" w14:textId="77777777" w:rsidTr="00183CD7">
        <w:tc>
          <w:tcPr>
            <w:tcW w:w="2436" w:type="dxa"/>
          </w:tcPr>
          <w:p w14:paraId="5ED357F7" w14:textId="77777777" w:rsidR="0066522E" w:rsidRDefault="0066522E" w:rsidP="00183CD7">
            <w:pPr>
              <w:pStyle w:val="TableParagraph"/>
              <w:rPr>
                <w:b/>
                <w:lang w:val="sl-SI"/>
              </w:rPr>
            </w:pPr>
            <w:r>
              <w:rPr>
                <w:rFonts w:ascii="Times New Roman" w:eastAsia="Times New Roman" w:hAnsi="Times New Roman" w:cs="Times New Roman"/>
                <w:b/>
                <w:bCs/>
                <w:lang w:val="sl-SI"/>
              </w:rPr>
              <w:t>PGA: čisto/minimalno</w:t>
            </w:r>
          </w:p>
        </w:tc>
        <w:tc>
          <w:tcPr>
            <w:tcW w:w="2055" w:type="dxa"/>
          </w:tcPr>
          <w:p w14:paraId="6CE29903" w14:textId="77777777" w:rsidR="0066522E" w:rsidRDefault="0066522E" w:rsidP="00183CD7">
            <w:pPr>
              <w:pStyle w:val="a3"/>
              <w:jc w:val="center"/>
              <w:rPr>
                <w:b/>
                <w:lang w:val="sl-SI"/>
              </w:rPr>
            </w:pPr>
            <w:r>
              <w:rPr>
                <w:rFonts w:eastAsia="Times New Roman"/>
                <w:lang w:val="sl-SI"/>
              </w:rPr>
              <w:t>6 (11.3)</w:t>
            </w:r>
          </w:p>
        </w:tc>
        <w:tc>
          <w:tcPr>
            <w:tcW w:w="2197" w:type="dxa"/>
          </w:tcPr>
          <w:p w14:paraId="4C14F2B6" w14:textId="77777777" w:rsidR="0066522E" w:rsidRDefault="0066522E" w:rsidP="00183CD7">
            <w:pPr>
              <w:pStyle w:val="a3"/>
              <w:jc w:val="center"/>
              <w:rPr>
                <w:b/>
                <w:lang w:val="sl-SI"/>
              </w:rPr>
            </w:pPr>
            <w:r>
              <w:rPr>
                <w:rFonts w:eastAsia="Times New Roman"/>
                <w:lang w:val="sl-SI"/>
              </w:rPr>
              <w:t>33 (30,0)</w:t>
            </w:r>
          </w:p>
        </w:tc>
        <w:tc>
          <w:tcPr>
            <w:tcW w:w="2751" w:type="dxa"/>
          </w:tcPr>
          <w:p w14:paraId="5AB01C3D" w14:textId="77777777" w:rsidR="0066522E" w:rsidRDefault="0066522E" w:rsidP="00183CD7">
            <w:pPr>
              <w:pStyle w:val="a3"/>
              <w:jc w:val="center"/>
              <w:rPr>
                <w:b/>
                <w:lang w:val="sl-SI"/>
              </w:rPr>
            </w:pPr>
            <w:r>
              <w:rPr>
                <w:rFonts w:eastAsia="Times New Roman"/>
                <w:spacing w:val="-1"/>
                <w:lang w:val="sl-SI"/>
              </w:rPr>
              <w:t xml:space="preserve">79 (73,1) </w:t>
            </w:r>
            <w:r>
              <w:rPr>
                <w:rFonts w:eastAsia="Times New Roman"/>
                <w:spacing w:val="-1"/>
                <w:vertAlign w:val="superscript"/>
                <w:lang w:val="sl-SI"/>
              </w:rPr>
              <w:t>a, b</w:t>
            </w:r>
          </w:p>
        </w:tc>
      </w:tr>
      <w:tr w:rsidR="0066522E" w:rsidRPr="00652F18" w14:paraId="472E16BB" w14:textId="77777777" w:rsidTr="00183CD7">
        <w:tc>
          <w:tcPr>
            <w:tcW w:w="9439" w:type="dxa"/>
            <w:gridSpan w:val="4"/>
          </w:tcPr>
          <w:p w14:paraId="534E2C8F" w14:textId="77777777" w:rsidR="0066522E" w:rsidRDefault="0066522E" w:rsidP="00183CD7">
            <w:pPr>
              <w:pStyle w:val="TableParagraph"/>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a</w:t>
            </w:r>
            <w:r>
              <w:rPr>
                <w:rFonts w:ascii="Times New Roman" w:eastAsia="Times New Roman" w:hAnsi="Times New Roman" w:cs="Times New Roman"/>
                <w:position w:val="8"/>
                <w:lang w:val="sl-SI"/>
              </w:rPr>
              <w:t xml:space="preserve"> p &lt; 0,001 adalimumab v primerjavi s placebom</w:t>
            </w:r>
          </w:p>
          <w:p w14:paraId="791046DB" w14:textId="77777777" w:rsidR="0066522E" w:rsidRDefault="0066522E" w:rsidP="00183CD7">
            <w:pPr>
              <w:pStyle w:val="TableParagraph"/>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b</w:t>
            </w:r>
            <w:r>
              <w:rPr>
                <w:rFonts w:ascii="Times New Roman" w:eastAsia="Times New Roman" w:hAnsi="Times New Roman" w:cs="Times New Roman"/>
                <w:position w:val="8"/>
                <w:lang w:val="sl-SI"/>
              </w:rPr>
              <w:t xml:space="preserve"> p &lt; 0,001 adalimumab v primerjavi z metotreksatom</w:t>
            </w:r>
          </w:p>
          <w:p w14:paraId="007B48C2" w14:textId="77777777" w:rsidR="0066522E" w:rsidRDefault="0066522E" w:rsidP="00183CD7">
            <w:pPr>
              <w:pStyle w:val="TableParagraph"/>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 xml:space="preserve">c </w:t>
            </w:r>
            <w:r>
              <w:rPr>
                <w:rFonts w:ascii="Times New Roman" w:eastAsia="Times New Roman" w:hAnsi="Times New Roman" w:cs="Times New Roman"/>
                <w:position w:val="8"/>
                <w:lang w:val="sl-SI"/>
              </w:rPr>
              <w:t>p &lt; 0,01, adalimumab v primerjavi s placebom</w:t>
            </w:r>
          </w:p>
          <w:p w14:paraId="14A2DE12" w14:textId="77777777" w:rsidR="0066522E" w:rsidRDefault="0066522E" w:rsidP="00183CD7">
            <w:pPr>
              <w:pStyle w:val="a3"/>
              <w:rPr>
                <w:b/>
                <w:lang w:val="sl-SI"/>
              </w:rPr>
            </w:pPr>
            <w:r>
              <w:rPr>
                <w:rFonts w:eastAsia="Times New Roman"/>
                <w:position w:val="8"/>
                <w:vertAlign w:val="superscript"/>
                <w:lang w:val="sl-SI"/>
              </w:rPr>
              <w:t>d</w:t>
            </w:r>
            <w:r>
              <w:rPr>
                <w:rFonts w:eastAsia="Times New Roman"/>
                <w:position w:val="8"/>
                <w:lang w:val="sl-SI"/>
              </w:rPr>
              <w:t xml:space="preserve"> p &lt; 0,05 adalimumab v primerjavi z metotreksatom</w:t>
            </w:r>
          </w:p>
        </w:tc>
      </w:tr>
    </w:tbl>
    <w:p w14:paraId="4E2AE022" w14:textId="77777777" w:rsidR="0066522E" w:rsidRDefault="0066522E" w:rsidP="0066522E">
      <w:pPr>
        <w:pStyle w:val="a3"/>
        <w:rPr>
          <w:lang w:val="sl-SI"/>
        </w:rPr>
      </w:pPr>
    </w:p>
    <w:p w14:paraId="5DE55290" w14:textId="77777777" w:rsidR="0066522E" w:rsidRDefault="0066522E" w:rsidP="0066522E">
      <w:pPr>
        <w:pStyle w:val="a3"/>
        <w:rPr>
          <w:lang w:val="sl-SI"/>
        </w:rPr>
      </w:pPr>
      <w:r>
        <w:rPr>
          <w:rFonts w:eastAsia="Times New Roman"/>
          <w:spacing w:val="-2"/>
          <w:lang w:val="sl-SI"/>
        </w:rPr>
        <w:t>V študiji pri psoriazi I so 33. teden "izgubo ustreznega odziva" zabeležili pri 28 % bolnikov, ki so dosegli odziv PASI 75 in so bili ob ponovni randomizaciji razvrščeni na placebo, in pri 5% bolnikov, ki so še naprej dobivali adalimumab (p &lt; 0,001). "Izguba ustreznega odziva" je bila opredeljena kot takšna ocena PASI po 33. tednu in v 52. tednu ali pred njim, da je bil odziv PASI &lt; 50 glede na izhodišče, s porastom PASI vsaj 6 točk v primerjavi s 33. tednom. Med bolniki, ki so izgubili ustrezen odziv ob ponovni randomizaciji na placebo med podaljšanim odprtim preskušanjem, je po 12 tednih ponovne terapije PASI 75 znova doseglo 38 % (25/66), po 24 tednih pa 55 % (36/66) bolnikov.</w:t>
      </w:r>
    </w:p>
    <w:p w14:paraId="419D52D4" w14:textId="77777777" w:rsidR="0066522E" w:rsidRDefault="0066522E" w:rsidP="0066522E">
      <w:pPr>
        <w:spacing w:before="11" w:line="240" w:lineRule="exact"/>
        <w:rPr>
          <w:sz w:val="24"/>
          <w:szCs w:val="24"/>
          <w:lang w:val="sl-SI"/>
        </w:rPr>
      </w:pPr>
    </w:p>
    <w:p w14:paraId="4B7F53CD" w14:textId="77777777" w:rsidR="0066522E" w:rsidRDefault="0066522E" w:rsidP="0066522E">
      <w:pPr>
        <w:pStyle w:val="a3"/>
        <w:rPr>
          <w:lang w:val="sl-SI"/>
        </w:rPr>
      </w:pPr>
      <w:r>
        <w:rPr>
          <w:rFonts w:eastAsia="Times New Roman"/>
          <w:lang w:val="sl-SI"/>
        </w:rPr>
        <w:t xml:space="preserve">Skupno je 233 bolnikov, ki so imeli 16. in 33. teden odziv PASI 75, v študiji psoriaze I prejemalo stalno zdravljenje z adalimumabom 52 tednov ter so zdravljenje z adalimumabom nadaljevali v odprtem podaljšanem preskušanju. Po dodatnih 108 tednih </w:t>
      </w:r>
      <w:r>
        <w:rPr>
          <w:bCs/>
          <w:lang w:val="sl-SI"/>
        </w:rPr>
        <w:t>nezaslepljenega</w:t>
      </w:r>
      <w:r w:rsidRPr="0046564D">
        <w:rPr>
          <w:bCs/>
          <w:lang w:val="sl-SI"/>
        </w:rPr>
        <w:t xml:space="preserve"> </w:t>
      </w:r>
      <w:r>
        <w:rPr>
          <w:rFonts w:eastAsia="Times New Roman"/>
          <w:lang w:val="sl-SI"/>
        </w:rPr>
        <w:t xml:space="preserve">zdravljenja (skupaj 160 tednov) sta bila pri teh bolnikih delež odziva PASI 75 74,7 %, delež odziva PGA "čisto" ali "minimalno" pa 59,0 %. Opravljena je bila analiza, v kateri so vse bolnike, ki so izpadli iz študije zaradi neželenih učinkov ali nezadostne učinkovitosti, ali jim je bil povečan odmerek, obravnavali kot neodzivne; pri teh bolnikih sta bila po dodatnih 108 tednih </w:t>
      </w:r>
      <w:r>
        <w:rPr>
          <w:bCs/>
          <w:lang w:val="sl-SI"/>
        </w:rPr>
        <w:t>nezaslepljenega</w:t>
      </w:r>
      <w:r w:rsidRPr="0046564D">
        <w:rPr>
          <w:bCs/>
          <w:lang w:val="sl-SI"/>
        </w:rPr>
        <w:t xml:space="preserve"> </w:t>
      </w:r>
      <w:r>
        <w:rPr>
          <w:rFonts w:eastAsia="Times New Roman"/>
          <w:lang w:val="sl-SI"/>
        </w:rPr>
        <w:t>zdravljenja (skupaj 160 tednov) delež odziva PASI 75 69,6 % in delež odziva PGA "čisto" ali "minimalno" 55,7 %.</w:t>
      </w:r>
    </w:p>
    <w:p w14:paraId="6EBEAF92" w14:textId="77777777" w:rsidR="0066522E" w:rsidRDefault="0066522E" w:rsidP="0066522E">
      <w:pPr>
        <w:spacing w:before="13" w:line="240" w:lineRule="exact"/>
        <w:rPr>
          <w:sz w:val="24"/>
          <w:szCs w:val="24"/>
          <w:lang w:val="sl-SI"/>
        </w:rPr>
      </w:pPr>
    </w:p>
    <w:p w14:paraId="2462548C" w14:textId="77777777" w:rsidR="0066522E" w:rsidRDefault="0066522E" w:rsidP="0066522E">
      <w:pPr>
        <w:pStyle w:val="a3"/>
        <w:rPr>
          <w:lang w:val="sl-SI"/>
        </w:rPr>
      </w:pPr>
      <w:r>
        <w:rPr>
          <w:rFonts w:eastAsia="Times New Roman"/>
          <w:lang w:val="sl-SI"/>
        </w:rPr>
        <w:t>V odprti podaljšani študiji je v oceni prenehanja uporabe in ponovnega zdravljenja sodelovalo skupno 347 stabilnih odzivnih bolnikov. Med obdobjem prenehanja uporabe so se simptomi psoriaze sčasoma znova pojavili; mediani čas do ponovitve simptomov psoriaze (relapsa) (poslabšanje na PGA "zmerno" ali slabše) je bil približno 5 mesecev. Pri nobenemu od teh bolnikov se med obdobjem prenehanja uporabe ni pojavil povratni odziv. Od bolnikov, deležnih ponovnega zdravljenja, jih je skupno 76,5 % (218/285) po 16 tednih ponovnega zdravljenja imelo odziv PGA "čisto" ali "minimalno", ne glede na to, ali je med prenehanjem uporabe prišlo do relapsa (69,1 % [123/178] bolnikov, pri katerih je med prenehanjem uporabe prišlo do relapsa, in 88,8 % [95/107] tistih, pri katerih ni prišlo do relapsa). Varnostne značilnosti so bile po ponovnem zdravljenju podobne kot pred prenehanjem uporabe.</w:t>
      </w:r>
    </w:p>
    <w:p w14:paraId="6B5256E6" w14:textId="77777777" w:rsidR="0066522E" w:rsidRDefault="0066522E" w:rsidP="0066522E">
      <w:pPr>
        <w:pStyle w:val="a3"/>
        <w:rPr>
          <w:lang w:val="sl-SI"/>
        </w:rPr>
      </w:pPr>
    </w:p>
    <w:p w14:paraId="50DC9FCD" w14:textId="77777777" w:rsidR="0066522E" w:rsidRDefault="0066522E" w:rsidP="0066522E">
      <w:pPr>
        <w:pStyle w:val="a3"/>
        <w:rPr>
          <w:lang w:val="sl-SI"/>
        </w:rPr>
      </w:pPr>
      <w:r>
        <w:rPr>
          <w:rFonts w:eastAsia="Times New Roman"/>
          <w:lang w:val="sl-SI"/>
        </w:rPr>
        <w:t>Značilno izboljšanje od izhodišča do 16. tedna se je v primerjavi s placebom (študiji I in II) in metotreksatom (študija II) izkazalo v dermatološkem indeksu kakovosti življenja (DLQI – Dermatology Life Quality Index). V študiji I so v primerjavi s placebom ugotovili tudi značilno izboljšanje telesne in duševne komponente ocene SF-36.</w:t>
      </w:r>
    </w:p>
    <w:p w14:paraId="3AEB6B31" w14:textId="77777777" w:rsidR="0066522E" w:rsidRDefault="0066522E" w:rsidP="0066522E">
      <w:pPr>
        <w:spacing w:before="13" w:line="240" w:lineRule="exact"/>
        <w:rPr>
          <w:sz w:val="24"/>
          <w:szCs w:val="24"/>
          <w:lang w:val="sl-SI"/>
        </w:rPr>
      </w:pPr>
    </w:p>
    <w:p w14:paraId="747C09F8" w14:textId="77777777" w:rsidR="0066522E" w:rsidRDefault="0066522E" w:rsidP="0066522E">
      <w:pPr>
        <w:pStyle w:val="a3"/>
        <w:rPr>
          <w:lang w:val="sl-SI"/>
        </w:rPr>
      </w:pPr>
      <w:r>
        <w:rPr>
          <w:rFonts w:eastAsia="Times New Roman"/>
          <w:lang w:val="sl-SI"/>
        </w:rPr>
        <w:t>V odprti podaljšani študiji je odziv PASI 75 v 12. oziroma 2 . tednu doseglo 26,4 % (92/349) oziroma 37,8 % (132/349) bolnikov, ki so jim zaradi odziva PASI pod 50 % odmerek povečali s 40 mg vsak drugi teden na 40 mg vsak teden.</w:t>
      </w:r>
    </w:p>
    <w:p w14:paraId="559760C2" w14:textId="77777777" w:rsidR="0066522E" w:rsidRDefault="0066522E" w:rsidP="0066522E">
      <w:pPr>
        <w:spacing w:before="17" w:line="240" w:lineRule="exact"/>
        <w:rPr>
          <w:sz w:val="24"/>
          <w:szCs w:val="24"/>
          <w:lang w:val="sl-SI"/>
        </w:rPr>
      </w:pPr>
    </w:p>
    <w:p w14:paraId="2B67E172" w14:textId="77777777" w:rsidR="0066522E" w:rsidRDefault="0066522E" w:rsidP="0066522E">
      <w:pPr>
        <w:pStyle w:val="a3"/>
        <w:rPr>
          <w:lang w:val="sl-SI"/>
        </w:rPr>
      </w:pPr>
      <w:r>
        <w:rPr>
          <w:rFonts w:eastAsia="Times New Roman"/>
          <w:lang w:val="sl-SI"/>
        </w:rPr>
        <w:t>Študija pri psoriazi III (REACH) je primerjala učinkovitost in varnost adalimumaba v primerjavi s placebom pri 72 bolnikih z zmerno do hudo kronično psoriazo v plakih in psoriazo na dlaneh in/ali stopalih. Bolniki so prejeli začetni odmerek 80 mg adalimumaba, ki mu je sledil 40 mg odmerek ali placebo vsak drugi teden (z začetkom en teden po začetnem odmerku) naslednjih 16 tednov. V 16. tednu je statistično pomembno večji delež bolnikov, ki so prejemali adalimumab, doseglo PGA ‘’čisto” ali ‘’skoraj čisto” za dlani in/ali stopala, v primerjavi z bolniki, ki so prejemali placebo (30,6 % proti 4,3 %, v tem zaporedju [P = 0,014]).</w:t>
      </w:r>
    </w:p>
    <w:p w14:paraId="4B40ACA1" w14:textId="77777777" w:rsidR="0066522E" w:rsidRDefault="0066522E" w:rsidP="0066522E">
      <w:pPr>
        <w:spacing w:before="13" w:line="240" w:lineRule="exact"/>
        <w:rPr>
          <w:sz w:val="24"/>
          <w:szCs w:val="24"/>
          <w:lang w:val="sl-SI"/>
        </w:rPr>
      </w:pPr>
    </w:p>
    <w:p w14:paraId="0B2B6AA4" w14:textId="27AF3698" w:rsidR="0066522E" w:rsidRDefault="0066522E" w:rsidP="0066522E">
      <w:pPr>
        <w:pStyle w:val="a3"/>
        <w:rPr>
          <w:lang w:val="sl-SI"/>
        </w:rPr>
      </w:pPr>
      <w:r>
        <w:rPr>
          <w:rFonts w:eastAsia="Times New Roman"/>
          <w:lang w:val="sl-SI"/>
        </w:rPr>
        <w:t>Študija pri psoriazi IV je primerjala učinkovitost in varnost adalimumaba v primerjavi s placebom pri 217 odraslih bolnikih z zmerno do hudo psoriazo nohtov. Bolniki so prejeli začetni odmerek 80 mg adalimumaba, ki mu je sledil 40 mg odmerek vsak drugi teden (z začetkom en teden po začetnem odmerku) ali placebo naslednjih 26 tednov, čemur je sledilo odprto zdravljenje z adalimumabom dodatnih 26 tednov. Ocena psoriaze nohtov je vključevala prilagojeni indeks izrazitosti psoriaze nohtov (mNAPSI – Modified Nail Psoriasis Severity Index), zdravnikovo globalno oceno psoriaze nohtov (PGA-F – Physician’s Global Assessment of Fingernail Psoriasis) in indeks izrazitosti psoriaze nohtov (NAPSI – Nail Psoriasis Severity Index) (glejte preglednico </w:t>
      </w:r>
      <w:r w:rsidR="00813F52">
        <w:rPr>
          <w:rFonts w:eastAsia="Times New Roman"/>
          <w:lang w:val="sl-SI"/>
        </w:rPr>
        <w:t>13</w:t>
      </w:r>
      <w:r>
        <w:rPr>
          <w:rFonts w:eastAsia="Times New Roman"/>
          <w:lang w:val="sl-SI"/>
        </w:rPr>
        <w:t>). Adalimumab je pokazal terapevtsko korist pri bolnikih s psoriazo nohtov z različnim obsegom prizadetosti kože (telesna površina ≥ 10 % (60 % bolnikov) in telesna površina &lt; 10 % in ≥ 5 % (40 % bolnikov)).</w:t>
      </w:r>
    </w:p>
    <w:p w14:paraId="1BA6DA5D" w14:textId="03EA30B9" w:rsidR="0066522E" w:rsidRDefault="0066522E" w:rsidP="0066522E">
      <w:pPr>
        <w:pStyle w:val="a3"/>
        <w:jc w:val="center"/>
        <w:rPr>
          <w:b/>
          <w:lang w:val="sl-SI"/>
        </w:rPr>
      </w:pPr>
      <w:r>
        <w:rPr>
          <w:rFonts w:eastAsia="Times New Roman"/>
          <w:b/>
          <w:bCs/>
          <w:lang w:val="sl-SI"/>
        </w:rPr>
        <w:t>Preglednica </w:t>
      </w:r>
      <w:r w:rsidR="00813F52">
        <w:rPr>
          <w:rFonts w:eastAsia="Times New Roman"/>
          <w:b/>
          <w:bCs/>
          <w:lang w:val="sl-SI"/>
        </w:rPr>
        <w:t>13</w:t>
      </w:r>
    </w:p>
    <w:p w14:paraId="6B13F1E2" w14:textId="77777777" w:rsidR="0066522E" w:rsidRDefault="0066522E" w:rsidP="0066522E">
      <w:pPr>
        <w:pStyle w:val="a3"/>
        <w:jc w:val="center"/>
        <w:rPr>
          <w:b/>
          <w:lang w:val="sl-SI"/>
        </w:rPr>
      </w:pPr>
      <w:r>
        <w:rPr>
          <w:rFonts w:eastAsia="Times New Roman"/>
          <w:b/>
          <w:bCs/>
          <w:lang w:val="sl-SI"/>
        </w:rPr>
        <w:t>Študija pri psoriazi IV Rezultati učinkovitosti po 16, 26 in 52 tednih</w:t>
      </w:r>
    </w:p>
    <w:tbl>
      <w:tblPr>
        <w:tblStyle w:val="TableNormal1"/>
        <w:tblW w:w="9576" w:type="dxa"/>
        <w:tblInd w:w="110" w:type="dxa"/>
        <w:tblLayout w:type="fixed"/>
        <w:tblLook w:val="01E0" w:firstRow="1" w:lastRow="1" w:firstColumn="1" w:lastColumn="1" w:noHBand="0" w:noVBand="0"/>
      </w:tblPr>
      <w:tblGrid>
        <w:gridCol w:w="2719"/>
        <w:gridCol w:w="993"/>
        <w:gridCol w:w="1347"/>
        <w:gridCol w:w="921"/>
        <w:gridCol w:w="1328"/>
        <w:gridCol w:w="2268"/>
      </w:tblGrid>
      <w:tr w:rsidR="0066522E" w14:paraId="540DDF00" w14:textId="77777777" w:rsidTr="00183CD7">
        <w:tc>
          <w:tcPr>
            <w:tcW w:w="2719" w:type="dxa"/>
            <w:vMerge w:val="restart"/>
            <w:tcBorders>
              <w:top w:val="single" w:sz="5" w:space="0" w:color="000000"/>
              <w:left w:val="single" w:sz="5" w:space="0" w:color="000000"/>
              <w:right w:val="single" w:sz="5" w:space="0" w:color="000000"/>
            </w:tcBorders>
          </w:tcPr>
          <w:p w14:paraId="77334B9B" w14:textId="77777777" w:rsidR="0066522E" w:rsidRDefault="0066522E" w:rsidP="00183CD7">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Opazovani dogodek</w:t>
            </w:r>
          </w:p>
        </w:tc>
        <w:tc>
          <w:tcPr>
            <w:tcW w:w="2340" w:type="dxa"/>
            <w:gridSpan w:val="2"/>
            <w:tcBorders>
              <w:top w:val="single" w:sz="5" w:space="0" w:color="000000"/>
              <w:left w:val="single" w:sz="5" w:space="0" w:color="000000"/>
              <w:bottom w:val="single" w:sz="5" w:space="0" w:color="000000"/>
              <w:right w:val="single" w:sz="5" w:space="0" w:color="000000"/>
            </w:tcBorders>
          </w:tcPr>
          <w:p w14:paraId="05E877B7" w14:textId="77777777" w:rsidR="0066522E" w:rsidRDefault="0066522E" w:rsidP="00183CD7">
            <w:pPr>
              <w:pStyle w:val="TableParagraph"/>
              <w:spacing w:line="246" w:lineRule="exact"/>
              <w:ind w:right="4"/>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16. teden</w:t>
            </w:r>
          </w:p>
          <w:p w14:paraId="42456B71" w14:textId="77777777" w:rsidR="0066522E" w:rsidRDefault="0066522E" w:rsidP="00183CD7">
            <w:pPr>
              <w:pStyle w:val="TableParagraph"/>
              <w:spacing w:line="252" w:lineRule="exact"/>
              <w:ind w:left="293" w:right="295"/>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Kontrolirana s placebom</w:t>
            </w:r>
          </w:p>
        </w:tc>
        <w:tc>
          <w:tcPr>
            <w:tcW w:w="2249" w:type="dxa"/>
            <w:gridSpan w:val="2"/>
            <w:tcBorders>
              <w:top w:val="single" w:sz="5" w:space="0" w:color="000000"/>
              <w:left w:val="single" w:sz="5" w:space="0" w:color="000000"/>
              <w:bottom w:val="single" w:sz="5" w:space="0" w:color="000000"/>
              <w:right w:val="single" w:sz="5" w:space="0" w:color="000000"/>
            </w:tcBorders>
          </w:tcPr>
          <w:p w14:paraId="7C379E39" w14:textId="77777777" w:rsidR="0066522E" w:rsidRDefault="0066522E" w:rsidP="00183CD7">
            <w:pPr>
              <w:pStyle w:val="TableParagraph"/>
              <w:spacing w:line="246" w:lineRule="exact"/>
              <w:ind w:left="705" w:right="710"/>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26. teden</w:t>
            </w:r>
          </w:p>
          <w:p w14:paraId="7CBDD82E" w14:textId="77777777" w:rsidR="0066522E" w:rsidRDefault="0066522E" w:rsidP="00183CD7">
            <w:pPr>
              <w:pStyle w:val="TableParagraph"/>
              <w:spacing w:line="252" w:lineRule="exact"/>
              <w:ind w:left="247" w:right="249"/>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Kontrolirana s placebom</w:t>
            </w:r>
          </w:p>
        </w:tc>
        <w:tc>
          <w:tcPr>
            <w:tcW w:w="2268" w:type="dxa"/>
            <w:tcBorders>
              <w:top w:val="single" w:sz="5" w:space="0" w:color="000000"/>
              <w:left w:val="single" w:sz="5" w:space="0" w:color="000000"/>
              <w:bottom w:val="single" w:sz="5" w:space="0" w:color="000000"/>
              <w:right w:val="single" w:sz="5" w:space="0" w:color="000000"/>
            </w:tcBorders>
          </w:tcPr>
          <w:p w14:paraId="1A1B5712" w14:textId="77777777" w:rsidR="0066522E" w:rsidRDefault="0066522E" w:rsidP="00183CD7">
            <w:pPr>
              <w:pStyle w:val="TableParagraph"/>
              <w:spacing w:line="246" w:lineRule="exact"/>
              <w:ind w:left="733"/>
              <w:rPr>
                <w:rFonts w:ascii="Times New Roman" w:eastAsia="Times New Roman" w:hAnsi="Times New Roman" w:cs="Times New Roman"/>
                <w:lang w:val="sl-SI"/>
              </w:rPr>
            </w:pPr>
            <w:r>
              <w:rPr>
                <w:rFonts w:ascii="Times New Roman" w:eastAsia="Times New Roman" w:hAnsi="Times New Roman" w:cs="Times New Roman"/>
                <w:spacing w:val="-1"/>
                <w:lang w:val="sl-SI"/>
              </w:rPr>
              <w:t>52. teden</w:t>
            </w:r>
          </w:p>
          <w:p w14:paraId="25E818D8" w14:textId="77777777" w:rsidR="0066522E" w:rsidRDefault="0066522E" w:rsidP="00183CD7">
            <w:pPr>
              <w:pStyle w:val="TableParagraph"/>
              <w:spacing w:line="252" w:lineRule="exact"/>
              <w:ind w:left="639"/>
              <w:rPr>
                <w:rFonts w:ascii="Times New Roman" w:eastAsia="Times New Roman" w:hAnsi="Times New Roman" w:cs="Times New Roman"/>
                <w:lang w:val="sl-SI"/>
              </w:rPr>
            </w:pPr>
            <w:r>
              <w:rPr>
                <w:rFonts w:ascii="Times New Roman" w:eastAsia="Times New Roman" w:hAnsi="Times New Roman" w:cs="Times New Roman"/>
                <w:spacing w:val="-1"/>
                <w:lang w:val="sl-SI"/>
              </w:rPr>
              <w:t>Odprta</w:t>
            </w:r>
          </w:p>
        </w:tc>
      </w:tr>
      <w:tr w:rsidR="0066522E" w:rsidRPr="00AC7013" w14:paraId="1C783FFD" w14:textId="77777777" w:rsidTr="00183CD7">
        <w:tc>
          <w:tcPr>
            <w:tcW w:w="2719" w:type="dxa"/>
            <w:vMerge/>
            <w:tcBorders>
              <w:left w:val="single" w:sz="5" w:space="0" w:color="000000"/>
              <w:bottom w:val="single" w:sz="5" w:space="0" w:color="000000"/>
              <w:right w:val="single" w:sz="5" w:space="0" w:color="000000"/>
            </w:tcBorders>
          </w:tcPr>
          <w:p w14:paraId="3330D63F" w14:textId="77777777" w:rsidR="0066522E" w:rsidRDefault="0066522E" w:rsidP="00183CD7">
            <w:pPr>
              <w:rPr>
                <w:lang w:val="sl-SI"/>
              </w:rPr>
            </w:pPr>
          </w:p>
        </w:tc>
        <w:tc>
          <w:tcPr>
            <w:tcW w:w="993" w:type="dxa"/>
            <w:tcBorders>
              <w:top w:val="single" w:sz="5" w:space="0" w:color="000000"/>
              <w:left w:val="single" w:sz="5" w:space="0" w:color="000000"/>
              <w:bottom w:val="single" w:sz="5" w:space="0" w:color="000000"/>
              <w:right w:val="single" w:sz="5" w:space="0" w:color="000000"/>
            </w:tcBorders>
          </w:tcPr>
          <w:p w14:paraId="73980128" w14:textId="77777777" w:rsidR="0066522E" w:rsidRDefault="0066522E" w:rsidP="00183C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Placebo</w:t>
            </w:r>
          </w:p>
          <w:p w14:paraId="2971464E" w14:textId="77777777" w:rsidR="0066522E" w:rsidRDefault="0066522E" w:rsidP="00183CD7">
            <w:pPr>
              <w:pStyle w:val="TableParagraph"/>
              <w:spacing w:line="252"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N = 108</w:t>
            </w:r>
          </w:p>
        </w:tc>
        <w:tc>
          <w:tcPr>
            <w:tcW w:w="1347" w:type="dxa"/>
            <w:tcBorders>
              <w:top w:val="single" w:sz="5" w:space="0" w:color="000000"/>
              <w:left w:val="single" w:sz="5" w:space="0" w:color="000000"/>
              <w:bottom w:val="single" w:sz="5" w:space="0" w:color="000000"/>
              <w:right w:val="single" w:sz="5" w:space="0" w:color="000000"/>
            </w:tcBorders>
          </w:tcPr>
          <w:p w14:paraId="79A2F207" w14:textId="77777777" w:rsidR="0066522E" w:rsidRDefault="0066522E" w:rsidP="00183CD7">
            <w:pPr>
              <w:pStyle w:val="TableParagraph"/>
              <w:spacing w:line="246" w:lineRule="exact"/>
              <w:ind w:leftChars="25" w:left="55" w:rightChars="25" w:right="55"/>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Adalimumab 40 mg vsak drugi teden </w:t>
            </w:r>
          </w:p>
          <w:p w14:paraId="7B2BF29F" w14:textId="77777777" w:rsidR="0066522E" w:rsidRDefault="0066522E" w:rsidP="00183C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N = 109</w:t>
            </w:r>
          </w:p>
        </w:tc>
        <w:tc>
          <w:tcPr>
            <w:tcW w:w="921" w:type="dxa"/>
            <w:tcBorders>
              <w:top w:val="single" w:sz="5" w:space="0" w:color="000000"/>
              <w:left w:val="single" w:sz="5" w:space="0" w:color="000000"/>
              <w:bottom w:val="single" w:sz="5" w:space="0" w:color="000000"/>
              <w:right w:val="single" w:sz="5" w:space="0" w:color="000000"/>
            </w:tcBorders>
          </w:tcPr>
          <w:p w14:paraId="6007B62B" w14:textId="77777777" w:rsidR="0066522E" w:rsidRDefault="0066522E" w:rsidP="00183C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Placebo</w:t>
            </w:r>
          </w:p>
          <w:p w14:paraId="22E48BEE" w14:textId="77777777" w:rsidR="0066522E" w:rsidRDefault="0066522E" w:rsidP="00183CD7">
            <w:pPr>
              <w:pStyle w:val="TableParagraph"/>
              <w:spacing w:line="252"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N = 108</w:t>
            </w:r>
          </w:p>
        </w:tc>
        <w:tc>
          <w:tcPr>
            <w:tcW w:w="1328" w:type="dxa"/>
            <w:tcBorders>
              <w:top w:val="single" w:sz="5" w:space="0" w:color="000000"/>
              <w:left w:val="single" w:sz="5" w:space="0" w:color="000000"/>
              <w:bottom w:val="single" w:sz="5" w:space="0" w:color="000000"/>
              <w:right w:val="single" w:sz="5" w:space="0" w:color="000000"/>
            </w:tcBorders>
          </w:tcPr>
          <w:p w14:paraId="34D8EA0D" w14:textId="77777777" w:rsidR="0066522E" w:rsidRDefault="0066522E" w:rsidP="00183C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Adalimumab</w:t>
            </w:r>
          </w:p>
          <w:p w14:paraId="0097BE3B" w14:textId="77777777" w:rsidR="0066522E" w:rsidRDefault="0066522E" w:rsidP="00183CD7">
            <w:pPr>
              <w:pStyle w:val="TableParagraph"/>
              <w:spacing w:before="1" w:line="254"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40 mg vsak drugi teden </w:t>
            </w:r>
          </w:p>
          <w:p w14:paraId="5869982D" w14:textId="77777777" w:rsidR="0066522E" w:rsidRDefault="0066522E" w:rsidP="00183CD7">
            <w:pPr>
              <w:pStyle w:val="TableParagraph"/>
              <w:spacing w:before="1" w:line="254"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N = 109</w:t>
            </w:r>
          </w:p>
        </w:tc>
        <w:tc>
          <w:tcPr>
            <w:tcW w:w="2268" w:type="dxa"/>
            <w:tcBorders>
              <w:top w:val="single" w:sz="5" w:space="0" w:color="000000"/>
              <w:left w:val="single" w:sz="5" w:space="0" w:color="000000"/>
              <w:bottom w:val="single" w:sz="5" w:space="0" w:color="000000"/>
              <w:right w:val="single" w:sz="5" w:space="0" w:color="000000"/>
            </w:tcBorders>
          </w:tcPr>
          <w:p w14:paraId="65FFDFC5" w14:textId="77777777" w:rsidR="0066522E" w:rsidRDefault="0066522E" w:rsidP="00183CD7">
            <w:pPr>
              <w:pStyle w:val="TableParagraph"/>
              <w:spacing w:line="246" w:lineRule="exact"/>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Adalimumab</w:t>
            </w:r>
          </w:p>
          <w:p w14:paraId="243883AD" w14:textId="77777777" w:rsidR="0066522E" w:rsidRDefault="0066522E" w:rsidP="00183CD7">
            <w:pPr>
              <w:pStyle w:val="TableParagraph"/>
              <w:spacing w:before="1" w:line="254" w:lineRule="exact"/>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40 mg vsak drugi teden </w:t>
            </w:r>
          </w:p>
          <w:p w14:paraId="27204809" w14:textId="77777777" w:rsidR="0066522E" w:rsidRDefault="0066522E" w:rsidP="00183CD7">
            <w:pPr>
              <w:pStyle w:val="TableParagraph"/>
              <w:spacing w:before="1" w:line="254" w:lineRule="exact"/>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lang w:val="sl-SI"/>
              </w:rPr>
              <w:t>N = 80</w:t>
            </w:r>
          </w:p>
        </w:tc>
      </w:tr>
      <w:tr w:rsidR="0066522E" w14:paraId="39C2C48A" w14:textId="77777777" w:rsidTr="00183CD7">
        <w:tc>
          <w:tcPr>
            <w:tcW w:w="2719" w:type="dxa"/>
            <w:tcBorders>
              <w:top w:val="single" w:sz="5" w:space="0" w:color="000000"/>
              <w:left w:val="single" w:sz="5" w:space="0" w:color="000000"/>
              <w:bottom w:val="single" w:sz="5" w:space="0" w:color="000000"/>
              <w:right w:val="single" w:sz="5" w:space="0" w:color="000000"/>
            </w:tcBorders>
          </w:tcPr>
          <w:p w14:paraId="4C3B81A9" w14:textId="77777777" w:rsidR="0066522E" w:rsidRDefault="0066522E" w:rsidP="00183CD7">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 mNAPSI 75 (%)</w:t>
            </w:r>
          </w:p>
        </w:tc>
        <w:tc>
          <w:tcPr>
            <w:tcW w:w="993" w:type="dxa"/>
            <w:tcBorders>
              <w:top w:val="single" w:sz="5" w:space="0" w:color="000000"/>
              <w:left w:val="single" w:sz="5" w:space="0" w:color="000000"/>
              <w:bottom w:val="single" w:sz="5" w:space="0" w:color="000000"/>
              <w:right w:val="single" w:sz="5" w:space="0" w:color="000000"/>
            </w:tcBorders>
          </w:tcPr>
          <w:p w14:paraId="21EA0571" w14:textId="77777777" w:rsidR="0066522E" w:rsidRDefault="0066522E" w:rsidP="00183C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2,9</w:t>
            </w:r>
          </w:p>
        </w:tc>
        <w:tc>
          <w:tcPr>
            <w:tcW w:w="1347" w:type="dxa"/>
            <w:tcBorders>
              <w:top w:val="single" w:sz="5" w:space="0" w:color="000000"/>
              <w:left w:val="single" w:sz="5" w:space="0" w:color="000000"/>
              <w:bottom w:val="single" w:sz="5" w:space="0" w:color="000000"/>
              <w:right w:val="single" w:sz="5" w:space="0" w:color="000000"/>
            </w:tcBorders>
          </w:tcPr>
          <w:p w14:paraId="29DF79BF" w14:textId="77777777" w:rsidR="0066522E" w:rsidRDefault="0066522E" w:rsidP="00183C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26,0</w:t>
            </w:r>
            <w:r>
              <w:rPr>
                <w:rFonts w:ascii="Times New Roman" w:eastAsia="Times New Roman" w:hAnsi="Times New Roman" w:cs="Times New Roman"/>
                <w:vertAlign w:val="superscript"/>
                <w:lang w:val="sl-SI"/>
              </w:rPr>
              <w:t>a</w:t>
            </w:r>
          </w:p>
        </w:tc>
        <w:tc>
          <w:tcPr>
            <w:tcW w:w="921" w:type="dxa"/>
            <w:tcBorders>
              <w:top w:val="single" w:sz="5" w:space="0" w:color="000000"/>
              <w:left w:val="single" w:sz="5" w:space="0" w:color="000000"/>
              <w:bottom w:val="single" w:sz="5" w:space="0" w:color="000000"/>
              <w:right w:val="single" w:sz="5" w:space="0" w:color="000000"/>
            </w:tcBorders>
          </w:tcPr>
          <w:p w14:paraId="7D4E68FA" w14:textId="77777777" w:rsidR="0066522E" w:rsidRDefault="0066522E" w:rsidP="00183C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3,4</w:t>
            </w:r>
          </w:p>
        </w:tc>
        <w:tc>
          <w:tcPr>
            <w:tcW w:w="1328" w:type="dxa"/>
            <w:tcBorders>
              <w:top w:val="single" w:sz="5" w:space="0" w:color="000000"/>
              <w:left w:val="single" w:sz="5" w:space="0" w:color="000000"/>
              <w:bottom w:val="single" w:sz="5" w:space="0" w:color="000000"/>
              <w:right w:val="single" w:sz="5" w:space="0" w:color="000000"/>
            </w:tcBorders>
          </w:tcPr>
          <w:p w14:paraId="441E41CC" w14:textId="77777777" w:rsidR="0066522E" w:rsidRDefault="0066522E" w:rsidP="00183C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46,6</w:t>
            </w:r>
            <w:r>
              <w:rPr>
                <w:rFonts w:ascii="Times New Roman" w:eastAsia="Times New Roman" w:hAnsi="Times New Roman" w:cs="Times New Roman"/>
                <w:vertAlign w:val="superscript"/>
                <w:lang w:val="sl-SI"/>
              </w:rPr>
              <w:t>a</w:t>
            </w:r>
          </w:p>
        </w:tc>
        <w:tc>
          <w:tcPr>
            <w:tcW w:w="2268" w:type="dxa"/>
            <w:tcBorders>
              <w:top w:val="single" w:sz="5" w:space="0" w:color="000000"/>
              <w:left w:val="single" w:sz="5" w:space="0" w:color="000000"/>
              <w:bottom w:val="single" w:sz="5" w:space="0" w:color="000000"/>
              <w:right w:val="single" w:sz="5" w:space="0" w:color="000000"/>
            </w:tcBorders>
          </w:tcPr>
          <w:p w14:paraId="57CEF611" w14:textId="77777777" w:rsidR="0066522E" w:rsidRDefault="0066522E" w:rsidP="00183CD7">
            <w:pPr>
              <w:pStyle w:val="TableParagraph"/>
              <w:spacing w:line="246" w:lineRule="exact"/>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lang w:val="sl-SI"/>
              </w:rPr>
              <w:t>65,0</w:t>
            </w:r>
          </w:p>
        </w:tc>
      </w:tr>
      <w:tr w:rsidR="0066522E" w14:paraId="41620BFA" w14:textId="77777777" w:rsidTr="00183CD7">
        <w:tc>
          <w:tcPr>
            <w:tcW w:w="2719" w:type="dxa"/>
            <w:tcBorders>
              <w:top w:val="single" w:sz="5" w:space="0" w:color="000000"/>
              <w:left w:val="single" w:sz="5" w:space="0" w:color="000000"/>
              <w:bottom w:val="single" w:sz="5" w:space="0" w:color="000000"/>
              <w:right w:val="single" w:sz="5" w:space="0" w:color="000000"/>
            </w:tcBorders>
          </w:tcPr>
          <w:p w14:paraId="7FFABE37" w14:textId="77777777" w:rsidR="0066522E" w:rsidRDefault="0066522E" w:rsidP="00183CD7">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PGA-F čisto/minimalno in </w:t>
            </w:r>
            <w:r>
              <w:rPr>
                <w:rFonts w:ascii="Times New Roman" w:eastAsia="Times New Roman" w:hAnsi="Times New Roman" w:cs="Times New Roman"/>
                <w:spacing w:val="1"/>
                <w:lang w:val="sl-SI"/>
              </w:rPr>
              <w:t>≥ izboljšanje za dve stopnji (%)</w:t>
            </w:r>
          </w:p>
        </w:tc>
        <w:tc>
          <w:tcPr>
            <w:tcW w:w="993" w:type="dxa"/>
            <w:tcBorders>
              <w:top w:val="single" w:sz="5" w:space="0" w:color="000000"/>
              <w:left w:val="single" w:sz="5" w:space="0" w:color="000000"/>
              <w:bottom w:val="single" w:sz="5" w:space="0" w:color="000000"/>
              <w:right w:val="single" w:sz="5" w:space="0" w:color="000000"/>
            </w:tcBorders>
          </w:tcPr>
          <w:p w14:paraId="51604D40" w14:textId="77777777" w:rsidR="0066522E" w:rsidRDefault="0066522E" w:rsidP="00183C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2,9</w:t>
            </w:r>
          </w:p>
        </w:tc>
        <w:tc>
          <w:tcPr>
            <w:tcW w:w="1347" w:type="dxa"/>
            <w:tcBorders>
              <w:top w:val="single" w:sz="5" w:space="0" w:color="000000"/>
              <w:left w:val="single" w:sz="5" w:space="0" w:color="000000"/>
              <w:bottom w:val="single" w:sz="5" w:space="0" w:color="000000"/>
              <w:right w:val="single" w:sz="5" w:space="0" w:color="000000"/>
            </w:tcBorders>
          </w:tcPr>
          <w:p w14:paraId="76806118" w14:textId="77777777" w:rsidR="0066522E" w:rsidRDefault="0066522E" w:rsidP="00183C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29,7</w:t>
            </w:r>
            <w:r>
              <w:rPr>
                <w:rFonts w:ascii="Times New Roman" w:eastAsia="Times New Roman" w:hAnsi="Times New Roman" w:cs="Times New Roman"/>
                <w:vertAlign w:val="superscript"/>
                <w:lang w:val="sl-SI"/>
              </w:rPr>
              <w:t>a</w:t>
            </w:r>
          </w:p>
        </w:tc>
        <w:tc>
          <w:tcPr>
            <w:tcW w:w="921" w:type="dxa"/>
            <w:tcBorders>
              <w:top w:val="single" w:sz="5" w:space="0" w:color="000000"/>
              <w:left w:val="single" w:sz="5" w:space="0" w:color="000000"/>
              <w:bottom w:val="single" w:sz="5" w:space="0" w:color="000000"/>
              <w:right w:val="single" w:sz="5" w:space="0" w:color="000000"/>
            </w:tcBorders>
          </w:tcPr>
          <w:p w14:paraId="3619D58C" w14:textId="77777777" w:rsidR="0066522E" w:rsidRDefault="0066522E" w:rsidP="00183C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6,9</w:t>
            </w:r>
          </w:p>
        </w:tc>
        <w:tc>
          <w:tcPr>
            <w:tcW w:w="1328" w:type="dxa"/>
            <w:tcBorders>
              <w:top w:val="single" w:sz="5" w:space="0" w:color="000000"/>
              <w:left w:val="single" w:sz="5" w:space="0" w:color="000000"/>
              <w:bottom w:val="single" w:sz="5" w:space="0" w:color="000000"/>
              <w:right w:val="single" w:sz="5" w:space="0" w:color="000000"/>
            </w:tcBorders>
          </w:tcPr>
          <w:p w14:paraId="18223135" w14:textId="77777777" w:rsidR="0066522E" w:rsidRDefault="0066522E" w:rsidP="00183C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lang w:val="sl-SI"/>
              </w:rPr>
              <w:t>48,9</w:t>
            </w:r>
            <w:r>
              <w:rPr>
                <w:rFonts w:ascii="Times New Roman" w:eastAsia="Times New Roman" w:hAnsi="Times New Roman" w:cs="Times New Roman"/>
                <w:vertAlign w:val="superscript"/>
                <w:lang w:val="sl-SI"/>
              </w:rPr>
              <w:t>a</w:t>
            </w:r>
          </w:p>
        </w:tc>
        <w:tc>
          <w:tcPr>
            <w:tcW w:w="2268" w:type="dxa"/>
            <w:tcBorders>
              <w:top w:val="single" w:sz="5" w:space="0" w:color="000000"/>
              <w:left w:val="single" w:sz="5" w:space="0" w:color="000000"/>
              <w:bottom w:val="single" w:sz="5" w:space="0" w:color="000000"/>
              <w:right w:val="single" w:sz="5" w:space="0" w:color="000000"/>
            </w:tcBorders>
          </w:tcPr>
          <w:p w14:paraId="72C66D75" w14:textId="77777777" w:rsidR="0066522E" w:rsidRDefault="0066522E" w:rsidP="00183CD7">
            <w:pPr>
              <w:pStyle w:val="TableParagraph"/>
              <w:spacing w:line="246" w:lineRule="exact"/>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lang w:val="sl-SI"/>
              </w:rPr>
              <w:t>61,3</w:t>
            </w:r>
          </w:p>
        </w:tc>
      </w:tr>
      <w:tr w:rsidR="0066522E" w14:paraId="4A36A8B5" w14:textId="77777777" w:rsidTr="00183CD7">
        <w:tc>
          <w:tcPr>
            <w:tcW w:w="2719" w:type="dxa"/>
            <w:tcBorders>
              <w:top w:val="single" w:sz="5" w:space="0" w:color="000000"/>
              <w:left w:val="single" w:sz="5" w:space="0" w:color="000000"/>
              <w:bottom w:val="single" w:sz="5" w:space="0" w:color="000000"/>
              <w:right w:val="single" w:sz="5" w:space="0" w:color="000000"/>
            </w:tcBorders>
          </w:tcPr>
          <w:p w14:paraId="69725401" w14:textId="77777777" w:rsidR="0066522E" w:rsidRDefault="0066522E" w:rsidP="00183CD7">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Odstotek spremembe v celotnem indeksu NAPSI (%)</w:t>
            </w:r>
          </w:p>
        </w:tc>
        <w:tc>
          <w:tcPr>
            <w:tcW w:w="993" w:type="dxa"/>
            <w:tcBorders>
              <w:top w:val="single" w:sz="5" w:space="0" w:color="000000"/>
              <w:left w:val="single" w:sz="5" w:space="0" w:color="000000"/>
              <w:bottom w:val="single" w:sz="5" w:space="0" w:color="000000"/>
              <w:right w:val="single" w:sz="5" w:space="0" w:color="000000"/>
            </w:tcBorders>
          </w:tcPr>
          <w:p w14:paraId="620D9090" w14:textId="77777777" w:rsidR="0066522E" w:rsidRDefault="0066522E" w:rsidP="00183C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4"/>
                <w:lang w:val="sl-SI"/>
              </w:rPr>
              <w:t>-7,8</w:t>
            </w:r>
          </w:p>
        </w:tc>
        <w:tc>
          <w:tcPr>
            <w:tcW w:w="1347" w:type="dxa"/>
            <w:tcBorders>
              <w:top w:val="single" w:sz="5" w:space="0" w:color="000000"/>
              <w:left w:val="single" w:sz="5" w:space="0" w:color="000000"/>
              <w:bottom w:val="single" w:sz="5" w:space="0" w:color="000000"/>
              <w:right w:val="single" w:sz="5" w:space="0" w:color="000000"/>
            </w:tcBorders>
          </w:tcPr>
          <w:p w14:paraId="3D6FDB39" w14:textId="77777777" w:rsidR="0066522E" w:rsidRDefault="0066522E" w:rsidP="00183C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4"/>
                <w:lang w:val="sl-SI"/>
              </w:rPr>
              <w:t xml:space="preserve">-44,2 </w:t>
            </w:r>
            <w:r>
              <w:rPr>
                <w:rFonts w:ascii="Times New Roman" w:eastAsia="Times New Roman" w:hAnsi="Times New Roman" w:cs="Times New Roman"/>
                <w:spacing w:val="-4"/>
                <w:vertAlign w:val="superscript"/>
                <w:lang w:val="sl-SI"/>
              </w:rPr>
              <w:t>a</w:t>
            </w:r>
          </w:p>
        </w:tc>
        <w:tc>
          <w:tcPr>
            <w:tcW w:w="921" w:type="dxa"/>
            <w:tcBorders>
              <w:top w:val="single" w:sz="5" w:space="0" w:color="000000"/>
              <w:left w:val="single" w:sz="5" w:space="0" w:color="000000"/>
              <w:bottom w:val="single" w:sz="5" w:space="0" w:color="000000"/>
              <w:right w:val="single" w:sz="5" w:space="0" w:color="000000"/>
            </w:tcBorders>
          </w:tcPr>
          <w:p w14:paraId="0739FDAA" w14:textId="77777777" w:rsidR="0066522E" w:rsidRDefault="0066522E" w:rsidP="00183C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4"/>
                <w:lang w:val="sl-SI"/>
              </w:rPr>
              <w:t>-1,5</w:t>
            </w:r>
          </w:p>
        </w:tc>
        <w:tc>
          <w:tcPr>
            <w:tcW w:w="1328" w:type="dxa"/>
            <w:tcBorders>
              <w:top w:val="single" w:sz="5" w:space="0" w:color="000000"/>
              <w:left w:val="single" w:sz="5" w:space="0" w:color="000000"/>
              <w:bottom w:val="single" w:sz="5" w:space="0" w:color="000000"/>
              <w:right w:val="single" w:sz="5" w:space="0" w:color="000000"/>
            </w:tcBorders>
          </w:tcPr>
          <w:p w14:paraId="56C52212" w14:textId="77777777" w:rsidR="0066522E" w:rsidRDefault="0066522E" w:rsidP="00183CD7">
            <w:pPr>
              <w:pStyle w:val="TableParagraph"/>
              <w:spacing w:line="246" w:lineRule="exact"/>
              <w:ind w:leftChars="25" w:left="55" w:rightChars="25" w:right="55"/>
              <w:jc w:val="center"/>
              <w:rPr>
                <w:rFonts w:ascii="Times New Roman" w:eastAsia="Times New Roman" w:hAnsi="Times New Roman" w:cs="Times New Roman"/>
                <w:lang w:val="sl-SI"/>
              </w:rPr>
            </w:pPr>
            <w:r>
              <w:rPr>
                <w:rFonts w:ascii="Times New Roman" w:eastAsia="Times New Roman" w:hAnsi="Times New Roman" w:cs="Times New Roman"/>
                <w:spacing w:val="-4"/>
                <w:lang w:val="sl-SI"/>
              </w:rPr>
              <w:t>-56,2</w:t>
            </w:r>
            <w:r>
              <w:rPr>
                <w:rFonts w:ascii="Times New Roman" w:eastAsia="Times New Roman" w:hAnsi="Times New Roman" w:cs="Times New Roman"/>
                <w:spacing w:val="-4"/>
                <w:vertAlign w:val="superscript"/>
                <w:lang w:val="sl-SI"/>
              </w:rPr>
              <w:t>a</w:t>
            </w:r>
          </w:p>
        </w:tc>
        <w:tc>
          <w:tcPr>
            <w:tcW w:w="2268" w:type="dxa"/>
            <w:tcBorders>
              <w:top w:val="single" w:sz="5" w:space="0" w:color="000000"/>
              <w:left w:val="single" w:sz="5" w:space="0" w:color="000000"/>
              <w:bottom w:val="single" w:sz="5" w:space="0" w:color="000000"/>
              <w:right w:val="single" w:sz="5" w:space="0" w:color="000000"/>
            </w:tcBorders>
          </w:tcPr>
          <w:p w14:paraId="63B8F909" w14:textId="77777777" w:rsidR="0066522E" w:rsidRDefault="0066522E" w:rsidP="00183CD7">
            <w:pPr>
              <w:pStyle w:val="TableParagraph"/>
              <w:spacing w:line="246" w:lineRule="exact"/>
              <w:ind w:leftChars="51" w:left="112" w:rightChars="51" w:right="112"/>
              <w:jc w:val="center"/>
              <w:rPr>
                <w:rFonts w:ascii="Times New Roman" w:eastAsia="Times New Roman" w:hAnsi="Times New Roman" w:cs="Times New Roman"/>
                <w:lang w:val="sl-SI"/>
              </w:rPr>
            </w:pPr>
            <w:r>
              <w:rPr>
                <w:rFonts w:ascii="Times New Roman" w:eastAsia="Times New Roman" w:hAnsi="Times New Roman" w:cs="Times New Roman"/>
                <w:spacing w:val="-4"/>
                <w:lang w:val="sl-SI"/>
              </w:rPr>
              <w:t>-72,2</w:t>
            </w:r>
          </w:p>
        </w:tc>
      </w:tr>
      <w:tr w:rsidR="0066522E" w14:paraId="5FF285FB" w14:textId="77777777" w:rsidTr="00183CD7">
        <w:tc>
          <w:tcPr>
            <w:tcW w:w="9576" w:type="dxa"/>
            <w:gridSpan w:val="6"/>
            <w:tcBorders>
              <w:top w:val="single" w:sz="5" w:space="0" w:color="000000"/>
              <w:left w:val="single" w:sz="5" w:space="0" w:color="000000"/>
              <w:bottom w:val="single" w:sz="5" w:space="0" w:color="000000"/>
              <w:right w:val="single" w:sz="5" w:space="0" w:color="000000"/>
            </w:tcBorders>
          </w:tcPr>
          <w:p w14:paraId="2DF30ACF" w14:textId="77777777" w:rsidR="0066522E" w:rsidRDefault="0066522E" w:rsidP="00183CD7">
            <w:pPr>
              <w:pStyle w:val="TableParagraph"/>
              <w:ind w:left="102"/>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 xml:space="preserve">a </w:t>
            </w:r>
            <w:r>
              <w:rPr>
                <w:rFonts w:ascii="Times New Roman" w:eastAsia="Times New Roman" w:hAnsi="Times New Roman" w:cs="Times New Roman"/>
                <w:position w:val="8"/>
                <w:lang w:val="sl-SI"/>
              </w:rPr>
              <w:t xml:space="preserve">p &lt; 0,001 adalimumab </w:t>
            </w:r>
            <w:r>
              <w:rPr>
                <w:rFonts w:ascii="Times New Roman" w:eastAsia="Times New Roman" w:hAnsi="Times New Roman" w:cs="Times New Roman"/>
                <w:i/>
                <w:iCs/>
                <w:position w:val="8"/>
                <w:lang w:val="sl-SI"/>
              </w:rPr>
              <w:t xml:space="preserve">v primerjavi s </w:t>
            </w:r>
            <w:r>
              <w:rPr>
                <w:rFonts w:ascii="Times New Roman" w:eastAsia="Times New Roman" w:hAnsi="Times New Roman" w:cs="Times New Roman"/>
                <w:position w:val="8"/>
                <w:lang w:val="sl-SI"/>
              </w:rPr>
              <w:t>placebom</w:t>
            </w:r>
          </w:p>
        </w:tc>
      </w:tr>
    </w:tbl>
    <w:p w14:paraId="760AE5C4" w14:textId="77777777" w:rsidR="0066522E" w:rsidRDefault="0066522E" w:rsidP="0066522E">
      <w:pPr>
        <w:spacing w:before="5" w:line="170" w:lineRule="exact"/>
        <w:rPr>
          <w:sz w:val="17"/>
          <w:szCs w:val="17"/>
          <w:lang w:val="sl-SI"/>
        </w:rPr>
      </w:pPr>
    </w:p>
    <w:p w14:paraId="1B1D8C83" w14:textId="77777777" w:rsidR="0066522E" w:rsidRDefault="0066522E" w:rsidP="0066522E">
      <w:pPr>
        <w:pStyle w:val="a3"/>
        <w:rPr>
          <w:lang w:val="sl-SI"/>
        </w:rPr>
      </w:pPr>
      <w:r>
        <w:rPr>
          <w:rFonts w:eastAsia="Times New Roman"/>
          <w:lang w:val="sl-SI"/>
        </w:rPr>
        <w:t>Pri bolnikih, zdravljenih z adalimumabom, je prišlo do statistično značilnega izboljšanja dermatološkega indeksa kakovosti življenja (DLQI) po 26 tednih v primerjavi z placebom.</w:t>
      </w:r>
    </w:p>
    <w:p w14:paraId="57A43E40" w14:textId="77777777" w:rsidR="0066522E" w:rsidRDefault="0066522E" w:rsidP="0066522E">
      <w:pPr>
        <w:pStyle w:val="a3"/>
        <w:rPr>
          <w:sz w:val="24"/>
          <w:szCs w:val="24"/>
          <w:lang w:val="sl-SI"/>
        </w:rPr>
      </w:pPr>
    </w:p>
    <w:p w14:paraId="50131B66" w14:textId="47F9639A" w:rsidR="0066522E" w:rsidRPr="007811C6" w:rsidRDefault="00813F52" w:rsidP="0066522E">
      <w:pPr>
        <w:pStyle w:val="a3"/>
        <w:rPr>
          <w:rFonts w:eastAsia="Times New Roman"/>
          <w:i/>
          <w:lang w:val="sl-SI"/>
        </w:rPr>
      </w:pPr>
      <w:r w:rsidRPr="00385E1F">
        <w:rPr>
          <w:i/>
          <w:lang w:val="sl-SI"/>
        </w:rPr>
        <w:t>Crohnova bolezen pri odraslih</w:t>
      </w:r>
    </w:p>
    <w:p w14:paraId="080EFB43" w14:textId="77777777" w:rsidR="0066522E" w:rsidRDefault="0066522E" w:rsidP="0066522E">
      <w:pPr>
        <w:pStyle w:val="a3"/>
        <w:rPr>
          <w:sz w:val="24"/>
          <w:szCs w:val="24"/>
          <w:lang w:val="sl-SI"/>
        </w:rPr>
      </w:pPr>
    </w:p>
    <w:p w14:paraId="41C9FFB3" w14:textId="77777777" w:rsidR="0066522E" w:rsidRDefault="0066522E" w:rsidP="0066522E">
      <w:pPr>
        <w:pStyle w:val="a3"/>
        <w:rPr>
          <w:lang w:val="sl-SI"/>
        </w:rPr>
      </w:pPr>
      <w:r>
        <w:rPr>
          <w:rFonts w:eastAsia="Times New Roman"/>
          <w:lang w:val="sl-SI"/>
        </w:rPr>
        <w:t xml:space="preserve">Varnost in učinkovitost adalimumaba so ocenili pri več kot 1500 bolnikih z zmerno do zelo aktivno Crohnovo boleznijo (indeks aktivnosti Crohnove bolezni [CDAI]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 xml:space="preserve"> 220 in </w:t>
      </w:r>
      <w:r>
        <w:rPr>
          <w:rFonts w:ascii="Symbol" w:eastAsia="Symbol" w:hAnsi="Symbol" w:cs="Symbol"/>
          <w:lang w:val="sl-SI"/>
        </w:rPr>
        <w:sym w:font="Symbol" w:char="F0A3"/>
      </w:r>
      <w:r>
        <w:rPr>
          <w:rFonts w:ascii="Symbol" w:eastAsia="Symbol" w:hAnsi="Symbol" w:cs="Symbol"/>
          <w:lang w:val="sl-SI"/>
        </w:rPr>
        <w:sym w:font="Symbol" w:char="F020"/>
      </w:r>
      <w:r>
        <w:rPr>
          <w:rFonts w:eastAsia="Times New Roman"/>
          <w:lang w:val="sl-SI"/>
        </w:rPr>
        <w:t> 450) v randomiziranih, dvojno slepih, s placebom kontroliranih študijah. Dovoljena je bila sočasna uporaba stabilnih odmerkov aminosalicilatov, kortikosteroidov in/ali imunomodulacijskih zdravil; 80 % bolnikov je še naprej prejemalo vsaj eno od takšnih zdravil.</w:t>
      </w:r>
    </w:p>
    <w:p w14:paraId="7D633F01" w14:textId="77777777" w:rsidR="0066522E" w:rsidRDefault="0066522E" w:rsidP="0066522E">
      <w:pPr>
        <w:pStyle w:val="a3"/>
        <w:rPr>
          <w:sz w:val="24"/>
          <w:szCs w:val="24"/>
          <w:lang w:val="sl-SI"/>
        </w:rPr>
      </w:pPr>
    </w:p>
    <w:p w14:paraId="6375066B" w14:textId="77777777" w:rsidR="0066522E" w:rsidRDefault="0066522E" w:rsidP="0066522E">
      <w:pPr>
        <w:pStyle w:val="a3"/>
        <w:rPr>
          <w:lang w:val="sl-SI"/>
        </w:rPr>
      </w:pPr>
      <w:r>
        <w:rPr>
          <w:rFonts w:eastAsia="Times New Roman"/>
          <w:lang w:val="sl-SI"/>
        </w:rPr>
        <w:t>Indukcijo klinične remisije (opredeljene kot CDAI &lt; 150) so ocenili v dveh študijah, študiji pri Crohnovi bolezni I (CLASSIC I) in študiji pri Crohnovi bolezni II (GAIN). V študiji pri Crohnovi bolezni I so 299 bolnikov, ki pred tem še niso dobivali antagonistov TNF, randomizirali v eno od štirih skupin: placebo 0. in 2. teden, 160 mg adalimumab 0. teden in 80 mg 2. teden, 80 mg 0. teden in 40 mg 2. teden oziroma 40 mg 0. teden in 20 mg 2. teden. V študiji pri Crohnovi bolezni II so 325 bolnikov, ki so se nehali odzivati na infliksimab ali ga niso prenesli, randomizirali bodisi na 160 mg adalimumaba 0. teden in 80 mg 2. teden bodisi na placebo 0. in 2. teden. Študija ni vključila primarno neodzivnih bolnikov in ti tako niso bili dodatno ocenjeni.</w:t>
      </w:r>
    </w:p>
    <w:p w14:paraId="1B8416DB" w14:textId="77777777" w:rsidR="0066522E" w:rsidRDefault="0066522E" w:rsidP="0066522E">
      <w:pPr>
        <w:pStyle w:val="a3"/>
        <w:rPr>
          <w:sz w:val="24"/>
          <w:szCs w:val="24"/>
          <w:lang w:val="sl-SI"/>
        </w:rPr>
      </w:pPr>
    </w:p>
    <w:p w14:paraId="356D9D2F" w14:textId="77777777" w:rsidR="0066522E" w:rsidRDefault="0066522E" w:rsidP="0066522E">
      <w:pPr>
        <w:pStyle w:val="a3"/>
        <w:rPr>
          <w:lang w:val="sl-SI"/>
        </w:rPr>
      </w:pPr>
      <w:r>
        <w:rPr>
          <w:rFonts w:eastAsia="Times New Roman"/>
          <w:lang w:val="sl-SI"/>
        </w:rPr>
        <w:t>Vzdrževanje klinične remisije je ocenjevala študija pri Crohnovi bolezni III (CHARM). V študiji pri Crohnovi bolezni III je 854 bolnikov po odprtem protokolu dobilo 80 mg 0. teden in 40 mg 2 teden. Na 4. teden so bolnike randomizirali na 40 mg vsak drugi teden, 40 mg vsak teden ali placebo; v celoti je študija trajala 56 tednov. Bolnike s kliničnim odzivom (znižanje CDAI ≥ 70) 4. teden so stratificirali in analizirali ločeno od bolnikov brez kliničnega odziva 4. teden. Po 8. tednu je bilo dovoljeno postopno zmanjševanje kortikosteroida.</w:t>
      </w:r>
    </w:p>
    <w:p w14:paraId="4933F4CE" w14:textId="77777777" w:rsidR="0066522E" w:rsidRDefault="0066522E" w:rsidP="0066522E">
      <w:pPr>
        <w:spacing w:before="11" w:line="240" w:lineRule="exact"/>
        <w:rPr>
          <w:sz w:val="24"/>
          <w:szCs w:val="24"/>
          <w:lang w:val="sl-SI"/>
        </w:rPr>
      </w:pPr>
    </w:p>
    <w:p w14:paraId="69436FC8" w14:textId="1B8D0BB0" w:rsidR="0066522E" w:rsidRDefault="0066522E" w:rsidP="0066522E">
      <w:pPr>
        <w:pStyle w:val="a3"/>
        <w:rPr>
          <w:lang w:val="sl-SI"/>
        </w:rPr>
      </w:pPr>
      <w:r>
        <w:rPr>
          <w:rFonts w:eastAsia="Times New Roman"/>
          <w:lang w:val="sl-SI"/>
        </w:rPr>
        <w:t>Indukcijo remisije in deleže odziva v študiji pri Crohnovi bolezni I in študiji pri Crohnovi bolezni II prikazuje preglednica </w:t>
      </w:r>
      <w:r w:rsidR="00813F52">
        <w:rPr>
          <w:rFonts w:eastAsia="Times New Roman"/>
          <w:lang w:val="sl-SI"/>
        </w:rPr>
        <w:t>14</w:t>
      </w:r>
      <w:r>
        <w:rPr>
          <w:rFonts w:eastAsia="Times New Roman"/>
          <w:lang w:val="sl-SI"/>
        </w:rPr>
        <w:t>.</w:t>
      </w:r>
    </w:p>
    <w:p w14:paraId="5B24298A" w14:textId="77777777" w:rsidR="0066522E" w:rsidRDefault="0066522E" w:rsidP="0066522E">
      <w:pPr>
        <w:pStyle w:val="a3"/>
        <w:jc w:val="center"/>
        <w:rPr>
          <w:b/>
          <w:lang w:val="sl-SI"/>
        </w:rPr>
      </w:pPr>
    </w:p>
    <w:p w14:paraId="155A83D4" w14:textId="7DF64636" w:rsidR="0066522E" w:rsidRDefault="0066522E" w:rsidP="0066522E">
      <w:pPr>
        <w:pStyle w:val="a3"/>
        <w:jc w:val="center"/>
        <w:rPr>
          <w:b/>
          <w:lang w:val="sl-SI"/>
        </w:rPr>
      </w:pPr>
      <w:r>
        <w:rPr>
          <w:rFonts w:eastAsia="Times New Roman"/>
          <w:b/>
          <w:bCs/>
          <w:lang w:val="sl-SI"/>
        </w:rPr>
        <w:t>Preglednica </w:t>
      </w:r>
      <w:r w:rsidR="00813F52">
        <w:rPr>
          <w:rFonts w:eastAsia="Times New Roman"/>
          <w:b/>
          <w:bCs/>
          <w:lang w:val="sl-SI"/>
        </w:rPr>
        <w:t>14</w:t>
      </w:r>
    </w:p>
    <w:p w14:paraId="4C8016AF" w14:textId="77777777" w:rsidR="0066522E" w:rsidRDefault="0066522E" w:rsidP="0066522E">
      <w:pPr>
        <w:pStyle w:val="a3"/>
        <w:jc w:val="center"/>
        <w:rPr>
          <w:b/>
          <w:lang w:val="sl-SI"/>
        </w:rPr>
      </w:pPr>
      <w:r>
        <w:rPr>
          <w:rFonts w:eastAsia="Times New Roman"/>
          <w:b/>
          <w:bCs/>
          <w:lang w:val="sl-SI"/>
        </w:rPr>
        <w:t>Indukcija klinične remisije in odziva (odstotek bolnikov)</w:t>
      </w:r>
    </w:p>
    <w:p w14:paraId="68F31A07" w14:textId="77777777" w:rsidR="0066522E" w:rsidRDefault="0066522E" w:rsidP="0066522E">
      <w:pPr>
        <w:spacing w:before="3" w:line="10" w:lineRule="exact"/>
        <w:rPr>
          <w:sz w:val="4"/>
          <w:szCs w:val="4"/>
          <w:lang w:val="sl-SI"/>
        </w:rPr>
      </w:pPr>
    </w:p>
    <w:tbl>
      <w:tblPr>
        <w:tblStyle w:val="TableNormal1"/>
        <w:tblW w:w="9492" w:type="dxa"/>
        <w:tblLayout w:type="fixed"/>
        <w:tblLook w:val="01E0" w:firstRow="1" w:lastRow="1" w:firstColumn="1" w:lastColumn="1" w:noHBand="0" w:noVBand="0"/>
      </w:tblPr>
      <w:tblGrid>
        <w:gridCol w:w="2311"/>
        <w:gridCol w:w="1085"/>
        <w:gridCol w:w="1356"/>
        <w:gridCol w:w="1338"/>
        <w:gridCol w:w="1559"/>
        <w:gridCol w:w="1843"/>
      </w:tblGrid>
      <w:tr w:rsidR="0066522E" w:rsidRPr="00652F18" w14:paraId="6747EBAB" w14:textId="77777777" w:rsidTr="00183CD7">
        <w:tc>
          <w:tcPr>
            <w:tcW w:w="2311" w:type="dxa"/>
            <w:tcBorders>
              <w:top w:val="single" w:sz="5" w:space="0" w:color="000000"/>
              <w:left w:val="single" w:sz="5" w:space="0" w:color="000000"/>
              <w:bottom w:val="single" w:sz="5" w:space="0" w:color="000000"/>
              <w:right w:val="single" w:sz="5" w:space="0" w:color="000000"/>
            </w:tcBorders>
          </w:tcPr>
          <w:p w14:paraId="513A724E" w14:textId="77777777" w:rsidR="0066522E" w:rsidRDefault="0066522E" w:rsidP="00183CD7">
            <w:pPr>
              <w:rPr>
                <w:lang w:val="sl-SI"/>
              </w:rPr>
            </w:pPr>
          </w:p>
        </w:tc>
        <w:tc>
          <w:tcPr>
            <w:tcW w:w="3779" w:type="dxa"/>
            <w:gridSpan w:val="3"/>
            <w:tcBorders>
              <w:top w:val="single" w:sz="5" w:space="0" w:color="000000"/>
              <w:left w:val="single" w:sz="5" w:space="0" w:color="000000"/>
              <w:bottom w:val="single" w:sz="5" w:space="0" w:color="000000"/>
              <w:right w:val="single" w:sz="5" w:space="0" w:color="000000"/>
            </w:tcBorders>
          </w:tcPr>
          <w:p w14:paraId="4A400C87" w14:textId="77777777" w:rsidR="0066522E" w:rsidRDefault="0066522E" w:rsidP="00183CD7">
            <w:pPr>
              <w:pStyle w:val="TableParagraph"/>
              <w:spacing w:before="39" w:line="240" w:lineRule="exact"/>
              <w:ind w:left="102" w:right="15"/>
              <w:rPr>
                <w:rFonts w:ascii="Times New Roman" w:eastAsia="Times New Roman" w:hAnsi="Times New Roman" w:cs="Times New Roman"/>
                <w:lang w:val="sl-SI"/>
              </w:rPr>
            </w:pPr>
            <w:r>
              <w:rPr>
                <w:rFonts w:ascii="Times New Roman" w:eastAsia="Times New Roman" w:hAnsi="Times New Roman" w:cs="Times New Roman"/>
                <w:b/>
                <w:bCs/>
                <w:spacing w:val="-1"/>
                <w:lang w:val="sl-SI"/>
              </w:rPr>
              <w:t>Študija pri Crohnovi bolezni I: Bolniki, ki še niso dobivali infliksimaba</w:t>
            </w:r>
          </w:p>
        </w:tc>
        <w:tc>
          <w:tcPr>
            <w:tcW w:w="3402" w:type="dxa"/>
            <w:gridSpan w:val="2"/>
            <w:tcBorders>
              <w:top w:val="single" w:sz="5" w:space="0" w:color="000000"/>
              <w:left w:val="single" w:sz="5" w:space="0" w:color="000000"/>
              <w:bottom w:val="single" w:sz="5" w:space="0" w:color="000000"/>
              <w:right w:val="single" w:sz="5" w:space="0" w:color="000000"/>
            </w:tcBorders>
          </w:tcPr>
          <w:p w14:paraId="162D69FE" w14:textId="77777777" w:rsidR="0066522E" w:rsidRDefault="0066522E" w:rsidP="00183CD7">
            <w:pPr>
              <w:pStyle w:val="TableParagraph"/>
              <w:spacing w:before="39" w:line="240"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Študija pri Crohnovi bolezni II: Bolniki, ki so že dobivali infliksimab</w:t>
            </w:r>
          </w:p>
        </w:tc>
      </w:tr>
      <w:tr w:rsidR="0066522E" w14:paraId="3FDDBA58" w14:textId="77777777" w:rsidTr="00183CD7">
        <w:tc>
          <w:tcPr>
            <w:tcW w:w="2311" w:type="dxa"/>
            <w:tcBorders>
              <w:top w:val="single" w:sz="5" w:space="0" w:color="000000"/>
              <w:left w:val="single" w:sz="5" w:space="0" w:color="000000"/>
              <w:bottom w:val="single" w:sz="5" w:space="0" w:color="000000"/>
              <w:right w:val="single" w:sz="5" w:space="0" w:color="000000"/>
            </w:tcBorders>
          </w:tcPr>
          <w:p w14:paraId="4D28FA61" w14:textId="77777777" w:rsidR="0066522E" w:rsidRDefault="0066522E" w:rsidP="00183CD7">
            <w:pPr>
              <w:rPr>
                <w:lang w:val="sl-SI"/>
              </w:rPr>
            </w:pPr>
          </w:p>
        </w:tc>
        <w:tc>
          <w:tcPr>
            <w:tcW w:w="1085" w:type="dxa"/>
            <w:tcBorders>
              <w:top w:val="single" w:sz="5" w:space="0" w:color="000000"/>
              <w:left w:val="single" w:sz="5" w:space="0" w:color="000000"/>
              <w:bottom w:val="single" w:sz="5" w:space="0" w:color="000000"/>
              <w:right w:val="single" w:sz="5" w:space="0" w:color="000000"/>
            </w:tcBorders>
            <w:vAlign w:val="center"/>
          </w:tcPr>
          <w:p w14:paraId="381A2D5C" w14:textId="77777777" w:rsidR="0066522E" w:rsidRDefault="0066522E" w:rsidP="00183CD7">
            <w:pPr>
              <w:pStyle w:val="TableParagraph"/>
              <w:spacing w:before="24" w:line="268" w:lineRule="auto"/>
              <w:ind w:firstLineChars="50" w:firstLine="110"/>
              <w:jc w:val="center"/>
              <w:rPr>
                <w:rFonts w:ascii="Times New Roman" w:eastAsia="Times New Roman" w:hAnsi="Times New Roman" w:cs="Times New Roman"/>
                <w:b/>
                <w:bCs/>
                <w:lang w:val="sl-SI"/>
              </w:rPr>
            </w:pPr>
            <w:r>
              <w:rPr>
                <w:rFonts w:ascii="Times New Roman" w:eastAsia="Times New Roman" w:hAnsi="Times New Roman" w:cs="Times New Roman"/>
                <w:b/>
                <w:bCs/>
                <w:lang w:val="sl-SI"/>
              </w:rPr>
              <w:t xml:space="preserve">Placebo </w:t>
            </w:r>
          </w:p>
          <w:p w14:paraId="5F4AFF42" w14:textId="77777777" w:rsidR="0066522E" w:rsidRDefault="0066522E" w:rsidP="00183CD7">
            <w:pPr>
              <w:pStyle w:val="TableParagraph"/>
              <w:spacing w:before="24" w:line="268" w:lineRule="auto"/>
              <w:ind w:firstLineChars="50" w:firstLine="110"/>
              <w:jc w:val="center"/>
              <w:rPr>
                <w:rFonts w:ascii="Times New Roman" w:eastAsia="Times New Roman" w:hAnsi="Times New Roman" w:cs="Times New Roman"/>
                <w:lang w:val="sl-SI"/>
              </w:rPr>
            </w:pPr>
            <w:r>
              <w:rPr>
                <w:rFonts w:ascii="Times New Roman" w:eastAsia="Times New Roman" w:hAnsi="Times New Roman" w:cs="Times New Roman"/>
                <w:b/>
                <w:bCs/>
                <w:lang w:val="sl-SI"/>
              </w:rPr>
              <w:t>N = 74</w:t>
            </w:r>
          </w:p>
        </w:tc>
        <w:tc>
          <w:tcPr>
            <w:tcW w:w="1356" w:type="dxa"/>
            <w:tcBorders>
              <w:top w:val="single" w:sz="5" w:space="0" w:color="000000"/>
              <w:left w:val="single" w:sz="5" w:space="0" w:color="000000"/>
              <w:bottom w:val="single" w:sz="5" w:space="0" w:color="000000"/>
              <w:right w:val="single" w:sz="5" w:space="0" w:color="000000"/>
            </w:tcBorders>
            <w:vAlign w:val="center"/>
          </w:tcPr>
          <w:p w14:paraId="5B2F62D6" w14:textId="77777777" w:rsidR="0066522E" w:rsidRDefault="0066522E" w:rsidP="00183CD7">
            <w:pPr>
              <w:pStyle w:val="TableParagraph"/>
              <w:spacing w:before="24" w:line="266" w:lineRule="auto"/>
              <w:ind w:hanging="4"/>
              <w:jc w:val="center"/>
              <w:rPr>
                <w:rFonts w:ascii="Times New Roman" w:eastAsia="Times New Roman" w:hAnsi="Times New Roman" w:cs="Times New Roman"/>
                <w:lang w:val="sl-SI"/>
              </w:rPr>
            </w:pPr>
            <w:r>
              <w:rPr>
                <w:rFonts w:ascii="Times New Roman" w:eastAsia="Times New Roman" w:hAnsi="Times New Roman" w:cs="Times New Roman"/>
                <w:b/>
                <w:bCs/>
                <w:lang w:val="sl-SI"/>
              </w:rPr>
              <w:t xml:space="preserve">Adalimumab 80/40 mg </w:t>
            </w:r>
            <w:r>
              <w:rPr>
                <w:rFonts w:ascii="Times New Roman" w:eastAsia="Times New Roman" w:hAnsi="Times New Roman" w:cs="Times New Roman"/>
                <w:b/>
                <w:bCs/>
                <w:lang w:val="sl-SI"/>
              </w:rPr>
              <w:br/>
              <w:t>N = 75</w:t>
            </w:r>
          </w:p>
        </w:tc>
        <w:tc>
          <w:tcPr>
            <w:tcW w:w="1338" w:type="dxa"/>
            <w:tcBorders>
              <w:top w:val="single" w:sz="5" w:space="0" w:color="000000"/>
              <w:left w:val="single" w:sz="5" w:space="0" w:color="000000"/>
              <w:bottom w:val="single" w:sz="5" w:space="0" w:color="000000"/>
              <w:right w:val="single" w:sz="5" w:space="0" w:color="000000"/>
            </w:tcBorders>
            <w:vAlign w:val="center"/>
          </w:tcPr>
          <w:p w14:paraId="43EFA01B" w14:textId="77777777" w:rsidR="0066522E" w:rsidRDefault="0066522E" w:rsidP="00183CD7">
            <w:pPr>
              <w:pStyle w:val="TableParagraph"/>
              <w:spacing w:before="24" w:line="248" w:lineRule="auto"/>
              <w:jc w:val="center"/>
              <w:rPr>
                <w:rFonts w:ascii="Times New Roman" w:eastAsia="Times New Roman" w:hAnsi="Times New Roman" w:cs="Times New Roman"/>
                <w:b/>
                <w:bCs/>
                <w:lang w:val="sl-SI"/>
              </w:rPr>
            </w:pPr>
            <w:r>
              <w:rPr>
                <w:rFonts w:ascii="Times New Roman" w:eastAsia="Times New Roman" w:hAnsi="Times New Roman" w:cs="Times New Roman"/>
                <w:b/>
                <w:bCs/>
                <w:lang w:val="sl-SI"/>
              </w:rPr>
              <w:t xml:space="preserve">Adalimumab 160/80 mg </w:t>
            </w:r>
          </w:p>
          <w:p w14:paraId="5ADE0905" w14:textId="77777777" w:rsidR="0066522E" w:rsidRDefault="0066522E" w:rsidP="00183CD7">
            <w:pPr>
              <w:pStyle w:val="TableParagraph"/>
              <w:spacing w:before="24" w:line="248" w:lineRule="auto"/>
              <w:jc w:val="center"/>
              <w:rPr>
                <w:rFonts w:ascii="Times New Roman" w:eastAsia="Times New Roman" w:hAnsi="Times New Roman" w:cs="Times New Roman"/>
                <w:lang w:val="sl-SI"/>
              </w:rPr>
            </w:pPr>
            <w:r>
              <w:rPr>
                <w:rFonts w:ascii="Times New Roman" w:eastAsia="Times New Roman" w:hAnsi="Times New Roman" w:cs="Times New Roman"/>
                <w:b/>
                <w:bCs/>
                <w:lang w:val="sl-SI"/>
              </w:rPr>
              <w:t>N = 76</w:t>
            </w:r>
          </w:p>
        </w:tc>
        <w:tc>
          <w:tcPr>
            <w:tcW w:w="1559" w:type="dxa"/>
            <w:tcBorders>
              <w:top w:val="single" w:sz="5" w:space="0" w:color="000000"/>
              <w:left w:val="single" w:sz="5" w:space="0" w:color="000000"/>
              <w:bottom w:val="single" w:sz="5" w:space="0" w:color="000000"/>
              <w:right w:val="single" w:sz="5" w:space="0" w:color="000000"/>
            </w:tcBorders>
            <w:vAlign w:val="center"/>
          </w:tcPr>
          <w:p w14:paraId="130CDD29" w14:textId="77777777" w:rsidR="0066522E" w:rsidRDefault="0066522E" w:rsidP="00183CD7">
            <w:pPr>
              <w:pStyle w:val="TableParagraph"/>
              <w:spacing w:before="24" w:line="268" w:lineRule="auto"/>
              <w:jc w:val="center"/>
              <w:rPr>
                <w:rFonts w:ascii="Times New Roman" w:eastAsia="Times New Roman" w:hAnsi="Times New Roman" w:cs="Times New Roman"/>
                <w:b/>
                <w:bCs/>
                <w:lang w:val="sl-SI"/>
              </w:rPr>
            </w:pPr>
            <w:r>
              <w:rPr>
                <w:rFonts w:ascii="Times New Roman" w:eastAsia="Times New Roman" w:hAnsi="Times New Roman" w:cs="Times New Roman"/>
                <w:b/>
                <w:bCs/>
                <w:lang w:val="sl-SI"/>
              </w:rPr>
              <w:t xml:space="preserve">Placebo </w:t>
            </w:r>
          </w:p>
          <w:p w14:paraId="6F8D2749" w14:textId="77777777" w:rsidR="0066522E" w:rsidRDefault="0066522E" w:rsidP="00183CD7">
            <w:pPr>
              <w:pStyle w:val="TableParagraph"/>
              <w:spacing w:before="24" w:line="268" w:lineRule="auto"/>
              <w:jc w:val="center"/>
              <w:rPr>
                <w:rFonts w:ascii="Times New Roman" w:eastAsia="Times New Roman" w:hAnsi="Times New Roman" w:cs="Times New Roman"/>
                <w:lang w:val="sl-SI"/>
              </w:rPr>
            </w:pPr>
            <w:r>
              <w:rPr>
                <w:rFonts w:ascii="Times New Roman" w:eastAsia="Times New Roman" w:hAnsi="Times New Roman" w:cs="Times New Roman"/>
                <w:b/>
                <w:bCs/>
                <w:lang w:val="sl-SI"/>
              </w:rPr>
              <w:t>N = 166</w:t>
            </w:r>
          </w:p>
        </w:tc>
        <w:tc>
          <w:tcPr>
            <w:tcW w:w="1843" w:type="dxa"/>
            <w:tcBorders>
              <w:top w:val="single" w:sz="5" w:space="0" w:color="000000"/>
              <w:left w:val="single" w:sz="5" w:space="0" w:color="000000"/>
              <w:bottom w:val="single" w:sz="5" w:space="0" w:color="000000"/>
              <w:right w:val="single" w:sz="5" w:space="0" w:color="000000"/>
            </w:tcBorders>
            <w:vAlign w:val="center"/>
          </w:tcPr>
          <w:p w14:paraId="152920F8" w14:textId="77777777" w:rsidR="0066522E" w:rsidRDefault="0066522E" w:rsidP="00183CD7">
            <w:pPr>
              <w:pStyle w:val="TableParagraph"/>
              <w:spacing w:before="24" w:line="266" w:lineRule="auto"/>
              <w:ind w:hanging="4"/>
              <w:jc w:val="center"/>
              <w:rPr>
                <w:rFonts w:ascii="Times New Roman" w:eastAsia="Times New Roman" w:hAnsi="Times New Roman" w:cs="Times New Roman"/>
                <w:b/>
                <w:bCs/>
                <w:lang w:val="sl-SI"/>
              </w:rPr>
            </w:pPr>
            <w:r>
              <w:rPr>
                <w:rFonts w:ascii="Times New Roman" w:eastAsia="Times New Roman" w:hAnsi="Times New Roman" w:cs="Times New Roman"/>
                <w:b/>
                <w:bCs/>
                <w:lang w:val="sl-SI"/>
              </w:rPr>
              <w:t xml:space="preserve">Adalimumab 160/80 mg </w:t>
            </w:r>
          </w:p>
          <w:p w14:paraId="65E290E6" w14:textId="77777777" w:rsidR="0066522E" w:rsidRDefault="0066522E" w:rsidP="00183CD7">
            <w:pPr>
              <w:pStyle w:val="TableParagraph"/>
              <w:spacing w:before="24" w:line="266" w:lineRule="auto"/>
              <w:ind w:hanging="4"/>
              <w:jc w:val="center"/>
              <w:rPr>
                <w:rFonts w:ascii="Times New Roman" w:eastAsia="Times New Roman" w:hAnsi="Times New Roman" w:cs="Times New Roman"/>
                <w:lang w:val="sl-SI"/>
              </w:rPr>
            </w:pPr>
            <w:r>
              <w:rPr>
                <w:rFonts w:ascii="Times New Roman" w:eastAsia="Times New Roman" w:hAnsi="Times New Roman" w:cs="Times New Roman"/>
                <w:b/>
                <w:bCs/>
                <w:lang w:val="sl-SI"/>
              </w:rPr>
              <w:t>N = 159</w:t>
            </w:r>
          </w:p>
        </w:tc>
      </w:tr>
      <w:tr w:rsidR="0066522E" w14:paraId="021CD54B" w14:textId="77777777" w:rsidTr="00183CD7">
        <w:tc>
          <w:tcPr>
            <w:tcW w:w="2311" w:type="dxa"/>
            <w:tcBorders>
              <w:top w:val="single" w:sz="5" w:space="0" w:color="000000"/>
              <w:left w:val="single" w:sz="5" w:space="0" w:color="000000"/>
              <w:bottom w:val="single" w:sz="5" w:space="0" w:color="000000"/>
              <w:right w:val="single" w:sz="5" w:space="0" w:color="000000"/>
            </w:tcBorders>
          </w:tcPr>
          <w:p w14:paraId="3842A64C" w14:textId="77777777" w:rsidR="0066522E" w:rsidRDefault="0066522E" w:rsidP="00183CD7">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lang w:val="sl-SI"/>
              </w:rPr>
              <w:t>4. teden</w:t>
            </w:r>
          </w:p>
        </w:tc>
        <w:tc>
          <w:tcPr>
            <w:tcW w:w="1085" w:type="dxa"/>
            <w:tcBorders>
              <w:top w:val="single" w:sz="5" w:space="0" w:color="000000"/>
              <w:left w:val="single" w:sz="5" w:space="0" w:color="000000"/>
              <w:bottom w:val="single" w:sz="5" w:space="0" w:color="000000"/>
              <w:right w:val="single" w:sz="5" w:space="0" w:color="000000"/>
            </w:tcBorders>
          </w:tcPr>
          <w:p w14:paraId="6FF293C3" w14:textId="77777777" w:rsidR="0066522E" w:rsidRDefault="0066522E" w:rsidP="00183CD7">
            <w:pPr>
              <w:rPr>
                <w:lang w:val="sl-SI"/>
              </w:rPr>
            </w:pPr>
          </w:p>
        </w:tc>
        <w:tc>
          <w:tcPr>
            <w:tcW w:w="1356" w:type="dxa"/>
            <w:tcBorders>
              <w:top w:val="single" w:sz="5" w:space="0" w:color="000000"/>
              <w:left w:val="single" w:sz="5" w:space="0" w:color="000000"/>
              <w:bottom w:val="single" w:sz="5" w:space="0" w:color="000000"/>
              <w:right w:val="single" w:sz="5" w:space="0" w:color="000000"/>
            </w:tcBorders>
          </w:tcPr>
          <w:p w14:paraId="481B9E18" w14:textId="77777777" w:rsidR="0066522E" w:rsidRDefault="0066522E" w:rsidP="00183CD7">
            <w:pPr>
              <w:rPr>
                <w:lang w:val="sl-SI"/>
              </w:rPr>
            </w:pPr>
          </w:p>
        </w:tc>
        <w:tc>
          <w:tcPr>
            <w:tcW w:w="1338" w:type="dxa"/>
            <w:tcBorders>
              <w:top w:val="single" w:sz="5" w:space="0" w:color="000000"/>
              <w:left w:val="single" w:sz="5" w:space="0" w:color="000000"/>
              <w:bottom w:val="single" w:sz="5" w:space="0" w:color="000000"/>
              <w:right w:val="single" w:sz="5" w:space="0" w:color="000000"/>
            </w:tcBorders>
          </w:tcPr>
          <w:p w14:paraId="668CDB1A" w14:textId="77777777" w:rsidR="0066522E" w:rsidRDefault="0066522E" w:rsidP="00183CD7">
            <w:pPr>
              <w:rPr>
                <w:lang w:val="sl-SI"/>
              </w:rPr>
            </w:pPr>
          </w:p>
        </w:tc>
        <w:tc>
          <w:tcPr>
            <w:tcW w:w="1559" w:type="dxa"/>
            <w:tcBorders>
              <w:top w:val="single" w:sz="5" w:space="0" w:color="000000"/>
              <w:left w:val="single" w:sz="5" w:space="0" w:color="000000"/>
              <w:bottom w:val="single" w:sz="5" w:space="0" w:color="000000"/>
              <w:right w:val="single" w:sz="5" w:space="0" w:color="000000"/>
            </w:tcBorders>
          </w:tcPr>
          <w:p w14:paraId="44BE7339" w14:textId="77777777" w:rsidR="0066522E" w:rsidRDefault="0066522E" w:rsidP="00183CD7">
            <w:pPr>
              <w:rPr>
                <w:lang w:val="sl-SI"/>
              </w:rPr>
            </w:pPr>
          </w:p>
        </w:tc>
        <w:tc>
          <w:tcPr>
            <w:tcW w:w="1843" w:type="dxa"/>
            <w:tcBorders>
              <w:top w:val="single" w:sz="5" w:space="0" w:color="000000"/>
              <w:left w:val="single" w:sz="5" w:space="0" w:color="000000"/>
              <w:bottom w:val="single" w:sz="5" w:space="0" w:color="000000"/>
              <w:right w:val="single" w:sz="5" w:space="0" w:color="000000"/>
            </w:tcBorders>
          </w:tcPr>
          <w:p w14:paraId="5957386F" w14:textId="77777777" w:rsidR="0066522E" w:rsidRDefault="0066522E" w:rsidP="00183CD7">
            <w:pPr>
              <w:rPr>
                <w:lang w:val="sl-SI"/>
              </w:rPr>
            </w:pPr>
          </w:p>
        </w:tc>
      </w:tr>
      <w:tr w:rsidR="0066522E" w14:paraId="01DA5CE0" w14:textId="77777777" w:rsidTr="00183CD7">
        <w:tc>
          <w:tcPr>
            <w:tcW w:w="2311" w:type="dxa"/>
            <w:tcBorders>
              <w:top w:val="single" w:sz="5" w:space="0" w:color="000000"/>
              <w:left w:val="single" w:sz="5" w:space="0" w:color="000000"/>
              <w:bottom w:val="single" w:sz="5" w:space="0" w:color="000000"/>
              <w:right w:val="single" w:sz="5" w:space="0" w:color="000000"/>
            </w:tcBorders>
          </w:tcPr>
          <w:p w14:paraId="272F3EFE" w14:textId="77777777" w:rsidR="0066522E" w:rsidRDefault="0066522E" w:rsidP="00183CD7">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Klinična remisija</w:t>
            </w:r>
          </w:p>
        </w:tc>
        <w:tc>
          <w:tcPr>
            <w:tcW w:w="1085" w:type="dxa"/>
            <w:tcBorders>
              <w:top w:val="single" w:sz="5" w:space="0" w:color="000000"/>
              <w:left w:val="single" w:sz="5" w:space="0" w:color="000000"/>
              <w:bottom w:val="single" w:sz="5" w:space="0" w:color="000000"/>
              <w:right w:val="single" w:sz="5" w:space="0" w:color="000000"/>
            </w:tcBorders>
          </w:tcPr>
          <w:p w14:paraId="5A905836" w14:textId="77777777" w:rsidR="0066522E" w:rsidRDefault="0066522E" w:rsidP="00183CD7">
            <w:pPr>
              <w:pStyle w:val="TableParagraph"/>
              <w:spacing w:before="24"/>
              <w:ind w:left="387"/>
              <w:rPr>
                <w:rFonts w:ascii="Times New Roman" w:eastAsia="Times New Roman" w:hAnsi="Times New Roman" w:cs="Times New Roman"/>
                <w:lang w:val="sl-SI"/>
              </w:rPr>
            </w:pPr>
            <w:r>
              <w:rPr>
                <w:rFonts w:ascii="Times New Roman" w:eastAsia="Times New Roman" w:hAnsi="Times New Roman" w:cs="Times New Roman"/>
                <w:lang w:val="sl-SI"/>
              </w:rPr>
              <w:t>12 %</w:t>
            </w:r>
          </w:p>
        </w:tc>
        <w:tc>
          <w:tcPr>
            <w:tcW w:w="1356" w:type="dxa"/>
            <w:tcBorders>
              <w:top w:val="single" w:sz="5" w:space="0" w:color="000000"/>
              <w:left w:val="single" w:sz="5" w:space="0" w:color="000000"/>
              <w:bottom w:val="single" w:sz="5" w:space="0" w:color="000000"/>
              <w:right w:val="single" w:sz="5" w:space="0" w:color="000000"/>
            </w:tcBorders>
          </w:tcPr>
          <w:p w14:paraId="6E94FA76" w14:textId="77777777" w:rsidR="0066522E" w:rsidRDefault="0066522E" w:rsidP="00183CD7">
            <w:pPr>
              <w:pStyle w:val="TableParagraph"/>
              <w:spacing w:before="24"/>
              <w:ind w:left="395" w:right="398"/>
              <w:jc w:val="center"/>
              <w:rPr>
                <w:rFonts w:ascii="Times New Roman" w:eastAsia="Times New Roman" w:hAnsi="Times New Roman" w:cs="Times New Roman"/>
                <w:lang w:val="sl-SI"/>
              </w:rPr>
            </w:pPr>
            <w:r>
              <w:rPr>
                <w:rFonts w:ascii="Times New Roman" w:eastAsia="Times New Roman" w:hAnsi="Times New Roman" w:cs="Times New Roman"/>
                <w:lang w:val="sl-SI"/>
              </w:rPr>
              <w:t>24 %</w:t>
            </w:r>
          </w:p>
        </w:tc>
        <w:tc>
          <w:tcPr>
            <w:tcW w:w="1338" w:type="dxa"/>
            <w:tcBorders>
              <w:top w:val="single" w:sz="5" w:space="0" w:color="000000"/>
              <w:left w:val="single" w:sz="5" w:space="0" w:color="000000"/>
              <w:bottom w:val="single" w:sz="5" w:space="0" w:color="000000"/>
              <w:right w:val="single" w:sz="5" w:space="0" w:color="000000"/>
            </w:tcBorders>
          </w:tcPr>
          <w:p w14:paraId="645981D1" w14:textId="77777777" w:rsidR="0066522E" w:rsidRDefault="0066522E" w:rsidP="00183CD7">
            <w:pPr>
              <w:pStyle w:val="TableParagraph"/>
              <w:spacing w:before="18"/>
              <w:ind w:left="344"/>
              <w:rPr>
                <w:rFonts w:ascii="Times New Roman" w:eastAsia="Times New Roman" w:hAnsi="Times New Roman" w:cs="Times New Roman"/>
                <w:sz w:val="14"/>
                <w:szCs w:val="14"/>
                <w:lang w:val="sl-SI"/>
              </w:rPr>
            </w:pPr>
            <w:r>
              <w:rPr>
                <w:rFonts w:ascii="Times New Roman" w:eastAsia="Times New Roman" w:hAnsi="Times New Roman" w:cs="Times New Roman"/>
                <w:lang w:val="sl-SI"/>
              </w:rPr>
              <w:t>36 %</w:t>
            </w:r>
            <w:r>
              <w:rPr>
                <w:rFonts w:ascii="Times New Roman" w:eastAsia="Times New Roman" w:hAnsi="Times New Roman" w:cs="Times New Roman"/>
                <w:sz w:val="14"/>
                <w:szCs w:val="14"/>
                <w:lang w:val="sl-SI"/>
              </w:rPr>
              <w:t>*</w:t>
            </w:r>
          </w:p>
        </w:tc>
        <w:tc>
          <w:tcPr>
            <w:tcW w:w="1559" w:type="dxa"/>
            <w:tcBorders>
              <w:top w:val="single" w:sz="5" w:space="0" w:color="000000"/>
              <w:left w:val="single" w:sz="5" w:space="0" w:color="000000"/>
              <w:bottom w:val="single" w:sz="5" w:space="0" w:color="000000"/>
              <w:right w:val="single" w:sz="5" w:space="0" w:color="000000"/>
            </w:tcBorders>
          </w:tcPr>
          <w:p w14:paraId="58D61FFE" w14:textId="77777777" w:rsidR="0066522E" w:rsidRDefault="0066522E" w:rsidP="00183CD7">
            <w:pPr>
              <w:pStyle w:val="TableParagraph"/>
              <w:spacing w:before="24"/>
              <w:ind w:left="519" w:right="520"/>
              <w:jc w:val="center"/>
              <w:rPr>
                <w:rFonts w:ascii="Times New Roman" w:eastAsia="Times New Roman" w:hAnsi="Times New Roman" w:cs="Times New Roman"/>
                <w:lang w:val="sl-SI"/>
              </w:rPr>
            </w:pPr>
            <w:r>
              <w:rPr>
                <w:rFonts w:ascii="Times New Roman" w:eastAsia="Times New Roman" w:hAnsi="Times New Roman" w:cs="Times New Roman"/>
                <w:lang w:val="sl-SI"/>
              </w:rPr>
              <w:t>7 %</w:t>
            </w:r>
          </w:p>
        </w:tc>
        <w:tc>
          <w:tcPr>
            <w:tcW w:w="1843" w:type="dxa"/>
            <w:tcBorders>
              <w:top w:val="single" w:sz="5" w:space="0" w:color="000000"/>
              <w:left w:val="single" w:sz="5" w:space="0" w:color="000000"/>
              <w:bottom w:val="single" w:sz="5" w:space="0" w:color="000000"/>
              <w:right w:val="single" w:sz="5" w:space="0" w:color="000000"/>
            </w:tcBorders>
          </w:tcPr>
          <w:p w14:paraId="299630C9" w14:textId="77777777" w:rsidR="0066522E" w:rsidRDefault="0066522E" w:rsidP="00183CD7">
            <w:pPr>
              <w:pStyle w:val="TableParagraph"/>
              <w:spacing w:before="18"/>
              <w:ind w:left="644" w:right="644"/>
              <w:jc w:val="center"/>
              <w:rPr>
                <w:rFonts w:ascii="Times New Roman" w:eastAsia="Times New Roman" w:hAnsi="Times New Roman" w:cs="Times New Roman"/>
                <w:sz w:val="14"/>
                <w:szCs w:val="14"/>
                <w:lang w:val="sl-SI"/>
              </w:rPr>
            </w:pPr>
            <w:r>
              <w:rPr>
                <w:rFonts w:ascii="Times New Roman" w:eastAsia="Times New Roman" w:hAnsi="Times New Roman" w:cs="Times New Roman"/>
                <w:lang w:val="sl-SI"/>
              </w:rPr>
              <w:t>21 %</w:t>
            </w:r>
            <w:r>
              <w:rPr>
                <w:rFonts w:ascii="Times New Roman" w:eastAsia="Times New Roman" w:hAnsi="Times New Roman" w:cs="Times New Roman"/>
                <w:sz w:val="14"/>
                <w:szCs w:val="14"/>
                <w:lang w:val="sl-SI"/>
              </w:rPr>
              <w:t>*</w:t>
            </w:r>
          </w:p>
        </w:tc>
      </w:tr>
      <w:tr w:rsidR="0066522E" w14:paraId="1A4CDE0A" w14:textId="77777777" w:rsidTr="00183CD7">
        <w:tc>
          <w:tcPr>
            <w:tcW w:w="2311" w:type="dxa"/>
            <w:tcBorders>
              <w:top w:val="single" w:sz="5" w:space="0" w:color="000000"/>
              <w:left w:val="single" w:sz="5" w:space="0" w:color="000000"/>
              <w:bottom w:val="single" w:sz="5" w:space="0" w:color="000000"/>
              <w:right w:val="single" w:sz="5" w:space="0" w:color="000000"/>
            </w:tcBorders>
          </w:tcPr>
          <w:p w14:paraId="3129A649" w14:textId="77777777" w:rsidR="0066522E" w:rsidRDefault="0066522E" w:rsidP="00183CD7">
            <w:pPr>
              <w:pStyle w:val="TableParagraph"/>
              <w:spacing w:before="40" w:line="240"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Klinični odziv (CR-100)</w:t>
            </w:r>
          </w:p>
        </w:tc>
        <w:tc>
          <w:tcPr>
            <w:tcW w:w="1085" w:type="dxa"/>
            <w:tcBorders>
              <w:top w:val="single" w:sz="5" w:space="0" w:color="000000"/>
              <w:left w:val="single" w:sz="5" w:space="0" w:color="000000"/>
              <w:bottom w:val="single" w:sz="5" w:space="0" w:color="000000"/>
              <w:right w:val="single" w:sz="5" w:space="0" w:color="000000"/>
            </w:tcBorders>
          </w:tcPr>
          <w:p w14:paraId="25DD1F1B" w14:textId="77777777" w:rsidR="0066522E" w:rsidRDefault="0066522E" w:rsidP="00183CD7">
            <w:pPr>
              <w:pStyle w:val="TableParagraph"/>
              <w:spacing w:before="24"/>
              <w:ind w:left="387"/>
              <w:rPr>
                <w:rFonts w:ascii="Times New Roman" w:eastAsia="Times New Roman" w:hAnsi="Times New Roman" w:cs="Times New Roman"/>
                <w:lang w:val="sl-SI"/>
              </w:rPr>
            </w:pPr>
            <w:r>
              <w:rPr>
                <w:rFonts w:ascii="Times New Roman" w:eastAsia="Times New Roman" w:hAnsi="Times New Roman" w:cs="Times New Roman"/>
                <w:lang w:val="sl-SI"/>
              </w:rPr>
              <w:t>24 %</w:t>
            </w:r>
          </w:p>
        </w:tc>
        <w:tc>
          <w:tcPr>
            <w:tcW w:w="1356" w:type="dxa"/>
            <w:tcBorders>
              <w:top w:val="single" w:sz="5" w:space="0" w:color="000000"/>
              <w:left w:val="single" w:sz="5" w:space="0" w:color="000000"/>
              <w:bottom w:val="single" w:sz="5" w:space="0" w:color="000000"/>
              <w:right w:val="single" w:sz="5" w:space="0" w:color="000000"/>
            </w:tcBorders>
          </w:tcPr>
          <w:p w14:paraId="2EFF1E75" w14:textId="77777777" w:rsidR="0066522E" w:rsidRDefault="0066522E" w:rsidP="00183CD7">
            <w:pPr>
              <w:pStyle w:val="TableParagraph"/>
              <w:spacing w:before="24"/>
              <w:ind w:left="395" w:right="398"/>
              <w:jc w:val="center"/>
              <w:rPr>
                <w:rFonts w:ascii="Times New Roman" w:eastAsia="Times New Roman" w:hAnsi="Times New Roman" w:cs="Times New Roman"/>
                <w:lang w:val="sl-SI"/>
              </w:rPr>
            </w:pPr>
            <w:r>
              <w:rPr>
                <w:rFonts w:ascii="Times New Roman" w:eastAsia="Times New Roman" w:hAnsi="Times New Roman" w:cs="Times New Roman"/>
                <w:lang w:val="sl-SI"/>
              </w:rPr>
              <w:t>37 %</w:t>
            </w:r>
          </w:p>
        </w:tc>
        <w:tc>
          <w:tcPr>
            <w:tcW w:w="1338" w:type="dxa"/>
            <w:tcBorders>
              <w:top w:val="single" w:sz="5" w:space="0" w:color="000000"/>
              <w:left w:val="single" w:sz="5" w:space="0" w:color="000000"/>
              <w:bottom w:val="single" w:sz="5" w:space="0" w:color="000000"/>
              <w:right w:val="single" w:sz="5" w:space="0" w:color="000000"/>
            </w:tcBorders>
          </w:tcPr>
          <w:p w14:paraId="0C404B91" w14:textId="77777777" w:rsidR="0066522E" w:rsidRDefault="0066522E" w:rsidP="00183CD7">
            <w:pPr>
              <w:pStyle w:val="TableParagraph"/>
              <w:spacing w:before="18"/>
              <w:ind w:left="311"/>
              <w:rPr>
                <w:rFonts w:ascii="Times New Roman" w:eastAsia="Times New Roman" w:hAnsi="Times New Roman" w:cs="Times New Roman"/>
                <w:sz w:val="14"/>
                <w:szCs w:val="14"/>
                <w:lang w:val="sl-SI"/>
              </w:rPr>
            </w:pPr>
            <w:r>
              <w:rPr>
                <w:rFonts w:ascii="Times New Roman" w:eastAsia="Times New Roman" w:hAnsi="Times New Roman" w:cs="Times New Roman"/>
                <w:lang w:val="sl-SI"/>
              </w:rPr>
              <w:t>49 %</w:t>
            </w:r>
            <w:r>
              <w:rPr>
                <w:rFonts w:ascii="Times New Roman" w:eastAsia="Times New Roman" w:hAnsi="Times New Roman" w:cs="Times New Roman"/>
                <w:sz w:val="14"/>
                <w:szCs w:val="14"/>
                <w:lang w:val="sl-SI"/>
              </w:rPr>
              <w:t>**</w:t>
            </w:r>
          </w:p>
        </w:tc>
        <w:tc>
          <w:tcPr>
            <w:tcW w:w="1559" w:type="dxa"/>
            <w:tcBorders>
              <w:top w:val="single" w:sz="5" w:space="0" w:color="000000"/>
              <w:left w:val="single" w:sz="5" w:space="0" w:color="000000"/>
              <w:bottom w:val="single" w:sz="5" w:space="0" w:color="000000"/>
              <w:right w:val="single" w:sz="5" w:space="0" w:color="000000"/>
            </w:tcBorders>
          </w:tcPr>
          <w:p w14:paraId="199FC415" w14:textId="77777777" w:rsidR="0066522E" w:rsidRDefault="0066522E" w:rsidP="00183CD7">
            <w:pPr>
              <w:pStyle w:val="TableParagraph"/>
              <w:spacing w:before="24"/>
              <w:ind w:left="519" w:right="520"/>
              <w:jc w:val="center"/>
              <w:rPr>
                <w:rFonts w:ascii="Times New Roman" w:eastAsia="Times New Roman" w:hAnsi="Times New Roman" w:cs="Times New Roman"/>
                <w:lang w:val="sl-SI"/>
              </w:rPr>
            </w:pPr>
            <w:r>
              <w:rPr>
                <w:rFonts w:ascii="Times New Roman" w:eastAsia="Times New Roman" w:hAnsi="Times New Roman" w:cs="Times New Roman"/>
                <w:lang w:val="sl-SI"/>
              </w:rPr>
              <w:t>25 %</w:t>
            </w:r>
          </w:p>
        </w:tc>
        <w:tc>
          <w:tcPr>
            <w:tcW w:w="1843" w:type="dxa"/>
            <w:tcBorders>
              <w:top w:val="single" w:sz="5" w:space="0" w:color="000000"/>
              <w:left w:val="single" w:sz="5" w:space="0" w:color="000000"/>
              <w:bottom w:val="single" w:sz="5" w:space="0" w:color="000000"/>
              <w:right w:val="single" w:sz="5" w:space="0" w:color="000000"/>
            </w:tcBorders>
          </w:tcPr>
          <w:p w14:paraId="21321B45" w14:textId="77777777" w:rsidR="0066522E" w:rsidRDefault="0066522E" w:rsidP="00183CD7">
            <w:pPr>
              <w:pStyle w:val="TableParagraph"/>
              <w:spacing w:before="18"/>
              <w:ind w:left="609" w:right="616"/>
              <w:jc w:val="center"/>
              <w:rPr>
                <w:rFonts w:ascii="Times New Roman" w:eastAsia="Times New Roman" w:hAnsi="Times New Roman" w:cs="Times New Roman"/>
                <w:sz w:val="14"/>
                <w:szCs w:val="14"/>
                <w:lang w:val="sl-SI"/>
              </w:rPr>
            </w:pPr>
            <w:r>
              <w:rPr>
                <w:rFonts w:ascii="Times New Roman" w:eastAsia="Times New Roman" w:hAnsi="Times New Roman" w:cs="Times New Roman"/>
                <w:lang w:val="sl-SI"/>
              </w:rPr>
              <w:t>38 %</w:t>
            </w:r>
            <w:r>
              <w:rPr>
                <w:rFonts w:ascii="Times New Roman" w:eastAsia="Times New Roman" w:hAnsi="Times New Roman" w:cs="Times New Roman"/>
                <w:sz w:val="14"/>
                <w:szCs w:val="14"/>
                <w:lang w:val="sl-SI"/>
              </w:rPr>
              <w:t>**</w:t>
            </w:r>
          </w:p>
        </w:tc>
      </w:tr>
    </w:tbl>
    <w:p w14:paraId="11EEF369" w14:textId="77777777" w:rsidR="0066522E" w:rsidRDefault="0066522E" w:rsidP="0066522E">
      <w:pPr>
        <w:pStyle w:val="a3"/>
        <w:rPr>
          <w:lang w:val="sl-SI"/>
        </w:rPr>
      </w:pPr>
      <w:r>
        <w:rPr>
          <w:rFonts w:eastAsia="Times New Roman"/>
          <w:lang w:val="sl-SI"/>
        </w:rPr>
        <w:t xml:space="preserve">Vse vrednosti p se nanašajo na parne primerjave deležev med </w:t>
      </w:r>
      <w:r>
        <w:rPr>
          <w:rFonts w:eastAsia="Times New Roman"/>
          <w:i/>
          <w:iCs/>
          <w:lang w:val="sl-SI"/>
        </w:rPr>
        <w:t xml:space="preserve">adalimumabom in </w:t>
      </w:r>
      <w:r>
        <w:rPr>
          <w:rFonts w:eastAsia="Times New Roman"/>
          <w:lang w:val="sl-SI"/>
        </w:rPr>
        <w:t>placebom.</w:t>
      </w:r>
    </w:p>
    <w:p w14:paraId="16FCCB74" w14:textId="77777777" w:rsidR="0066522E" w:rsidRDefault="0066522E" w:rsidP="0066522E">
      <w:pPr>
        <w:pStyle w:val="a3"/>
        <w:rPr>
          <w:lang w:val="sl-SI"/>
        </w:rPr>
      </w:pPr>
      <w:r>
        <w:rPr>
          <w:rFonts w:eastAsia="Times New Roman"/>
          <w:position w:val="8"/>
          <w:sz w:val="14"/>
          <w:szCs w:val="14"/>
          <w:lang w:val="sl-SI"/>
        </w:rPr>
        <w:t>*</w:t>
      </w:r>
      <w:r>
        <w:rPr>
          <w:rFonts w:eastAsia="Times New Roman"/>
          <w:position w:val="8"/>
          <w:lang w:val="sl-SI"/>
        </w:rPr>
        <w:t>p &lt; 0,001</w:t>
      </w:r>
    </w:p>
    <w:p w14:paraId="7B15DF7A" w14:textId="77777777" w:rsidR="0066522E" w:rsidRDefault="0066522E" w:rsidP="0066522E">
      <w:pPr>
        <w:tabs>
          <w:tab w:val="left" w:pos="506"/>
        </w:tabs>
        <w:spacing w:before="22"/>
        <w:rPr>
          <w:rFonts w:ascii="Times New Roman" w:eastAsia="Times New Roman" w:hAnsi="Times New Roman" w:cs="Times New Roman"/>
          <w:lang w:val="sl-SI"/>
        </w:rPr>
      </w:pPr>
      <w:r>
        <w:rPr>
          <w:rFonts w:ascii="Times New Roman" w:eastAsia="Times New Roman" w:hAnsi="Times New Roman" w:cs="Times New Roman"/>
          <w:position w:val="8"/>
          <w:sz w:val="14"/>
          <w:szCs w:val="14"/>
          <w:lang w:val="sl-SI"/>
        </w:rPr>
        <w:t>**</w:t>
      </w:r>
      <w:r>
        <w:rPr>
          <w:rFonts w:ascii="Times New Roman" w:eastAsia="Times New Roman" w:hAnsi="Times New Roman" w:cs="Times New Roman"/>
          <w:position w:val="8"/>
          <w:lang w:val="sl-SI"/>
        </w:rPr>
        <w:t>p &lt; 0,01</w:t>
      </w:r>
    </w:p>
    <w:p w14:paraId="112B5052" w14:textId="77777777" w:rsidR="0066522E" w:rsidRDefault="0066522E" w:rsidP="0066522E">
      <w:pPr>
        <w:spacing w:before="15" w:line="200" w:lineRule="exact"/>
        <w:rPr>
          <w:sz w:val="20"/>
          <w:szCs w:val="20"/>
          <w:lang w:val="sl-SI"/>
        </w:rPr>
      </w:pPr>
    </w:p>
    <w:p w14:paraId="45B51D26" w14:textId="77777777" w:rsidR="0066522E" w:rsidRDefault="0066522E" w:rsidP="0066522E">
      <w:pPr>
        <w:pStyle w:val="a3"/>
        <w:rPr>
          <w:lang w:val="sl-SI"/>
        </w:rPr>
      </w:pPr>
      <w:r>
        <w:rPr>
          <w:rFonts w:eastAsia="Times New Roman"/>
          <w:lang w:val="sl-SI"/>
        </w:rPr>
        <w:t>Z indukcijskima shemama 160/80 mg in 80/40 mg so do 8. tedna ugotovili podobne deleže remisij; neželeni učinki so bili pogostejši v skupini s shemo 160/80 mg.</w:t>
      </w:r>
    </w:p>
    <w:p w14:paraId="502C1FF5" w14:textId="77777777" w:rsidR="0066522E" w:rsidRDefault="0066522E" w:rsidP="0066522E">
      <w:pPr>
        <w:spacing w:before="11" w:line="240" w:lineRule="exact"/>
        <w:rPr>
          <w:sz w:val="24"/>
          <w:szCs w:val="24"/>
          <w:lang w:val="sl-SI"/>
        </w:rPr>
      </w:pPr>
    </w:p>
    <w:p w14:paraId="47D2DC16" w14:textId="5D302875" w:rsidR="0066522E" w:rsidRDefault="0066522E" w:rsidP="0066522E">
      <w:pPr>
        <w:pStyle w:val="a3"/>
        <w:rPr>
          <w:lang w:val="sl-SI"/>
        </w:rPr>
      </w:pPr>
      <w:r>
        <w:rPr>
          <w:rFonts w:eastAsia="Times New Roman"/>
          <w:lang w:val="sl-SI"/>
        </w:rPr>
        <w:t>V študiji pri Crohnovi bolezni III je imelo 4. teden klinični odziv 58 % (499/854) bolnikov; ti so bili ocenjeni v primarni analizi. Od tistih, ki so imeli 4. teden klinični odziv, jih je 48 % predhodno dobilo antagoniste TNF. Vzdrževanje remisije in deleže odziva prikazuje preglednica </w:t>
      </w:r>
      <w:r w:rsidR="00813F52">
        <w:rPr>
          <w:rFonts w:eastAsia="Times New Roman"/>
          <w:lang w:val="sl-SI"/>
        </w:rPr>
        <w:t>15</w:t>
      </w:r>
      <w:r>
        <w:rPr>
          <w:rFonts w:eastAsia="Times New Roman"/>
          <w:lang w:val="sl-SI"/>
        </w:rPr>
        <w:t>. Rezultati glede klinične remisije so ostali razmeroma stalni, ne glede na prejšnje prejemanje antagonistov TNF.</w:t>
      </w:r>
    </w:p>
    <w:p w14:paraId="7F5208E9" w14:textId="77777777" w:rsidR="0066522E" w:rsidRDefault="0066522E" w:rsidP="0066522E">
      <w:pPr>
        <w:spacing w:before="13" w:line="240" w:lineRule="exact"/>
        <w:rPr>
          <w:sz w:val="24"/>
          <w:szCs w:val="24"/>
          <w:lang w:val="sl-SI"/>
        </w:rPr>
      </w:pPr>
    </w:p>
    <w:p w14:paraId="092CD972" w14:textId="77777777" w:rsidR="0066522E" w:rsidRDefault="0066522E" w:rsidP="0066522E">
      <w:pPr>
        <w:pStyle w:val="a3"/>
        <w:rPr>
          <w:lang w:val="sl-SI"/>
        </w:rPr>
      </w:pPr>
      <w:r>
        <w:rPr>
          <w:rFonts w:eastAsia="Times New Roman"/>
          <w:lang w:val="sl-SI"/>
        </w:rPr>
        <w:t>Z boleznijo povezanih hospitalizacij in operacij je bilo do 56. tedna med uporabo adalimumaba statistično značilno manj kot med uporabo placeba.</w:t>
      </w:r>
    </w:p>
    <w:p w14:paraId="189E9533" w14:textId="77777777" w:rsidR="0066522E" w:rsidRDefault="0066522E" w:rsidP="0066522E">
      <w:pPr>
        <w:pStyle w:val="a3"/>
        <w:jc w:val="center"/>
        <w:rPr>
          <w:rFonts w:eastAsia="Times New Roman"/>
          <w:b/>
          <w:bCs/>
          <w:lang w:val="sl-SI"/>
        </w:rPr>
      </w:pPr>
    </w:p>
    <w:p w14:paraId="16CE9481" w14:textId="4572E225" w:rsidR="0066522E" w:rsidRDefault="0066522E" w:rsidP="0066522E">
      <w:pPr>
        <w:pStyle w:val="a3"/>
        <w:jc w:val="center"/>
        <w:rPr>
          <w:b/>
          <w:lang w:val="sl-SI"/>
        </w:rPr>
      </w:pPr>
      <w:r>
        <w:rPr>
          <w:rFonts w:eastAsia="Times New Roman"/>
          <w:b/>
          <w:bCs/>
          <w:lang w:val="sl-SI"/>
        </w:rPr>
        <w:t>Preglednica </w:t>
      </w:r>
      <w:r w:rsidR="00813F52">
        <w:rPr>
          <w:rFonts w:eastAsia="Times New Roman"/>
          <w:b/>
          <w:bCs/>
          <w:lang w:val="sl-SI"/>
        </w:rPr>
        <w:t>15</w:t>
      </w:r>
    </w:p>
    <w:p w14:paraId="0E23DD93" w14:textId="77777777" w:rsidR="0066522E" w:rsidRDefault="0066522E" w:rsidP="0066522E">
      <w:pPr>
        <w:pStyle w:val="a3"/>
        <w:jc w:val="center"/>
        <w:rPr>
          <w:b/>
          <w:lang w:val="sl-SI"/>
        </w:rPr>
      </w:pPr>
      <w:r>
        <w:rPr>
          <w:rFonts w:eastAsia="Times New Roman"/>
          <w:b/>
          <w:bCs/>
          <w:lang w:val="sl-SI"/>
        </w:rPr>
        <w:t>Vzdrževanje klinične remisije in odziva odstotek bolnikov</w:t>
      </w:r>
    </w:p>
    <w:p w14:paraId="10F81989" w14:textId="77777777" w:rsidR="0066522E" w:rsidRDefault="0066522E" w:rsidP="0066522E">
      <w:pPr>
        <w:spacing w:before="6" w:line="10" w:lineRule="exact"/>
        <w:rPr>
          <w:sz w:val="4"/>
          <w:szCs w:val="4"/>
          <w:lang w:val="sl-SI"/>
        </w:rPr>
      </w:pPr>
    </w:p>
    <w:tbl>
      <w:tblPr>
        <w:tblStyle w:val="TableNormal1"/>
        <w:tblW w:w="0" w:type="auto"/>
        <w:tblInd w:w="213" w:type="dxa"/>
        <w:tblLayout w:type="fixed"/>
        <w:tblLook w:val="01E0" w:firstRow="1" w:lastRow="1" w:firstColumn="1" w:lastColumn="1" w:noHBand="0" w:noVBand="0"/>
      </w:tblPr>
      <w:tblGrid>
        <w:gridCol w:w="3467"/>
        <w:gridCol w:w="1417"/>
        <w:gridCol w:w="1985"/>
        <w:gridCol w:w="2150"/>
      </w:tblGrid>
      <w:tr w:rsidR="0066522E" w:rsidRPr="00AC7013" w14:paraId="35305045" w14:textId="77777777" w:rsidTr="00183CD7">
        <w:tc>
          <w:tcPr>
            <w:tcW w:w="3467" w:type="dxa"/>
            <w:tcBorders>
              <w:top w:val="single" w:sz="5" w:space="0" w:color="000000"/>
              <w:left w:val="single" w:sz="5" w:space="0" w:color="000000"/>
              <w:bottom w:val="single" w:sz="5" w:space="0" w:color="000000"/>
              <w:right w:val="single" w:sz="5" w:space="0" w:color="000000"/>
            </w:tcBorders>
            <w:vAlign w:val="center"/>
          </w:tcPr>
          <w:p w14:paraId="18F85B0A" w14:textId="77777777" w:rsidR="0066522E" w:rsidRDefault="0066522E" w:rsidP="00183CD7">
            <w:pPr>
              <w:jc w:val="center"/>
              <w:rPr>
                <w:lang w:val="sl-SI"/>
              </w:rPr>
            </w:pPr>
          </w:p>
        </w:tc>
        <w:tc>
          <w:tcPr>
            <w:tcW w:w="1417" w:type="dxa"/>
            <w:tcBorders>
              <w:top w:val="single" w:sz="5" w:space="0" w:color="000000"/>
              <w:left w:val="single" w:sz="5" w:space="0" w:color="000000"/>
              <w:bottom w:val="single" w:sz="5" w:space="0" w:color="000000"/>
              <w:right w:val="single" w:sz="5" w:space="0" w:color="000000"/>
            </w:tcBorders>
            <w:vAlign w:val="center"/>
          </w:tcPr>
          <w:p w14:paraId="0AC93FF0"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lang w:val="sl-SI"/>
              </w:rPr>
              <w:t>Placebo</w:t>
            </w:r>
          </w:p>
        </w:tc>
        <w:tc>
          <w:tcPr>
            <w:tcW w:w="1985" w:type="dxa"/>
            <w:tcBorders>
              <w:top w:val="single" w:sz="5" w:space="0" w:color="000000"/>
              <w:left w:val="single" w:sz="5" w:space="0" w:color="000000"/>
              <w:bottom w:val="single" w:sz="5" w:space="0" w:color="000000"/>
              <w:right w:val="single" w:sz="5" w:space="0" w:color="000000"/>
            </w:tcBorders>
            <w:vAlign w:val="center"/>
          </w:tcPr>
          <w:p w14:paraId="65A6A198" w14:textId="77777777" w:rsidR="0066522E" w:rsidRDefault="0066522E" w:rsidP="00183CD7">
            <w:pPr>
              <w:pStyle w:val="TableParagraph"/>
              <w:spacing w:line="240" w:lineRule="exact"/>
              <w:ind w:firstLine="115"/>
              <w:jc w:val="center"/>
              <w:rPr>
                <w:rFonts w:ascii="Times New Roman" w:eastAsia="Times New Roman" w:hAnsi="Times New Roman" w:cs="Times New Roman"/>
                <w:lang w:val="sl-SI"/>
              </w:rPr>
            </w:pPr>
            <w:r>
              <w:rPr>
                <w:rFonts w:ascii="Times New Roman" w:eastAsia="Times New Roman" w:hAnsi="Times New Roman" w:cs="Times New Roman"/>
                <w:b/>
                <w:bCs/>
                <w:lang w:val="sl-SI"/>
              </w:rPr>
              <w:t>Adalimumab 40 mg vsak drugi teden</w:t>
            </w:r>
          </w:p>
        </w:tc>
        <w:tc>
          <w:tcPr>
            <w:tcW w:w="2150" w:type="dxa"/>
            <w:tcBorders>
              <w:top w:val="single" w:sz="5" w:space="0" w:color="000000"/>
              <w:left w:val="single" w:sz="5" w:space="0" w:color="000000"/>
              <w:bottom w:val="single" w:sz="5" w:space="0" w:color="000000"/>
              <w:right w:val="single" w:sz="5" w:space="0" w:color="000000"/>
            </w:tcBorders>
            <w:vAlign w:val="center"/>
          </w:tcPr>
          <w:p w14:paraId="44922207" w14:textId="77777777" w:rsidR="0066522E" w:rsidRDefault="0066522E" w:rsidP="00183CD7">
            <w:pPr>
              <w:pStyle w:val="TableParagraph"/>
              <w:spacing w:line="240" w:lineRule="exact"/>
              <w:ind w:hanging="161"/>
              <w:jc w:val="center"/>
              <w:rPr>
                <w:rFonts w:ascii="Times New Roman" w:eastAsia="Times New Roman" w:hAnsi="Times New Roman" w:cs="Times New Roman"/>
                <w:lang w:val="sl-SI"/>
              </w:rPr>
            </w:pPr>
            <w:r>
              <w:rPr>
                <w:rFonts w:ascii="Times New Roman" w:eastAsia="Times New Roman" w:hAnsi="Times New Roman" w:cs="Times New Roman"/>
                <w:b/>
                <w:bCs/>
                <w:lang w:val="sl-SI"/>
              </w:rPr>
              <w:t>Adalimumab 40 mg vsak drugi teden</w:t>
            </w:r>
          </w:p>
        </w:tc>
      </w:tr>
      <w:tr w:rsidR="0066522E" w14:paraId="239AEFF9" w14:textId="77777777" w:rsidTr="00183CD7">
        <w:tc>
          <w:tcPr>
            <w:tcW w:w="3467" w:type="dxa"/>
            <w:tcBorders>
              <w:top w:val="single" w:sz="5" w:space="0" w:color="000000"/>
              <w:left w:val="single" w:sz="5" w:space="0" w:color="000000"/>
              <w:bottom w:val="single" w:sz="5" w:space="0" w:color="000000"/>
              <w:right w:val="single" w:sz="5" w:space="0" w:color="000000"/>
            </w:tcBorders>
            <w:vAlign w:val="center"/>
          </w:tcPr>
          <w:p w14:paraId="198425DC" w14:textId="77777777" w:rsidR="0066522E" w:rsidRDefault="0066522E" w:rsidP="00183CD7">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b/>
                <w:bCs/>
                <w:lang w:val="sl-SI"/>
              </w:rPr>
              <w:t>26. teden</w:t>
            </w:r>
          </w:p>
        </w:tc>
        <w:tc>
          <w:tcPr>
            <w:tcW w:w="1417" w:type="dxa"/>
            <w:tcBorders>
              <w:top w:val="single" w:sz="5" w:space="0" w:color="000000"/>
              <w:left w:val="single" w:sz="5" w:space="0" w:color="000000"/>
              <w:bottom w:val="single" w:sz="5" w:space="0" w:color="000000"/>
              <w:right w:val="single" w:sz="5" w:space="0" w:color="000000"/>
            </w:tcBorders>
            <w:vAlign w:val="center"/>
          </w:tcPr>
          <w:p w14:paraId="7DAD24A3"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7663787F"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6112A6EE"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157</w:t>
            </w:r>
          </w:p>
        </w:tc>
      </w:tr>
      <w:tr w:rsidR="0066522E" w14:paraId="01A6B13F" w14:textId="77777777" w:rsidTr="00183CD7">
        <w:tc>
          <w:tcPr>
            <w:tcW w:w="3467" w:type="dxa"/>
            <w:tcBorders>
              <w:top w:val="single" w:sz="5" w:space="0" w:color="000000"/>
              <w:left w:val="single" w:sz="5" w:space="0" w:color="000000"/>
              <w:bottom w:val="single" w:sz="5" w:space="0" w:color="000000"/>
              <w:right w:val="single" w:sz="5" w:space="0" w:color="000000"/>
            </w:tcBorders>
            <w:vAlign w:val="center"/>
          </w:tcPr>
          <w:p w14:paraId="09F4F26F" w14:textId="77777777" w:rsidR="0066522E" w:rsidRDefault="0066522E" w:rsidP="00183CD7">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Klinična remisija</w:t>
            </w:r>
          </w:p>
        </w:tc>
        <w:tc>
          <w:tcPr>
            <w:tcW w:w="1417" w:type="dxa"/>
            <w:tcBorders>
              <w:top w:val="single" w:sz="5" w:space="0" w:color="000000"/>
              <w:left w:val="single" w:sz="5" w:space="0" w:color="000000"/>
              <w:bottom w:val="single" w:sz="5" w:space="0" w:color="000000"/>
              <w:right w:val="single" w:sz="5" w:space="0" w:color="000000"/>
            </w:tcBorders>
            <w:vAlign w:val="center"/>
          </w:tcPr>
          <w:p w14:paraId="15055109"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17 %</w:t>
            </w:r>
          </w:p>
        </w:tc>
        <w:tc>
          <w:tcPr>
            <w:tcW w:w="1985" w:type="dxa"/>
            <w:tcBorders>
              <w:top w:val="single" w:sz="5" w:space="0" w:color="000000"/>
              <w:left w:val="single" w:sz="5" w:space="0" w:color="000000"/>
              <w:bottom w:val="single" w:sz="5" w:space="0" w:color="000000"/>
              <w:right w:val="single" w:sz="5" w:space="0" w:color="000000"/>
            </w:tcBorders>
            <w:vAlign w:val="center"/>
          </w:tcPr>
          <w:p w14:paraId="08028F67"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40 %*</w:t>
            </w:r>
          </w:p>
        </w:tc>
        <w:tc>
          <w:tcPr>
            <w:tcW w:w="2150" w:type="dxa"/>
            <w:tcBorders>
              <w:top w:val="single" w:sz="5" w:space="0" w:color="000000"/>
              <w:left w:val="single" w:sz="5" w:space="0" w:color="000000"/>
              <w:bottom w:val="single" w:sz="5" w:space="0" w:color="000000"/>
              <w:right w:val="single" w:sz="5" w:space="0" w:color="000000"/>
            </w:tcBorders>
            <w:vAlign w:val="center"/>
          </w:tcPr>
          <w:p w14:paraId="654420AE"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47 %*</w:t>
            </w:r>
          </w:p>
        </w:tc>
      </w:tr>
      <w:tr w:rsidR="0066522E" w14:paraId="4F440503" w14:textId="77777777" w:rsidTr="00183CD7">
        <w:tc>
          <w:tcPr>
            <w:tcW w:w="3467" w:type="dxa"/>
            <w:tcBorders>
              <w:top w:val="single" w:sz="5" w:space="0" w:color="000000"/>
              <w:left w:val="single" w:sz="5" w:space="0" w:color="000000"/>
              <w:bottom w:val="single" w:sz="5" w:space="0" w:color="000000"/>
              <w:right w:val="single" w:sz="5" w:space="0" w:color="000000"/>
            </w:tcBorders>
            <w:vAlign w:val="center"/>
          </w:tcPr>
          <w:p w14:paraId="72EA5EED" w14:textId="77777777" w:rsidR="0066522E" w:rsidRDefault="0066522E" w:rsidP="00183CD7">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lastRenderedPageBreak/>
              <w:t>Klinični odziv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2448AE46"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27 %</w:t>
            </w:r>
          </w:p>
        </w:tc>
        <w:tc>
          <w:tcPr>
            <w:tcW w:w="1985" w:type="dxa"/>
            <w:tcBorders>
              <w:top w:val="single" w:sz="5" w:space="0" w:color="000000"/>
              <w:left w:val="single" w:sz="5" w:space="0" w:color="000000"/>
              <w:bottom w:val="single" w:sz="5" w:space="0" w:color="000000"/>
              <w:right w:val="single" w:sz="5" w:space="0" w:color="000000"/>
            </w:tcBorders>
            <w:vAlign w:val="center"/>
          </w:tcPr>
          <w:p w14:paraId="13528255"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52 %*</w:t>
            </w:r>
          </w:p>
        </w:tc>
        <w:tc>
          <w:tcPr>
            <w:tcW w:w="2150" w:type="dxa"/>
            <w:tcBorders>
              <w:top w:val="single" w:sz="5" w:space="0" w:color="000000"/>
              <w:left w:val="single" w:sz="5" w:space="0" w:color="000000"/>
              <w:bottom w:val="single" w:sz="5" w:space="0" w:color="000000"/>
              <w:right w:val="single" w:sz="5" w:space="0" w:color="000000"/>
            </w:tcBorders>
            <w:vAlign w:val="center"/>
          </w:tcPr>
          <w:p w14:paraId="5F5EB49E"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52 %*</w:t>
            </w:r>
          </w:p>
        </w:tc>
      </w:tr>
      <w:tr w:rsidR="0066522E" w14:paraId="3823DA2F" w14:textId="77777777" w:rsidTr="00183CD7">
        <w:tc>
          <w:tcPr>
            <w:tcW w:w="3467" w:type="dxa"/>
            <w:tcBorders>
              <w:top w:val="single" w:sz="5" w:space="0" w:color="000000"/>
              <w:left w:val="single" w:sz="5" w:space="0" w:color="000000"/>
              <w:bottom w:val="single" w:sz="5" w:space="0" w:color="000000"/>
              <w:right w:val="single" w:sz="5" w:space="0" w:color="000000"/>
            </w:tcBorders>
            <w:vAlign w:val="center"/>
          </w:tcPr>
          <w:p w14:paraId="7F812857" w14:textId="77777777" w:rsidR="0066522E" w:rsidRDefault="0066522E" w:rsidP="00183CD7">
            <w:pPr>
              <w:pStyle w:val="TableParagraph"/>
              <w:spacing w:before="40" w:line="240" w:lineRule="exact"/>
              <w:ind w:left="462" w:right="64"/>
              <w:rPr>
                <w:rFonts w:ascii="Times New Roman" w:eastAsia="Times New Roman" w:hAnsi="Times New Roman" w:cs="Times New Roman"/>
                <w:sz w:val="14"/>
                <w:szCs w:val="14"/>
                <w:lang w:val="sl-SI"/>
              </w:rPr>
            </w:pPr>
            <w:r>
              <w:rPr>
                <w:rFonts w:ascii="Times New Roman" w:eastAsia="Times New Roman" w:hAnsi="Times New Roman" w:cs="Times New Roman"/>
                <w:spacing w:val="-1"/>
                <w:lang w:val="sl-SI"/>
              </w:rPr>
              <w:t xml:space="preserve">Bolniki v remisiji brez steroidov za </w:t>
            </w:r>
            <w:r w:rsidRPr="00306881">
              <w:rPr>
                <w:rFonts w:ascii="Times New Roman" w:eastAsia="Times New Roman" w:hAnsi="Times New Roman" w:cs="Times New Roman" w:hint="eastAsia"/>
                <w:spacing w:val="-1"/>
                <w:lang w:val="sl-SI"/>
              </w:rPr>
              <w:t>≥</w:t>
            </w:r>
            <w:r>
              <w:rPr>
                <w:rFonts w:ascii="Times New Roman" w:eastAsia="Times New Roman" w:hAnsi="Times New Roman" w:cs="Times New Roman"/>
                <w:spacing w:val="-1"/>
                <w:lang w:val="sl-SI"/>
              </w:rPr>
              <w:t xml:space="preserve"> 90 dni</w:t>
            </w:r>
            <w:r>
              <w:rPr>
                <w:rFonts w:ascii="Times New Roman" w:eastAsia="Times New Roman" w:hAnsi="Times New Roman" w:cs="Times New Roman"/>
                <w:spacing w:val="-1"/>
                <w:vertAlign w:val="superscript"/>
                <w:lang w:val="sl-SI"/>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18F59329"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3 % (2/66)</w:t>
            </w:r>
          </w:p>
        </w:tc>
        <w:tc>
          <w:tcPr>
            <w:tcW w:w="1985" w:type="dxa"/>
            <w:tcBorders>
              <w:top w:val="single" w:sz="5" w:space="0" w:color="000000"/>
              <w:left w:val="single" w:sz="5" w:space="0" w:color="000000"/>
              <w:bottom w:val="single" w:sz="5" w:space="0" w:color="000000"/>
              <w:right w:val="single" w:sz="5" w:space="0" w:color="000000"/>
            </w:tcBorders>
            <w:vAlign w:val="center"/>
          </w:tcPr>
          <w:p w14:paraId="201B419F"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19 % (11/58)**</w:t>
            </w:r>
          </w:p>
        </w:tc>
        <w:tc>
          <w:tcPr>
            <w:tcW w:w="2150" w:type="dxa"/>
            <w:tcBorders>
              <w:top w:val="single" w:sz="5" w:space="0" w:color="000000"/>
              <w:left w:val="single" w:sz="5" w:space="0" w:color="000000"/>
              <w:bottom w:val="single" w:sz="5" w:space="0" w:color="000000"/>
              <w:right w:val="single" w:sz="5" w:space="0" w:color="000000"/>
            </w:tcBorders>
            <w:vAlign w:val="center"/>
          </w:tcPr>
          <w:p w14:paraId="50B12D4E"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15 % (11/74)**</w:t>
            </w:r>
          </w:p>
        </w:tc>
      </w:tr>
      <w:tr w:rsidR="0066522E" w14:paraId="1710F4E5" w14:textId="77777777" w:rsidTr="00183CD7">
        <w:tc>
          <w:tcPr>
            <w:tcW w:w="3467" w:type="dxa"/>
            <w:tcBorders>
              <w:top w:val="single" w:sz="5" w:space="0" w:color="000000"/>
              <w:left w:val="single" w:sz="5" w:space="0" w:color="000000"/>
              <w:bottom w:val="single" w:sz="5" w:space="0" w:color="000000"/>
              <w:right w:val="single" w:sz="5" w:space="0" w:color="000000"/>
            </w:tcBorders>
            <w:vAlign w:val="center"/>
          </w:tcPr>
          <w:p w14:paraId="5276168A" w14:textId="77777777" w:rsidR="0066522E" w:rsidRDefault="0066522E" w:rsidP="00183CD7">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b/>
                <w:bCs/>
                <w:lang w:val="sl-SI"/>
              </w:rPr>
              <w:t>56. teden</w:t>
            </w:r>
          </w:p>
        </w:tc>
        <w:tc>
          <w:tcPr>
            <w:tcW w:w="1417" w:type="dxa"/>
            <w:tcBorders>
              <w:top w:val="single" w:sz="5" w:space="0" w:color="000000"/>
              <w:left w:val="single" w:sz="5" w:space="0" w:color="000000"/>
              <w:bottom w:val="single" w:sz="5" w:space="0" w:color="000000"/>
              <w:right w:val="single" w:sz="5" w:space="0" w:color="000000"/>
            </w:tcBorders>
            <w:vAlign w:val="center"/>
          </w:tcPr>
          <w:p w14:paraId="174B8154"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46AD3B26"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7EC2ED27"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157</w:t>
            </w:r>
          </w:p>
        </w:tc>
      </w:tr>
      <w:tr w:rsidR="0066522E" w14:paraId="30A06168" w14:textId="77777777" w:rsidTr="00183CD7">
        <w:tc>
          <w:tcPr>
            <w:tcW w:w="3467" w:type="dxa"/>
            <w:tcBorders>
              <w:top w:val="single" w:sz="5" w:space="0" w:color="000000"/>
              <w:left w:val="single" w:sz="5" w:space="0" w:color="000000"/>
              <w:bottom w:val="single" w:sz="5" w:space="0" w:color="000000"/>
              <w:right w:val="single" w:sz="5" w:space="0" w:color="000000"/>
            </w:tcBorders>
            <w:vAlign w:val="center"/>
          </w:tcPr>
          <w:p w14:paraId="008FB542" w14:textId="77777777" w:rsidR="0066522E" w:rsidRDefault="0066522E" w:rsidP="00183CD7">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Klinična remisija</w:t>
            </w:r>
          </w:p>
        </w:tc>
        <w:tc>
          <w:tcPr>
            <w:tcW w:w="1417" w:type="dxa"/>
            <w:tcBorders>
              <w:top w:val="single" w:sz="5" w:space="0" w:color="000000"/>
              <w:left w:val="single" w:sz="5" w:space="0" w:color="000000"/>
              <w:bottom w:val="single" w:sz="5" w:space="0" w:color="000000"/>
              <w:right w:val="single" w:sz="5" w:space="0" w:color="000000"/>
            </w:tcBorders>
            <w:vAlign w:val="center"/>
          </w:tcPr>
          <w:p w14:paraId="24296411"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12 %</w:t>
            </w:r>
          </w:p>
        </w:tc>
        <w:tc>
          <w:tcPr>
            <w:tcW w:w="1985" w:type="dxa"/>
            <w:tcBorders>
              <w:top w:val="single" w:sz="5" w:space="0" w:color="000000"/>
              <w:left w:val="single" w:sz="5" w:space="0" w:color="000000"/>
              <w:bottom w:val="single" w:sz="5" w:space="0" w:color="000000"/>
              <w:right w:val="single" w:sz="5" w:space="0" w:color="000000"/>
            </w:tcBorders>
            <w:vAlign w:val="center"/>
          </w:tcPr>
          <w:p w14:paraId="62F0B7C4"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36 %*</w:t>
            </w:r>
          </w:p>
        </w:tc>
        <w:tc>
          <w:tcPr>
            <w:tcW w:w="2150" w:type="dxa"/>
            <w:tcBorders>
              <w:top w:val="single" w:sz="5" w:space="0" w:color="000000"/>
              <w:left w:val="single" w:sz="5" w:space="0" w:color="000000"/>
              <w:bottom w:val="single" w:sz="5" w:space="0" w:color="000000"/>
              <w:right w:val="single" w:sz="5" w:space="0" w:color="000000"/>
            </w:tcBorders>
            <w:vAlign w:val="center"/>
          </w:tcPr>
          <w:p w14:paraId="47C6CC82"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41 %*</w:t>
            </w:r>
          </w:p>
        </w:tc>
      </w:tr>
      <w:tr w:rsidR="0066522E" w14:paraId="43FE7E72" w14:textId="77777777" w:rsidTr="00183CD7">
        <w:tc>
          <w:tcPr>
            <w:tcW w:w="3467" w:type="dxa"/>
            <w:tcBorders>
              <w:top w:val="single" w:sz="5" w:space="0" w:color="000000"/>
              <w:left w:val="single" w:sz="5" w:space="0" w:color="000000"/>
              <w:bottom w:val="single" w:sz="5" w:space="0" w:color="000000"/>
              <w:right w:val="single" w:sz="5" w:space="0" w:color="000000"/>
            </w:tcBorders>
            <w:vAlign w:val="center"/>
          </w:tcPr>
          <w:p w14:paraId="13C5A5E1" w14:textId="77777777" w:rsidR="0066522E" w:rsidRDefault="0066522E" w:rsidP="00183CD7">
            <w:pPr>
              <w:pStyle w:val="TableParagraph"/>
              <w:spacing w:before="24"/>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Klinični odziv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20796D13"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17 %</w:t>
            </w:r>
          </w:p>
        </w:tc>
        <w:tc>
          <w:tcPr>
            <w:tcW w:w="1985" w:type="dxa"/>
            <w:tcBorders>
              <w:top w:val="single" w:sz="5" w:space="0" w:color="000000"/>
              <w:left w:val="single" w:sz="5" w:space="0" w:color="000000"/>
              <w:bottom w:val="single" w:sz="5" w:space="0" w:color="000000"/>
              <w:right w:val="single" w:sz="5" w:space="0" w:color="000000"/>
            </w:tcBorders>
            <w:vAlign w:val="center"/>
          </w:tcPr>
          <w:p w14:paraId="6D5A3E8D"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41 %*</w:t>
            </w:r>
          </w:p>
        </w:tc>
        <w:tc>
          <w:tcPr>
            <w:tcW w:w="2150" w:type="dxa"/>
            <w:tcBorders>
              <w:top w:val="single" w:sz="5" w:space="0" w:color="000000"/>
              <w:left w:val="single" w:sz="5" w:space="0" w:color="000000"/>
              <w:bottom w:val="single" w:sz="5" w:space="0" w:color="000000"/>
              <w:right w:val="single" w:sz="5" w:space="0" w:color="000000"/>
            </w:tcBorders>
            <w:vAlign w:val="center"/>
          </w:tcPr>
          <w:p w14:paraId="3A1EA075"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lang w:val="sl-SI"/>
              </w:rPr>
              <w:t>48 %*</w:t>
            </w:r>
          </w:p>
        </w:tc>
      </w:tr>
      <w:tr w:rsidR="0066522E" w14:paraId="72BDA956" w14:textId="77777777" w:rsidTr="00183CD7">
        <w:tc>
          <w:tcPr>
            <w:tcW w:w="3467" w:type="dxa"/>
            <w:tcBorders>
              <w:top w:val="single" w:sz="5" w:space="0" w:color="000000"/>
              <w:left w:val="single" w:sz="5" w:space="0" w:color="000000"/>
              <w:bottom w:val="single" w:sz="5" w:space="0" w:color="000000"/>
              <w:right w:val="single" w:sz="5" w:space="0" w:color="000000"/>
            </w:tcBorders>
            <w:vAlign w:val="center"/>
          </w:tcPr>
          <w:p w14:paraId="1545C25E" w14:textId="77777777" w:rsidR="0066522E" w:rsidRDefault="0066522E" w:rsidP="00183CD7">
            <w:pPr>
              <w:pStyle w:val="TableParagraph"/>
              <w:spacing w:before="40" w:line="240" w:lineRule="exact"/>
              <w:ind w:left="462" w:right="64"/>
              <w:rPr>
                <w:rFonts w:ascii="Times New Roman" w:eastAsia="Times New Roman" w:hAnsi="Times New Roman" w:cs="Times New Roman"/>
                <w:sz w:val="14"/>
                <w:szCs w:val="14"/>
                <w:lang w:val="sl-SI"/>
              </w:rPr>
            </w:pPr>
            <w:r>
              <w:rPr>
                <w:rFonts w:ascii="Times New Roman" w:eastAsia="Times New Roman" w:hAnsi="Times New Roman" w:cs="Times New Roman"/>
                <w:spacing w:val="-1"/>
                <w:lang w:val="sl-SI"/>
              </w:rPr>
              <w:t xml:space="preserve">Bolniki v remisiji brez steroidov za </w:t>
            </w:r>
            <w:r w:rsidRPr="00306881">
              <w:rPr>
                <w:rFonts w:ascii="Times New Roman" w:eastAsia="Times New Roman" w:hAnsi="Times New Roman" w:cs="Times New Roman" w:hint="eastAsia"/>
                <w:spacing w:val="-1"/>
                <w:lang w:val="sl-SI"/>
              </w:rPr>
              <w:t>≥</w:t>
            </w:r>
            <w:r>
              <w:rPr>
                <w:rFonts w:ascii="Times New Roman" w:eastAsia="Times New Roman" w:hAnsi="Times New Roman" w:cs="Times New Roman"/>
                <w:spacing w:val="-1"/>
                <w:lang w:val="sl-SI"/>
              </w:rPr>
              <w:t xml:space="preserve"> 90 dni</w:t>
            </w:r>
            <w:r>
              <w:rPr>
                <w:rFonts w:ascii="Times New Roman" w:eastAsia="Times New Roman" w:hAnsi="Times New Roman" w:cs="Times New Roman"/>
                <w:spacing w:val="-1"/>
                <w:vertAlign w:val="superscript"/>
                <w:lang w:val="sl-SI"/>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303E59A8"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5 % (3/66)</w:t>
            </w:r>
          </w:p>
        </w:tc>
        <w:tc>
          <w:tcPr>
            <w:tcW w:w="1985" w:type="dxa"/>
            <w:tcBorders>
              <w:top w:val="single" w:sz="5" w:space="0" w:color="000000"/>
              <w:left w:val="single" w:sz="5" w:space="0" w:color="000000"/>
              <w:bottom w:val="single" w:sz="5" w:space="0" w:color="000000"/>
              <w:right w:val="single" w:sz="5" w:space="0" w:color="000000"/>
            </w:tcBorders>
            <w:vAlign w:val="center"/>
          </w:tcPr>
          <w:p w14:paraId="63023CC6"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29 % (17/58)*</w:t>
            </w:r>
          </w:p>
        </w:tc>
        <w:tc>
          <w:tcPr>
            <w:tcW w:w="2150" w:type="dxa"/>
            <w:tcBorders>
              <w:top w:val="single" w:sz="5" w:space="0" w:color="000000"/>
              <w:left w:val="single" w:sz="5" w:space="0" w:color="000000"/>
              <w:bottom w:val="single" w:sz="5" w:space="0" w:color="000000"/>
              <w:right w:val="single" w:sz="5" w:space="0" w:color="000000"/>
            </w:tcBorders>
            <w:vAlign w:val="center"/>
          </w:tcPr>
          <w:p w14:paraId="67E2615A" w14:textId="77777777" w:rsidR="0066522E" w:rsidRDefault="0066522E" w:rsidP="00183CD7">
            <w:pPr>
              <w:pStyle w:val="TableParagraph"/>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20 % (15/74)**</w:t>
            </w:r>
          </w:p>
        </w:tc>
      </w:tr>
    </w:tbl>
    <w:p w14:paraId="71163ACE" w14:textId="77777777" w:rsidR="0066522E" w:rsidRDefault="0066522E" w:rsidP="007811C6">
      <w:pPr>
        <w:pStyle w:val="a3"/>
        <w:ind w:leftChars="100" w:left="220"/>
        <w:rPr>
          <w:lang w:val="sl-SI"/>
        </w:rPr>
      </w:pPr>
      <w:r>
        <w:rPr>
          <w:rFonts w:eastAsia="Times New Roman"/>
          <w:lang w:val="sl-SI"/>
        </w:rPr>
        <w:t xml:space="preserve">*p &lt; 0,001 za parne primerjave deležev med adalimumabom in placebom </w:t>
      </w:r>
    </w:p>
    <w:p w14:paraId="7CDAE6B2" w14:textId="77777777" w:rsidR="0066522E" w:rsidRDefault="0066522E" w:rsidP="007811C6">
      <w:pPr>
        <w:pStyle w:val="a3"/>
        <w:ind w:leftChars="100" w:left="220"/>
        <w:rPr>
          <w:lang w:val="sl-SI"/>
        </w:rPr>
      </w:pPr>
      <w:r>
        <w:rPr>
          <w:rFonts w:eastAsia="Times New Roman"/>
          <w:lang w:val="sl-SI"/>
        </w:rPr>
        <w:t xml:space="preserve">**p &lt; 0,02 za parne primerjave deležev med adalimumabom in placebom </w:t>
      </w:r>
    </w:p>
    <w:p w14:paraId="74D13039" w14:textId="77777777" w:rsidR="0066522E" w:rsidRDefault="0066522E" w:rsidP="007811C6">
      <w:pPr>
        <w:pStyle w:val="a3"/>
        <w:ind w:leftChars="100" w:left="220"/>
        <w:rPr>
          <w:lang w:val="sl-SI"/>
        </w:rPr>
      </w:pPr>
      <w:r>
        <w:rPr>
          <w:rFonts w:eastAsia="Times New Roman"/>
          <w:position w:val="8"/>
          <w:vertAlign w:val="superscript"/>
          <w:lang w:val="sl-SI"/>
        </w:rPr>
        <w:t>a</w:t>
      </w:r>
      <w:r>
        <w:rPr>
          <w:rFonts w:eastAsia="Times New Roman"/>
          <w:position w:val="8"/>
          <w:sz w:val="14"/>
          <w:szCs w:val="14"/>
          <w:lang w:val="sl-SI"/>
        </w:rPr>
        <w:t xml:space="preserve"> </w:t>
      </w:r>
      <w:r>
        <w:rPr>
          <w:rFonts w:eastAsia="Times New Roman"/>
          <w:position w:val="8"/>
          <w:lang w:val="sl-SI"/>
        </w:rPr>
        <w:t>Od tistih, ki so izhodiščno dobivali kortikosteroide.</w:t>
      </w:r>
    </w:p>
    <w:p w14:paraId="1833FAC3" w14:textId="77777777" w:rsidR="0066522E" w:rsidRDefault="0066522E" w:rsidP="0066522E">
      <w:pPr>
        <w:pStyle w:val="a3"/>
        <w:rPr>
          <w:lang w:val="sl-SI"/>
        </w:rPr>
      </w:pPr>
    </w:p>
    <w:p w14:paraId="1D27CEA7" w14:textId="77777777" w:rsidR="0066522E" w:rsidRDefault="0066522E" w:rsidP="0066522E">
      <w:pPr>
        <w:pStyle w:val="a3"/>
        <w:rPr>
          <w:lang w:val="sl-SI"/>
        </w:rPr>
      </w:pPr>
      <w:r>
        <w:rPr>
          <w:rFonts w:eastAsia="Times New Roman"/>
          <w:spacing w:val="1"/>
          <w:lang w:val="sl-SI"/>
        </w:rPr>
        <w:t>Med bolniki, ki so bili 4. teden brez odziva, se je do 12. tedna odzvalo 43 % tistih, ki so vzdrževalno dobivali adalimumab, in 30 % tistih, ki so vzdrževalno dobivali placebo. To kaže, da lahko nadaljnje zdravljenje do 12. tedna koristi nekaterim bolnikom, ki se ne odzovejo do 4. tedna. Zdravljenje prek 12. tedna ni prineslo značilno več odzivov (glejte poglavje 4.2).</w:t>
      </w:r>
    </w:p>
    <w:p w14:paraId="1B2F9EE8" w14:textId="77777777" w:rsidR="0066522E" w:rsidRDefault="0066522E" w:rsidP="0066522E">
      <w:pPr>
        <w:pStyle w:val="a3"/>
        <w:rPr>
          <w:lang w:val="sl-SI"/>
        </w:rPr>
      </w:pPr>
    </w:p>
    <w:p w14:paraId="0CEFF3A4" w14:textId="77777777" w:rsidR="0066522E" w:rsidRDefault="0066522E" w:rsidP="0066522E">
      <w:pPr>
        <w:pStyle w:val="a3"/>
        <w:rPr>
          <w:lang w:val="sl-SI"/>
        </w:rPr>
      </w:pPr>
      <w:r>
        <w:rPr>
          <w:rFonts w:eastAsia="Times New Roman"/>
          <w:lang w:val="sl-SI"/>
        </w:rPr>
        <w:t>Med odprtim obdobjem zdravljenja z adalimumabom so vsaj 3 leta spremljali 117/276 bolnikov iz študije Crohnove bolezni I ter 272/777 bolnikov iz študij Crohnove bolezni II in III. Klinična remisija se je nadaljevala pri 88 od prvih in pri 189 od drugih bolnikov. Klinični odziv (CR-100) se je ohranil pri 102 od prvih in 233 od drugih bolnikov.</w:t>
      </w:r>
    </w:p>
    <w:p w14:paraId="6C628762" w14:textId="77777777" w:rsidR="0066522E" w:rsidRDefault="0066522E" w:rsidP="0066522E">
      <w:pPr>
        <w:pStyle w:val="a3"/>
        <w:rPr>
          <w:lang w:val="sl-SI"/>
        </w:rPr>
      </w:pPr>
    </w:p>
    <w:p w14:paraId="1AF0AC45" w14:textId="77777777" w:rsidR="0066522E" w:rsidRDefault="0066522E" w:rsidP="0066522E">
      <w:pPr>
        <w:pStyle w:val="a3"/>
        <w:rPr>
          <w:rFonts w:eastAsia="Times New Roman"/>
          <w:lang w:val="sl-SI"/>
        </w:rPr>
      </w:pPr>
      <w:r>
        <w:rPr>
          <w:rFonts w:eastAsia="Times New Roman"/>
          <w:i/>
          <w:iCs/>
          <w:spacing w:val="-1"/>
          <w:u w:val="single" w:color="000000"/>
          <w:lang w:val="sl-SI"/>
        </w:rPr>
        <w:t>Kakovost življenja</w:t>
      </w:r>
    </w:p>
    <w:p w14:paraId="1E0D9BAD" w14:textId="77777777" w:rsidR="0066522E" w:rsidRDefault="0066522E" w:rsidP="0066522E">
      <w:pPr>
        <w:pStyle w:val="a3"/>
        <w:rPr>
          <w:sz w:val="18"/>
          <w:szCs w:val="18"/>
          <w:lang w:val="sl-SI"/>
        </w:rPr>
      </w:pPr>
    </w:p>
    <w:p w14:paraId="0B19EFB4" w14:textId="77777777" w:rsidR="0066522E" w:rsidRDefault="0066522E" w:rsidP="0066522E">
      <w:pPr>
        <w:pStyle w:val="a3"/>
        <w:rPr>
          <w:lang w:val="sl-SI"/>
        </w:rPr>
      </w:pPr>
      <w:r>
        <w:rPr>
          <w:rFonts w:eastAsia="Times New Roman"/>
          <w:lang w:val="sl-SI"/>
        </w:rPr>
        <w:t>Študiji pri Crohnovi bolezni I in II sta pokazali statistično značilno izboljšanje celotnega seštevka po vprašalniku IBDQ (vprašalnik, specifičen za vnetno bolezen črevesa) do 4. tedna pri bolnikih, randomiziranih na shemi z adalimumabom 80/40 mg in 160/80 mg, v primerjavi s placebom; razliko 26. in 56. teden je v skupinah, zdravljenih z adalimumabom, v primerjavi s placebom pokazala tudi študija pri Crohnovi bolezni III.</w:t>
      </w:r>
    </w:p>
    <w:p w14:paraId="7D0D742D" w14:textId="77777777" w:rsidR="0066522E" w:rsidRDefault="0066522E" w:rsidP="0066522E">
      <w:pPr>
        <w:pStyle w:val="a3"/>
        <w:rPr>
          <w:lang w:val="sl-SI"/>
        </w:rPr>
      </w:pPr>
    </w:p>
    <w:p w14:paraId="6890A670" w14:textId="3560480C" w:rsidR="0066522E" w:rsidRPr="007811C6" w:rsidRDefault="00945BDE" w:rsidP="0066522E">
      <w:pPr>
        <w:pStyle w:val="a3"/>
        <w:rPr>
          <w:rFonts w:eastAsia="Times New Roman"/>
          <w:i/>
          <w:iCs/>
          <w:lang w:val="sl-SI"/>
        </w:rPr>
      </w:pPr>
      <w:r w:rsidRPr="007811C6">
        <w:rPr>
          <w:rFonts w:eastAsia="Times New Roman"/>
          <w:i/>
          <w:iCs/>
          <w:lang w:val="sl-SI"/>
        </w:rPr>
        <w:t>Uveitis pri odraslih</w:t>
      </w:r>
    </w:p>
    <w:p w14:paraId="104E0390" w14:textId="77777777" w:rsidR="0066522E" w:rsidRDefault="0066522E" w:rsidP="0066522E">
      <w:pPr>
        <w:pStyle w:val="a3"/>
        <w:rPr>
          <w:sz w:val="24"/>
          <w:szCs w:val="24"/>
          <w:lang w:val="sl-SI"/>
        </w:rPr>
      </w:pPr>
    </w:p>
    <w:p w14:paraId="1BEB5BDE" w14:textId="77777777" w:rsidR="0066522E" w:rsidRDefault="0066522E" w:rsidP="0066522E">
      <w:pPr>
        <w:pStyle w:val="a3"/>
        <w:rPr>
          <w:lang w:val="sl-SI"/>
        </w:rPr>
      </w:pPr>
      <w:r>
        <w:rPr>
          <w:rFonts w:eastAsia="Times New Roman"/>
          <w:lang w:val="sl-SI"/>
        </w:rPr>
        <w:t>Varnost in učinkovitost adalimumaba sta bili ocenjeni pri odraslih bolnikih z neinfekcijskim intermediarnim, posteriornim uveitisom in panuveitisom v dveh randomiziranih, dvojno slepih, s placebom kontroliranih študijah (UV I in UV II), ki nista vključevali bolnikov z izoliranim anteriornim uveitisom. Bolniki so prejeli placebo ali adalimumab v začetnem odmerku 80 mg, ki mu je sledil odmerek 40 mg vsak drugi teden, z začetkom dajanja ene teden po začetnem odmerku. Sočasni, stalni odmerki enega nebiološkega imunosupresiva so bili dovoljeni.</w:t>
      </w:r>
    </w:p>
    <w:p w14:paraId="2F30221A" w14:textId="77777777" w:rsidR="0066522E" w:rsidRDefault="0066522E" w:rsidP="0066522E">
      <w:pPr>
        <w:pStyle w:val="a3"/>
        <w:rPr>
          <w:sz w:val="24"/>
          <w:szCs w:val="24"/>
          <w:lang w:val="sl-SI"/>
        </w:rPr>
      </w:pPr>
    </w:p>
    <w:p w14:paraId="6498F9BD" w14:textId="77777777" w:rsidR="0066522E" w:rsidRDefault="0066522E" w:rsidP="0066522E">
      <w:pPr>
        <w:pStyle w:val="a3"/>
        <w:rPr>
          <w:lang w:val="sl-SI"/>
        </w:rPr>
      </w:pPr>
      <w:r>
        <w:rPr>
          <w:rFonts w:eastAsia="Times New Roman"/>
          <w:lang w:val="sl-SI"/>
        </w:rPr>
        <w:t>Študija UV I je ovrednotila 217 bolnikov z aktivnim uveitisom kljub zdravljenju s kortikosteroidi (prednizolon peroralno v odmerku 10 do 60 mg/dan). Vsi bolniki so ob začetku študije prejeli 2-tedenski standardizirani odmerek prednizolona 60 mg/dan, čemur je sledil obvezen program postopnega zmanjševanja, s popolno ukinitvijo kortikosteroidov do 15. tedna.</w:t>
      </w:r>
    </w:p>
    <w:p w14:paraId="5BB1ADA3" w14:textId="77777777" w:rsidR="0066522E" w:rsidRDefault="0066522E" w:rsidP="0066522E">
      <w:pPr>
        <w:pStyle w:val="a3"/>
        <w:rPr>
          <w:sz w:val="24"/>
          <w:szCs w:val="24"/>
          <w:lang w:val="sl-SI"/>
        </w:rPr>
      </w:pPr>
    </w:p>
    <w:p w14:paraId="4A5F2839" w14:textId="77777777" w:rsidR="0066522E" w:rsidRDefault="0066522E" w:rsidP="0066522E">
      <w:pPr>
        <w:pStyle w:val="a3"/>
        <w:rPr>
          <w:lang w:val="sl-SI"/>
        </w:rPr>
      </w:pPr>
      <w:r>
        <w:rPr>
          <w:rFonts w:eastAsia="Times New Roman"/>
          <w:lang w:val="sl-SI"/>
        </w:rPr>
        <w:t>Študija UV II je ovrednotila 226 bolnikov z inaktivnim uveitisom, ki je že na začetku zahteval kronično zdravljenje s kortikosteroidi (prednizolon peroralno 10 do 35 mg/dan) za nadzor njihove bolezni. Bolniki so bili kasneje deležni obveznega programa postopnega zmanjševanja, s popolno ukinitvijo kortikosteroidov do 19. tedna.</w:t>
      </w:r>
    </w:p>
    <w:p w14:paraId="3F96DCA9" w14:textId="77777777" w:rsidR="0066522E" w:rsidRDefault="0066522E" w:rsidP="0066522E">
      <w:pPr>
        <w:pStyle w:val="a3"/>
        <w:rPr>
          <w:sz w:val="24"/>
          <w:szCs w:val="24"/>
          <w:lang w:val="sl-SI"/>
        </w:rPr>
      </w:pPr>
    </w:p>
    <w:p w14:paraId="199C23F3" w14:textId="77777777" w:rsidR="0066522E" w:rsidRDefault="0066522E" w:rsidP="0066522E">
      <w:pPr>
        <w:pStyle w:val="a3"/>
        <w:rPr>
          <w:lang w:val="sl-SI"/>
        </w:rPr>
      </w:pPr>
      <w:r>
        <w:rPr>
          <w:rFonts w:eastAsia="Times New Roman"/>
          <w:lang w:val="sl-SI"/>
        </w:rPr>
        <w:t>Primarni opazovani dogodek kot merilo učinkovitosti je bil v obeh študijah ´čas do neuspeha zdravljenja´. Neuspeh zdravljenja je bil definiran z večkomponentnim izidom, ki je temeljil na vnetnih horioretinalnih in/ali vnetnih retinalnih vaskularnih lezijah, oceni celic sprednje očesne komore, motnosti steklovine in najboljši korigirani ostrini vida (BCVA - best corrected visual acuity).</w:t>
      </w:r>
    </w:p>
    <w:p w14:paraId="161BF1FA" w14:textId="77777777" w:rsidR="0066522E" w:rsidRDefault="0066522E" w:rsidP="0066522E">
      <w:pPr>
        <w:pStyle w:val="a3"/>
        <w:rPr>
          <w:sz w:val="24"/>
          <w:szCs w:val="24"/>
          <w:lang w:val="sl-SI"/>
        </w:rPr>
      </w:pPr>
    </w:p>
    <w:p w14:paraId="491ECF59" w14:textId="77777777" w:rsidR="0066522E" w:rsidRDefault="0066522E" w:rsidP="0066522E">
      <w:pPr>
        <w:pStyle w:val="a3"/>
        <w:rPr>
          <w:lang w:val="sl-SI"/>
        </w:rPr>
      </w:pPr>
      <w:r>
        <w:rPr>
          <w:rFonts w:eastAsia="Times New Roman"/>
          <w:lang w:val="sl-SI"/>
        </w:rPr>
        <w:t>Bolniki, ki so zaključili študiji UV I in UV II, so bili primerni za vključitev v nenadzorovano, dolgoročno, podaljšano študijo, s prvotno načrtovanim trajanjem 78 tednov. Bolnikom je bilo dovoljeno prejemati zdravilo v preskušanju tudi po 78. tednu, dokler niso imeli dostopa do adalimumaba.</w:t>
      </w:r>
    </w:p>
    <w:p w14:paraId="70445A72" w14:textId="77777777" w:rsidR="0066522E" w:rsidRDefault="0066522E" w:rsidP="0066522E">
      <w:pPr>
        <w:pStyle w:val="a3"/>
        <w:rPr>
          <w:sz w:val="24"/>
          <w:szCs w:val="24"/>
          <w:lang w:val="sl-SI"/>
        </w:rPr>
      </w:pPr>
    </w:p>
    <w:p w14:paraId="094EC12D" w14:textId="77777777" w:rsidR="0066522E" w:rsidRDefault="0066522E" w:rsidP="0066522E">
      <w:pPr>
        <w:pStyle w:val="a3"/>
        <w:rPr>
          <w:rFonts w:eastAsia="Times New Roman"/>
          <w:lang w:val="sl-SI"/>
        </w:rPr>
      </w:pPr>
      <w:r>
        <w:rPr>
          <w:rFonts w:eastAsia="Times New Roman"/>
          <w:i/>
          <w:iCs/>
          <w:spacing w:val="-1"/>
          <w:u w:val="single" w:color="000000"/>
          <w:lang w:val="sl-SI"/>
        </w:rPr>
        <w:t>Klinični odziv</w:t>
      </w:r>
    </w:p>
    <w:p w14:paraId="2D559545" w14:textId="77777777" w:rsidR="0066522E" w:rsidRDefault="0066522E" w:rsidP="0066522E">
      <w:pPr>
        <w:pStyle w:val="a3"/>
        <w:rPr>
          <w:sz w:val="18"/>
          <w:szCs w:val="18"/>
          <w:lang w:val="sl-SI"/>
        </w:rPr>
      </w:pPr>
    </w:p>
    <w:p w14:paraId="474C3B34" w14:textId="74878E81" w:rsidR="0066522E" w:rsidRDefault="0066522E" w:rsidP="0066522E">
      <w:pPr>
        <w:pStyle w:val="a3"/>
        <w:rPr>
          <w:lang w:val="sl-SI"/>
        </w:rPr>
      </w:pPr>
      <w:r>
        <w:rPr>
          <w:rFonts w:eastAsia="Times New Roman"/>
          <w:lang w:val="sl-SI"/>
        </w:rPr>
        <w:t>Rezultati iz obeh študij kažejo statistično značilno zmanjšanje tveganja za neuspeh zdravljenja pri bolnikih, ki so prejemali adalimumab, v primerjavi z bolniki, ki so prejemali placebo (glejte preglednico </w:t>
      </w:r>
      <w:r w:rsidR="00945BDE">
        <w:rPr>
          <w:rFonts w:eastAsia="Times New Roman"/>
          <w:lang w:val="sl-SI"/>
        </w:rPr>
        <w:t>16</w:t>
      </w:r>
      <w:r>
        <w:rPr>
          <w:rFonts w:eastAsia="Times New Roman"/>
          <w:lang w:val="sl-SI"/>
        </w:rPr>
        <w:t>). V obeh študijah je bil dokazan zgodnji in vzdrževan učinek adalimumaba na odstotek neuspeha zdravljenja proti placebu (glejte sliko </w:t>
      </w:r>
      <w:r w:rsidR="00945BDE">
        <w:rPr>
          <w:rFonts w:eastAsia="Times New Roman"/>
          <w:lang w:val="sl-SI"/>
        </w:rPr>
        <w:t>1</w:t>
      </w:r>
      <w:r>
        <w:rPr>
          <w:rFonts w:eastAsia="Times New Roman"/>
          <w:lang w:val="sl-SI"/>
        </w:rPr>
        <w:t>).</w:t>
      </w:r>
    </w:p>
    <w:p w14:paraId="52880A23" w14:textId="77777777" w:rsidR="0066522E" w:rsidRDefault="0066522E" w:rsidP="0066522E">
      <w:pPr>
        <w:pStyle w:val="a3"/>
        <w:rPr>
          <w:lang w:val="sl-SI"/>
        </w:rPr>
      </w:pPr>
    </w:p>
    <w:p w14:paraId="47F9CF29" w14:textId="3297B369" w:rsidR="0066522E" w:rsidRDefault="0066522E" w:rsidP="0066522E">
      <w:pPr>
        <w:pStyle w:val="a3"/>
        <w:jc w:val="center"/>
        <w:rPr>
          <w:b/>
          <w:lang w:val="sl-SI"/>
        </w:rPr>
      </w:pPr>
      <w:r>
        <w:rPr>
          <w:rFonts w:eastAsia="Times New Roman"/>
          <w:b/>
          <w:bCs/>
          <w:lang w:val="sl-SI"/>
        </w:rPr>
        <w:t>Preglednica </w:t>
      </w:r>
      <w:r w:rsidR="00945BDE">
        <w:rPr>
          <w:rFonts w:eastAsia="Times New Roman"/>
          <w:b/>
          <w:bCs/>
          <w:lang w:val="sl-SI"/>
        </w:rPr>
        <w:t>16</w:t>
      </w:r>
    </w:p>
    <w:p w14:paraId="558D27B1" w14:textId="77777777" w:rsidR="0066522E" w:rsidRDefault="0066522E" w:rsidP="0066522E">
      <w:pPr>
        <w:pStyle w:val="a3"/>
        <w:jc w:val="center"/>
        <w:rPr>
          <w:b/>
          <w:lang w:val="sl-SI"/>
        </w:rPr>
      </w:pPr>
      <w:r>
        <w:rPr>
          <w:rFonts w:eastAsia="Times New Roman"/>
          <w:b/>
          <w:bCs/>
          <w:lang w:val="sl-SI"/>
        </w:rPr>
        <w:t>Čas do neuspeha zdravljenja v študijah UV I in UV II</w:t>
      </w:r>
    </w:p>
    <w:p w14:paraId="23389C4D" w14:textId="77777777" w:rsidR="0066522E" w:rsidRDefault="0066522E" w:rsidP="0066522E">
      <w:pPr>
        <w:pStyle w:val="a3"/>
        <w:jc w:val="center"/>
        <w:rPr>
          <w:b/>
          <w:lang w:val="sl-SI"/>
        </w:rPr>
      </w:pPr>
    </w:p>
    <w:tbl>
      <w:tblPr>
        <w:tblStyle w:val="ac"/>
        <w:tblW w:w="97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4"/>
        <w:gridCol w:w="1530"/>
        <w:gridCol w:w="2052"/>
        <w:gridCol w:w="1130"/>
        <w:gridCol w:w="1130"/>
        <w:gridCol w:w="1130"/>
        <w:gridCol w:w="1133"/>
      </w:tblGrid>
      <w:tr w:rsidR="0066522E" w14:paraId="3D0E61E8" w14:textId="77777777" w:rsidTr="00183CD7">
        <w:trPr>
          <w:jc w:val="center"/>
        </w:trPr>
        <w:tc>
          <w:tcPr>
            <w:tcW w:w="1624" w:type="dxa"/>
            <w:tcBorders>
              <w:top w:val="single" w:sz="4" w:space="0" w:color="auto"/>
              <w:bottom w:val="single" w:sz="4" w:space="0" w:color="auto"/>
            </w:tcBorders>
            <w:vAlign w:val="center"/>
          </w:tcPr>
          <w:p w14:paraId="4DD0F822" w14:textId="77777777" w:rsidR="0066522E" w:rsidRDefault="0066522E" w:rsidP="00183CD7">
            <w:pPr>
              <w:pStyle w:val="a3"/>
              <w:jc w:val="center"/>
              <w:rPr>
                <w:b/>
                <w:lang w:val="sl-SI" w:eastAsia="ko-KR"/>
              </w:rPr>
            </w:pPr>
            <w:r>
              <w:rPr>
                <w:rFonts w:eastAsia="Times New Roman"/>
                <w:b/>
                <w:bCs/>
                <w:lang w:val="sl-SI" w:eastAsia="ko-KR"/>
              </w:rPr>
              <w:t>Analiza zdravljenja</w:t>
            </w:r>
          </w:p>
        </w:tc>
        <w:tc>
          <w:tcPr>
            <w:tcW w:w="1530" w:type="dxa"/>
            <w:tcBorders>
              <w:top w:val="single" w:sz="4" w:space="0" w:color="auto"/>
              <w:bottom w:val="single" w:sz="4" w:space="0" w:color="auto"/>
            </w:tcBorders>
            <w:vAlign w:val="center"/>
          </w:tcPr>
          <w:p w14:paraId="64CC1919" w14:textId="77777777" w:rsidR="0066522E" w:rsidRDefault="0066522E" w:rsidP="00183CD7">
            <w:pPr>
              <w:pStyle w:val="a3"/>
              <w:jc w:val="center"/>
              <w:rPr>
                <w:b/>
                <w:lang w:val="sl-SI"/>
              </w:rPr>
            </w:pPr>
            <w:r>
              <w:rPr>
                <w:rFonts w:eastAsia="Times New Roman"/>
                <w:b/>
                <w:bCs/>
                <w:lang w:val="sl-SI"/>
              </w:rPr>
              <w:t>N</w:t>
            </w:r>
          </w:p>
        </w:tc>
        <w:tc>
          <w:tcPr>
            <w:tcW w:w="2052" w:type="dxa"/>
            <w:tcBorders>
              <w:top w:val="single" w:sz="4" w:space="0" w:color="auto"/>
              <w:bottom w:val="single" w:sz="4" w:space="0" w:color="auto"/>
            </w:tcBorders>
            <w:vAlign w:val="center"/>
          </w:tcPr>
          <w:p w14:paraId="04EBD1BE" w14:textId="77777777" w:rsidR="0066522E" w:rsidRDefault="0066522E" w:rsidP="00183CD7">
            <w:pPr>
              <w:pStyle w:val="a3"/>
              <w:jc w:val="center"/>
              <w:rPr>
                <w:b/>
                <w:lang w:val="sl-SI"/>
              </w:rPr>
            </w:pPr>
            <w:r>
              <w:rPr>
                <w:rFonts w:eastAsia="Times New Roman"/>
                <w:b/>
                <w:bCs/>
                <w:spacing w:val="-1"/>
                <w:lang w:val="sl-SI"/>
              </w:rPr>
              <w:t>Neuspeh N (%)</w:t>
            </w:r>
          </w:p>
        </w:tc>
        <w:tc>
          <w:tcPr>
            <w:tcW w:w="1130" w:type="dxa"/>
            <w:tcBorders>
              <w:top w:val="single" w:sz="4" w:space="0" w:color="auto"/>
              <w:bottom w:val="single" w:sz="4" w:space="0" w:color="auto"/>
            </w:tcBorders>
          </w:tcPr>
          <w:p w14:paraId="65DA0A96" w14:textId="77777777" w:rsidR="0066522E" w:rsidRDefault="0066522E" w:rsidP="00183CD7">
            <w:pPr>
              <w:pStyle w:val="a3"/>
              <w:jc w:val="center"/>
              <w:rPr>
                <w:b/>
                <w:bCs/>
                <w:spacing w:val="-1"/>
                <w:lang w:val="sl-SI" w:eastAsia="ko-KR"/>
              </w:rPr>
            </w:pPr>
            <w:r>
              <w:rPr>
                <w:rFonts w:eastAsia="Times New Roman"/>
                <w:b/>
                <w:bCs/>
                <w:spacing w:val="-1"/>
                <w:lang w:val="sl-SI" w:eastAsia="ko-KR"/>
              </w:rPr>
              <w:t>Mediana časa do neuspeha (meseci)</w:t>
            </w:r>
          </w:p>
        </w:tc>
        <w:tc>
          <w:tcPr>
            <w:tcW w:w="1130" w:type="dxa"/>
            <w:tcBorders>
              <w:top w:val="single" w:sz="4" w:space="0" w:color="auto"/>
              <w:bottom w:val="single" w:sz="4" w:space="0" w:color="auto"/>
            </w:tcBorders>
            <w:vAlign w:val="center"/>
          </w:tcPr>
          <w:p w14:paraId="78D50EE8" w14:textId="77777777" w:rsidR="0066522E" w:rsidRDefault="0066522E" w:rsidP="00183CD7">
            <w:pPr>
              <w:pStyle w:val="a3"/>
              <w:jc w:val="center"/>
              <w:rPr>
                <w:b/>
                <w:bCs/>
                <w:spacing w:val="-1"/>
                <w:lang w:val="sl-SI" w:eastAsia="ko-KR"/>
              </w:rPr>
            </w:pPr>
            <w:r>
              <w:rPr>
                <w:rFonts w:eastAsia="Times New Roman"/>
                <w:b/>
                <w:bCs/>
                <w:spacing w:val="-1"/>
                <w:lang w:val="sl-SI" w:eastAsia="ko-KR"/>
              </w:rPr>
              <w:t>RT</w:t>
            </w:r>
            <w:r>
              <w:rPr>
                <w:rFonts w:eastAsia="Times New Roman"/>
                <w:b/>
                <w:bCs/>
                <w:spacing w:val="-1"/>
                <w:vertAlign w:val="superscript"/>
                <w:lang w:val="sl-SI" w:eastAsia="ko-KR"/>
              </w:rPr>
              <w:t>a</w:t>
            </w:r>
          </w:p>
        </w:tc>
        <w:tc>
          <w:tcPr>
            <w:tcW w:w="1130" w:type="dxa"/>
            <w:tcBorders>
              <w:top w:val="single" w:sz="4" w:space="0" w:color="auto"/>
              <w:bottom w:val="single" w:sz="4" w:space="0" w:color="auto"/>
            </w:tcBorders>
            <w:vAlign w:val="center"/>
          </w:tcPr>
          <w:p w14:paraId="20A9C222" w14:textId="77777777" w:rsidR="0066522E" w:rsidRDefault="0066522E" w:rsidP="00183CD7">
            <w:pPr>
              <w:pStyle w:val="a3"/>
              <w:jc w:val="center"/>
              <w:rPr>
                <w:b/>
                <w:bCs/>
                <w:spacing w:val="-1"/>
                <w:lang w:val="sl-SI" w:eastAsia="ko-KR"/>
              </w:rPr>
            </w:pPr>
            <w:r>
              <w:rPr>
                <w:rFonts w:eastAsia="Times New Roman"/>
                <w:b/>
                <w:bCs/>
                <w:spacing w:val="-1"/>
                <w:lang w:val="sl-SI" w:eastAsia="ko-KR"/>
              </w:rPr>
              <w:t>95-% IZ za RT</w:t>
            </w:r>
            <w:r>
              <w:rPr>
                <w:rFonts w:eastAsia="Times New Roman"/>
                <w:spacing w:val="-1"/>
                <w:vertAlign w:val="superscript"/>
                <w:lang w:val="sl-SI" w:eastAsia="ko-KR"/>
              </w:rPr>
              <w:t>a</w:t>
            </w:r>
          </w:p>
        </w:tc>
        <w:tc>
          <w:tcPr>
            <w:tcW w:w="1130" w:type="dxa"/>
            <w:tcBorders>
              <w:top w:val="single" w:sz="4" w:space="0" w:color="auto"/>
              <w:bottom w:val="single" w:sz="4" w:space="0" w:color="auto"/>
            </w:tcBorders>
            <w:vAlign w:val="center"/>
          </w:tcPr>
          <w:p w14:paraId="2B8962E7" w14:textId="77777777" w:rsidR="0066522E" w:rsidRDefault="0066522E" w:rsidP="00183CD7">
            <w:pPr>
              <w:pStyle w:val="a3"/>
              <w:jc w:val="center"/>
              <w:rPr>
                <w:b/>
                <w:lang w:val="sl-SI"/>
              </w:rPr>
            </w:pPr>
            <w:r>
              <w:rPr>
                <w:rFonts w:eastAsia="Times New Roman"/>
                <w:b/>
                <w:bCs/>
                <w:spacing w:val="-1"/>
                <w:lang w:val="sl-SI" w:eastAsia="ko-KR"/>
              </w:rPr>
              <w:t>Vrednost p</w:t>
            </w:r>
            <w:r>
              <w:rPr>
                <w:rFonts w:eastAsia="Times New Roman"/>
                <w:b/>
                <w:bCs/>
                <w:spacing w:val="-1"/>
                <w:vertAlign w:val="superscript"/>
                <w:lang w:val="sl-SI" w:eastAsia="ko-KR"/>
              </w:rPr>
              <w:t>b</w:t>
            </w:r>
          </w:p>
          <w:p w14:paraId="50A3F582" w14:textId="77777777" w:rsidR="0066522E" w:rsidRDefault="0066522E" w:rsidP="00183CD7">
            <w:pPr>
              <w:pStyle w:val="a3"/>
              <w:jc w:val="center"/>
              <w:rPr>
                <w:rFonts w:eastAsia="Times New Roman"/>
                <w:b/>
                <w:bCs/>
                <w:spacing w:val="-1"/>
                <w:lang w:val="sl-SI"/>
              </w:rPr>
            </w:pPr>
          </w:p>
        </w:tc>
      </w:tr>
      <w:tr w:rsidR="0066522E" w14:paraId="7FCEB20A" w14:textId="77777777" w:rsidTr="00183CD7">
        <w:trPr>
          <w:jc w:val="center"/>
        </w:trPr>
        <w:tc>
          <w:tcPr>
            <w:tcW w:w="9729" w:type="dxa"/>
            <w:gridSpan w:val="7"/>
            <w:tcBorders>
              <w:top w:val="single" w:sz="4" w:space="0" w:color="auto"/>
              <w:bottom w:val="single" w:sz="4" w:space="0" w:color="auto"/>
            </w:tcBorders>
            <w:vAlign w:val="center"/>
          </w:tcPr>
          <w:p w14:paraId="6BCEC769" w14:textId="77777777" w:rsidR="0066522E" w:rsidRDefault="0066522E" w:rsidP="00183CD7">
            <w:pPr>
              <w:pStyle w:val="a3"/>
              <w:rPr>
                <w:b/>
                <w:lang w:val="sl-SI"/>
              </w:rPr>
            </w:pPr>
            <w:r>
              <w:rPr>
                <w:rFonts w:eastAsia="Times New Roman"/>
                <w:b/>
                <w:bCs/>
                <w:lang w:val="sl-SI"/>
              </w:rPr>
              <w:t>Čas do neuspeha zdravljenja v ali po 6. tednu v študiji UV I</w:t>
            </w:r>
          </w:p>
          <w:p w14:paraId="76C507F1" w14:textId="77777777" w:rsidR="0066522E" w:rsidRDefault="0066522E" w:rsidP="00183CD7">
            <w:pPr>
              <w:pStyle w:val="a3"/>
              <w:jc w:val="both"/>
              <w:rPr>
                <w:lang w:val="sl-SI"/>
              </w:rPr>
            </w:pPr>
            <w:r>
              <w:rPr>
                <w:rFonts w:eastAsia="Times New Roman"/>
                <w:b/>
                <w:bCs/>
                <w:lang w:val="sl-SI"/>
              </w:rPr>
              <w:t>Primarna analiza (ITT)</w:t>
            </w:r>
          </w:p>
        </w:tc>
      </w:tr>
      <w:tr w:rsidR="0066522E" w14:paraId="4DEECA17" w14:textId="77777777" w:rsidTr="00183CD7">
        <w:trPr>
          <w:jc w:val="center"/>
        </w:trPr>
        <w:tc>
          <w:tcPr>
            <w:tcW w:w="1624" w:type="dxa"/>
            <w:tcBorders>
              <w:top w:val="single" w:sz="4" w:space="0" w:color="auto"/>
            </w:tcBorders>
            <w:vAlign w:val="center"/>
          </w:tcPr>
          <w:p w14:paraId="379135D3" w14:textId="77777777" w:rsidR="0066522E" w:rsidRDefault="0066522E" w:rsidP="00183CD7">
            <w:pPr>
              <w:pStyle w:val="a3"/>
              <w:jc w:val="center"/>
              <w:rPr>
                <w:lang w:val="sl-SI"/>
              </w:rPr>
            </w:pPr>
            <w:r>
              <w:rPr>
                <w:rFonts w:eastAsia="Times New Roman"/>
                <w:lang w:val="sl-SI"/>
              </w:rPr>
              <w:t>Placebo</w:t>
            </w:r>
          </w:p>
        </w:tc>
        <w:tc>
          <w:tcPr>
            <w:tcW w:w="1530" w:type="dxa"/>
            <w:tcBorders>
              <w:top w:val="single" w:sz="4" w:space="0" w:color="auto"/>
            </w:tcBorders>
          </w:tcPr>
          <w:p w14:paraId="58CAB3CC" w14:textId="77777777" w:rsidR="0066522E" w:rsidRDefault="0066522E" w:rsidP="00183CD7">
            <w:pPr>
              <w:pStyle w:val="a3"/>
              <w:jc w:val="center"/>
              <w:rPr>
                <w:lang w:val="sl-SI"/>
              </w:rPr>
            </w:pPr>
            <w:r>
              <w:rPr>
                <w:rFonts w:eastAsia="Times New Roman"/>
                <w:lang w:val="sl-SI"/>
              </w:rPr>
              <w:t xml:space="preserve">107 </w:t>
            </w:r>
          </w:p>
        </w:tc>
        <w:tc>
          <w:tcPr>
            <w:tcW w:w="2052" w:type="dxa"/>
            <w:tcBorders>
              <w:top w:val="single" w:sz="4" w:space="0" w:color="auto"/>
            </w:tcBorders>
          </w:tcPr>
          <w:p w14:paraId="73607245" w14:textId="77777777" w:rsidR="0066522E" w:rsidRDefault="0066522E" w:rsidP="00183CD7">
            <w:pPr>
              <w:pStyle w:val="a3"/>
              <w:jc w:val="center"/>
              <w:rPr>
                <w:lang w:val="sl-SI"/>
              </w:rPr>
            </w:pPr>
            <w:r>
              <w:rPr>
                <w:rFonts w:eastAsia="Times New Roman"/>
                <w:lang w:val="sl-SI"/>
              </w:rPr>
              <w:t xml:space="preserve">84 (78,5) </w:t>
            </w:r>
          </w:p>
        </w:tc>
        <w:tc>
          <w:tcPr>
            <w:tcW w:w="1130" w:type="dxa"/>
            <w:tcBorders>
              <w:top w:val="single" w:sz="4" w:space="0" w:color="auto"/>
            </w:tcBorders>
          </w:tcPr>
          <w:p w14:paraId="560CC71D" w14:textId="77777777" w:rsidR="0066522E" w:rsidRDefault="0066522E" w:rsidP="00183CD7">
            <w:pPr>
              <w:pStyle w:val="a3"/>
              <w:jc w:val="center"/>
              <w:rPr>
                <w:lang w:val="sl-SI"/>
              </w:rPr>
            </w:pPr>
            <w:r>
              <w:rPr>
                <w:rFonts w:eastAsia="Times New Roman"/>
                <w:lang w:val="sl-SI"/>
              </w:rPr>
              <w:t xml:space="preserve">3,0 </w:t>
            </w:r>
          </w:p>
        </w:tc>
        <w:tc>
          <w:tcPr>
            <w:tcW w:w="1130" w:type="dxa"/>
            <w:tcBorders>
              <w:top w:val="single" w:sz="4" w:space="0" w:color="auto"/>
            </w:tcBorders>
          </w:tcPr>
          <w:p w14:paraId="433F7BBA" w14:textId="77777777" w:rsidR="0066522E" w:rsidRDefault="0066522E" w:rsidP="00183CD7">
            <w:pPr>
              <w:pStyle w:val="a3"/>
              <w:jc w:val="center"/>
              <w:rPr>
                <w:lang w:val="sl-SI"/>
              </w:rPr>
            </w:pPr>
            <w:r>
              <w:rPr>
                <w:lang w:val="sl-SI"/>
              </w:rPr>
              <w:t xml:space="preserve">-- </w:t>
            </w:r>
          </w:p>
        </w:tc>
        <w:tc>
          <w:tcPr>
            <w:tcW w:w="1130" w:type="dxa"/>
            <w:tcBorders>
              <w:top w:val="single" w:sz="4" w:space="0" w:color="auto"/>
            </w:tcBorders>
          </w:tcPr>
          <w:p w14:paraId="757A6064" w14:textId="77777777" w:rsidR="0066522E" w:rsidRDefault="0066522E" w:rsidP="00183CD7">
            <w:pPr>
              <w:pStyle w:val="a3"/>
              <w:jc w:val="center"/>
              <w:rPr>
                <w:lang w:val="sl-SI"/>
              </w:rPr>
            </w:pPr>
            <w:r>
              <w:rPr>
                <w:lang w:val="sl-SI"/>
              </w:rPr>
              <w:t xml:space="preserve">-- </w:t>
            </w:r>
          </w:p>
        </w:tc>
        <w:tc>
          <w:tcPr>
            <w:tcW w:w="1130" w:type="dxa"/>
            <w:tcBorders>
              <w:top w:val="single" w:sz="4" w:space="0" w:color="auto"/>
            </w:tcBorders>
          </w:tcPr>
          <w:p w14:paraId="72D0C3A7" w14:textId="77777777" w:rsidR="0066522E" w:rsidRDefault="0066522E" w:rsidP="00183CD7">
            <w:pPr>
              <w:pStyle w:val="a3"/>
              <w:jc w:val="center"/>
              <w:rPr>
                <w:lang w:val="sl-SI"/>
              </w:rPr>
            </w:pPr>
            <w:r>
              <w:rPr>
                <w:lang w:val="sl-SI"/>
              </w:rPr>
              <w:t xml:space="preserve">-- </w:t>
            </w:r>
          </w:p>
        </w:tc>
      </w:tr>
      <w:tr w:rsidR="0066522E" w14:paraId="4B4227F7" w14:textId="77777777" w:rsidTr="00183CD7">
        <w:trPr>
          <w:jc w:val="center"/>
        </w:trPr>
        <w:tc>
          <w:tcPr>
            <w:tcW w:w="1624" w:type="dxa"/>
            <w:tcBorders>
              <w:bottom w:val="single" w:sz="4" w:space="0" w:color="auto"/>
            </w:tcBorders>
            <w:vAlign w:val="center"/>
          </w:tcPr>
          <w:p w14:paraId="5CCBA7E6" w14:textId="77777777" w:rsidR="0066522E" w:rsidRDefault="0066522E" w:rsidP="00183CD7">
            <w:pPr>
              <w:pStyle w:val="a3"/>
              <w:jc w:val="center"/>
              <w:rPr>
                <w:lang w:val="sl-SI"/>
              </w:rPr>
            </w:pPr>
            <w:r>
              <w:rPr>
                <w:rFonts w:eastAsia="Times New Roman"/>
                <w:lang w:val="sl-SI"/>
              </w:rPr>
              <w:t>Adalimumab</w:t>
            </w:r>
          </w:p>
        </w:tc>
        <w:tc>
          <w:tcPr>
            <w:tcW w:w="1530" w:type="dxa"/>
            <w:tcBorders>
              <w:bottom w:val="single" w:sz="4" w:space="0" w:color="auto"/>
            </w:tcBorders>
          </w:tcPr>
          <w:p w14:paraId="0BF510B4" w14:textId="77777777" w:rsidR="0066522E" w:rsidRDefault="0066522E" w:rsidP="00183CD7">
            <w:pPr>
              <w:pStyle w:val="a3"/>
              <w:jc w:val="center"/>
              <w:rPr>
                <w:lang w:val="sl-SI"/>
              </w:rPr>
            </w:pPr>
            <w:r>
              <w:rPr>
                <w:rFonts w:eastAsia="Times New Roman"/>
                <w:lang w:val="sl-SI"/>
              </w:rPr>
              <w:t xml:space="preserve">110 </w:t>
            </w:r>
          </w:p>
        </w:tc>
        <w:tc>
          <w:tcPr>
            <w:tcW w:w="2052" w:type="dxa"/>
            <w:tcBorders>
              <w:bottom w:val="single" w:sz="4" w:space="0" w:color="auto"/>
            </w:tcBorders>
          </w:tcPr>
          <w:p w14:paraId="538E7D51" w14:textId="77777777" w:rsidR="0066522E" w:rsidRDefault="0066522E" w:rsidP="00183CD7">
            <w:pPr>
              <w:pStyle w:val="a3"/>
              <w:jc w:val="center"/>
              <w:rPr>
                <w:lang w:val="sl-SI"/>
              </w:rPr>
            </w:pPr>
            <w:r>
              <w:rPr>
                <w:rFonts w:eastAsia="Times New Roman"/>
                <w:lang w:val="sl-SI"/>
              </w:rPr>
              <w:t xml:space="preserve">60 (54,5) </w:t>
            </w:r>
          </w:p>
        </w:tc>
        <w:tc>
          <w:tcPr>
            <w:tcW w:w="1130" w:type="dxa"/>
            <w:tcBorders>
              <w:bottom w:val="single" w:sz="4" w:space="0" w:color="auto"/>
            </w:tcBorders>
          </w:tcPr>
          <w:p w14:paraId="1C6A618C" w14:textId="77777777" w:rsidR="0066522E" w:rsidRDefault="0066522E" w:rsidP="00183CD7">
            <w:pPr>
              <w:pStyle w:val="a3"/>
              <w:jc w:val="center"/>
              <w:rPr>
                <w:lang w:val="sl-SI"/>
              </w:rPr>
            </w:pPr>
            <w:r>
              <w:rPr>
                <w:rFonts w:eastAsia="Times New Roman"/>
                <w:lang w:val="sl-SI"/>
              </w:rPr>
              <w:t xml:space="preserve">5,6 </w:t>
            </w:r>
          </w:p>
        </w:tc>
        <w:tc>
          <w:tcPr>
            <w:tcW w:w="1130" w:type="dxa"/>
            <w:tcBorders>
              <w:bottom w:val="single" w:sz="4" w:space="0" w:color="auto"/>
            </w:tcBorders>
          </w:tcPr>
          <w:p w14:paraId="382CF886" w14:textId="77777777" w:rsidR="0066522E" w:rsidRDefault="0066522E" w:rsidP="00183CD7">
            <w:pPr>
              <w:pStyle w:val="a3"/>
              <w:jc w:val="center"/>
              <w:rPr>
                <w:lang w:val="sl-SI"/>
              </w:rPr>
            </w:pPr>
            <w:r>
              <w:rPr>
                <w:rFonts w:eastAsia="Times New Roman"/>
                <w:lang w:val="sl-SI"/>
              </w:rPr>
              <w:t xml:space="preserve">0.50 </w:t>
            </w:r>
          </w:p>
        </w:tc>
        <w:tc>
          <w:tcPr>
            <w:tcW w:w="1130" w:type="dxa"/>
            <w:tcBorders>
              <w:bottom w:val="single" w:sz="4" w:space="0" w:color="auto"/>
            </w:tcBorders>
          </w:tcPr>
          <w:p w14:paraId="3046FD27" w14:textId="77777777" w:rsidR="0066522E" w:rsidRDefault="0066522E" w:rsidP="00183CD7">
            <w:pPr>
              <w:pStyle w:val="a3"/>
              <w:jc w:val="center"/>
              <w:rPr>
                <w:lang w:val="sl-SI"/>
              </w:rPr>
            </w:pPr>
            <w:r>
              <w:rPr>
                <w:rFonts w:eastAsia="Times New Roman"/>
                <w:lang w:val="sl-SI"/>
              </w:rPr>
              <w:t xml:space="preserve">0,36; 0,70 </w:t>
            </w:r>
          </w:p>
        </w:tc>
        <w:tc>
          <w:tcPr>
            <w:tcW w:w="1130" w:type="dxa"/>
            <w:tcBorders>
              <w:bottom w:val="single" w:sz="4" w:space="0" w:color="auto"/>
            </w:tcBorders>
          </w:tcPr>
          <w:p w14:paraId="2E6A9E28" w14:textId="77777777" w:rsidR="0066522E" w:rsidRDefault="0066522E" w:rsidP="00183CD7">
            <w:pPr>
              <w:pStyle w:val="a3"/>
              <w:jc w:val="center"/>
              <w:rPr>
                <w:lang w:val="sl-SI"/>
              </w:rPr>
            </w:pPr>
            <w:r>
              <w:rPr>
                <w:rFonts w:eastAsia="Times New Roman"/>
                <w:lang w:val="sl-SI"/>
              </w:rPr>
              <w:t xml:space="preserve">&lt; 0,001 </w:t>
            </w:r>
          </w:p>
        </w:tc>
      </w:tr>
      <w:tr w:rsidR="0066522E" w14:paraId="115DFED5" w14:textId="77777777" w:rsidTr="00183CD7">
        <w:trPr>
          <w:jc w:val="center"/>
        </w:trPr>
        <w:tc>
          <w:tcPr>
            <w:tcW w:w="9729" w:type="dxa"/>
            <w:gridSpan w:val="7"/>
            <w:tcBorders>
              <w:top w:val="single" w:sz="4" w:space="0" w:color="auto"/>
              <w:bottom w:val="single" w:sz="4" w:space="0" w:color="auto"/>
            </w:tcBorders>
            <w:vAlign w:val="center"/>
          </w:tcPr>
          <w:p w14:paraId="44041ADA" w14:textId="77777777" w:rsidR="0066522E" w:rsidRDefault="0066522E" w:rsidP="00183CD7">
            <w:pPr>
              <w:pStyle w:val="a3"/>
              <w:jc w:val="both"/>
              <w:rPr>
                <w:b/>
                <w:lang w:val="sl-SI"/>
              </w:rPr>
            </w:pPr>
            <w:r>
              <w:rPr>
                <w:rFonts w:eastAsia="Times New Roman"/>
                <w:b/>
                <w:bCs/>
                <w:lang w:val="sl-SI"/>
              </w:rPr>
              <w:t>Čas do neuspeha zdravljenja v ali po 2. tednu v študiji UV II</w:t>
            </w:r>
          </w:p>
          <w:p w14:paraId="6C86FB27" w14:textId="77777777" w:rsidR="0066522E" w:rsidRDefault="0066522E" w:rsidP="00183CD7">
            <w:pPr>
              <w:pStyle w:val="a3"/>
              <w:jc w:val="both"/>
              <w:rPr>
                <w:lang w:val="sl-SI"/>
              </w:rPr>
            </w:pPr>
            <w:r>
              <w:rPr>
                <w:rFonts w:eastAsia="Times New Roman"/>
                <w:b/>
                <w:bCs/>
                <w:lang w:val="sl-SI"/>
              </w:rPr>
              <w:t>Primarna analiza (ITT)</w:t>
            </w:r>
          </w:p>
        </w:tc>
      </w:tr>
      <w:tr w:rsidR="0066522E" w14:paraId="331DE724" w14:textId="77777777" w:rsidTr="00183CD7">
        <w:trPr>
          <w:jc w:val="center"/>
        </w:trPr>
        <w:tc>
          <w:tcPr>
            <w:tcW w:w="1624" w:type="dxa"/>
            <w:tcBorders>
              <w:top w:val="single" w:sz="4" w:space="0" w:color="auto"/>
            </w:tcBorders>
          </w:tcPr>
          <w:p w14:paraId="5E05E800" w14:textId="77777777" w:rsidR="0066522E" w:rsidRDefault="0066522E" w:rsidP="00183CD7">
            <w:pPr>
              <w:pStyle w:val="a3"/>
              <w:jc w:val="center"/>
              <w:rPr>
                <w:lang w:val="sl-SI"/>
              </w:rPr>
            </w:pPr>
            <w:r>
              <w:rPr>
                <w:rFonts w:eastAsia="Times New Roman"/>
                <w:lang w:val="sl-SI"/>
              </w:rPr>
              <w:t xml:space="preserve">Placebo </w:t>
            </w:r>
          </w:p>
        </w:tc>
        <w:tc>
          <w:tcPr>
            <w:tcW w:w="1530" w:type="dxa"/>
            <w:tcBorders>
              <w:top w:val="single" w:sz="4" w:space="0" w:color="auto"/>
            </w:tcBorders>
          </w:tcPr>
          <w:p w14:paraId="23A231CD" w14:textId="77777777" w:rsidR="0066522E" w:rsidRDefault="0066522E" w:rsidP="00183CD7">
            <w:pPr>
              <w:pStyle w:val="a3"/>
              <w:jc w:val="center"/>
              <w:rPr>
                <w:lang w:val="sl-SI"/>
              </w:rPr>
            </w:pPr>
            <w:r>
              <w:rPr>
                <w:rFonts w:eastAsia="Times New Roman"/>
                <w:lang w:val="sl-SI"/>
              </w:rPr>
              <w:t xml:space="preserve">111 </w:t>
            </w:r>
          </w:p>
        </w:tc>
        <w:tc>
          <w:tcPr>
            <w:tcW w:w="2052" w:type="dxa"/>
            <w:tcBorders>
              <w:top w:val="single" w:sz="4" w:space="0" w:color="auto"/>
            </w:tcBorders>
          </w:tcPr>
          <w:p w14:paraId="205D4B3C" w14:textId="77777777" w:rsidR="0066522E" w:rsidRDefault="0066522E" w:rsidP="00183CD7">
            <w:pPr>
              <w:pStyle w:val="a3"/>
              <w:jc w:val="center"/>
              <w:rPr>
                <w:lang w:val="sl-SI"/>
              </w:rPr>
            </w:pPr>
            <w:r>
              <w:rPr>
                <w:rFonts w:eastAsia="Times New Roman"/>
                <w:lang w:val="sl-SI"/>
              </w:rPr>
              <w:t xml:space="preserve">61 (55,0) </w:t>
            </w:r>
          </w:p>
        </w:tc>
        <w:tc>
          <w:tcPr>
            <w:tcW w:w="1130" w:type="dxa"/>
            <w:tcBorders>
              <w:top w:val="single" w:sz="4" w:space="0" w:color="auto"/>
            </w:tcBorders>
          </w:tcPr>
          <w:p w14:paraId="361BF465" w14:textId="77777777" w:rsidR="0066522E" w:rsidRDefault="0066522E" w:rsidP="00183CD7">
            <w:pPr>
              <w:pStyle w:val="a3"/>
              <w:jc w:val="center"/>
              <w:rPr>
                <w:lang w:val="sl-SI"/>
              </w:rPr>
            </w:pPr>
            <w:r>
              <w:rPr>
                <w:rFonts w:eastAsia="Times New Roman"/>
                <w:lang w:val="sl-SI"/>
              </w:rPr>
              <w:t xml:space="preserve">8,3 </w:t>
            </w:r>
          </w:p>
        </w:tc>
        <w:tc>
          <w:tcPr>
            <w:tcW w:w="1130" w:type="dxa"/>
            <w:tcBorders>
              <w:top w:val="single" w:sz="4" w:space="0" w:color="auto"/>
            </w:tcBorders>
          </w:tcPr>
          <w:p w14:paraId="697B97FD" w14:textId="77777777" w:rsidR="0066522E" w:rsidRDefault="0066522E" w:rsidP="00183CD7">
            <w:pPr>
              <w:pStyle w:val="a3"/>
              <w:jc w:val="center"/>
              <w:rPr>
                <w:lang w:val="sl-SI"/>
              </w:rPr>
            </w:pPr>
            <w:r>
              <w:rPr>
                <w:lang w:val="sl-SI"/>
              </w:rPr>
              <w:t xml:space="preserve">-- </w:t>
            </w:r>
          </w:p>
        </w:tc>
        <w:tc>
          <w:tcPr>
            <w:tcW w:w="1130" w:type="dxa"/>
            <w:tcBorders>
              <w:top w:val="single" w:sz="4" w:space="0" w:color="auto"/>
            </w:tcBorders>
          </w:tcPr>
          <w:p w14:paraId="4582A1D2" w14:textId="77777777" w:rsidR="0066522E" w:rsidRDefault="0066522E" w:rsidP="00183CD7">
            <w:pPr>
              <w:pStyle w:val="a3"/>
              <w:jc w:val="center"/>
              <w:rPr>
                <w:lang w:val="sl-SI"/>
              </w:rPr>
            </w:pPr>
            <w:r>
              <w:rPr>
                <w:lang w:val="sl-SI"/>
              </w:rPr>
              <w:t xml:space="preserve">-- </w:t>
            </w:r>
          </w:p>
        </w:tc>
        <w:tc>
          <w:tcPr>
            <w:tcW w:w="1130" w:type="dxa"/>
            <w:tcBorders>
              <w:top w:val="single" w:sz="4" w:space="0" w:color="auto"/>
            </w:tcBorders>
          </w:tcPr>
          <w:p w14:paraId="3F86D81F" w14:textId="77777777" w:rsidR="0066522E" w:rsidRDefault="0066522E" w:rsidP="00183CD7">
            <w:pPr>
              <w:pStyle w:val="a3"/>
              <w:jc w:val="center"/>
              <w:rPr>
                <w:lang w:val="sl-SI"/>
              </w:rPr>
            </w:pPr>
            <w:r>
              <w:rPr>
                <w:lang w:val="sl-SI"/>
              </w:rPr>
              <w:t xml:space="preserve">-- </w:t>
            </w:r>
          </w:p>
        </w:tc>
      </w:tr>
      <w:tr w:rsidR="0066522E" w14:paraId="251FFFD8" w14:textId="77777777" w:rsidTr="00183CD7">
        <w:trPr>
          <w:jc w:val="center"/>
        </w:trPr>
        <w:tc>
          <w:tcPr>
            <w:tcW w:w="1624" w:type="dxa"/>
            <w:tcBorders>
              <w:bottom w:val="single" w:sz="4" w:space="0" w:color="auto"/>
            </w:tcBorders>
          </w:tcPr>
          <w:p w14:paraId="1D392DAA" w14:textId="77777777" w:rsidR="0066522E" w:rsidRDefault="0066522E" w:rsidP="00183CD7">
            <w:pPr>
              <w:pStyle w:val="a3"/>
              <w:jc w:val="center"/>
              <w:rPr>
                <w:lang w:val="sl-SI"/>
              </w:rPr>
            </w:pPr>
            <w:r>
              <w:rPr>
                <w:rFonts w:eastAsia="Times New Roman"/>
                <w:lang w:val="sl-SI"/>
              </w:rPr>
              <w:t xml:space="preserve">Adalimumab </w:t>
            </w:r>
          </w:p>
        </w:tc>
        <w:tc>
          <w:tcPr>
            <w:tcW w:w="1530" w:type="dxa"/>
            <w:tcBorders>
              <w:bottom w:val="single" w:sz="4" w:space="0" w:color="auto"/>
            </w:tcBorders>
          </w:tcPr>
          <w:p w14:paraId="3599A794" w14:textId="77777777" w:rsidR="0066522E" w:rsidRDefault="0066522E" w:rsidP="00183CD7">
            <w:pPr>
              <w:pStyle w:val="a3"/>
              <w:jc w:val="center"/>
              <w:rPr>
                <w:lang w:val="sl-SI"/>
              </w:rPr>
            </w:pPr>
            <w:r>
              <w:rPr>
                <w:rFonts w:eastAsia="Times New Roman"/>
                <w:lang w:val="sl-SI"/>
              </w:rPr>
              <w:t xml:space="preserve">115 </w:t>
            </w:r>
          </w:p>
        </w:tc>
        <w:tc>
          <w:tcPr>
            <w:tcW w:w="2052" w:type="dxa"/>
            <w:tcBorders>
              <w:bottom w:val="single" w:sz="4" w:space="0" w:color="auto"/>
            </w:tcBorders>
          </w:tcPr>
          <w:p w14:paraId="62BEA3EB" w14:textId="77777777" w:rsidR="0066522E" w:rsidRDefault="0066522E" w:rsidP="00183CD7">
            <w:pPr>
              <w:pStyle w:val="a3"/>
              <w:jc w:val="center"/>
              <w:rPr>
                <w:lang w:val="sl-SI"/>
              </w:rPr>
            </w:pPr>
            <w:r>
              <w:rPr>
                <w:rFonts w:eastAsia="Times New Roman"/>
                <w:lang w:val="sl-SI"/>
              </w:rPr>
              <w:t xml:space="preserve">45 (39,1) </w:t>
            </w:r>
          </w:p>
        </w:tc>
        <w:tc>
          <w:tcPr>
            <w:tcW w:w="1130" w:type="dxa"/>
            <w:tcBorders>
              <w:bottom w:val="single" w:sz="4" w:space="0" w:color="auto"/>
            </w:tcBorders>
          </w:tcPr>
          <w:p w14:paraId="46A34F54" w14:textId="77777777" w:rsidR="0066522E" w:rsidRDefault="0066522E" w:rsidP="00183CD7">
            <w:pPr>
              <w:pStyle w:val="a3"/>
              <w:jc w:val="center"/>
              <w:rPr>
                <w:lang w:val="sl-SI"/>
              </w:rPr>
            </w:pPr>
            <w:r>
              <w:rPr>
                <w:rFonts w:eastAsia="Times New Roman"/>
                <w:lang w:val="sl-SI"/>
              </w:rPr>
              <w:t>NE</w:t>
            </w:r>
            <w:r w:rsidRPr="00337BB0">
              <w:rPr>
                <w:rFonts w:eastAsia="Times New Roman"/>
                <w:vertAlign w:val="superscript"/>
                <w:lang w:val="sl-SI"/>
              </w:rPr>
              <w:t xml:space="preserve">c </w:t>
            </w:r>
          </w:p>
        </w:tc>
        <w:tc>
          <w:tcPr>
            <w:tcW w:w="1130" w:type="dxa"/>
            <w:tcBorders>
              <w:bottom w:val="single" w:sz="4" w:space="0" w:color="auto"/>
            </w:tcBorders>
          </w:tcPr>
          <w:p w14:paraId="02272502" w14:textId="77777777" w:rsidR="0066522E" w:rsidRDefault="0066522E" w:rsidP="00183CD7">
            <w:pPr>
              <w:pStyle w:val="a3"/>
              <w:jc w:val="center"/>
              <w:rPr>
                <w:lang w:val="sl-SI"/>
              </w:rPr>
            </w:pPr>
            <w:r>
              <w:rPr>
                <w:rFonts w:eastAsia="Times New Roman"/>
                <w:lang w:val="sl-SI"/>
              </w:rPr>
              <w:t xml:space="preserve">0,57 </w:t>
            </w:r>
          </w:p>
        </w:tc>
        <w:tc>
          <w:tcPr>
            <w:tcW w:w="1130" w:type="dxa"/>
            <w:tcBorders>
              <w:bottom w:val="single" w:sz="4" w:space="0" w:color="auto"/>
            </w:tcBorders>
          </w:tcPr>
          <w:p w14:paraId="32C368E3" w14:textId="77777777" w:rsidR="0066522E" w:rsidRDefault="0066522E" w:rsidP="00183CD7">
            <w:pPr>
              <w:pStyle w:val="a3"/>
              <w:jc w:val="center"/>
              <w:rPr>
                <w:lang w:val="sl-SI"/>
              </w:rPr>
            </w:pPr>
            <w:r>
              <w:rPr>
                <w:rFonts w:eastAsia="Times New Roman"/>
                <w:lang w:val="sl-SI"/>
              </w:rPr>
              <w:t xml:space="preserve">0,39; 0,84 </w:t>
            </w:r>
          </w:p>
        </w:tc>
        <w:tc>
          <w:tcPr>
            <w:tcW w:w="1130" w:type="dxa"/>
            <w:tcBorders>
              <w:bottom w:val="single" w:sz="4" w:space="0" w:color="auto"/>
            </w:tcBorders>
          </w:tcPr>
          <w:p w14:paraId="0D9B97EC" w14:textId="77777777" w:rsidR="0066522E" w:rsidRDefault="0066522E" w:rsidP="00183CD7">
            <w:pPr>
              <w:pStyle w:val="a3"/>
              <w:jc w:val="center"/>
              <w:rPr>
                <w:lang w:val="sl-SI"/>
              </w:rPr>
            </w:pPr>
            <w:r>
              <w:rPr>
                <w:rFonts w:eastAsia="Times New Roman"/>
                <w:lang w:val="sl-SI"/>
              </w:rPr>
              <w:t xml:space="preserve">0,004 </w:t>
            </w:r>
          </w:p>
        </w:tc>
      </w:tr>
    </w:tbl>
    <w:p w14:paraId="57A6C368" w14:textId="77777777" w:rsidR="0066522E" w:rsidRDefault="0066522E" w:rsidP="0066522E">
      <w:pPr>
        <w:pStyle w:val="a3"/>
        <w:rPr>
          <w:lang w:val="sl-SI"/>
        </w:rPr>
      </w:pPr>
      <w:r>
        <w:rPr>
          <w:rFonts w:eastAsia="Times New Roman"/>
          <w:lang w:val="sl-SI"/>
        </w:rPr>
        <w:t>Opomba: neuspeh zdravljenja v ali po 6. tednu (študija UV I) ali v ali po 2. tednu (študija UV II) je bil štet kot dogodek. Prekinitve sodelovanja zaradi razlogov, ki niso bili posledica neuspeha zdravljenja so bile cenzurirane ob prekinitvi sodelovanja.</w:t>
      </w:r>
    </w:p>
    <w:p w14:paraId="33A340A1" w14:textId="77777777" w:rsidR="0066522E" w:rsidRDefault="0066522E" w:rsidP="007811C6">
      <w:pPr>
        <w:pStyle w:val="a3"/>
        <w:numPr>
          <w:ilvl w:val="0"/>
          <w:numId w:val="148"/>
        </w:numPr>
        <w:ind w:left="426" w:hanging="426"/>
        <w:rPr>
          <w:lang w:val="sl-SI"/>
        </w:rPr>
      </w:pPr>
      <w:r>
        <w:rPr>
          <w:rFonts w:eastAsia="Times New Roman"/>
          <w:lang w:val="sl-SI"/>
        </w:rPr>
        <w:t>RT adalimumaba v primerjavi s placebom iz regresije proporcionalnih tveganj z zdravljenjem kot faktorjem.</w:t>
      </w:r>
    </w:p>
    <w:p w14:paraId="18F31DC8" w14:textId="77777777" w:rsidR="0066522E" w:rsidRDefault="0066522E" w:rsidP="007811C6">
      <w:pPr>
        <w:pStyle w:val="a3"/>
        <w:numPr>
          <w:ilvl w:val="0"/>
          <w:numId w:val="148"/>
        </w:numPr>
        <w:ind w:left="426" w:hanging="426"/>
        <w:rPr>
          <w:lang w:val="sl-SI"/>
        </w:rPr>
      </w:pPr>
      <w:r>
        <w:rPr>
          <w:rFonts w:eastAsia="Times New Roman"/>
          <w:lang w:val="sl-SI"/>
        </w:rPr>
        <w:t xml:space="preserve">2-stranska vrednost </w:t>
      </w:r>
      <w:r>
        <w:rPr>
          <w:rFonts w:eastAsia="Times New Roman"/>
          <w:i/>
          <w:iCs/>
          <w:lang w:val="sl-SI"/>
        </w:rPr>
        <w:t>p</w:t>
      </w:r>
      <w:r>
        <w:rPr>
          <w:rFonts w:eastAsia="Times New Roman"/>
          <w:lang w:val="sl-SI"/>
        </w:rPr>
        <w:t xml:space="preserve"> testa log-rank.</w:t>
      </w:r>
    </w:p>
    <w:p w14:paraId="41CA4B76" w14:textId="77777777" w:rsidR="0066522E" w:rsidRDefault="0066522E" w:rsidP="007811C6">
      <w:pPr>
        <w:pStyle w:val="a3"/>
        <w:numPr>
          <w:ilvl w:val="0"/>
          <w:numId w:val="148"/>
        </w:numPr>
        <w:ind w:left="426" w:hanging="426"/>
        <w:rPr>
          <w:lang w:val="sl-SI"/>
        </w:rPr>
      </w:pPr>
      <w:r>
        <w:rPr>
          <w:rFonts w:eastAsia="Times New Roman"/>
          <w:lang w:val="sl-SI"/>
        </w:rPr>
        <w:t>NE = ni mogoče oceniti. Manj kot polovica rizičnih preiskovancev je imelo dogodek.</w:t>
      </w:r>
    </w:p>
    <w:p w14:paraId="08BDC47D" w14:textId="77777777" w:rsidR="0066522E" w:rsidRDefault="0066522E" w:rsidP="0066522E">
      <w:pPr>
        <w:pStyle w:val="a3"/>
        <w:rPr>
          <w:lang w:val="sl-SI"/>
        </w:rPr>
      </w:pPr>
    </w:p>
    <w:p w14:paraId="32638708" w14:textId="77777777" w:rsidR="006B39BF" w:rsidRDefault="006B39BF">
      <w:pPr>
        <w:rPr>
          <w:rFonts w:ascii="Times New Roman" w:eastAsia="Times New Roman" w:hAnsi="Times New Roman" w:cs="Times New Roman"/>
          <w:b/>
          <w:bCs/>
          <w:lang w:val="sl-SI"/>
        </w:rPr>
      </w:pPr>
      <w:r>
        <w:rPr>
          <w:rFonts w:eastAsia="Times New Roman"/>
          <w:b/>
          <w:bCs/>
          <w:lang w:val="sl-SI"/>
        </w:rPr>
        <w:br w:type="page"/>
      </w:r>
    </w:p>
    <w:p w14:paraId="7327A1FC" w14:textId="2B38856E" w:rsidR="0066522E" w:rsidRDefault="0066522E" w:rsidP="0066522E">
      <w:pPr>
        <w:pStyle w:val="a3"/>
        <w:jc w:val="center"/>
        <w:rPr>
          <w:b/>
          <w:lang w:val="sl-SI"/>
        </w:rPr>
      </w:pPr>
      <w:r>
        <w:rPr>
          <w:rFonts w:eastAsiaTheme="minorHAnsi"/>
          <w:noProof/>
          <w:lang w:eastAsia="ko-KR"/>
        </w:rPr>
        <w:lastRenderedPageBreak/>
        <mc:AlternateContent>
          <mc:Choice Requires="wps">
            <w:drawing>
              <wp:anchor distT="0" distB="0" distL="114300" distR="114300" simplePos="0" relativeHeight="251658340" behindDoc="1" locked="0" layoutInCell="1" allowOverlap="1" wp14:anchorId="7C6DA2EC" wp14:editId="151040C8">
                <wp:simplePos x="0" y="0"/>
                <wp:positionH relativeFrom="page">
                  <wp:posOffset>641445</wp:posOffset>
                </wp:positionH>
                <wp:positionV relativeFrom="paragraph">
                  <wp:posOffset>309539</wp:posOffset>
                </wp:positionV>
                <wp:extent cx="493281" cy="2280285"/>
                <wp:effectExtent l="0" t="0" r="2540" b="5715"/>
                <wp:wrapNone/>
                <wp:docPr id="80" name="Text Box 3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281" cy="2280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D6D2B" w14:textId="77777777" w:rsidR="00474DFB" w:rsidRDefault="00474DFB" w:rsidP="0066522E">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sl-SI"/>
                              </w:rPr>
                              <w:t>ODSTOTEK NEUSPEHA ZDRAVLJENJA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DA2EC" id="_x0000_s1042" type="#_x0000_t202" style="position:absolute;left:0;text-align:left;margin-left:50.5pt;margin-top:24.35pt;width:38.85pt;height:179.55pt;z-index:-2516581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" filled="f" stroked="f">
                <v:textbox style="layout-flow:vertical;mso-layout-flow-alt:bottom-to-top" inset="0,0,0,0">
                  <w:txbxContent>
                    <w:p w14:paraId="571D6D2B" w14:textId="77777777" w:rsidR="00474DFB" w:rsidRDefault="00474DFB" w:rsidP="0066522E">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sl-SI"/>
                        </w:rPr>
                        <w:t>ODSTOTEK NEUSPEHA ZDRAVLJENJA (%)</w:t>
                      </w:r>
                    </w:p>
                  </w:txbxContent>
                </v:textbox>
                <w10:wrap anchorx="page"/>
              </v:shape>
            </w:pict>
          </mc:Fallback>
        </mc:AlternateContent>
      </w:r>
      <w:r>
        <w:rPr>
          <w:rFonts w:eastAsia="Times New Roman"/>
          <w:b/>
          <w:bCs/>
          <w:lang w:val="sl-SI"/>
        </w:rPr>
        <w:t>Slika </w:t>
      </w:r>
      <w:r w:rsidR="00945BDE">
        <w:rPr>
          <w:rFonts w:eastAsia="Times New Roman"/>
          <w:b/>
          <w:bCs/>
          <w:lang w:val="sl-SI"/>
        </w:rPr>
        <w:t>1</w:t>
      </w:r>
      <w:r>
        <w:rPr>
          <w:rFonts w:eastAsia="Times New Roman"/>
          <w:b/>
          <w:bCs/>
          <w:lang w:val="sl-SI"/>
        </w:rPr>
        <w:t>: Kaplan-Meierjeve krivulje povzemajo čas do neuspeha zdravljenja v ali po 6. tednu (študija UV I) ali 2. tednu (študija UV II)</w:t>
      </w:r>
    </w:p>
    <w:p w14:paraId="527E31B0" w14:textId="77777777" w:rsidR="0066522E" w:rsidRDefault="0066522E" w:rsidP="0066522E">
      <w:pPr>
        <w:spacing w:line="200" w:lineRule="exact"/>
        <w:rPr>
          <w:sz w:val="20"/>
          <w:szCs w:val="20"/>
          <w:lang w:val="sl-SI"/>
        </w:rPr>
      </w:pPr>
    </w:p>
    <w:p w14:paraId="4E451191" w14:textId="77777777" w:rsidR="0066522E" w:rsidRDefault="0066522E" w:rsidP="0066522E">
      <w:pPr>
        <w:ind w:left="701" w:right="10920"/>
        <w:rPr>
          <w:rFonts w:ascii="Times New Roman" w:eastAsia="Times New Roman" w:hAnsi="Times New Roman" w:cs="Times New Roman"/>
          <w:sz w:val="20"/>
          <w:szCs w:val="20"/>
          <w:lang w:val="sl-SI"/>
        </w:rPr>
      </w:pPr>
      <w:r>
        <w:rPr>
          <w:b/>
          <w:noProof/>
          <w:lang w:eastAsia="ko-KR"/>
        </w:rPr>
        <mc:AlternateContent>
          <mc:Choice Requires="wps">
            <w:drawing>
              <wp:anchor distT="0" distB="0" distL="114300" distR="114300" simplePos="0" relativeHeight="251658341" behindDoc="0" locked="0" layoutInCell="1" allowOverlap="1" wp14:anchorId="2B91F4AD" wp14:editId="19645748">
                <wp:simplePos x="0" y="0"/>
                <wp:positionH relativeFrom="column">
                  <wp:posOffset>605155</wp:posOffset>
                </wp:positionH>
                <wp:positionV relativeFrom="paragraph">
                  <wp:posOffset>2250633</wp:posOffset>
                </wp:positionV>
                <wp:extent cx="436880" cy="273997"/>
                <wp:effectExtent l="0" t="0" r="1270" b="0"/>
                <wp:wrapNone/>
                <wp:docPr id="1039" name="Text Box 1039"/>
                <wp:cNvGraphicFramePr/>
                <a:graphic xmlns:a="http://schemas.openxmlformats.org/drawingml/2006/main">
                  <a:graphicData uri="http://schemas.microsoft.com/office/word/2010/wordprocessingShape">
                    <wps:wsp>
                      <wps:cNvSpPr txBox="1"/>
                      <wps:spPr>
                        <a:xfrm>
                          <a:off x="0" y="0"/>
                          <a:ext cx="436880" cy="27399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CD3266" w14:textId="77777777" w:rsidR="00474DFB" w:rsidRDefault="00474DFB" w:rsidP="0066522E">
                            <w:pPr>
                              <w:rPr>
                                <w:rFonts w:asciiTheme="majorBidi" w:hAnsiTheme="majorBidi" w:cstheme="majorBidi"/>
                                <w:b/>
                                <w:bCs/>
                                <w:sz w:val="16"/>
                                <w:szCs w:val="16"/>
                              </w:rPr>
                            </w:pPr>
                            <w:r>
                              <w:rPr>
                                <w:rFonts w:ascii="Times New Roman" w:eastAsia="Times New Roman" w:hAnsi="Times New Roman" w:cs="Times New Roman"/>
                                <w:b/>
                                <w:bCs/>
                                <w:sz w:val="16"/>
                                <w:szCs w:val="16"/>
                                <w:lang w:val="sl-SI"/>
                              </w:rPr>
                              <w:t>P#0/107</w:t>
                            </w:r>
                          </w:p>
                          <w:p w14:paraId="32133EA9" w14:textId="77777777" w:rsidR="00474DFB" w:rsidRDefault="00474DFB" w:rsidP="0066522E">
                            <w:pPr>
                              <w:rPr>
                                <w:rFonts w:asciiTheme="majorBidi" w:hAnsiTheme="majorBidi" w:cstheme="majorBidi"/>
                                <w:b/>
                                <w:bCs/>
                                <w:sz w:val="16"/>
                                <w:szCs w:val="16"/>
                              </w:rPr>
                            </w:pPr>
                            <w:r>
                              <w:rPr>
                                <w:rFonts w:ascii="Times New Roman" w:eastAsia="Times New Roman" w:hAnsi="Times New Roman" w:cs="Times New Roman"/>
                                <w:b/>
                                <w:bCs/>
                                <w:sz w:val="16"/>
                                <w:szCs w:val="16"/>
                                <w:lang w:val="sl-SI"/>
                              </w:rPr>
                              <w:t>A#0/110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B91F4AD" id="Text Box 1039" o:spid="_x0000_s1043" type="#_x0000_t202" style="position:absolute;left:0;text-align:left;margin-left:47.65pt;margin-top:177.2pt;width:34.4pt;height:21.55pt;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" fillcolor="white [3212]" stroked="f" strokeweight=".5pt">
                <v:textbox inset="0,0,0,0">
                  <w:txbxContent>
                    <w:p w14:paraId="43CD3266" w14:textId="77777777" w:rsidR="00474DFB" w:rsidRDefault="00474DFB" w:rsidP="0066522E">
                      <w:pPr>
                        <w:rPr>
                          <w:rFonts w:asciiTheme="majorBidi" w:hAnsiTheme="majorBidi" w:cstheme="majorBidi"/>
                          <w:b/>
                          <w:bCs/>
                          <w:sz w:val="16"/>
                          <w:szCs w:val="16"/>
                        </w:rPr>
                      </w:pPr>
                      <w:r>
                        <w:rPr>
                          <w:rFonts w:ascii="Times New Roman" w:eastAsia="Times New Roman" w:hAnsi="Times New Roman" w:cs="Times New Roman"/>
                          <w:b/>
                          <w:bCs/>
                          <w:sz w:val="16"/>
                          <w:szCs w:val="16"/>
                          <w:lang w:val="sl-SI"/>
                        </w:rPr>
                        <w:t>P#0/107</w:t>
                      </w:r>
                    </w:p>
                    <w:p w14:paraId="32133EA9" w14:textId="77777777" w:rsidR="00474DFB" w:rsidRDefault="00474DFB" w:rsidP="0066522E">
                      <w:pPr>
                        <w:rPr>
                          <w:rFonts w:asciiTheme="majorBidi" w:hAnsiTheme="majorBidi" w:cstheme="majorBidi"/>
                          <w:b/>
                          <w:bCs/>
                          <w:sz w:val="16"/>
                          <w:szCs w:val="16"/>
                        </w:rPr>
                      </w:pPr>
                      <w:r>
                        <w:rPr>
                          <w:rFonts w:ascii="Times New Roman" w:eastAsia="Times New Roman" w:hAnsi="Times New Roman" w:cs="Times New Roman"/>
                          <w:b/>
                          <w:bCs/>
                          <w:sz w:val="16"/>
                          <w:szCs w:val="16"/>
                          <w:lang w:val="sl-SI"/>
                        </w:rPr>
                        <w:t>A#0/110</w:t>
                      </w:r>
                    </w:p>
                  </w:txbxContent>
                </v:textbox>
              </v:shape>
            </w:pict>
          </mc:Fallback>
        </mc:AlternateContent>
      </w:r>
      <w:r>
        <w:rPr>
          <w:noProof/>
          <w:lang w:eastAsia="ko-KR"/>
        </w:rPr>
        <w:drawing>
          <wp:inline distT="0" distB="0" distL="0" distR="0" wp14:anchorId="3975351B" wp14:editId="60831F61">
            <wp:extent cx="5629523" cy="2512060"/>
            <wp:effectExtent l="0" t="0" r="9525" b="2540"/>
            <wp:docPr id="3903"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846714" name="Picture 25"/>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643633" cy="2518356"/>
                    </a:xfrm>
                    <a:prstGeom prst="rect">
                      <a:avLst/>
                    </a:prstGeom>
                    <a:noFill/>
                    <a:ln>
                      <a:noFill/>
                    </a:ln>
                  </pic:spPr>
                </pic:pic>
              </a:graphicData>
            </a:graphic>
          </wp:inline>
        </w:drawing>
      </w:r>
    </w:p>
    <w:p w14:paraId="4ABFBF57" w14:textId="77777777" w:rsidR="0066522E" w:rsidRDefault="0066522E" w:rsidP="0066522E">
      <w:pPr>
        <w:spacing w:line="233" w:lineRule="exact"/>
        <w:ind w:left="4099" w:right="3727"/>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ČAS (MESECI)</w:t>
      </w:r>
    </w:p>
    <w:p w14:paraId="391C5A60" w14:textId="77777777" w:rsidR="0066522E" w:rsidRDefault="0066522E" w:rsidP="0066522E">
      <w:pPr>
        <w:pStyle w:val="a3"/>
        <w:ind w:firstLine="701"/>
        <w:rPr>
          <w:lang w:val="sl-SI"/>
        </w:rPr>
      </w:pPr>
      <w:r>
        <w:rPr>
          <w:noProof/>
          <w:lang w:eastAsia="ko-KR"/>
        </w:rPr>
        <w:drawing>
          <wp:anchor distT="0" distB="0" distL="114300" distR="114300" simplePos="0" relativeHeight="251658338" behindDoc="1" locked="0" layoutInCell="1" allowOverlap="1" wp14:anchorId="2157AC86" wp14:editId="3B8253D1">
            <wp:simplePos x="0" y="0"/>
            <wp:positionH relativeFrom="page">
              <wp:posOffset>3696970</wp:posOffset>
            </wp:positionH>
            <wp:positionV relativeFrom="paragraph">
              <wp:posOffset>1905</wp:posOffset>
            </wp:positionV>
            <wp:extent cx="397510" cy="182880"/>
            <wp:effectExtent l="0" t="0" r="0" b="0"/>
            <wp:wrapNone/>
            <wp:docPr id="3904" name="그림 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45083" name="Picture 388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7510" cy="1828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ko-KR"/>
        </w:rPr>
        <w:drawing>
          <wp:anchor distT="0" distB="0" distL="114300" distR="114300" simplePos="0" relativeHeight="251658339" behindDoc="1" locked="0" layoutInCell="1" allowOverlap="1" wp14:anchorId="11D6492D" wp14:editId="64C20B6D">
            <wp:simplePos x="0" y="0"/>
            <wp:positionH relativeFrom="page">
              <wp:posOffset>5091430</wp:posOffset>
            </wp:positionH>
            <wp:positionV relativeFrom="paragraph">
              <wp:posOffset>1905</wp:posOffset>
            </wp:positionV>
            <wp:extent cx="501650" cy="182880"/>
            <wp:effectExtent l="0" t="0" r="0" b="0"/>
            <wp:wrapNone/>
            <wp:docPr id="3905" name="그림 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16989" name="Picture 3881"/>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01650" cy="182880"/>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lang w:val="sl-SI"/>
        </w:rPr>
        <w:t>Študija UV I</w:t>
      </w:r>
      <w:r>
        <w:rPr>
          <w:rFonts w:eastAsia="Times New Roman"/>
          <w:lang w:val="sl-SI"/>
        </w:rPr>
        <w:tab/>
      </w:r>
      <w:r>
        <w:rPr>
          <w:rFonts w:eastAsia="Times New Roman"/>
          <w:lang w:val="sl-SI"/>
        </w:rPr>
        <w:tab/>
        <w:t xml:space="preserve">   Zdravljenje</w:t>
      </w:r>
      <w:r>
        <w:rPr>
          <w:rFonts w:eastAsia="Times New Roman"/>
          <w:lang w:val="sl-SI"/>
        </w:rPr>
        <w:tab/>
      </w:r>
      <w:r>
        <w:rPr>
          <w:rFonts w:eastAsia="Times New Roman"/>
          <w:lang w:val="sl-SI"/>
        </w:rPr>
        <w:tab/>
      </w:r>
      <w:r>
        <w:rPr>
          <w:rFonts w:eastAsia="Times New Roman"/>
          <w:lang w:val="sl-SI"/>
        </w:rPr>
        <w:tab/>
        <w:t>Placebo</w:t>
      </w:r>
      <w:r>
        <w:rPr>
          <w:rFonts w:eastAsia="Times New Roman"/>
          <w:lang w:val="sl-SI"/>
        </w:rPr>
        <w:tab/>
      </w:r>
      <w:r>
        <w:rPr>
          <w:rFonts w:eastAsia="Times New Roman"/>
          <w:lang w:val="sl-SI"/>
        </w:rPr>
        <w:tab/>
      </w:r>
      <w:r>
        <w:rPr>
          <w:rFonts w:eastAsia="Times New Roman"/>
          <w:lang w:val="sl-SI"/>
        </w:rPr>
        <w:tab/>
        <w:t>Adalimumab</w:t>
      </w:r>
    </w:p>
    <w:p w14:paraId="0FC3F2B0" w14:textId="77777777" w:rsidR="0066522E" w:rsidRDefault="0066522E" w:rsidP="0066522E">
      <w:pPr>
        <w:rPr>
          <w:lang w:val="sl-SI"/>
        </w:rPr>
      </w:pPr>
    </w:p>
    <w:p w14:paraId="6B420D4C" w14:textId="77777777" w:rsidR="0066522E" w:rsidRDefault="0066522E" w:rsidP="0066522E">
      <w:pPr>
        <w:spacing w:before="97"/>
        <w:ind w:left="701" w:right="10920"/>
        <w:rPr>
          <w:rFonts w:ascii="Times New Roman" w:eastAsia="Times New Roman" w:hAnsi="Times New Roman" w:cs="Times New Roman"/>
          <w:sz w:val="20"/>
          <w:szCs w:val="20"/>
          <w:lang w:val="sl-SI"/>
        </w:rPr>
      </w:pPr>
      <w:r>
        <w:rPr>
          <w:noProof/>
          <w:lang w:eastAsia="ko-KR"/>
        </w:rPr>
        <mc:AlternateContent>
          <mc:Choice Requires="wpg">
            <w:drawing>
              <wp:anchor distT="0" distB="0" distL="114300" distR="114300" simplePos="0" relativeHeight="251658342" behindDoc="0" locked="0" layoutInCell="1" allowOverlap="1" wp14:anchorId="033D4AC3" wp14:editId="6169DF79">
                <wp:simplePos x="0" y="0"/>
                <wp:positionH relativeFrom="column">
                  <wp:posOffset>-93980</wp:posOffset>
                </wp:positionH>
                <wp:positionV relativeFrom="paragraph">
                  <wp:posOffset>137933</wp:posOffset>
                </wp:positionV>
                <wp:extent cx="1132916" cy="2615648"/>
                <wp:effectExtent l="0" t="0" r="0" b="0"/>
                <wp:wrapNone/>
                <wp:docPr id="1041" name="Group 3872"/>
                <wp:cNvGraphicFramePr/>
                <a:graphic xmlns:a="http://schemas.openxmlformats.org/drawingml/2006/main">
                  <a:graphicData uri="http://schemas.microsoft.com/office/word/2010/wordprocessingGroup">
                    <wpg:wgp>
                      <wpg:cNvGrpSpPr/>
                      <wpg:grpSpPr>
                        <a:xfrm>
                          <a:off x="0" y="0"/>
                          <a:ext cx="1132916" cy="2615648"/>
                          <a:chOff x="0" y="0"/>
                          <a:chExt cx="1132916" cy="2615648"/>
                        </a:xfrm>
                      </wpg:grpSpPr>
                      <wps:wsp>
                        <wps:cNvPr id="1043" name="Text Box 3880"/>
                        <wps:cNvSpPr txBox="1">
                          <a:spLocks noChangeArrowheads="1"/>
                        </wps:cNvSpPr>
                        <wps:spPr bwMode="auto">
                          <a:xfrm>
                            <a:off x="0" y="0"/>
                            <a:ext cx="411395" cy="2280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596672" w14:textId="77777777" w:rsidR="00474DFB" w:rsidRDefault="00474DFB" w:rsidP="0066522E">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sl-SI"/>
                                </w:rPr>
                                <w:t>ODSTOTEK NEUSPEHA ZDRAVLJENJA (%)</w:t>
                              </w:r>
                            </w:p>
                          </w:txbxContent>
                        </wps:txbx>
                        <wps:bodyPr rot="0" vert="vert270" wrap="square" lIns="0" tIns="0" rIns="0" bIns="0" anchor="t" anchorCtr="0" upright="1">
                          <a:noAutofit/>
                        </wps:bodyPr>
                      </wps:wsp>
                      <wps:wsp>
                        <wps:cNvPr id="1044" name="Text Box 1044"/>
                        <wps:cNvSpPr txBox="1"/>
                        <wps:spPr>
                          <a:xfrm>
                            <a:off x="696036" y="2341651"/>
                            <a:ext cx="436880" cy="27399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C6608B" w14:textId="77777777" w:rsidR="00474DFB" w:rsidRDefault="00474DFB" w:rsidP="0066522E">
                              <w:pPr>
                                <w:rPr>
                                  <w:rFonts w:asciiTheme="majorBidi" w:hAnsiTheme="majorBidi" w:cstheme="majorBidi"/>
                                  <w:b/>
                                  <w:bCs/>
                                  <w:sz w:val="16"/>
                                  <w:szCs w:val="16"/>
                                </w:rPr>
                              </w:pPr>
                              <w:r>
                                <w:rPr>
                                  <w:rFonts w:ascii="Times New Roman" w:eastAsia="Times New Roman" w:hAnsi="Times New Roman" w:cs="Times New Roman"/>
                                  <w:b/>
                                  <w:bCs/>
                                  <w:sz w:val="16"/>
                                  <w:szCs w:val="16"/>
                                  <w:lang w:val="sl-SI"/>
                                </w:rPr>
                                <w:t>P#0/111</w:t>
                              </w:r>
                            </w:p>
                            <w:p w14:paraId="1272A8CA" w14:textId="77777777" w:rsidR="00474DFB" w:rsidRDefault="00474DFB" w:rsidP="0066522E">
                              <w:pPr>
                                <w:rPr>
                                  <w:rFonts w:asciiTheme="majorBidi" w:hAnsiTheme="majorBidi" w:cstheme="majorBidi"/>
                                  <w:b/>
                                  <w:bCs/>
                                  <w:sz w:val="16"/>
                                  <w:szCs w:val="16"/>
                                </w:rPr>
                              </w:pPr>
                              <w:r>
                                <w:rPr>
                                  <w:rFonts w:ascii="Times New Roman" w:eastAsia="Times New Roman" w:hAnsi="Times New Roman" w:cs="Times New Roman"/>
                                  <w:b/>
                                  <w:bCs/>
                                  <w:sz w:val="16"/>
                                  <w:szCs w:val="16"/>
                                  <w:lang w:val="sl-SI"/>
                                </w:rPr>
                                <w:t>A#0/115</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V relativeFrom="margin">
                  <wp14:pctHeight>0</wp14:pctHeight>
                </wp14:sizeRelV>
              </wp:anchor>
            </w:drawing>
          </mc:Choice>
          <mc:Fallback>
            <w:pict>
              <v:group w14:anchorId="033D4AC3" id="_x0000_s1044" style="position:absolute;left:0;text-align:left;margin-left:-7.4pt;margin-top:10.85pt;width:89.2pt;height:205.95pt;z-index:251658342;mso-height-relative:margin" coordsize="11329,2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">
                <v:shape id="Text Box 3880" o:spid="_x0000_s1045" type="#_x0000_t202" style="position:absolute;width:4113;height:22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" filled="f" stroked="f">
                  <v:textbox style="layout-flow:vertical;mso-layout-flow-alt:bottom-to-top" inset="0,0,0,0">
                    <w:txbxContent>
                      <w:p w14:paraId="66596672" w14:textId="77777777" w:rsidR="00474DFB" w:rsidRDefault="00474DFB" w:rsidP="0066522E">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sl-SI"/>
                          </w:rPr>
                          <w:t>ODSTOTEK NEUSPEHA ZDRAVLJENJA (%)</w:t>
                        </w:r>
                      </w:p>
                    </w:txbxContent>
                  </v:textbox>
                </v:shape>
                <v:shape id="Text Box 1044" o:spid="_x0000_s1046" type="#_x0000_t202" style="position:absolute;left:6960;top:23416;width:4369;height:2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" fillcolor="white [3212]" stroked="f" strokeweight=".5pt">
                  <v:textbox inset="0,0,0,0">
                    <w:txbxContent>
                      <w:p w14:paraId="61C6608B" w14:textId="77777777" w:rsidR="00474DFB" w:rsidRDefault="00474DFB" w:rsidP="0066522E">
                        <w:pPr>
                          <w:rPr>
                            <w:rFonts w:asciiTheme="majorBidi" w:hAnsiTheme="majorBidi" w:cstheme="majorBidi"/>
                            <w:b/>
                            <w:bCs/>
                            <w:sz w:val="16"/>
                            <w:szCs w:val="16"/>
                          </w:rPr>
                        </w:pPr>
                        <w:r>
                          <w:rPr>
                            <w:rFonts w:ascii="Times New Roman" w:eastAsia="Times New Roman" w:hAnsi="Times New Roman" w:cs="Times New Roman"/>
                            <w:b/>
                            <w:bCs/>
                            <w:sz w:val="16"/>
                            <w:szCs w:val="16"/>
                            <w:lang w:val="sl-SI"/>
                          </w:rPr>
                          <w:t>P#0/111</w:t>
                        </w:r>
                      </w:p>
                      <w:p w14:paraId="1272A8CA" w14:textId="77777777" w:rsidR="00474DFB" w:rsidRDefault="00474DFB" w:rsidP="0066522E">
                        <w:pPr>
                          <w:rPr>
                            <w:rFonts w:asciiTheme="majorBidi" w:hAnsiTheme="majorBidi" w:cstheme="majorBidi"/>
                            <w:b/>
                            <w:bCs/>
                            <w:sz w:val="16"/>
                            <w:szCs w:val="16"/>
                          </w:rPr>
                        </w:pPr>
                        <w:r>
                          <w:rPr>
                            <w:rFonts w:ascii="Times New Roman" w:eastAsia="Times New Roman" w:hAnsi="Times New Roman" w:cs="Times New Roman"/>
                            <w:b/>
                            <w:bCs/>
                            <w:sz w:val="16"/>
                            <w:szCs w:val="16"/>
                            <w:lang w:val="sl-SI"/>
                          </w:rPr>
                          <w:t>A#0/115</w:t>
                        </w:r>
                      </w:p>
                    </w:txbxContent>
                  </v:textbox>
                </v:shape>
              </v:group>
            </w:pict>
          </mc:Fallback>
        </mc:AlternateContent>
      </w:r>
      <w:r>
        <w:rPr>
          <w:noProof/>
          <w:lang w:eastAsia="ko-KR"/>
        </w:rPr>
        <w:drawing>
          <wp:inline distT="0" distB="0" distL="0" distR="0" wp14:anchorId="35AF0D7C" wp14:editId="17A52770">
            <wp:extent cx="5602363" cy="2750820"/>
            <wp:effectExtent l="0" t="0" r="0" b="0"/>
            <wp:docPr id="3906"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603897" name="Picture 26"/>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615156" cy="2757101"/>
                    </a:xfrm>
                    <a:prstGeom prst="rect">
                      <a:avLst/>
                    </a:prstGeom>
                    <a:noFill/>
                    <a:ln>
                      <a:noFill/>
                    </a:ln>
                  </pic:spPr>
                </pic:pic>
              </a:graphicData>
            </a:graphic>
          </wp:inline>
        </w:drawing>
      </w:r>
    </w:p>
    <w:p w14:paraId="600501C3" w14:textId="77777777" w:rsidR="0066522E" w:rsidRDefault="0066522E" w:rsidP="0066522E">
      <w:pPr>
        <w:spacing w:before="11"/>
        <w:ind w:left="4099" w:right="3647"/>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ČAS (MESECI)</w:t>
      </w:r>
    </w:p>
    <w:p w14:paraId="3B217812" w14:textId="77777777" w:rsidR="0066522E" w:rsidRDefault="0066522E" w:rsidP="0066522E">
      <w:pPr>
        <w:pStyle w:val="a3"/>
        <w:ind w:firstLine="720"/>
        <w:rPr>
          <w:lang w:val="sl-SI"/>
        </w:rPr>
      </w:pPr>
      <w:r>
        <w:rPr>
          <w:rFonts w:eastAsia="Times New Roman"/>
          <w:lang w:val="sl-SI"/>
        </w:rPr>
        <w:t>Študija UV II</w:t>
      </w:r>
      <w:r>
        <w:rPr>
          <w:rFonts w:eastAsia="Times New Roman"/>
          <w:lang w:val="sl-SI"/>
        </w:rPr>
        <w:tab/>
      </w:r>
      <w:r>
        <w:rPr>
          <w:rFonts w:eastAsia="Times New Roman"/>
          <w:lang w:val="sl-SI"/>
        </w:rPr>
        <w:tab/>
        <w:t xml:space="preserve">   Zdravljenje</w:t>
      </w:r>
      <w:r>
        <w:rPr>
          <w:rFonts w:eastAsia="Times New Roman"/>
          <w:lang w:val="sl-SI"/>
        </w:rPr>
        <w:tab/>
      </w:r>
      <w:r>
        <w:rPr>
          <w:noProof/>
          <w:lang w:eastAsia="ko-KR"/>
        </w:rPr>
        <w:drawing>
          <wp:inline distT="0" distB="0" distL="0" distR="0" wp14:anchorId="35E6C1EA" wp14:editId="70A9F9C2">
            <wp:extent cx="393700" cy="177800"/>
            <wp:effectExtent l="0" t="0" r="0" b="0"/>
            <wp:docPr id="3907"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29637" name="Picture 27"/>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3700" cy="177800"/>
                    </a:xfrm>
                    <a:prstGeom prst="rect">
                      <a:avLst/>
                    </a:prstGeom>
                    <a:noFill/>
                    <a:ln>
                      <a:noFill/>
                    </a:ln>
                  </pic:spPr>
                </pic:pic>
              </a:graphicData>
            </a:graphic>
          </wp:inline>
        </w:drawing>
      </w:r>
      <w:r>
        <w:rPr>
          <w:rFonts w:eastAsia="Times New Roman"/>
          <w:lang w:val="sl-SI"/>
        </w:rPr>
        <w:t xml:space="preserve">    Placebo</w:t>
      </w:r>
      <w:r>
        <w:rPr>
          <w:rFonts w:eastAsia="Times New Roman"/>
          <w:lang w:val="sl-SI"/>
        </w:rPr>
        <w:tab/>
      </w:r>
      <w:r>
        <w:rPr>
          <w:noProof/>
          <w:lang w:eastAsia="ko-KR"/>
        </w:rPr>
        <w:drawing>
          <wp:inline distT="0" distB="0" distL="0" distR="0" wp14:anchorId="43DF79D1" wp14:editId="6F5127F5">
            <wp:extent cx="508000" cy="177800"/>
            <wp:effectExtent l="0" t="0" r="0" b="0"/>
            <wp:docPr id="3908"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74050" name="Picture 28"/>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08000" cy="177800"/>
                    </a:xfrm>
                    <a:prstGeom prst="rect">
                      <a:avLst/>
                    </a:prstGeom>
                    <a:noFill/>
                    <a:ln>
                      <a:noFill/>
                    </a:ln>
                  </pic:spPr>
                </pic:pic>
              </a:graphicData>
            </a:graphic>
          </wp:inline>
        </w:drawing>
      </w:r>
      <w:r>
        <w:rPr>
          <w:rFonts w:eastAsia="Times New Roman"/>
          <w:lang w:val="sl-SI"/>
        </w:rPr>
        <w:t xml:space="preserve">  Adalimumab</w:t>
      </w:r>
    </w:p>
    <w:p w14:paraId="0E082967" w14:textId="77777777" w:rsidR="0066522E" w:rsidRPr="00B11B84" w:rsidRDefault="0066522E" w:rsidP="0066522E">
      <w:pPr>
        <w:spacing w:before="9" w:line="130" w:lineRule="exact"/>
        <w:rPr>
          <w:sz w:val="13"/>
          <w:szCs w:val="13"/>
          <w:lang w:val="sl-SI"/>
        </w:rPr>
      </w:pPr>
    </w:p>
    <w:p w14:paraId="6A29063E" w14:textId="77777777" w:rsidR="0066522E" w:rsidRDefault="0066522E" w:rsidP="0066522E">
      <w:pPr>
        <w:pStyle w:val="a3"/>
        <w:rPr>
          <w:lang w:val="sl-SI"/>
        </w:rPr>
      </w:pPr>
      <w:r>
        <w:rPr>
          <w:rFonts w:eastAsia="Times New Roman"/>
          <w:lang w:val="sl-SI"/>
        </w:rPr>
        <w:t>Opomba: P# = placebo (število dogodkov/število rizičnih preiskovancev); A# = adalimumab (število dogodkov/število rizičnih preiskovancev).</w:t>
      </w:r>
    </w:p>
    <w:p w14:paraId="5DADB714" w14:textId="77777777" w:rsidR="0066522E" w:rsidRDefault="0066522E" w:rsidP="0066522E">
      <w:pPr>
        <w:spacing w:line="200" w:lineRule="exact"/>
        <w:rPr>
          <w:sz w:val="20"/>
          <w:szCs w:val="20"/>
          <w:lang w:val="sl-SI"/>
        </w:rPr>
      </w:pPr>
    </w:p>
    <w:p w14:paraId="6C55669C" w14:textId="77777777" w:rsidR="0066522E" w:rsidRDefault="0066522E" w:rsidP="0066522E">
      <w:pPr>
        <w:pStyle w:val="a3"/>
        <w:rPr>
          <w:lang w:val="sl-SI"/>
        </w:rPr>
      </w:pPr>
      <w:r>
        <w:rPr>
          <w:rFonts w:eastAsia="Times New Roman"/>
          <w:lang w:val="sl-SI"/>
        </w:rPr>
        <w:t>V študiji UV I so opazili statistično pomembne razlike v korist adalimumaba v primerjavi s placebom za vsako od komponent neuspeha zdravljenja. V študiji UV II so opazili statistično pomembne razlike samo za ostrino vida, toda tudi ostale komponente so bile glede številk v korist adalimumaba.</w:t>
      </w:r>
    </w:p>
    <w:p w14:paraId="234E618A" w14:textId="77777777" w:rsidR="0066522E" w:rsidRDefault="0066522E" w:rsidP="0066522E">
      <w:pPr>
        <w:spacing w:before="13" w:line="240" w:lineRule="exact"/>
        <w:rPr>
          <w:sz w:val="24"/>
          <w:szCs w:val="24"/>
          <w:lang w:val="sl-SI"/>
        </w:rPr>
      </w:pPr>
    </w:p>
    <w:p w14:paraId="1100B025" w14:textId="77777777" w:rsidR="0066522E" w:rsidRDefault="0066522E" w:rsidP="0066522E">
      <w:pPr>
        <w:pStyle w:val="a3"/>
        <w:rPr>
          <w:lang w:val="sl-SI"/>
        </w:rPr>
      </w:pPr>
      <w:r>
        <w:rPr>
          <w:rFonts w:eastAsia="Times New Roman"/>
          <w:lang w:val="sl-SI"/>
        </w:rPr>
        <w:t xml:space="preserve">Od 424 bolnikov, ki so bili vključeni v nekontrolirani dolgoročni podaljšek študij UV I in UV II, je bilo 60 bolnikov neprimernih (npr. zaradi odstopanj ali zapletov, sekundarno ob diabetični retinopatiji zaradi kirurškega posega sive mrene ali vitrektomije) in so bili izključeni iz primarne analize učinkovitosti. Od preostalih 364 bolnikov je 269 ovrednotenih bolnikov (74 %) zaključilo 78-tedensko odprto zdravljenje z adalimumabom. Na osnovi pristopa z opaženimi podatki je bilo 216 (80,3 %) bolnikov v remisiji (brez aktivnih vnetnih lezij, ocena celic sprednje očesne komore ≤ 0,5+, motnost steklovine ≤ 0,5+) ob sočasnem </w:t>
      </w:r>
      <w:r>
        <w:rPr>
          <w:rFonts w:eastAsia="Times New Roman"/>
          <w:lang w:val="sl-SI"/>
        </w:rPr>
        <w:lastRenderedPageBreak/>
        <w:t>jemanju steroidov v odmerku ≤ 7,5 mg na dan in pa 178 bolnikov (66,2 %), ki so bili v remisiji in brez steroidov. Najboljša korigirana ostrina vida se je ali izboljšala ali pa ohranila (poslabšanje ostrine vida &lt; 5 črk) pri 88,6 % očeh v 78. tednu. Podatki, zbrani po 78. tednu, so bili na splošno v skladu s temi rezultati, vendar se je število vključenih bolnikov zmanjšalo po tem času. Na splošno med bolniki, ki so prekinili študijo, jih je 18 % prekinilo študijo zaradi neželenih učinkov, 8 % pa zaradi nezadostnega odziva na zdravljenje z adalimumabom.</w:t>
      </w:r>
    </w:p>
    <w:p w14:paraId="62723A14" w14:textId="77777777" w:rsidR="0066522E" w:rsidRDefault="0066522E" w:rsidP="0066522E">
      <w:pPr>
        <w:pStyle w:val="a3"/>
        <w:rPr>
          <w:sz w:val="24"/>
          <w:szCs w:val="24"/>
          <w:lang w:val="sl-SI"/>
        </w:rPr>
      </w:pPr>
    </w:p>
    <w:p w14:paraId="532B0BC6" w14:textId="77777777" w:rsidR="0066522E" w:rsidRDefault="0066522E" w:rsidP="0066522E">
      <w:pPr>
        <w:pStyle w:val="a3"/>
        <w:rPr>
          <w:rFonts w:eastAsia="Times New Roman"/>
          <w:lang w:val="sl-SI"/>
        </w:rPr>
      </w:pPr>
      <w:r>
        <w:rPr>
          <w:rFonts w:eastAsia="Times New Roman"/>
          <w:i/>
          <w:iCs/>
          <w:spacing w:val="-1"/>
          <w:u w:val="single" w:color="000000"/>
          <w:lang w:val="sl-SI"/>
        </w:rPr>
        <w:t>Kakovost življenja</w:t>
      </w:r>
    </w:p>
    <w:p w14:paraId="356F8418" w14:textId="77777777" w:rsidR="0066522E" w:rsidRDefault="0066522E" w:rsidP="0066522E">
      <w:pPr>
        <w:pStyle w:val="a3"/>
        <w:rPr>
          <w:sz w:val="18"/>
          <w:szCs w:val="18"/>
          <w:lang w:val="sl-SI"/>
        </w:rPr>
      </w:pPr>
    </w:p>
    <w:p w14:paraId="122B6C68" w14:textId="77777777" w:rsidR="0066522E" w:rsidRDefault="0066522E" w:rsidP="0066522E">
      <w:pPr>
        <w:pStyle w:val="a3"/>
        <w:rPr>
          <w:sz w:val="24"/>
          <w:szCs w:val="24"/>
          <w:lang w:val="sl-SI"/>
        </w:rPr>
      </w:pPr>
      <w:r>
        <w:rPr>
          <w:rFonts w:eastAsia="Times New Roman"/>
          <w:lang w:val="sl-SI"/>
        </w:rPr>
        <w:t>Izidi poročil bolnikov glede opravil, povezanih z vidom, so bili merjeni v obeh kliničnih študijah z uporabo vprašalnika NEI VFQ-25. Številke so bile v korist adalimumaba za večino podrezultatov s statistično značilno povprečno razliko za splošni vid, očesno bolečino, vid na blizu, duševno zdravje in skupen rezultat v študiji UV I, ter za splošni vid in duševno zdravje v študiji UV II. Učinki povezani z vidom niso bili v korist adalimumaba v primeru barvnega vida v študiji UV I in v primeru barvnega vida, perifernega vida in vida na blizu v študiji UV II.</w:t>
      </w:r>
    </w:p>
    <w:p w14:paraId="26EA8389" w14:textId="77777777" w:rsidR="0066522E" w:rsidRDefault="0066522E" w:rsidP="0066522E">
      <w:pPr>
        <w:rPr>
          <w:lang w:val="sl-SI"/>
        </w:rPr>
      </w:pPr>
    </w:p>
    <w:p w14:paraId="0DC4E9A0" w14:textId="77777777" w:rsidR="0066522E" w:rsidRDefault="0066522E" w:rsidP="0066522E">
      <w:pPr>
        <w:pStyle w:val="a3"/>
        <w:rPr>
          <w:u w:val="single" w:color="000000"/>
          <w:lang w:val="sl-SI"/>
        </w:rPr>
      </w:pPr>
      <w:r>
        <w:rPr>
          <w:rFonts w:eastAsia="Times New Roman"/>
          <w:u w:val="single" w:color="000000"/>
          <w:lang w:val="sl-SI"/>
        </w:rPr>
        <w:t>Imunogenost</w:t>
      </w:r>
    </w:p>
    <w:p w14:paraId="56436435" w14:textId="77777777" w:rsidR="0066522E" w:rsidRDefault="0066522E" w:rsidP="007811C6">
      <w:pPr>
        <w:pStyle w:val="a3"/>
        <w:rPr>
          <w:sz w:val="18"/>
          <w:szCs w:val="18"/>
          <w:lang w:val="sl-SI" w:eastAsia="ko-KR"/>
        </w:rPr>
      </w:pPr>
    </w:p>
    <w:p w14:paraId="625BE984" w14:textId="452D8231" w:rsidR="008F1A83" w:rsidRPr="008F1A83" w:rsidRDefault="008F1A83" w:rsidP="008F1A83">
      <w:pPr>
        <w:widowControl/>
        <w:tabs>
          <w:tab w:val="left" w:pos="1294"/>
        </w:tabs>
        <w:autoSpaceDE w:val="0"/>
        <w:autoSpaceDN w:val="0"/>
        <w:adjustRightInd w:val="0"/>
        <w:rPr>
          <w:rFonts w:ascii="Times New Roman" w:eastAsia="바탕" w:hAnsi="Times New Roman" w:cs="Times New Roman"/>
          <w:lang w:val="sl-SI"/>
        </w:rPr>
      </w:pPr>
      <w:r w:rsidRPr="00E9267A">
        <w:rPr>
          <w:rFonts w:ascii="Times New Roman" w:hAnsi="Times New Roman"/>
          <w:lang w:val="sl-SI"/>
        </w:rPr>
        <w:t>Nastanek protiteles proti adalimumabu spremljata večji očistek in manjša učinkovitost adalimumaba. Med prisotnostjo protiteles proti adalimumabu in pojavnostjo neželenih učinkov ni očitne korelacije.</w:t>
      </w:r>
    </w:p>
    <w:p w14:paraId="7B1A618A" w14:textId="77777777" w:rsidR="008F1A83" w:rsidRPr="008F1A83" w:rsidRDefault="008F1A83" w:rsidP="008F1A83">
      <w:pPr>
        <w:widowControl/>
        <w:tabs>
          <w:tab w:val="left" w:pos="1294"/>
        </w:tabs>
        <w:autoSpaceDE w:val="0"/>
        <w:autoSpaceDN w:val="0"/>
        <w:adjustRightInd w:val="0"/>
        <w:rPr>
          <w:rFonts w:ascii="Times New Roman" w:eastAsia="바탕" w:hAnsi="Times New Roman" w:cs="Times New Roman"/>
          <w:lang w:val="sl-SI"/>
        </w:rPr>
      </w:pPr>
    </w:p>
    <w:p w14:paraId="3E1CDD40" w14:textId="77777777" w:rsidR="008F1A83" w:rsidRPr="008F1A83" w:rsidRDefault="008F1A83" w:rsidP="008F1A83">
      <w:pPr>
        <w:widowControl/>
        <w:tabs>
          <w:tab w:val="left" w:pos="1294"/>
        </w:tabs>
        <w:autoSpaceDE w:val="0"/>
        <w:autoSpaceDN w:val="0"/>
        <w:adjustRightInd w:val="0"/>
        <w:rPr>
          <w:rFonts w:ascii="Times New Roman" w:eastAsia="바탕" w:hAnsi="Times New Roman" w:cs="Times New Roman"/>
          <w:lang w:val="sl-SI"/>
        </w:rPr>
      </w:pPr>
      <w:r w:rsidRPr="008F1A83">
        <w:rPr>
          <w:rFonts w:ascii="Times New Roman" w:eastAsia="바탕" w:hAnsi="Times New Roman" w:cs="Times New Roman"/>
          <w:lang w:val="sl-SI" w:eastAsia="sl-SI"/>
        </w:rPr>
        <w:t>Med bolniki s poliartikularnim j</w:t>
      </w:r>
      <w:r w:rsidRPr="008F1A83">
        <w:rPr>
          <w:rFonts w:ascii="Times New Roman" w:eastAsia="바탕" w:hAnsi="Times New Roman" w:cs="Times New Roman"/>
          <w:szCs w:val="20"/>
          <w:lang w:val="sl-SI" w:eastAsia="sl-SI"/>
        </w:rPr>
        <w:t>uvenilnim idiopatskim artritisom, ki so bili stari od 4 do 17 let,</w:t>
      </w:r>
      <w:r w:rsidRPr="008F1A83">
        <w:rPr>
          <w:rFonts w:ascii="Times New Roman" w:eastAsia="바탕" w:hAnsi="Times New Roman" w:cs="Times New Roman"/>
          <w:lang w:val="sl-SI" w:eastAsia="sl-SI"/>
        </w:rPr>
        <w:t xml:space="preserve"> so protitelesa proti adalimumabu ugotovili pri 15,8 % (27/171) tistih, ki so dobivali adalimumab. Pri bolnikih, ki sočasno niso dobivali metotreksata, je bila incidenca 25,6 % (22/86) bolnikov, pri tistih, ki so adalimumab uporabljali kot dodatek metotreksatu, pa 5,9 % (5/85) bolnikov. Med bolniki s poliartikularnim j</w:t>
      </w:r>
      <w:r w:rsidRPr="008F1A83">
        <w:rPr>
          <w:rFonts w:ascii="Times New Roman" w:eastAsia="바탕" w:hAnsi="Times New Roman" w:cs="Times New Roman"/>
          <w:szCs w:val="20"/>
          <w:lang w:val="sl-SI" w:eastAsia="sl-SI"/>
        </w:rPr>
        <w:t xml:space="preserve">uvenilnim idiopatskim artritisom, </w:t>
      </w:r>
      <w:r w:rsidRPr="008F1A83">
        <w:rPr>
          <w:rFonts w:ascii="Times New Roman" w:eastAsia="바탕" w:hAnsi="Times New Roman" w:cs="Times New Roman"/>
          <w:lang w:val="sl-SI"/>
        </w:rPr>
        <w:t>ki so bili stari od 2 do &lt; 4 let ali 4 leta in več in so tehtali &lt;15 kg</w:t>
      </w:r>
      <w:r w:rsidRPr="008F1A83">
        <w:rPr>
          <w:rFonts w:ascii="Times New Roman" w:eastAsia="바탕" w:hAnsi="Times New Roman" w:cs="Times New Roman"/>
          <w:szCs w:val="20"/>
          <w:lang w:val="sl-SI" w:eastAsia="sl-SI"/>
        </w:rPr>
        <w:t>,</w:t>
      </w:r>
      <w:r w:rsidRPr="008F1A83">
        <w:rPr>
          <w:rFonts w:ascii="Times New Roman" w:eastAsia="바탕" w:hAnsi="Times New Roman" w:cs="Times New Roman"/>
          <w:lang w:val="sl-SI" w:eastAsia="sl-SI"/>
        </w:rPr>
        <w:t xml:space="preserve"> so protitelesa proti adalimumabu ugotovili pri 7 % (1/15) bolnikov, en bolnik je sočasno prejemal metotreksat.</w:t>
      </w:r>
    </w:p>
    <w:p w14:paraId="7460AC4D" w14:textId="77777777" w:rsidR="008F1A83" w:rsidRPr="008F1A83" w:rsidRDefault="008F1A83" w:rsidP="008F1A83">
      <w:pPr>
        <w:widowControl/>
        <w:tabs>
          <w:tab w:val="left" w:pos="1294"/>
        </w:tabs>
        <w:autoSpaceDE w:val="0"/>
        <w:autoSpaceDN w:val="0"/>
        <w:adjustRightInd w:val="0"/>
        <w:rPr>
          <w:rFonts w:ascii="Times New Roman" w:eastAsia="바탕" w:hAnsi="Times New Roman" w:cs="Times New Roman"/>
          <w:lang w:val="sl-SI"/>
        </w:rPr>
      </w:pPr>
    </w:p>
    <w:p w14:paraId="3BBEEDD3" w14:textId="77777777" w:rsidR="008F1A83" w:rsidRPr="008F1A83" w:rsidRDefault="008F1A83" w:rsidP="008F1A83">
      <w:pPr>
        <w:widowControl/>
        <w:tabs>
          <w:tab w:val="left" w:pos="1294"/>
        </w:tabs>
        <w:autoSpaceDE w:val="0"/>
        <w:autoSpaceDN w:val="0"/>
        <w:adjustRightInd w:val="0"/>
        <w:rPr>
          <w:rFonts w:ascii="Times New Roman" w:eastAsia="바탕" w:hAnsi="Times New Roman" w:cs="Times New Roman"/>
          <w:lang w:val="sl-SI" w:eastAsia="sl-SI"/>
        </w:rPr>
      </w:pPr>
      <w:r w:rsidRPr="008F1A83">
        <w:rPr>
          <w:rFonts w:ascii="Times New Roman" w:eastAsia="바탕" w:hAnsi="Times New Roman" w:cs="Times New Roman"/>
          <w:lang w:val="sl-SI" w:eastAsia="sl-SI"/>
        </w:rPr>
        <w:t xml:space="preserve">Pri bolnikih z artritisom, povezanim z entezitisom so protitelesa proti </w:t>
      </w:r>
      <w:r w:rsidRPr="008F1A83">
        <w:rPr>
          <w:rFonts w:ascii="Times New Roman" w:eastAsia="바탕" w:hAnsi="Times New Roman" w:cs="Times New Roman"/>
          <w:lang w:val="sl-SI"/>
        </w:rPr>
        <w:t xml:space="preserve">adalimumabu ugotovili pri </w:t>
      </w:r>
    </w:p>
    <w:p w14:paraId="26B68834" w14:textId="77777777" w:rsidR="008F1A83" w:rsidRPr="008F1A83" w:rsidRDefault="008F1A83" w:rsidP="008F1A83">
      <w:pPr>
        <w:widowControl/>
        <w:tabs>
          <w:tab w:val="left" w:pos="1294"/>
        </w:tabs>
        <w:autoSpaceDE w:val="0"/>
        <w:autoSpaceDN w:val="0"/>
        <w:adjustRightInd w:val="0"/>
        <w:rPr>
          <w:rFonts w:ascii="Times New Roman" w:eastAsia="바탕" w:hAnsi="Times New Roman" w:cs="Times New Roman"/>
          <w:lang w:val="sl-SI"/>
        </w:rPr>
      </w:pPr>
      <w:r w:rsidRPr="008F1A83">
        <w:rPr>
          <w:rFonts w:ascii="Times New Roman" w:eastAsia="바탕" w:hAnsi="Times New Roman" w:cs="Times New Roman"/>
          <w:lang w:val="sl-SI" w:eastAsia="sl-SI"/>
        </w:rPr>
        <w:t xml:space="preserve">10,9 % (5/46) bolnikov, ki so dobivali </w:t>
      </w:r>
      <w:r w:rsidRPr="008F1A83">
        <w:rPr>
          <w:rFonts w:ascii="Times New Roman" w:eastAsia="바탕" w:hAnsi="Times New Roman" w:cs="Times New Roman"/>
          <w:lang w:val="sl-SI"/>
        </w:rPr>
        <w:t>adalimumab. Pri bolnikih, ki sočasno niso dobivali metotreksata, je bila incidenca 13,6 % (3/22) bolnikov, pri tistih, ki so adalimumab uporabljali kot dodatek metotreksatu, pa 8,3 % (2/24) bolnikov.</w:t>
      </w:r>
    </w:p>
    <w:p w14:paraId="4393F07B" w14:textId="77777777" w:rsidR="008F1A83" w:rsidRPr="008F1A83" w:rsidRDefault="008F1A83" w:rsidP="008F1A83">
      <w:pPr>
        <w:widowControl/>
        <w:tabs>
          <w:tab w:val="left" w:pos="1294"/>
        </w:tabs>
        <w:autoSpaceDE w:val="0"/>
        <w:autoSpaceDN w:val="0"/>
        <w:adjustRightInd w:val="0"/>
        <w:rPr>
          <w:rFonts w:ascii="Times New Roman" w:eastAsia="바탕" w:hAnsi="Times New Roman" w:cs="Times New Roman"/>
          <w:lang w:val="sl-SI"/>
        </w:rPr>
      </w:pPr>
    </w:p>
    <w:p w14:paraId="1D7D845D" w14:textId="77777777" w:rsidR="008F1A83" w:rsidRPr="008F1A83" w:rsidRDefault="008F1A83" w:rsidP="008F1A83">
      <w:pPr>
        <w:widowControl/>
        <w:tabs>
          <w:tab w:val="left" w:pos="1294"/>
        </w:tabs>
        <w:autoSpaceDE w:val="0"/>
        <w:autoSpaceDN w:val="0"/>
        <w:adjustRightInd w:val="0"/>
        <w:rPr>
          <w:rFonts w:ascii="Times New Roman" w:eastAsia="바탕" w:hAnsi="Times New Roman" w:cs="Times New Roman"/>
          <w:lang w:val="sl-SI"/>
        </w:rPr>
      </w:pPr>
      <w:r w:rsidRPr="008F1A83">
        <w:rPr>
          <w:rFonts w:ascii="Times New Roman" w:eastAsia="바탕" w:hAnsi="Times New Roman" w:cs="Times New Roman"/>
          <w:lang w:val="sl-SI"/>
        </w:rPr>
        <w:t xml:space="preserve">Bolniki v študijah revmatoidnega artritisa I, II in III so bili v obdobju med 6. in 12. mesecem testirani za protitelesa proti adalimumabu. V pivotnih preskušanjih so protitelesa proti adalimumabu odkrili pri 5,5 % (58/1053) bolnikov, ki so jih zdravili z adalimumabom v primerjavi z 0,5 % (2/370) bolnikov, ki so prejemali placebo. </w:t>
      </w:r>
      <w:r w:rsidRPr="008F1A83">
        <w:rPr>
          <w:rFonts w:ascii="Times New Roman" w:eastAsia="바탕" w:hAnsi="Times New Roman" w:cs="Times New Roman"/>
          <w:bCs/>
          <w:lang w:val="sl-SI"/>
        </w:rPr>
        <w:t xml:space="preserve">Pri bolnikih, ki sočasno niso dobivali metotreksata, je bila incidenca 12,4 %, pri tistih, ki so adalimumab uporabljali kot dodatek metotreksatu, pa 0,6 %. </w:t>
      </w:r>
      <w:r w:rsidRPr="008F1A83">
        <w:rPr>
          <w:rFonts w:ascii="Times New Roman" w:eastAsia="바탕" w:hAnsi="Times New Roman" w:cs="Times New Roman"/>
          <w:lang w:val="sl-SI"/>
        </w:rPr>
        <w:t xml:space="preserve"> </w:t>
      </w:r>
    </w:p>
    <w:p w14:paraId="734BA9EA" w14:textId="77777777" w:rsidR="008F1A83" w:rsidRPr="008F1A83" w:rsidRDefault="008F1A83" w:rsidP="008F1A83">
      <w:pPr>
        <w:widowControl/>
        <w:tabs>
          <w:tab w:val="left" w:pos="1294"/>
        </w:tabs>
        <w:autoSpaceDE w:val="0"/>
        <w:autoSpaceDN w:val="0"/>
        <w:adjustRightInd w:val="0"/>
        <w:rPr>
          <w:rFonts w:ascii="Times New Roman" w:eastAsia="바탕" w:hAnsi="Times New Roman" w:cs="Times New Roman"/>
          <w:lang w:val="sl-SI"/>
        </w:rPr>
      </w:pPr>
    </w:p>
    <w:p w14:paraId="38C276CF" w14:textId="77777777" w:rsidR="008F1A83" w:rsidRPr="008F1A83" w:rsidRDefault="008F1A83" w:rsidP="008F1A83">
      <w:pPr>
        <w:widowControl/>
        <w:tabs>
          <w:tab w:val="left" w:pos="0"/>
        </w:tabs>
        <w:autoSpaceDE w:val="0"/>
        <w:autoSpaceDN w:val="0"/>
        <w:adjustRightInd w:val="0"/>
        <w:rPr>
          <w:rFonts w:ascii="Times New Roman" w:eastAsia="바탕" w:hAnsi="Times New Roman" w:cs="Times New Roman"/>
          <w:bCs/>
          <w:szCs w:val="20"/>
          <w:lang w:val="sl-SI" w:eastAsia="sl-SI"/>
        </w:rPr>
      </w:pPr>
      <w:r w:rsidRPr="008F1A83">
        <w:rPr>
          <w:rFonts w:ascii="Times New Roman" w:eastAsia="바탕" w:hAnsi="Times New Roman" w:cs="Times New Roman"/>
          <w:lang w:val="sl-SI"/>
        </w:rPr>
        <w:t xml:space="preserve">Pri pediatričnih bolnikih s psoriazo so bila protitelesa proti </w:t>
      </w:r>
      <w:r w:rsidRPr="008F1A83">
        <w:rPr>
          <w:rFonts w:ascii="Times New Roman" w:eastAsia="바탕" w:hAnsi="Times New Roman" w:cs="Times New Roman"/>
          <w:bCs/>
          <w:szCs w:val="20"/>
          <w:lang w:val="sl-SI" w:eastAsia="sl-SI"/>
        </w:rPr>
        <w:t>adalimumabu odkrita pri 5/38 oseb (13 %), ki so bile zdravljene z monoterapijo adalimumaba 0,8 mg/kg.</w:t>
      </w:r>
    </w:p>
    <w:p w14:paraId="1754C655" w14:textId="77777777" w:rsidR="008F1A83" w:rsidRPr="008F1A83" w:rsidRDefault="008F1A83" w:rsidP="008F1A83">
      <w:pPr>
        <w:widowControl/>
        <w:tabs>
          <w:tab w:val="left" w:pos="0"/>
        </w:tabs>
        <w:autoSpaceDE w:val="0"/>
        <w:autoSpaceDN w:val="0"/>
        <w:adjustRightInd w:val="0"/>
        <w:rPr>
          <w:rFonts w:ascii="Times New Roman" w:eastAsia="바탕" w:hAnsi="Times New Roman" w:cs="Times New Roman"/>
          <w:bCs/>
          <w:szCs w:val="20"/>
          <w:lang w:val="sl-SI" w:eastAsia="sl-SI"/>
        </w:rPr>
      </w:pPr>
    </w:p>
    <w:p w14:paraId="2A496A45" w14:textId="77777777" w:rsidR="008F1A83" w:rsidRPr="008F1A83" w:rsidRDefault="008F1A83" w:rsidP="008F1A83">
      <w:pPr>
        <w:widowControl/>
        <w:tabs>
          <w:tab w:val="left" w:pos="567"/>
          <w:tab w:val="left" w:pos="1294"/>
        </w:tabs>
        <w:rPr>
          <w:rFonts w:ascii="Times New Roman" w:eastAsia="바탕" w:hAnsi="Times New Roman" w:cs="Times New Roman"/>
          <w:color w:val="000000"/>
          <w:lang w:val="sl-SI" w:eastAsia="sl-SI"/>
        </w:rPr>
      </w:pPr>
      <w:r w:rsidRPr="008F1A83">
        <w:rPr>
          <w:rFonts w:ascii="Times New Roman" w:eastAsia="바탕" w:hAnsi="Times New Roman" w:cs="Times New Roman"/>
          <w:lang w:val="sl-SI" w:eastAsia="sl-SI"/>
        </w:rPr>
        <w:t>Pri odraslih bolnikih s psoriazo so protitelesa proti adalimumabu ugotovili pri 77 od 920 preiskovancev (8,4 %), ki so dobivali monoterapijo z adalimumabom.</w:t>
      </w:r>
    </w:p>
    <w:p w14:paraId="5D7EA62B" w14:textId="77777777" w:rsidR="008F1A83" w:rsidRPr="008F1A83" w:rsidRDefault="008F1A83" w:rsidP="008F1A83">
      <w:pPr>
        <w:widowControl/>
        <w:tabs>
          <w:tab w:val="left" w:pos="0"/>
        </w:tabs>
        <w:autoSpaceDE w:val="0"/>
        <w:autoSpaceDN w:val="0"/>
        <w:adjustRightInd w:val="0"/>
        <w:rPr>
          <w:rFonts w:ascii="Times New Roman" w:eastAsia="바탕" w:hAnsi="Times New Roman" w:cs="Times New Roman"/>
          <w:bCs/>
          <w:szCs w:val="20"/>
          <w:lang w:val="sl-SI" w:eastAsia="sl-SI"/>
        </w:rPr>
      </w:pPr>
    </w:p>
    <w:p w14:paraId="5EB995F0" w14:textId="77777777" w:rsidR="008F1A83" w:rsidRPr="008F1A83" w:rsidRDefault="008F1A83" w:rsidP="008F1A83">
      <w:pPr>
        <w:widowControl/>
        <w:tabs>
          <w:tab w:val="left" w:pos="567"/>
        </w:tabs>
        <w:spacing w:line="260" w:lineRule="exact"/>
        <w:rPr>
          <w:rFonts w:ascii="Times New Roman" w:eastAsia="바탕" w:hAnsi="Times New Roman" w:cs="Times New Roman"/>
          <w:sz w:val="24"/>
          <w:szCs w:val="24"/>
          <w:lang w:val="sl-SI" w:eastAsia="sl-SI"/>
        </w:rPr>
      </w:pPr>
      <w:r w:rsidRPr="008F1A83">
        <w:rPr>
          <w:rFonts w:ascii="Times New Roman" w:eastAsia="바탕" w:hAnsi="Times New Roman" w:cs="Times New Roman"/>
          <w:bCs/>
          <w:szCs w:val="20"/>
          <w:lang w:val="sl-SI" w:eastAsia="sl-SI"/>
        </w:rPr>
        <w:t>Pri odraslih bolnikih s psoriazo v plakih, ki so prejemali dolgotrajno monoterapijo z adalimumabom in so sodelovali v študiji prenehanja uporabe in ponovnega zdravljenja, je bil delež protiteles proti adalimumabu po ponovnem zdravljenju (11 od 482 bolnikov; 2,3 %) podoben kot pred prenehanjem uporabe (11 od 590 bolnikov; 1,9 %).</w:t>
      </w:r>
    </w:p>
    <w:p w14:paraId="10B9FB9F" w14:textId="77777777" w:rsidR="008F1A83" w:rsidRPr="008F1A83" w:rsidRDefault="008F1A83" w:rsidP="008F1A83">
      <w:pPr>
        <w:widowControl/>
        <w:tabs>
          <w:tab w:val="left" w:pos="1294"/>
        </w:tabs>
        <w:autoSpaceDE w:val="0"/>
        <w:autoSpaceDN w:val="0"/>
        <w:adjustRightInd w:val="0"/>
        <w:rPr>
          <w:rFonts w:ascii="Times New Roman" w:eastAsia="바탕" w:hAnsi="Times New Roman" w:cs="Times New Roman"/>
          <w:lang w:val="sl-SI"/>
        </w:rPr>
      </w:pPr>
    </w:p>
    <w:p w14:paraId="49F6B7A9" w14:textId="77777777" w:rsidR="008F1A83" w:rsidRPr="008F1A83" w:rsidRDefault="008F1A83" w:rsidP="008F1A83">
      <w:pPr>
        <w:widowControl/>
        <w:rPr>
          <w:rFonts w:ascii="Times New Roman" w:eastAsia="바탕" w:hAnsi="Times New Roman" w:cs="Times New Roman"/>
          <w:szCs w:val="20"/>
          <w:lang w:val="sl-SI" w:eastAsia="sl-SI"/>
        </w:rPr>
      </w:pPr>
      <w:r w:rsidRPr="008F1A83">
        <w:rPr>
          <w:rFonts w:ascii="Times New Roman" w:eastAsia="바탕" w:hAnsi="Times New Roman" w:cs="Times New Roman"/>
          <w:szCs w:val="20"/>
          <w:lang w:val="sl-SI" w:eastAsia="sl-SI"/>
        </w:rPr>
        <w:t>Delež pediatričnih bolnikov z zmerno do hudo aktivno Crohnovo boleznijo pri bolnikih, ki so prejeli adalimumab in razvili protitelesa proti adalimumabu je bil 3,3 %.</w:t>
      </w:r>
    </w:p>
    <w:p w14:paraId="18F0B161" w14:textId="77777777" w:rsidR="008F1A83" w:rsidRPr="008F1A83" w:rsidRDefault="008F1A83" w:rsidP="008F1A83">
      <w:pPr>
        <w:widowControl/>
        <w:tabs>
          <w:tab w:val="left" w:pos="1294"/>
        </w:tabs>
        <w:autoSpaceDE w:val="0"/>
        <w:autoSpaceDN w:val="0"/>
        <w:adjustRightInd w:val="0"/>
        <w:rPr>
          <w:rFonts w:ascii="Times New Roman" w:eastAsia="바탕" w:hAnsi="Times New Roman" w:cs="Times New Roman"/>
          <w:lang w:val="sl-SI"/>
        </w:rPr>
      </w:pPr>
    </w:p>
    <w:p w14:paraId="64D187B0" w14:textId="77777777" w:rsidR="008F1A83" w:rsidRPr="008F1A83" w:rsidRDefault="008F1A83" w:rsidP="008F1A83">
      <w:pPr>
        <w:widowControl/>
        <w:tabs>
          <w:tab w:val="left" w:pos="1294"/>
        </w:tabs>
        <w:autoSpaceDE w:val="0"/>
        <w:autoSpaceDN w:val="0"/>
        <w:adjustRightInd w:val="0"/>
        <w:rPr>
          <w:rFonts w:ascii="Times New Roman" w:eastAsia="바탕" w:hAnsi="Times New Roman" w:cs="Times New Roman"/>
          <w:lang w:val="sl-SI"/>
        </w:rPr>
      </w:pPr>
      <w:r w:rsidRPr="008F1A83">
        <w:rPr>
          <w:rFonts w:ascii="Times New Roman" w:eastAsia="바탕" w:hAnsi="Times New Roman" w:cs="Times New Roman"/>
          <w:lang w:val="sl-SI"/>
        </w:rPr>
        <w:lastRenderedPageBreak/>
        <w:t>Pri bolnikih s Crohnovo boleznijo so identificirali protitelesa proti adalimumabu pri 7 od 269 bolnikov (2,6 %).</w:t>
      </w:r>
    </w:p>
    <w:p w14:paraId="554F66A5" w14:textId="77777777" w:rsidR="008F1A83" w:rsidRPr="008F1A83" w:rsidRDefault="008F1A83" w:rsidP="008F1A83">
      <w:pPr>
        <w:widowControl/>
        <w:tabs>
          <w:tab w:val="left" w:pos="1294"/>
        </w:tabs>
        <w:autoSpaceDE w:val="0"/>
        <w:autoSpaceDN w:val="0"/>
        <w:adjustRightInd w:val="0"/>
        <w:rPr>
          <w:rFonts w:ascii="Times New Roman" w:eastAsia="바탕" w:hAnsi="Times New Roman" w:cs="Times New Roman"/>
          <w:lang w:val="sl-SI"/>
        </w:rPr>
      </w:pPr>
    </w:p>
    <w:p w14:paraId="62219D82" w14:textId="77777777" w:rsidR="008F1A83" w:rsidRPr="008F1A83" w:rsidRDefault="008F1A83" w:rsidP="008F1A83">
      <w:pPr>
        <w:widowControl/>
        <w:tabs>
          <w:tab w:val="left" w:pos="1294"/>
        </w:tabs>
        <w:autoSpaceDE w:val="0"/>
        <w:autoSpaceDN w:val="0"/>
        <w:adjustRightInd w:val="0"/>
        <w:rPr>
          <w:rFonts w:ascii="Times New Roman" w:eastAsia="바탕" w:hAnsi="Times New Roman" w:cs="Times New Roman"/>
          <w:lang w:val="sl-SI"/>
        </w:rPr>
      </w:pPr>
      <w:r w:rsidRPr="008F1A83">
        <w:rPr>
          <w:rFonts w:ascii="Times New Roman" w:eastAsia="바탕" w:hAnsi="Times New Roman" w:cs="Times New Roman"/>
          <w:lang w:val="sl-SI"/>
        </w:rPr>
        <w:t>Pri bolnikih z neinfekcijskim uveitisom so bila protitelesa proti adalimumabu odkrita pri 4,8 % (12/249) bolnikov, ki so jih zdravili z adalimumabom.</w:t>
      </w:r>
    </w:p>
    <w:p w14:paraId="3EA46EB3" w14:textId="77777777" w:rsidR="008F1A83" w:rsidRPr="008F1A83" w:rsidRDefault="008F1A83" w:rsidP="008F1A83">
      <w:pPr>
        <w:widowControl/>
        <w:tabs>
          <w:tab w:val="left" w:pos="1294"/>
        </w:tabs>
        <w:autoSpaceDE w:val="0"/>
        <w:autoSpaceDN w:val="0"/>
        <w:adjustRightInd w:val="0"/>
        <w:rPr>
          <w:rFonts w:ascii="Times New Roman" w:eastAsia="바탕" w:hAnsi="Times New Roman" w:cs="Times New Roman"/>
          <w:lang w:val="sl-SI"/>
        </w:rPr>
      </w:pPr>
    </w:p>
    <w:p w14:paraId="22354E19" w14:textId="205BB9AD" w:rsidR="0066522E" w:rsidRDefault="008F1A83" w:rsidP="008F1A83">
      <w:pPr>
        <w:pStyle w:val="a3"/>
        <w:rPr>
          <w:lang w:val="sl-SI"/>
        </w:rPr>
      </w:pPr>
      <w:r w:rsidRPr="008F1A83">
        <w:rPr>
          <w:rFonts w:eastAsia="바탕"/>
          <w:lang w:val="sl-SI"/>
        </w:rPr>
        <w:t>Ker so analize imunogenosti specifične za posamezno zdravilo, primerjava z deleži protiteles pri drugih zdravilih ne pride v poštev</w:t>
      </w:r>
      <w:r w:rsidR="0066522E">
        <w:rPr>
          <w:rFonts w:eastAsia="Times New Roman"/>
          <w:lang w:val="sl-SI"/>
        </w:rPr>
        <w:t>.</w:t>
      </w:r>
    </w:p>
    <w:p w14:paraId="7201C841" w14:textId="77777777" w:rsidR="0066522E" w:rsidRDefault="0066522E" w:rsidP="0066522E">
      <w:pPr>
        <w:pStyle w:val="a3"/>
        <w:rPr>
          <w:lang w:val="sl-SI"/>
        </w:rPr>
      </w:pPr>
    </w:p>
    <w:p w14:paraId="496C6823" w14:textId="77777777" w:rsidR="0066522E" w:rsidRDefault="0066522E" w:rsidP="0066522E">
      <w:pPr>
        <w:pStyle w:val="a3"/>
        <w:rPr>
          <w:u w:val="single"/>
          <w:lang w:val="sl-SI"/>
        </w:rPr>
      </w:pPr>
      <w:r>
        <w:rPr>
          <w:rFonts w:eastAsia="Times New Roman"/>
          <w:u w:val="single" w:color="000000"/>
          <w:lang w:val="sl-SI"/>
        </w:rPr>
        <w:t>Pediatrična populacija</w:t>
      </w:r>
    </w:p>
    <w:p w14:paraId="69975D52" w14:textId="77777777" w:rsidR="0066522E" w:rsidRDefault="0066522E" w:rsidP="0066522E">
      <w:pPr>
        <w:spacing w:before="16" w:line="240" w:lineRule="exact"/>
        <w:rPr>
          <w:sz w:val="24"/>
          <w:szCs w:val="24"/>
          <w:lang w:val="sl-SI"/>
        </w:rPr>
      </w:pPr>
    </w:p>
    <w:p w14:paraId="6EE40ABF" w14:textId="77777777" w:rsidR="0066522E" w:rsidRDefault="0066522E" w:rsidP="0066522E">
      <w:pPr>
        <w:pStyle w:val="a3"/>
        <w:rPr>
          <w:rFonts w:eastAsia="Times New Roman"/>
          <w:i/>
          <w:spacing w:val="-1"/>
          <w:lang w:val="sl-SI"/>
        </w:rPr>
      </w:pPr>
      <w:r>
        <w:rPr>
          <w:rFonts w:eastAsia="Times New Roman"/>
          <w:i/>
          <w:iCs/>
          <w:spacing w:val="-1"/>
          <w:lang w:val="sl-SI"/>
        </w:rPr>
        <w:t>Juvenilni idiopatski artritis</w:t>
      </w:r>
    </w:p>
    <w:p w14:paraId="3D7D3A2C" w14:textId="77777777" w:rsidR="0066522E" w:rsidRDefault="0066522E" w:rsidP="0066522E">
      <w:pPr>
        <w:pStyle w:val="a3"/>
        <w:rPr>
          <w:rFonts w:eastAsia="Times New Roman"/>
          <w:i/>
          <w:spacing w:val="-1"/>
          <w:u w:val="single" w:color="000000"/>
          <w:lang w:val="sl-SI"/>
        </w:rPr>
      </w:pPr>
    </w:p>
    <w:p w14:paraId="082D7C56" w14:textId="77777777" w:rsidR="0066522E" w:rsidRDefault="0066522E" w:rsidP="0066522E">
      <w:pPr>
        <w:pStyle w:val="a3"/>
        <w:rPr>
          <w:rFonts w:eastAsia="Times New Roman"/>
          <w:lang w:val="sl-SI"/>
        </w:rPr>
      </w:pPr>
      <w:r>
        <w:rPr>
          <w:rFonts w:eastAsia="Times New Roman"/>
          <w:i/>
          <w:iCs/>
          <w:spacing w:val="-1"/>
          <w:u w:val="single" w:color="000000"/>
          <w:lang w:val="sl-SI"/>
        </w:rPr>
        <w:t>Poliartikularni juvenilni idiopatski artritis (pJIA)</w:t>
      </w:r>
    </w:p>
    <w:p w14:paraId="6EF1FC73" w14:textId="77777777" w:rsidR="00945BDE" w:rsidRDefault="00945BDE" w:rsidP="0066522E">
      <w:pPr>
        <w:pStyle w:val="a3"/>
        <w:rPr>
          <w:rFonts w:eastAsia="Times New Roman"/>
          <w:lang w:val="sl-SI"/>
        </w:rPr>
      </w:pPr>
    </w:p>
    <w:p w14:paraId="54079442" w14:textId="195BB9C2" w:rsidR="0066522E" w:rsidRDefault="0066522E" w:rsidP="0066522E">
      <w:pPr>
        <w:pStyle w:val="a3"/>
        <w:rPr>
          <w:lang w:val="sl-SI"/>
        </w:rPr>
      </w:pPr>
      <w:r>
        <w:rPr>
          <w:rFonts w:eastAsia="Times New Roman"/>
          <w:lang w:val="sl-SI"/>
        </w:rPr>
        <w:t>Varnost in učinkovitost adalimumaba so ocenili v dveh študijah (pJIA I in II) pri otrocih z aktivnim poliartikularnim ali poliartikularnim juvenilnim idiopatskim artritisom, z različnimi tipi začetka JIA (najpogosteje negativen revmatoidni faktor ali pozitiven poliartritis in razširjen oligoartritis).</w:t>
      </w:r>
    </w:p>
    <w:p w14:paraId="41CF777A" w14:textId="77777777" w:rsidR="0066522E" w:rsidRDefault="0066522E" w:rsidP="0066522E">
      <w:pPr>
        <w:pStyle w:val="a3"/>
        <w:rPr>
          <w:sz w:val="24"/>
          <w:szCs w:val="24"/>
          <w:lang w:val="sl-SI"/>
        </w:rPr>
      </w:pPr>
    </w:p>
    <w:p w14:paraId="4F275272" w14:textId="77777777" w:rsidR="0066522E" w:rsidRDefault="0066522E" w:rsidP="0066522E">
      <w:pPr>
        <w:pStyle w:val="a3"/>
        <w:rPr>
          <w:lang w:val="sl-SI"/>
        </w:rPr>
      </w:pPr>
      <w:r>
        <w:rPr>
          <w:rFonts w:eastAsia="Times New Roman"/>
          <w:lang w:val="sl-SI"/>
        </w:rPr>
        <w:t>pJIA I</w:t>
      </w:r>
    </w:p>
    <w:p w14:paraId="3292B210" w14:textId="77777777" w:rsidR="0066522E" w:rsidRDefault="0066522E" w:rsidP="0066522E">
      <w:pPr>
        <w:pStyle w:val="a3"/>
        <w:rPr>
          <w:sz w:val="18"/>
          <w:szCs w:val="18"/>
          <w:lang w:val="sl-SI"/>
        </w:rPr>
      </w:pPr>
    </w:p>
    <w:p w14:paraId="40C5D0B3" w14:textId="1281BF05" w:rsidR="0066522E" w:rsidRDefault="0066522E" w:rsidP="0066522E">
      <w:pPr>
        <w:pStyle w:val="a3"/>
        <w:rPr>
          <w:lang w:val="sl-SI"/>
        </w:rPr>
      </w:pPr>
      <w:r>
        <w:rPr>
          <w:rFonts w:eastAsia="Times New Roman"/>
          <w:lang w:val="sl-SI"/>
        </w:rPr>
        <w:t>Varnost in učinkovitost adalimumaba so ocenili v multicentrični randomizirani dvojno slepi študiji vzporednih skupin pri 171 otrocih (starih od 4 do 17 let) s poliartikularnim juvenilnim idiopatskim artritisom. V odprti uvajalni fazi so bolnike stratificirali v dve skupini: zdravljene z metotreksatom in zdravljene brez metotreksata. Bolniki v stratumu brez metotreksata le-tega sploh še niso dobivali ali so ga nehali dobivati vsaj dva tedna pred uporabo raziskovanega zdravila. Bolniki so ostali na stabilnih odmerkih nesteroidnih protivnetnih zdravil (NSAID) in/ali prednizona (</w:t>
      </w:r>
      <w:r>
        <w:rPr>
          <w:rFonts w:ascii="Symbol" w:eastAsia="Symbol" w:hAnsi="Symbol" w:cs="Symbol"/>
          <w:lang w:val="sl-SI"/>
        </w:rPr>
        <w:sym w:font="Symbol" w:char="F0A3"/>
      </w:r>
      <w:r>
        <w:rPr>
          <w:rFonts w:ascii="Symbol" w:eastAsia="Symbol" w:hAnsi="Symbol" w:cs="Symbol"/>
          <w:lang w:val="sl-SI"/>
        </w:rPr>
        <w:sym w:font="Symbol" w:char="F020"/>
      </w:r>
      <w:r>
        <w:rPr>
          <w:rFonts w:eastAsia="Times New Roman"/>
          <w:lang w:val="sl-SI"/>
        </w:rPr>
        <w:t>0,2 mg/kg/dan ali največ 10 mg/dan). V odprti uvajalni fazi so vsi bolniki 16 tednov dobivali 24 mg/m</w:t>
      </w:r>
      <w:r>
        <w:rPr>
          <w:rFonts w:eastAsia="Times New Roman"/>
          <w:sz w:val="14"/>
          <w:szCs w:val="14"/>
          <w:lang w:val="sl-SI"/>
        </w:rPr>
        <w:t>2</w:t>
      </w:r>
      <w:r>
        <w:rPr>
          <w:rFonts w:eastAsia="Times New Roman"/>
          <w:lang w:val="sl-SI"/>
        </w:rPr>
        <w:t xml:space="preserve"> (do največ 40 mg) adalimumaba vsak drugi teden. Preglednica </w:t>
      </w:r>
      <w:r w:rsidR="00945BDE">
        <w:rPr>
          <w:rFonts w:eastAsia="Times New Roman"/>
          <w:lang w:val="sl-SI"/>
        </w:rPr>
        <w:t>17</w:t>
      </w:r>
      <w:r>
        <w:rPr>
          <w:rFonts w:eastAsia="Times New Roman"/>
          <w:lang w:val="sl-SI"/>
        </w:rPr>
        <w:t xml:space="preserve"> prikazuje porazdelitev bolnikov po starosti ter najmanjšem, srednjem in največjem odmerku, prejetem med odprto uvajalno fazo.</w:t>
      </w:r>
    </w:p>
    <w:p w14:paraId="7FE44867" w14:textId="77777777" w:rsidR="0066522E" w:rsidRDefault="0066522E" w:rsidP="0066522E">
      <w:pPr>
        <w:spacing w:before="18" w:line="240" w:lineRule="exact"/>
        <w:rPr>
          <w:sz w:val="24"/>
          <w:szCs w:val="24"/>
          <w:lang w:val="sl-SI"/>
        </w:rPr>
      </w:pPr>
    </w:p>
    <w:p w14:paraId="73BA8E67" w14:textId="7B4D1378" w:rsidR="0066522E" w:rsidRDefault="0066522E" w:rsidP="0066522E">
      <w:pPr>
        <w:pStyle w:val="a3"/>
        <w:jc w:val="center"/>
        <w:rPr>
          <w:b/>
          <w:lang w:val="sl-SI"/>
        </w:rPr>
      </w:pPr>
      <w:r>
        <w:rPr>
          <w:rFonts w:eastAsia="Times New Roman"/>
          <w:b/>
          <w:bCs/>
          <w:lang w:val="sl-SI"/>
        </w:rPr>
        <w:t>Preglednica </w:t>
      </w:r>
      <w:r w:rsidR="00945BDE">
        <w:rPr>
          <w:rFonts w:eastAsia="Times New Roman"/>
          <w:b/>
          <w:bCs/>
          <w:lang w:val="sl-SI"/>
        </w:rPr>
        <w:t>17</w:t>
      </w:r>
    </w:p>
    <w:p w14:paraId="56F5F057" w14:textId="77777777" w:rsidR="0066522E" w:rsidRDefault="0066522E" w:rsidP="0066522E">
      <w:pPr>
        <w:pStyle w:val="a3"/>
        <w:jc w:val="center"/>
        <w:rPr>
          <w:b/>
          <w:lang w:val="sl-SI"/>
        </w:rPr>
      </w:pPr>
      <w:r>
        <w:rPr>
          <w:rFonts w:eastAsia="Times New Roman"/>
          <w:b/>
          <w:bCs/>
          <w:lang w:val="sl-SI"/>
        </w:rPr>
        <w:t>Porazdelitev bolnikov po starosti in odmerku adalimumaba, ki so ga dobivali med odprto uvajalno fazo</w:t>
      </w:r>
    </w:p>
    <w:p w14:paraId="34121B3D" w14:textId="77777777" w:rsidR="0066522E" w:rsidRDefault="0066522E" w:rsidP="0066522E">
      <w:pPr>
        <w:spacing w:before="15" w:line="260" w:lineRule="exact"/>
        <w:rPr>
          <w:sz w:val="26"/>
          <w:szCs w:val="26"/>
          <w:lang w:val="sl-SI"/>
        </w:rPr>
      </w:pPr>
    </w:p>
    <w:tbl>
      <w:tblPr>
        <w:tblStyle w:val="TableNormal1"/>
        <w:tblW w:w="0" w:type="auto"/>
        <w:tblInd w:w="220" w:type="dxa"/>
        <w:tblLayout w:type="fixed"/>
        <w:tblLook w:val="01E0" w:firstRow="1" w:lastRow="1" w:firstColumn="1" w:lastColumn="1" w:noHBand="0" w:noVBand="0"/>
      </w:tblPr>
      <w:tblGrid>
        <w:gridCol w:w="2417"/>
        <w:gridCol w:w="3521"/>
        <w:gridCol w:w="3240"/>
      </w:tblGrid>
      <w:tr w:rsidR="0066522E" w:rsidRPr="00AC7013" w14:paraId="6B66DBD0" w14:textId="77777777" w:rsidTr="00183CD7">
        <w:tc>
          <w:tcPr>
            <w:tcW w:w="2417" w:type="dxa"/>
            <w:tcBorders>
              <w:top w:val="single" w:sz="5" w:space="0" w:color="000000"/>
              <w:left w:val="single" w:sz="5" w:space="0" w:color="000000"/>
              <w:bottom w:val="single" w:sz="5" w:space="0" w:color="000000"/>
              <w:right w:val="single" w:sz="5" w:space="0" w:color="000000"/>
            </w:tcBorders>
          </w:tcPr>
          <w:p w14:paraId="35ABC0A3" w14:textId="77777777" w:rsidR="0066522E" w:rsidRDefault="0066522E" w:rsidP="00183CD7">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Starostna skupina</w:t>
            </w:r>
          </w:p>
        </w:tc>
        <w:tc>
          <w:tcPr>
            <w:tcW w:w="3521" w:type="dxa"/>
            <w:tcBorders>
              <w:top w:val="single" w:sz="5" w:space="0" w:color="000000"/>
              <w:left w:val="single" w:sz="5" w:space="0" w:color="000000"/>
              <w:bottom w:val="single" w:sz="5" w:space="0" w:color="000000"/>
              <w:right w:val="single" w:sz="5" w:space="0" w:color="000000"/>
            </w:tcBorders>
          </w:tcPr>
          <w:p w14:paraId="190A0003" w14:textId="77777777" w:rsidR="0066522E" w:rsidRDefault="0066522E" w:rsidP="00183CD7">
            <w:pPr>
              <w:pStyle w:val="TableParagraph"/>
              <w:spacing w:line="252" w:lineRule="exact"/>
              <w:ind w:left="102"/>
              <w:rPr>
                <w:rFonts w:ascii="Times New Roman" w:eastAsia="Times New Roman" w:hAnsi="Times New Roman" w:cs="Times New Roman"/>
                <w:lang w:val="sl-SI"/>
              </w:rPr>
            </w:pPr>
            <w:r w:rsidRPr="007F4583">
              <w:rPr>
                <w:rFonts w:ascii="Times New Roman" w:eastAsia="Times New Roman" w:hAnsi="Times New Roman" w:cs="Times New Roman"/>
                <w:spacing w:val="-1"/>
                <w:lang w:val="sl-SI"/>
              </w:rPr>
              <w:t>Izhodiščno število bolnikov n (%)</w:t>
            </w:r>
          </w:p>
        </w:tc>
        <w:tc>
          <w:tcPr>
            <w:tcW w:w="3240" w:type="dxa"/>
            <w:tcBorders>
              <w:top w:val="single" w:sz="5" w:space="0" w:color="000000"/>
              <w:left w:val="single" w:sz="5" w:space="0" w:color="000000"/>
              <w:bottom w:val="single" w:sz="5" w:space="0" w:color="000000"/>
              <w:right w:val="single" w:sz="5" w:space="0" w:color="000000"/>
            </w:tcBorders>
          </w:tcPr>
          <w:p w14:paraId="2FAF41EA" w14:textId="77777777" w:rsidR="0066522E" w:rsidRDefault="0066522E" w:rsidP="00183CD7">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Najmanjši, srednji in največji </w:t>
            </w:r>
          </w:p>
          <w:p w14:paraId="71808B24" w14:textId="77777777" w:rsidR="0066522E" w:rsidRDefault="0066522E" w:rsidP="00183CD7">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odmerek</w:t>
            </w:r>
          </w:p>
        </w:tc>
      </w:tr>
      <w:tr w:rsidR="0066522E" w14:paraId="2A0D9F15" w14:textId="77777777" w:rsidTr="00183CD7">
        <w:tc>
          <w:tcPr>
            <w:tcW w:w="2417" w:type="dxa"/>
            <w:tcBorders>
              <w:top w:val="single" w:sz="5" w:space="0" w:color="000000"/>
              <w:left w:val="single" w:sz="5" w:space="0" w:color="000000"/>
              <w:bottom w:val="single" w:sz="5" w:space="0" w:color="000000"/>
              <w:right w:val="single" w:sz="5" w:space="0" w:color="000000"/>
            </w:tcBorders>
          </w:tcPr>
          <w:p w14:paraId="640B9E97" w14:textId="77777777" w:rsidR="0066522E" w:rsidRDefault="0066522E" w:rsidP="00183CD7">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4 do 7 let</w:t>
            </w:r>
          </w:p>
        </w:tc>
        <w:tc>
          <w:tcPr>
            <w:tcW w:w="3521" w:type="dxa"/>
            <w:tcBorders>
              <w:top w:val="single" w:sz="5" w:space="0" w:color="000000"/>
              <w:left w:val="single" w:sz="5" w:space="0" w:color="000000"/>
              <w:bottom w:val="single" w:sz="5" w:space="0" w:color="000000"/>
              <w:right w:val="single" w:sz="5" w:space="0" w:color="000000"/>
            </w:tcBorders>
          </w:tcPr>
          <w:p w14:paraId="2CCFF394" w14:textId="77777777" w:rsidR="0066522E" w:rsidRDefault="0066522E" w:rsidP="00183CD7">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31 (18,1)</w:t>
            </w:r>
          </w:p>
        </w:tc>
        <w:tc>
          <w:tcPr>
            <w:tcW w:w="3240" w:type="dxa"/>
            <w:tcBorders>
              <w:top w:val="single" w:sz="5" w:space="0" w:color="000000"/>
              <w:left w:val="single" w:sz="5" w:space="0" w:color="000000"/>
              <w:bottom w:val="single" w:sz="5" w:space="0" w:color="000000"/>
              <w:right w:val="single" w:sz="5" w:space="0" w:color="000000"/>
            </w:tcBorders>
          </w:tcPr>
          <w:p w14:paraId="40C03DBF" w14:textId="77777777" w:rsidR="0066522E" w:rsidRDefault="0066522E" w:rsidP="00183CD7">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10, 20 in 25 mg</w:t>
            </w:r>
          </w:p>
        </w:tc>
      </w:tr>
      <w:tr w:rsidR="0066522E" w14:paraId="2F97C0B4" w14:textId="77777777" w:rsidTr="00183CD7">
        <w:tc>
          <w:tcPr>
            <w:tcW w:w="2417" w:type="dxa"/>
            <w:tcBorders>
              <w:top w:val="single" w:sz="5" w:space="0" w:color="000000"/>
              <w:left w:val="single" w:sz="5" w:space="0" w:color="000000"/>
              <w:bottom w:val="single" w:sz="5" w:space="0" w:color="000000"/>
              <w:right w:val="single" w:sz="5" w:space="0" w:color="000000"/>
            </w:tcBorders>
          </w:tcPr>
          <w:p w14:paraId="679CA22C" w14:textId="77777777" w:rsidR="0066522E" w:rsidRDefault="0066522E" w:rsidP="00183CD7">
            <w:pPr>
              <w:pStyle w:val="TableParagraph"/>
              <w:spacing w:line="248"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8 do 12 let</w:t>
            </w:r>
          </w:p>
        </w:tc>
        <w:tc>
          <w:tcPr>
            <w:tcW w:w="3521" w:type="dxa"/>
            <w:tcBorders>
              <w:top w:val="single" w:sz="5" w:space="0" w:color="000000"/>
              <w:left w:val="single" w:sz="5" w:space="0" w:color="000000"/>
              <w:bottom w:val="single" w:sz="5" w:space="0" w:color="000000"/>
              <w:right w:val="single" w:sz="5" w:space="0" w:color="000000"/>
            </w:tcBorders>
          </w:tcPr>
          <w:p w14:paraId="7F065F00" w14:textId="77777777" w:rsidR="0066522E" w:rsidRDefault="0066522E" w:rsidP="00183CD7">
            <w:pPr>
              <w:pStyle w:val="TableParagraph"/>
              <w:spacing w:line="248"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71 (41,5)</w:t>
            </w:r>
          </w:p>
        </w:tc>
        <w:tc>
          <w:tcPr>
            <w:tcW w:w="3240" w:type="dxa"/>
            <w:tcBorders>
              <w:top w:val="single" w:sz="5" w:space="0" w:color="000000"/>
              <w:left w:val="single" w:sz="5" w:space="0" w:color="000000"/>
              <w:bottom w:val="single" w:sz="5" w:space="0" w:color="000000"/>
              <w:right w:val="single" w:sz="5" w:space="0" w:color="000000"/>
            </w:tcBorders>
          </w:tcPr>
          <w:p w14:paraId="32778E38" w14:textId="77777777" w:rsidR="0066522E" w:rsidRDefault="0066522E" w:rsidP="00183CD7">
            <w:pPr>
              <w:pStyle w:val="TableParagraph"/>
              <w:spacing w:line="248"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20, 25 in 40 mg</w:t>
            </w:r>
          </w:p>
        </w:tc>
      </w:tr>
      <w:tr w:rsidR="0066522E" w14:paraId="5BAF9600" w14:textId="77777777" w:rsidTr="00183CD7">
        <w:tc>
          <w:tcPr>
            <w:tcW w:w="2417" w:type="dxa"/>
            <w:tcBorders>
              <w:top w:val="single" w:sz="5" w:space="0" w:color="000000"/>
              <w:left w:val="single" w:sz="5" w:space="0" w:color="000000"/>
              <w:bottom w:val="single" w:sz="5" w:space="0" w:color="000000"/>
              <w:right w:val="single" w:sz="5" w:space="0" w:color="000000"/>
            </w:tcBorders>
          </w:tcPr>
          <w:p w14:paraId="6BC8825E" w14:textId="77777777" w:rsidR="0066522E" w:rsidRDefault="0066522E" w:rsidP="00183CD7">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13 do 17 let</w:t>
            </w:r>
          </w:p>
        </w:tc>
        <w:tc>
          <w:tcPr>
            <w:tcW w:w="3521" w:type="dxa"/>
            <w:tcBorders>
              <w:top w:val="single" w:sz="5" w:space="0" w:color="000000"/>
              <w:left w:val="single" w:sz="5" w:space="0" w:color="000000"/>
              <w:bottom w:val="single" w:sz="5" w:space="0" w:color="000000"/>
              <w:right w:val="single" w:sz="5" w:space="0" w:color="000000"/>
            </w:tcBorders>
          </w:tcPr>
          <w:p w14:paraId="063E4D35" w14:textId="77777777" w:rsidR="0066522E" w:rsidRDefault="0066522E" w:rsidP="00183CD7">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69 (40,4)</w:t>
            </w:r>
          </w:p>
        </w:tc>
        <w:tc>
          <w:tcPr>
            <w:tcW w:w="3240" w:type="dxa"/>
            <w:tcBorders>
              <w:top w:val="single" w:sz="5" w:space="0" w:color="000000"/>
              <w:left w:val="single" w:sz="5" w:space="0" w:color="000000"/>
              <w:bottom w:val="single" w:sz="5" w:space="0" w:color="000000"/>
              <w:right w:val="single" w:sz="5" w:space="0" w:color="000000"/>
            </w:tcBorders>
          </w:tcPr>
          <w:p w14:paraId="1F24A3E0" w14:textId="77777777" w:rsidR="0066522E" w:rsidRDefault="0066522E" w:rsidP="00183CD7">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20, 40 in 40 mg</w:t>
            </w:r>
          </w:p>
        </w:tc>
      </w:tr>
    </w:tbl>
    <w:p w14:paraId="7A1A5EBB" w14:textId="77777777" w:rsidR="0066522E" w:rsidRDefault="0066522E" w:rsidP="0066522E">
      <w:pPr>
        <w:spacing w:before="3" w:line="170" w:lineRule="exact"/>
        <w:rPr>
          <w:sz w:val="17"/>
          <w:szCs w:val="17"/>
          <w:lang w:val="sl-SI"/>
        </w:rPr>
      </w:pPr>
    </w:p>
    <w:p w14:paraId="60B118E1" w14:textId="77777777" w:rsidR="0066522E" w:rsidRDefault="0066522E" w:rsidP="0066522E">
      <w:pPr>
        <w:pStyle w:val="a3"/>
        <w:rPr>
          <w:lang w:val="sl-SI"/>
        </w:rPr>
      </w:pPr>
      <w:r>
        <w:rPr>
          <w:rFonts w:eastAsia="Times New Roman"/>
          <w:lang w:val="sl-SI"/>
        </w:rPr>
        <w:t>Bolniki, ki so 16. teden dosegli odziv »Paediatric ACR« 30, so bili primerni za randomizacijo v dvojno slepo fazo in so nadaljnjih 32 tednov ali do zagona bolezni vsak drugi teden dobili adalimumab 24 mg/m</w:t>
      </w:r>
      <w:r>
        <w:rPr>
          <w:rFonts w:eastAsia="Times New Roman"/>
          <w:sz w:val="14"/>
          <w:szCs w:val="14"/>
          <w:lang w:val="sl-SI"/>
        </w:rPr>
        <w:t>2</w:t>
      </w:r>
      <w:r>
        <w:rPr>
          <w:rFonts w:eastAsia="Times New Roman"/>
          <w:lang w:val="sl-SI"/>
        </w:rPr>
        <w:t xml:space="preserve"> (do največ 40 mg) ali placebo. Merila zagona bolezni so bila opredeljena kot poslabšanje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 xml:space="preserve">3 od 6 osnovnih meril Paediatric ACR za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 xml:space="preserve">30 % v primerjavi z izhodiščem, </w:t>
      </w:r>
      <w:r>
        <w:rPr>
          <w:rFonts w:ascii="Symbol" w:eastAsia="Symbol" w:hAnsi="Symbol" w:cs="Symbol"/>
          <w:lang w:val="sl-SI"/>
        </w:rPr>
        <w:sym w:font="Symbol" w:char="F0B3"/>
      </w:r>
      <w:r>
        <w:rPr>
          <w:rFonts w:ascii="Symbol" w:eastAsia="Symbol" w:hAnsi="Symbol" w:cs="Symbol"/>
          <w:lang w:val="sl-SI"/>
        </w:rPr>
        <w:sym w:font="Symbol" w:char="F020"/>
      </w:r>
      <w:r>
        <w:rPr>
          <w:rFonts w:eastAsia="Times New Roman"/>
          <w:lang w:val="sl-SI"/>
        </w:rPr>
        <w:t xml:space="preserve">2 aktivna sklepa in izboljšanje ne več kot 1 od 6 meril za </w:t>
      </w:r>
      <w:r>
        <w:rPr>
          <w:rFonts w:ascii="Symbol" w:eastAsia="Symbol" w:hAnsi="Symbol" w:cs="Symbol"/>
          <w:lang w:val="sl-SI"/>
        </w:rPr>
        <w:sym w:font="Symbol" w:char="F03E"/>
      </w:r>
      <w:r>
        <w:rPr>
          <w:rFonts w:ascii="Symbol" w:eastAsia="Symbol" w:hAnsi="Symbol" w:cs="Symbol"/>
          <w:lang w:val="sl-SI"/>
        </w:rPr>
        <w:sym w:font="Symbol" w:char="F020"/>
      </w:r>
      <w:r>
        <w:rPr>
          <w:rFonts w:eastAsia="Times New Roman"/>
          <w:lang w:val="sl-SI"/>
        </w:rPr>
        <w:t>30 %. Po 32 tednih ali v primeru zagona bolezni so bili bolniki primerni za vključitev v odprto podaljšano fazo.</w:t>
      </w:r>
    </w:p>
    <w:p w14:paraId="05144DC7" w14:textId="77777777" w:rsidR="0066522E" w:rsidRDefault="0066522E" w:rsidP="0066522E">
      <w:pPr>
        <w:spacing w:before="18" w:line="240" w:lineRule="exact"/>
        <w:rPr>
          <w:sz w:val="24"/>
          <w:szCs w:val="24"/>
          <w:lang w:val="sl-SI"/>
        </w:rPr>
      </w:pPr>
    </w:p>
    <w:p w14:paraId="76F87D31" w14:textId="33381C21" w:rsidR="0066522E" w:rsidRDefault="0066522E" w:rsidP="0066522E">
      <w:pPr>
        <w:pStyle w:val="a3"/>
        <w:jc w:val="center"/>
        <w:rPr>
          <w:b/>
          <w:lang w:val="sl-SI"/>
        </w:rPr>
      </w:pPr>
      <w:r>
        <w:rPr>
          <w:rFonts w:eastAsia="Times New Roman"/>
          <w:b/>
          <w:bCs/>
          <w:lang w:val="sl-SI"/>
        </w:rPr>
        <w:t>Preglednica </w:t>
      </w:r>
      <w:r w:rsidR="00945BDE">
        <w:rPr>
          <w:rFonts w:eastAsia="Times New Roman"/>
          <w:b/>
          <w:bCs/>
          <w:lang w:val="sl-SI"/>
        </w:rPr>
        <w:t>18</w:t>
      </w:r>
    </w:p>
    <w:p w14:paraId="35E7BFF4" w14:textId="77777777" w:rsidR="0066522E" w:rsidRDefault="0066522E" w:rsidP="0066522E">
      <w:pPr>
        <w:pStyle w:val="a3"/>
        <w:jc w:val="center"/>
        <w:rPr>
          <w:b/>
          <w:lang w:val="sl-SI"/>
        </w:rPr>
      </w:pPr>
      <w:r>
        <w:rPr>
          <w:rFonts w:eastAsia="Times New Roman"/>
          <w:b/>
          <w:bCs/>
          <w:lang w:val="sl-SI"/>
        </w:rPr>
        <w:t>Odzivi »Ped ACR« 30 v študiji pri juvenilnem idiopatskem artritisu</w:t>
      </w:r>
    </w:p>
    <w:p w14:paraId="16BBD6EC" w14:textId="77777777" w:rsidR="0066522E" w:rsidRDefault="0066522E" w:rsidP="0066522E">
      <w:pPr>
        <w:pStyle w:val="a3"/>
        <w:rPr>
          <w:lang w:val="sl-SI"/>
        </w:rPr>
      </w:pPr>
    </w:p>
    <w:tbl>
      <w:tblPr>
        <w:tblStyle w:val="TableNormal1"/>
        <w:tblW w:w="0" w:type="auto"/>
        <w:tblInd w:w="220" w:type="dxa"/>
        <w:tblLayout w:type="fixed"/>
        <w:tblLook w:val="01E0" w:firstRow="1" w:lastRow="1" w:firstColumn="1" w:lastColumn="1" w:noHBand="0" w:noVBand="0"/>
      </w:tblPr>
      <w:tblGrid>
        <w:gridCol w:w="2417"/>
        <w:gridCol w:w="1762"/>
        <w:gridCol w:w="1759"/>
        <w:gridCol w:w="1651"/>
        <w:gridCol w:w="1589"/>
      </w:tblGrid>
      <w:tr w:rsidR="0066522E" w14:paraId="775D8D9B" w14:textId="77777777" w:rsidTr="00183CD7">
        <w:tc>
          <w:tcPr>
            <w:tcW w:w="2417" w:type="dxa"/>
            <w:tcBorders>
              <w:top w:val="single" w:sz="5" w:space="0" w:color="000000"/>
              <w:left w:val="single" w:sz="5" w:space="0" w:color="000000"/>
              <w:bottom w:val="single" w:sz="5" w:space="0" w:color="000000"/>
              <w:right w:val="single" w:sz="5" w:space="0" w:color="000000"/>
            </w:tcBorders>
          </w:tcPr>
          <w:p w14:paraId="3F30E910" w14:textId="77777777" w:rsidR="0066522E" w:rsidRPr="00385E1F" w:rsidRDefault="0066522E" w:rsidP="00385E1F">
            <w:pPr>
              <w:pStyle w:val="TableParagraph"/>
              <w:spacing w:line="246" w:lineRule="exact"/>
              <w:ind w:left="102"/>
              <w:rPr>
                <w:rFonts w:ascii="Times New Roman" w:eastAsia="Times New Roman" w:hAnsi="Times New Roman" w:cs="Times New Roman"/>
                <w:b/>
                <w:lang w:val="sl-SI"/>
              </w:rPr>
            </w:pPr>
            <w:r w:rsidRPr="00385E1F">
              <w:rPr>
                <w:rFonts w:ascii="Times New Roman" w:eastAsia="Times New Roman" w:hAnsi="Times New Roman" w:cs="Times New Roman"/>
                <w:b/>
                <w:lang w:val="sl-SI"/>
              </w:rPr>
              <w:t>Stratum</w:t>
            </w:r>
          </w:p>
        </w:tc>
        <w:tc>
          <w:tcPr>
            <w:tcW w:w="3521" w:type="dxa"/>
            <w:gridSpan w:val="2"/>
            <w:tcBorders>
              <w:top w:val="single" w:sz="5" w:space="0" w:color="000000"/>
              <w:left w:val="single" w:sz="5" w:space="0" w:color="000000"/>
              <w:bottom w:val="single" w:sz="5" w:space="0" w:color="000000"/>
              <w:right w:val="single" w:sz="5" w:space="0" w:color="000000"/>
            </w:tcBorders>
          </w:tcPr>
          <w:p w14:paraId="5269CFAC" w14:textId="77777777" w:rsidR="0066522E" w:rsidRPr="00385E1F" w:rsidRDefault="0066522E" w:rsidP="00183CD7">
            <w:pPr>
              <w:pStyle w:val="TableParagraph"/>
              <w:spacing w:line="246" w:lineRule="exact"/>
              <w:jc w:val="center"/>
              <w:rPr>
                <w:rFonts w:ascii="Times New Roman" w:eastAsia="Times New Roman" w:hAnsi="Times New Roman" w:cs="Times New Roman"/>
                <w:b/>
                <w:lang w:val="sl-SI"/>
              </w:rPr>
            </w:pPr>
            <w:r w:rsidRPr="00385E1F">
              <w:rPr>
                <w:rFonts w:ascii="Times New Roman" w:eastAsia="Times New Roman" w:hAnsi="Times New Roman" w:cs="Times New Roman"/>
                <w:b/>
                <w:lang w:val="sl-SI"/>
              </w:rPr>
              <w:t>Metotreksat</w:t>
            </w:r>
          </w:p>
        </w:tc>
        <w:tc>
          <w:tcPr>
            <w:tcW w:w="3240" w:type="dxa"/>
            <w:gridSpan w:val="2"/>
            <w:tcBorders>
              <w:top w:val="single" w:sz="5" w:space="0" w:color="000000"/>
              <w:left w:val="single" w:sz="5" w:space="0" w:color="000000"/>
              <w:bottom w:val="single" w:sz="5" w:space="0" w:color="000000"/>
              <w:right w:val="single" w:sz="5" w:space="0" w:color="000000"/>
            </w:tcBorders>
          </w:tcPr>
          <w:p w14:paraId="4050D08D" w14:textId="77777777" w:rsidR="0066522E" w:rsidRPr="00385E1F" w:rsidRDefault="0066522E" w:rsidP="00183CD7">
            <w:pPr>
              <w:pStyle w:val="TableParagraph"/>
              <w:spacing w:line="246" w:lineRule="exact"/>
              <w:ind w:left="69"/>
              <w:jc w:val="center"/>
              <w:rPr>
                <w:rFonts w:ascii="Times New Roman" w:eastAsia="Times New Roman" w:hAnsi="Times New Roman" w:cs="Times New Roman"/>
                <w:b/>
                <w:lang w:val="sl-SI"/>
              </w:rPr>
            </w:pPr>
            <w:r w:rsidRPr="00385E1F">
              <w:rPr>
                <w:rFonts w:ascii="Times New Roman" w:eastAsia="Times New Roman" w:hAnsi="Times New Roman" w:cs="Times New Roman"/>
                <w:b/>
                <w:spacing w:val="-1"/>
                <w:lang w:val="sl-SI"/>
              </w:rPr>
              <w:t>Brez metotreksata</w:t>
            </w:r>
          </w:p>
        </w:tc>
      </w:tr>
      <w:tr w:rsidR="0066522E" w14:paraId="0202E14F" w14:textId="77777777" w:rsidTr="00183CD7">
        <w:tc>
          <w:tcPr>
            <w:tcW w:w="2417" w:type="dxa"/>
            <w:tcBorders>
              <w:top w:val="single" w:sz="5" w:space="0" w:color="000000"/>
              <w:left w:val="single" w:sz="5" w:space="0" w:color="000000"/>
              <w:bottom w:val="single" w:sz="5" w:space="0" w:color="000000"/>
              <w:right w:val="single" w:sz="5" w:space="0" w:color="000000"/>
            </w:tcBorders>
          </w:tcPr>
          <w:p w14:paraId="5B0E7216" w14:textId="77777777" w:rsidR="0066522E" w:rsidRPr="00385E1F" w:rsidRDefault="0066522E" w:rsidP="00183CD7">
            <w:pPr>
              <w:pStyle w:val="TableParagraph"/>
              <w:spacing w:line="246" w:lineRule="exact"/>
              <w:ind w:left="102"/>
              <w:rPr>
                <w:rFonts w:ascii="Times New Roman" w:eastAsia="Times New Roman" w:hAnsi="Times New Roman" w:cs="Times New Roman"/>
                <w:b/>
                <w:lang w:val="sl-SI"/>
              </w:rPr>
            </w:pPr>
            <w:r w:rsidRPr="00385E1F">
              <w:rPr>
                <w:rFonts w:ascii="Times New Roman" w:eastAsia="Times New Roman" w:hAnsi="Times New Roman" w:cs="Times New Roman"/>
                <w:b/>
                <w:lang w:val="sl-SI"/>
              </w:rPr>
              <w:t>Faza</w:t>
            </w:r>
          </w:p>
        </w:tc>
        <w:tc>
          <w:tcPr>
            <w:tcW w:w="3521" w:type="dxa"/>
            <w:gridSpan w:val="2"/>
            <w:tcBorders>
              <w:top w:val="single" w:sz="5" w:space="0" w:color="000000"/>
              <w:left w:val="single" w:sz="5" w:space="0" w:color="000000"/>
              <w:bottom w:val="single" w:sz="5" w:space="0" w:color="000000"/>
              <w:right w:val="single" w:sz="5" w:space="0" w:color="000000"/>
            </w:tcBorders>
          </w:tcPr>
          <w:p w14:paraId="543B9CB8" w14:textId="77777777" w:rsidR="0066522E" w:rsidRPr="00385E1F" w:rsidRDefault="0066522E" w:rsidP="00183CD7">
            <w:pPr>
              <w:rPr>
                <w:b/>
                <w:lang w:val="sl-SI"/>
              </w:rPr>
            </w:pPr>
          </w:p>
        </w:tc>
        <w:tc>
          <w:tcPr>
            <w:tcW w:w="3240" w:type="dxa"/>
            <w:gridSpan w:val="2"/>
            <w:tcBorders>
              <w:top w:val="single" w:sz="5" w:space="0" w:color="000000"/>
              <w:left w:val="single" w:sz="5" w:space="0" w:color="000000"/>
              <w:bottom w:val="single" w:sz="5" w:space="0" w:color="000000"/>
              <w:right w:val="single" w:sz="5" w:space="0" w:color="000000"/>
            </w:tcBorders>
          </w:tcPr>
          <w:p w14:paraId="0DF819CF" w14:textId="77777777" w:rsidR="0066522E" w:rsidRPr="00385E1F" w:rsidRDefault="0066522E" w:rsidP="00183CD7">
            <w:pPr>
              <w:rPr>
                <w:b/>
                <w:lang w:val="sl-SI"/>
              </w:rPr>
            </w:pPr>
          </w:p>
        </w:tc>
      </w:tr>
      <w:tr w:rsidR="0066522E" w14:paraId="758DB6E8" w14:textId="77777777" w:rsidTr="00183CD7">
        <w:tc>
          <w:tcPr>
            <w:tcW w:w="2417" w:type="dxa"/>
            <w:tcBorders>
              <w:top w:val="single" w:sz="5" w:space="0" w:color="000000"/>
              <w:left w:val="single" w:sz="5" w:space="0" w:color="000000"/>
              <w:bottom w:val="single" w:sz="5" w:space="0" w:color="000000"/>
              <w:right w:val="single" w:sz="5" w:space="0" w:color="000000"/>
            </w:tcBorders>
          </w:tcPr>
          <w:p w14:paraId="438A55A3" w14:textId="77777777" w:rsidR="0066522E" w:rsidRDefault="0066522E" w:rsidP="00183CD7">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2"/>
                <w:lang w:val="sl-SI"/>
              </w:rPr>
              <w:t xml:space="preserve">Odprta uvajalna faza 16 </w:t>
            </w:r>
            <w:r>
              <w:rPr>
                <w:rFonts w:ascii="Times New Roman" w:eastAsia="Times New Roman" w:hAnsi="Times New Roman" w:cs="Times New Roman"/>
                <w:spacing w:val="-2"/>
                <w:lang w:val="sl-SI"/>
              </w:rPr>
              <w:lastRenderedPageBreak/>
              <w:t>tednov</w:t>
            </w:r>
          </w:p>
        </w:tc>
        <w:tc>
          <w:tcPr>
            <w:tcW w:w="3521" w:type="dxa"/>
            <w:gridSpan w:val="2"/>
            <w:tcBorders>
              <w:top w:val="single" w:sz="5" w:space="0" w:color="000000"/>
              <w:left w:val="single" w:sz="5" w:space="0" w:color="000000"/>
              <w:bottom w:val="single" w:sz="5" w:space="0" w:color="000000"/>
              <w:right w:val="single" w:sz="5" w:space="0" w:color="000000"/>
            </w:tcBorders>
          </w:tcPr>
          <w:p w14:paraId="2D042210" w14:textId="77777777" w:rsidR="0066522E" w:rsidRDefault="0066522E" w:rsidP="00183CD7">
            <w:pPr>
              <w:rPr>
                <w:lang w:val="sl-SI"/>
              </w:rPr>
            </w:pPr>
          </w:p>
        </w:tc>
        <w:tc>
          <w:tcPr>
            <w:tcW w:w="3240" w:type="dxa"/>
            <w:gridSpan w:val="2"/>
            <w:tcBorders>
              <w:top w:val="single" w:sz="5" w:space="0" w:color="000000"/>
              <w:left w:val="single" w:sz="5" w:space="0" w:color="000000"/>
              <w:bottom w:val="single" w:sz="5" w:space="0" w:color="000000"/>
              <w:right w:val="single" w:sz="5" w:space="0" w:color="000000"/>
            </w:tcBorders>
          </w:tcPr>
          <w:p w14:paraId="129B941C" w14:textId="77777777" w:rsidR="0066522E" w:rsidRDefault="0066522E" w:rsidP="00183CD7">
            <w:pPr>
              <w:rPr>
                <w:lang w:val="sl-SI"/>
              </w:rPr>
            </w:pPr>
          </w:p>
        </w:tc>
      </w:tr>
      <w:tr w:rsidR="0066522E" w14:paraId="3378EB6D" w14:textId="77777777" w:rsidTr="00183CD7">
        <w:tc>
          <w:tcPr>
            <w:tcW w:w="2417" w:type="dxa"/>
            <w:tcBorders>
              <w:top w:val="single" w:sz="5" w:space="0" w:color="000000"/>
              <w:left w:val="single" w:sz="5" w:space="0" w:color="000000"/>
              <w:bottom w:val="single" w:sz="5" w:space="0" w:color="000000"/>
              <w:right w:val="single" w:sz="5" w:space="0" w:color="000000"/>
            </w:tcBorders>
          </w:tcPr>
          <w:p w14:paraId="58AEE016" w14:textId="77777777" w:rsidR="0066522E" w:rsidRDefault="0066522E" w:rsidP="00183CD7">
            <w:pPr>
              <w:pStyle w:val="TableParagraph"/>
              <w:spacing w:line="246" w:lineRule="exact"/>
              <w:ind w:left="668"/>
              <w:rPr>
                <w:rFonts w:ascii="Times New Roman" w:eastAsia="Times New Roman" w:hAnsi="Times New Roman" w:cs="Times New Roman"/>
                <w:lang w:val="sl-SI"/>
              </w:rPr>
            </w:pPr>
            <w:r>
              <w:rPr>
                <w:rFonts w:ascii="Times New Roman" w:eastAsia="Times New Roman" w:hAnsi="Times New Roman" w:cs="Times New Roman"/>
                <w:spacing w:val="-1"/>
                <w:lang w:val="sl-SI"/>
              </w:rPr>
              <w:t>Odziv »Ped ACR« 30 (n/N)</w:t>
            </w:r>
          </w:p>
        </w:tc>
        <w:tc>
          <w:tcPr>
            <w:tcW w:w="3521" w:type="dxa"/>
            <w:gridSpan w:val="2"/>
            <w:tcBorders>
              <w:top w:val="single" w:sz="5" w:space="0" w:color="000000"/>
              <w:left w:val="single" w:sz="5" w:space="0" w:color="000000"/>
              <w:bottom w:val="single" w:sz="5" w:space="0" w:color="000000"/>
              <w:right w:val="single" w:sz="5" w:space="0" w:color="000000"/>
            </w:tcBorders>
          </w:tcPr>
          <w:p w14:paraId="47D784EF" w14:textId="77777777" w:rsidR="0066522E" w:rsidRDefault="0066522E" w:rsidP="00183CD7">
            <w:pPr>
              <w:pStyle w:val="TableParagraph"/>
              <w:spacing w:line="246" w:lineRule="exact"/>
              <w:ind w:left="1091"/>
              <w:rPr>
                <w:rFonts w:ascii="Times New Roman" w:eastAsia="Times New Roman" w:hAnsi="Times New Roman" w:cs="Times New Roman"/>
                <w:lang w:val="sl-SI"/>
              </w:rPr>
            </w:pPr>
            <w:r>
              <w:rPr>
                <w:rFonts w:ascii="Times New Roman" w:eastAsia="Times New Roman" w:hAnsi="Times New Roman" w:cs="Times New Roman"/>
                <w:spacing w:val="-1"/>
                <w:lang w:val="sl-SI"/>
              </w:rPr>
              <w:t>94,1 % (80/85)</w:t>
            </w:r>
          </w:p>
        </w:tc>
        <w:tc>
          <w:tcPr>
            <w:tcW w:w="3240" w:type="dxa"/>
            <w:gridSpan w:val="2"/>
            <w:tcBorders>
              <w:top w:val="single" w:sz="5" w:space="0" w:color="000000"/>
              <w:left w:val="single" w:sz="5" w:space="0" w:color="000000"/>
              <w:bottom w:val="single" w:sz="5" w:space="0" w:color="000000"/>
              <w:right w:val="single" w:sz="5" w:space="0" w:color="000000"/>
            </w:tcBorders>
          </w:tcPr>
          <w:p w14:paraId="32138F9B" w14:textId="77777777" w:rsidR="0066522E" w:rsidRDefault="0066522E" w:rsidP="00183CD7">
            <w:pPr>
              <w:pStyle w:val="TableParagraph"/>
              <w:spacing w:line="246" w:lineRule="exact"/>
              <w:ind w:left="951"/>
              <w:rPr>
                <w:rFonts w:ascii="Times New Roman" w:eastAsia="Times New Roman" w:hAnsi="Times New Roman" w:cs="Times New Roman"/>
                <w:lang w:val="sl-SI"/>
              </w:rPr>
            </w:pPr>
            <w:r>
              <w:rPr>
                <w:rFonts w:ascii="Times New Roman" w:eastAsia="Times New Roman" w:hAnsi="Times New Roman" w:cs="Times New Roman"/>
                <w:spacing w:val="-1"/>
                <w:lang w:val="sl-SI"/>
              </w:rPr>
              <w:t>74,4 % (64/86)</w:t>
            </w:r>
          </w:p>
        </w:tc>
      </w:tr>
      <w:tr w:rsidR="0066522E" w14:paraId="4BB72C2A" w14:textId="77777777" w:rsidTr="00183CD7">
        <w:tc>
          <w:tcPr>
            <w:tcW w:w="9178" w:type="dxa"/>
            <w:gridSpan w:val="5"/>
            <w:tcBorders>
              <w:top w:val="single" w:sz="5" w:space="0" w:color="000000"/>
              <w:left w:val="single" w:sz="5" w:space="0" w:color="000000"/>
              <w:bottom w:val="single" w:sz="5" w:space="0" w:color="000000"/>
              <w:right w:val="single" w:sz="5" w:space="0" w:color="000000"/>
            </w:tcBorders>
          </w:tcPr>
          <w:p w14:paraId="40EC7E54"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Rezultati učinkovitosti</w:t>
            </w:r>
          </w:p>
        </w:tc>
      </w:tr>
      <w:tr w:rsidR="0066522E" w14:paraId="53248E32" w14:textId="77777777" w:rsidTr="00183CD7">
        <w:tc>
          <w:tcPr>
            <w:tcW w:w="2417" w:type="dxa"/>
            <w:tcBorders>
              <w:top w:val="single" w:sz="5" w:space="0" w:color="000000"/>
              <w:left w:val="single" w:sz="5" w:space="0" w:color="000000"/>
              <w:bottom w:val="single" w:sz="5" w:space="0" w:color="000000"/>
              <w:right w:val="single" w:sz="5" w:space="0" w:color="000000"/>
            </w:tcBorders>
          </w:tcPr>
          <w:p w14:paraId="4D262451" w14:textId="77777777" w:rsidR="0066522E" w:rsidRDefault="0066522E" w:rsidP="00183CD7">
            <w:pPr>
              <w:pStyle w:val="TableParagraph"/>
              <w:spacing w:line="246"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Dvojno slepa 32 tednov</w:t>
            </w:r>
          </w:p>
        </w:tc>
        <w:tc>
          <w:tcPr>
            <w:tcW w:w="1762" w:type="dxa"/>
            <w:tcBorders>
              <w:top w:val="single" w:sz="5" w:space="0" w:color="000000"/>
              <w:left w:val="single" w:sz="5" w:space="0" w:color="000000"/>
              <w:bottom w:val="single" w:sz="5" w:space="0" w:color="000000"/>
              <w:right w:val="single" w:sz="5" w:space="0" w:color="000000"/>
            </w:tcBorders>
          </w:tcPr>
          <w:p w14:paraId="4B4C2831"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Adalimumab/MTX</w:t>
            </w:r>
          </w:p>
          <w:p w14:paraId="43AEC7CD" w14:textId="77777777" w:rsidR="0066522E" w:rsidRDefault="0066522E" w:rsidP="00183CD7">
            <w:pPr>
              <w:pStyle w:val="TableParagraph"/>
              <w:spacing w:before="1"/>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(N = 38)</w:t>
            </w:r>
          </w:p>
        </w:tc>
        <w:tc>
          <w:tcPr>
            <w:tcW w:w="1759" w:type="dxa"/>
            <w:tcBorders>
              <w:top w:val="single" w:sz="5" w:space="0" w:color="000000"/>
              <w:left w:val="single" w:sz="5" w:space="0" w:color="000000"/>
              <w:bottom w:val="single" w:sz="5" w:space="0" w:color="000000"/>
              <w:right w:val="single" w:sz="5" w:space="0" w:color="000000"/>
            </w:tcBorders>
          </w:tcPr>
          <w:p w14:paraId="2333E1CF"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Placebo/MTX</w:t>
            </w:r>
          </w:p>
          <w:p w14:paraId="186A8FFA" w14:textId="77777777" w:rsidR="0066522E" w:rsidRDefault="0066522E" w:rsidP="00183CD7">
            <w:pPr>
              <w:pStyle w:val="TableParagraph"/>
              <w:spacing w:before="1"/>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(N = 37)</w:t>
            </w:r>
          </w:p>
        </w:tc>
        <w:tc>
          <w:tcPr>
            <w:tcW w:w="1651" w:type="dxa"/>
            <w:tcBorders>
              <w:top w:val="single" w:sz="5" w:space="0" w:color="000000"/>
              <w:left w:val="single" w:sz="5" w:space="0" w:color="000000"/>
              <w:bottom w:val="single" w:sz="5" w:space="0" w:color="000000"/>
              <w:right w:val="single" w:sz="5" w:space="0" w:color="000000"/>
            </w:tcBorders>
          </w:tcPr>
          <w:p w14:paraId="4B223220"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Adalimumab</w:t>
            </w:r>
          </w:p>
          <w:p w14:paraId="79E9DA53" w14:textId="77777777" w:rsidR="0066522E" w:rsidRDefault="0066522E" w:rsidP="00183CD7">
            <w:pPr>
              <w:pStyle w:val="TableParagraph"/>
              <w:spacing w:before="1"/>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(N = 30)</w:t>
            </w:r>
          </w:p>
        </w:tc>
        <w:tc>
          <w:tcPr>
            <w:tcW w:w="1589" w:type="dxa"/>
            <w:tcBorders>
              <w:top w:val="single" w:sz="5" w:space="0" w:color="000000"/>
              <w:left w:val="single" w:sz="5" w:space="0" w:color="000000"/>
              <w:bottom w:val="single" w:sz="5" w:space="0" w:color="000000"/>
              <w:right w:val="single" w:sz="5" w:space="0" w:color="000000"/>
            </w:tcBorders>
          </w:tcPr>
          <w:p w14:paraId="1B69A727"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Placebo</w:t>
            </w:r>
          </w:p>
          <w:p w14:paraId="3F3E4687" w14:textId="77777777" w:rsidR="0066522E" w:rsidRDefault="0066522E" w:rsidP="00183CD7">
            <w:pPr>
              <w:pStyle w:val="TableParagraph"/>
              <w:spacing w:before="1"/>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(N = 28)</w:t>
            </w:r>
          </w:p>
        </w:tc>
      </w:tr>
      <w:tr w:rsidR="0066522E" w14:paraId="2562C7A4" w14:textId="77777777" w:rsidTr="00183CD7">
        <w:tc>
          <w:tcPr>
            <w:tcW w:w="2417" w:type="dxa"/>
            <w:tcBorders>
              <w:top w:val="single" w:sz="5" w:space="0" w:color="000000"/>
              <w:left w:val="single" w:sz="5" w:space="0" w:color="000000"/>
              <w:bottom w:val="single" w:sz="5" w:space="0" w:color="000000"/>
              <w:right w:val="single" w:sz="5" w:space="0" w:color="000000"/>
            </w:tcBorders>
          </w:tcPr>
          <w:p w14:paraId="3C6FF63F" w14:textId="77777777" w:rsidR="0066522E" w:rsidRDefault="0066522E" w:rsidP="00183CD7">
            <w:pPr>
              <w:pStyle w:val="TableParagraph"/>
              <w:spacing w:line="246" w:lineRule="exact"/>
              <w:ind w:left="668"/>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Zagon bolezni na koncu </w:t>
            </w:r>
            <w:r>
              <w:rPr>
                <w:rFonts w:ascii="Times New Roman" w:eastAsia="Times New Roman" w:hAnsi="Times New Roman" w:cs="Times New Roman"/>
                <w:lang w:val="sl-SI"/>
              </w:rPr>
              <w:t>32-tedenskega obdobja</w:t>
            </w:r>
            <w:r>
              <w:rPr>
                <w:rFonts w:ascii="Times New Roman" w:eastAsia="Times New Roman" w:hAnsi="Times New Roman" w:cs="Times New Roman"/>
                <w:vertAlign w:val="superscript"/>
                <w:lang w:val="sl-SI"/>
              </w:rPr>
              <w:t>a</w:t>
            </w:r>
            <w:r>
              <w:rPr>
                <w:rFonts w:ascii="Times New Roman" w:eastAsia="Times New Roman" w:hAnsi="Times New Roman" w:cs="Times New Roman"/>
                <w:lang w:val="sl-SI"/>
              </w:rPr>
              <w:t xml:space="preserve"> (n/N)</w:t>
            </w:r>
          </w:p>
        </w:tc>
        <w:tc>
          <w:tcPr>
            <w:tcW w:w="1762" w:type="dxa"/>
            <w:tcBorders>
              <w:top w:val="single" w:sz="5" w:space="0" w:color="000000"/>
              <w:left w:val="single" w:sz="5" w:space="0" w:color="000000"/>
              <w:bottom w:val="single" w:sz="5" w:space="0" w:color="000000"/>
              <w:right w:val="single" w:sz="5" w:space="0" w:color="000000"/>
            </w:tcBorders>
          </w:tcPr>
          <w:p w14:paraId="2E469FD0"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36,8 % (14/38)</w:t>
            </w:r>
          </w:p>
        </w:tc>
        <w:tc>
          <w:tcPr>
            <w:tcW w:w="1759" w:type="dxa"/>
            <w:tcBorders>
              <w:top w:val="single" w:sz="5" w:space="0" w:color="000000"/>
              <w:left w:val="single" w:sz="5" w:space="0" w:color="000000"/>
              <w:bottom w:val="single" w:sz="5" w:space="0" w:color="000000"/>
              <w:right w:val="single" w:sz="5" w:space="0" w:color="000000"/>
            </w:tcBorders>
          </w:tcPr>
          <w:p w14:paraId="666DA8A1"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64,9 % (24/37)</w:t>
            </w:r>
            <w:r>
              <w:rPr>
                <w:rFonts w:ascii="Times New Roman" w:eastAsia="Times New Roman" w:hAnsi="Times New Roman" w:cs="Times New Roman"/>
                <w:spacing w:val="-1"/>
                <w:vertAlign w:val="superscript"/>
                <w:lang w:val="sl-SI"/>
              </w:rPr>
              <w:t>b</w:t>
            </w:r>
          </w:p>
        </w:tc>
        <w:tc>
          <w:tcPr>
            <w:tcW w:w="1651" w:type="dxa"/>
            <w:tcBorders>
              <w:top w:val="single" w:sz="5" w:space="0" w:color="000000"/>
              <w:left w:val="single" w:sz="5" w:space="0" w:color="000000"/>
              <w:bottom w:val="single" w:sz="5" w:space="0" w:color="000000"/>
              <w:right w:val="single" w:sz="5" w:space="0" w:color="000000"/>
            </w:tcBorders>
          </w:tcPr>
          <w:p w14:paraId="17EB1FED"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43,3 % (13/30)</w:t>
            </w:r>
          </w:p>
        </w:tc>
        <w:tc>
          <w:tcPr>
            <w:tcW w:w="1589" w:type="dxa"/>
            <w:tcBorders>
              <w:top w:val="single" w:sz="5" w:space="0" w:color="000000"/>
              <w:left w:val="single" w:sz="5" w:space="0" w:color="000000"/>
              <w:bottom w:val="single" w:sz="5" w:space="0" w:color="000000"/>
              <w:right w:val="single" w:sz="5" w:space="0" w:color="000000"/>
            </w:tcBorders>
          </w:tcPr>
          <w:p w14:paraId="32348F1B"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 xml:space="preserve">71,4 % </w:t>
            </w:r>
            <w:r>
              <w:rPr>
                <w:rFonts w:ascii="Times New Roman" w:eastAsia="Times New Roman" w:hAnsi="Times New Roman" w:cs="Times New Roman"/>
                <w:spacing w:val="-1"/>
                <w:lang w:val="sl-SI"/>
              </w:rPr>
              <w:t>(20/28)</w:t>
            </w:r>
            <w:r>
              <w:rPr>
                <w:rFonts w:ascii="Times New Roman" w:eastAsia="Times New Roman" w:hAnsi="Times New Roman" w:cs="Times New Roman"/>
                <w:spacing w:val="-1"/>
                <w:vertAlign w:val="superscript"/>
                <w:lang w:val="sl-SI"/>
              </w:rPr>
              <w:t>c</w:t>
            </w:r>
          </w:p>
        </w:tc>
      </w:tr>
      <w:tr w:rsidR="0066522E" w14:paraId="5558AD65" w14:textId="77777777" w:rsidTr="00183CD7">
        <w:tc>
          <w:tcPr>
            <w:tcW w:w="2417" w:type="dxa"/>
            <w:tcBorders>
              <w:top w:val="single" w:sz="5" w:space="0" w:color="000000"/>
              <w:left w:val="single" w:sz="5" w:space="0" w:color="000000"/>
              <w:bottom w:val="single" w:sz="5" w:space="0" w:color="000000"/>
              <w:right w:val="single" w:sz="5" w:space="0" w:color="000000"/>
            </w:tcBorders>
          </w:tcPr>
          <w:p w14:paraId="5991A755" w14:textId="77777777" w:rsidR="0066522E" w:rsidRDefault="0066522E" w:rsidP="00183CD7">
            <w:pPr>
              <w:pStyle w:val="TableParagraph"/>
              <w:spacing w:line="246" w:lineRule="exact"/>
              <w:ind w:left="668"/>
              <w:rPr>
                <w:rFonts w:ascii="Times New Roman" w:eastAsia="Times New Roman" w:hAnsi="Times New Roman" w:cs="Times New Roman"/>
                <w:lang w:val="sl-SI"/>
              </w:rPr>
            </w:pPr>
            <w:r>
              <w:rPr>
                <w:rFonts w:ascii="Times New Roman" w:eastAsia="Times New Roman" w:hAnsi="Times New Roman" w:cs="Times New Roman"/>
                <w:spacing w:val="-1"/>
                <w:lang w:val="sl-SI"/>
              </w:rPr>
              <w:t>Mediana časa do zagona bolezni</w:t>
            </w:r>
          </w:p>
        </w:tc>
        <w:tc>
          <w:tcPr>
            <w:tcW w:w="1762" w:type="dxa"/>
            <w:tcBorders>
              <w:top w:val="single" w:sz="5" w:space="0" w:color="000000"/>
              <w:left w:val="single" w:sz="5" w:space="0" w:color="000000"/>
              <w:bottom w:val="single" w:sz="5" w:space="0" w:color="000000"/>
              <w:right w:val="single" w:sz="5" w:space="0" w:color="000000"/>
            </w:tcBorders>
          </w:tcPr>
          <w:p w14:paraId="43CD5008"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&gt; 32 tednov</w:t>
            </w:r>
          </w:p>
        </w:tc>
        <w:tc>
          <w:tcPr>
            <w:tcW w:w="1759" w:type="dxa"/>
            <w:tcBorders>
              <w:top w:val="single" w:sz="5" w:space="0" w:color="000000"/>
              <w:left w:val="single" w:sz="5" w:space="0" w:color="000000"/>
              <w:bottom w:val="single" w:sz="5" w:space="0" w:color="000000"/>
              <w:right w:val="single" w:sz="5" w:space="0" w:color="000000"/>
            </w:tcBorders>
          </w:tcPr>
          <w:p w14:paraId="368408D1"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20 tednov</w:t>
            </w:r>
          </w:p>
        </w:tc>
        <w:tc>
          <w:tcPr>
            <w:tcW w:w="1651" w:type="dxa"/>
            <w:tcBorders>
              <w:top w:val="single" w:sz="5" w:space="0" w:color="000000"/>
              <w:left w:val="single" w:sz="5" w:space="0" w:color="000000"/>
              <w:bottom w:val="single" w:sz="5" w:space="0" w:color="000000"/>
              <w:right w:val="single" w:sz="5" w:space="0" w:color="000000"/>
            </w:tcBorders>
          </w:tcPr>
          <w:p w14:paraId="0252FF77"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&gt; 32 tednov</w:t>
            </w:r>
          </w:p>
        </w:tc>
        <w:tc>
          <w:tcPr>
            <w:tcW w:w="1589" w:type="dxa"/>
            <w:tcBorders>
              <w:top w:val="single" w:sz="5" w:space="0" w:color="000000"/>
              <w:left w:val="single" w:sz="5" w:space="0" w:color="000000"/>
              <w:bottom w:val="single" w:sz="5" w:space="0" w:color="000000"/>
              <w:right w:val="single" w:sz="5" w:space="0" w:color="000000"/>
            </w:tcBorders>
          </w:tcPr>
          <w:p w14:paraId="451F1AEC"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14 tednov</w:t>
            </w:r>
          </w:p>
        </w:tc>
      </w:tr>
    </w:tbl>
    <w:p w14:paraId="4600EE7B" w14:textId="77777777" w:rsidR="0066522E" w:rsidRDefault="0066522E" w:rsidP="00385E1F">
      <w:pPr>
        <w:spacing w:before="3" w:line="180" w:lineRule="exact"/>
        <w:ind w:leftChars="100" w:left="220"/>
        <w:rPr>
          <w:lang w:val="sl-SI"/>
        </w:rPr>
      </w:pPr>
    </w:p>
    <w:p w14:paraId="2CC9C904" w14:textId="77777777" w:rsidR="0066522E" w:rsidRDefault="0066522E" w:rsidP="00385E1F">
      <w:pPr>
        <w:pStyle w:val="a3"/>
        <w:ind w:leftChars="100" w:left="220"/>
        <w:rPr>
          <w:lang w:val="sl-SI"/>
        </w:rPr>
      </w:pPr>
      <w:r>
        <w:rPr>
          <w:rFonts w:eastAsia="Times New Roman"/>
          <w:position w:val="8"/>
          <w:vertAlign w:val="superscript"/>
          <w:lang w:val="sl-SI"/>
        </w:rPr>
        <w:t>a</w:t>
      </w:r>
      <w:r>
        <w:rPr>
          <w:rFonts w:eastAsia="Times New Roman"/>
          <w:position w:val="8"/>
          <w:lang w:val="sl-SI"/>
        </w:rPr>
        <w:t xml:space="preserve"> Odzivi »Ped ACR« 30/50/70 so bili 48. teden značilno večji kot pri bolnikih, ki so dobivali placebo</w:t>
      </w:r>
    </w:p>
    <w:p w14:paraId="54315A3F" w14:textId="77777777" w:rsidR="0066522E" w:rsidRDefault="0066522E" w:rsidP="00385E1F">
      <w:pPr>
        <w:pStyle w:val="a3"/>
        <w:ind w:leftChars="100" w:left="220"/>
        <w:rPr>
          <w:lang w:val="sl-SI"/>
        </w:rPr>
      </w:pPr>
      <w:r>
        <w:rPr>
          <w:rFonts w:eastAsia="Times New Roman"/>
          <w:position w:val="8"/>
          <w:vertAlign w:val="superscript"/>
          <w:lang w:val="sl-SI"/>
        </w:rPr>
        <w:t>b</w:t>
      </w:r>
      <w:r>
        <w:rPr>
          <w:rFonts w:eastAsia="Times New Roman"/>
          <w:position w:val="8"/>
          <w:lang w:val="sl-SI"/>
        </w:rPr>
        <w:t xml:space="preserve"> p = 0,015</w:t>
      </w:r>
    </w:p>
    <w:p w14:paraId="045FFAC8" w14:textId="77777777" w:rsidR="0066522E" w:rsidRDefault="0066522E" w:rsidP="00385E1F">
      <w:pPr>
        <w:pStyle w:val="a3"/>
        <w:ind w:leftChars="100" w:left="220"/>
        <w:rPr>
          <w:lang w:val="sl-SI"/>
        </w:rPr>
      </w:pPr>
      <w:r>
        <w:rPr>
          <w:rFonts w:eastAsia="Times New Roman"/>
          <w:position w:val="8"/>
          <w:vertAlign w:val="superscript"/>
          <w:lang w:val="sl-SI"/>
        </w:rPr>
        <w:t>c</w:t>
      </w:r>
      <w:r>
        <w:rPr>
          <w:rFonts w:eastAsia="Times New Roman"/>
          <w:position w:val="8"/>
          <w:lang w:val="sl-SI"/>
        </w:rPr>
        <w:t xml:space="preserve"> p = 0,031</w:t>
      </w:r>
    </w:p>
    <w:p w14:paraId="7124809A" w14:textId="77777777" w:rsidR="0066522E" w:rsidRDefault="0066522E" w:rsidP="0066522E">
      <w:pPr>
        <w:spacing w:before="14" w:line="240" w:lineRule="exact"/>
        <w:rPr>
          <w:sz w:val="24"/>
          <w:szCs w:val="24"/>
          <w:lang w:val="sl-SI"/>
        </w:rPr>
      </w:pPr>
    </w:p>
    <w:p w14:paraId="20668BC2" w14:textId="77777777" w:rsidR="0066522E" w:rsidRDefault="0066522E" w:rsidP="0066522E">
      <w:pPr>
        <w:pStyle w:val="a3"/>
        <w:rPr>
          <w:lang w:val="sl-SI"/>
        </w:rPr>
      </w:pPr>
      <w:r>
        <w:rPr>
          <w:rFonts w:eastAsia="Times New Roman"/>
          <w:spacing w:val="1"/>
          <w:lang w:val="sl-SI"/>
        </w:rPr>
        <w:t>Med bolniki, ki so se odzvali 16. teden (n = 144), so se odzivi »Paediatric ACR« 30/50/70/90 v odprti podaljšani fazi ohranili do 6 let pri tistih, ki so ves čas študije dobivali adalimumab. Skupno je bilo 6 let ali več zdravljenih 19 preiskovancev, od tega 11 iz izhodiščne starostne skupine od 4 do 12 let in 8 iz izhodiščne starostne skupine od 13 do 17 let.</w:t>
      </w:r>
    </w:p>
    <w:p w14:paraId="190C560A" w14:textId="77777777" w:rsidR="0066522E" w:rsidRDefault="0066522E" w:rsidP="0066522E">
      <w:pPr>
        <w:spacing w:before="14" w:line="240" w:lineRule="exact"/>
        <w:rPr>
          <w:sz w:val="24"/>
          <w:szCs w:val="24"/>
          <w:lang w:val="sl-SI"/>
        </w:rPr>
      </w:pPr>
    </w:p>
    <w:p w14:paraId="094D78D4" w14:textId="77777777" w:rsidR="0066522E" w:rsidRDefault="0066522E" w:rsidP="0066522E">
      <w:pPr>
        <w:pStyle w:val="a3"/>
        <w:rPr>
          <w:lang w:val="sl-SI"/>
        </w:rPr>
      </w:pPr>
      <w:r>
        <w:rPr>
          <w:rFonts w:eastAsia="Times New Roman"/>
          <w:lang w:val="sl-SI"/>
        </w:rPr>
        <w:t>Celotni odzivi so bili med zdravljenjem s kombinacijo adalimumaba in metotreksata na splošno boljši in pri manj bolnikih so se pojavila protitelesa kot med zdravljenjem samo z adalimumabom. Z upoštevanjem teh ugotovitev je adalimumab priporočljivo uporabljati v kombinaciji z metotreksatom, kot monoterapijo pa pri bolnikih, za katere uporaba metotreksata ni primerna (glejte poglavje 4.2).</w:t>
      </w:r>
    </w:p>
    <w:p w14:paraId="7C212385" w14:textId="77777777" w:rsidR="0066522E" w:rsidRDefault="0066522E" w:rsidP="0066522E">
      <w:pPr>
        <w:pStyle w:val="a3"/>
        <w:rPr>
          <w:lang w:val="sl-SI"/>
        </w:rPr>
      </w:pPr>
    </w:p>
    <w:p w14:paraId="1E5CA299" w14:textId="77777777" w:rsidR="0066522E" w:rsidRDefault="0066522E" w:rsidP="0066522E">
      <w:pPr>
        <w:pStyle w:val="a3"/>
        <w:rPr>
          <w:lang w:val="sl-SI"/>
        </w:rPr>
      </w:pPr>
      <w:r>
        <w:rPr>
          <w:rFonts w:eastAsia="Times New Roman"/>
          <w:spacing w:val="1"/>
          <w:lang w:val="sl-SI"/>
        </w:rPr>
        <w:t>pJIA II</w:t>
      </w:r>
    </w:p>
    <w:p w14:paraId="62D69608" w14:textId="77777777" w:rsidR="0066522E" w:rsidRDefault="0066522E" w:rsidP="0066522E">
      <w:pPr>
        <w:spacing w:before="11" w:line="240" w:lineRule="exact"/>
        <w:rPr>
          <w:sz w:val="24"/>
          <w:szCs w:val="24"/>
          <w:lang w:val="sl-SI"/>
        </w:rPr>
      </w:pPr>
    </w:p>
    <w:p w14:paraId="5D469190" w14:textId="77777777" w:rsidR="0066522E" w:rsidRDefault="0066522E" w:rsidP="0066522E">
      <w:pPr>
        <w:pStyle w:val="a3"/>
        <w:rPr>
          <w:lang w:val="sl-SI"/>
        </w:rPr>
      </w:pPr>
      <w:r>
        <w:rPr>
          <w:rFonts w:eastAsia="Times New Roman"/>
          <w:lang w:val="sl-SI"/>
        </w:rPr>
        <w:t>Varnost in učinkovitost adalimumaba so ocenili v odprti, multicentrični študiji pri 32 otrocih</w:t>
      </w:r>
    </w:p>
    <w:p w14:paraId="774B2749" w14:textId="77777777" w:rsidR="0066522E" w:rsidRDefault="0066522E" w:rsidP="0066522E">
      <w:pPr>
        <w:pStyle w:val="a3"/>
        <w:rPr>
          <w:lang w:val="sl-SI"/>
        </w:rPr>
      </w:pPr>
      <w:r>
        <w:rPr>
          <w:rFonts w:eastAsia="Times New Roman"/>
          <w:lang w:val="sl-SI"/>
        </w:rPr>
        <w:t>(starih od 2 do &lt; 4 leta ali starih 4 leta ali več in s telesno maso &lt; 15 kg) z zmernim do zelo aktivnim poliartikularnim JIA. Bolniki so vsaj 24 tednov prejemali adalimumab v odmerku 24 mg/m</w:t>
      </w:r>
      <w:r>
        <w:rPr>
          <w:rFonts w:eastAsia="Times New Roman"/>
          <w:sz w:val="14"/>
          <w:szCs w:val="14"/>
          <w:lang w:val="sl-SI"/>
        </w:rPr>
        <w:t>2</w:t>
      </w:r>
      <w:r>
        <w:rPr>
          <w:rFonts w:eastAsia="Times New Roman"/>
          <w:lang w:val="sl-SI"/>
        </w:rPr>
        <w:t xml:space="preserve"> telesne površine (in do največ 20 mg) vsak drugi teden kot enkraten odmerek v subkutani injekciji. Med študijo je večina preiskovancev sočasno uporabljala metotreksat, manj pa jih je navedlo uporabo kortikosteroidov ali NSAID.</w:t>
      </w:r>
    </w:p>
    <w:p w14:paraId="192F23E4" w14:textId="77777777" w:rsidR="0066522E" w:rsidRDefault="0066522E" w:rsidP="0066522E">
      <w:pPr>
        <w:spacing w:before="14" w:line="240" w:lineRule="exact"/>
        <w:rPr>
          <w:sz w:val="24"/>
          <w:szCs w:val="24"/>
          <w:lang w:val="sl-SI"/>
        </w:rPr>
      </w:pPr>
    </w:p>
    <w:p w14:paraId="4080ABC8" w14:textId="77777777" w:rsidR="0066522E" w:rsidRDefault="0066522E" w:rsidP="0066522E">
      <w:pPr>
        <w:pStyle w:val="a3"/>
        <w:rPr>
          <w:lang w:val="sl-SI"/>
        </w:rPr>
      </w:pPr>
      <w:r>
        <w:rPr>
          <w:rFonts w:eastAsia="Times New Roman"/>
          <w:lang w:val="sl-SI"/>
        </w:rPr>
        <w:t>12. teden je bil odziv PedACR30 93,5 % in 24. teden 90,0 % (z uporabo pristopa z opaženimi podatki). Deleži preiskovancev s PedACR50/70/90 so bili 12. teden 90,3 %/61,3 %/38,7 % in 24. teden 83,3 %/73,3 %/36,7 %. Med tistimi, ki so se odzvali (Paediatric ACR 30) do 24. tedna (n = 27 od 30 bolnikov), se je odziv Paediatric ACR 30 v odprti podaljšani fazi ohranil do 60 tednov pri bolnikih, ki so med tem celotnim obdobjem prejemali adalimumab. Skupno je bilo 60 tednov ali več zdravljenih 20 preiskovancev.</w:t>
      </w:r>
    </w:p>
    <w:p w14:paraId="234AFC36" w14:textId="77777777" w:rsidR="0066522E" w:rsidRDefault="0066522E" w:rsidP="0066522E">
      <w:pPr>
        <w:pStyle w:val="a3"/>
        <w:rPr>
          <w:sz w:val="24"/>
          <w:szCs w:val="24"/>
          <w:lang w:val="sl-SI"/>
        </w:rPr>
      </w:pPr>
    </w:p>
    <w:p w14:paraId="0EBA7451" w14:textId="77777777" w:rsidR="0066522E" w:rsidRDefault="0066522E" w:rsidP="0066522E">
      <w:pPr>
        <w:pStyle w:val="a3"/>
        <w:rPr>
          <w:rFonts w:eastAsia="Times New Roman"/>
          <w:lang w:val="sl-SI"/>
        </w:rPr>
      </w:pPr>
      <w:r>
        <w:rPr>
          <w:rFonts w:eastAsia="Times New Roman"/>
          <w:i/>
          <w:iCs/>
          <w:u w:val="single" w:color="000000"/>
          <w:lang w:val="sl-SI"/>
        </w:rPr>
        <w:t>Artritis, povezan z entezitisom</w:t>
      </w:r>
    </w:p>
    <w:p w14:paraId="220D12F5" w14:textId="77777777" w:rsidR="0066522E" w:rsidRDefault="0066522E" w:rsidP="0066522E">
      <w:pPr>
        <w:pStyle w:val="a3"/>
        <w:rPr>
          <w:sz w:val="18"/>
          <w:szCs w:val="18"/>
          <w:lang w:val="sl-SI"/>
        </w:rPr>
      </w:pPr>
    </w:p>
    <w:p w14:paraId="6A9CF813" w14:textId="77777777" w:rsidR="0066522E" w:rsidRDefault="0066522E" w:rsidP="0066522E">
      <w:pPr>
        <w:pStyle w:val="a3"/>
        <w:rPr>
          <w:lang w:val="sl-SI"/>
        </w:rPr>
      </w:pPr>
      <w:r>
        <w:rPr>
          <w:rFonts w:eastAsia="Times New Roman"/>
          <w:lang w:val="sl-SI"/>
        </w:rPr>
        <w:t>Varnost in učinkovitost adalimumaba so ocenili v multicentrični, randomizirani, dvojno slepi študiji pri 46 pediatričnih bolnikih (starih od 6 do 17 let) z zmernim artritisom, povezanim z entezitisom. Bolniki so bili randomizirani za prejemanje bodisi 24 mg/m</w:t>
      </w:r>
      <w:r>
        <w:rPr>
          <w:rFonts w:eastAsia="Times New Roman"/>
          <w:sz w:val="14"/>
          <w:szCs w:val="14"/>
          <w:lang w:val="sl-SI"/>
        </w:rPr>
        <w:t>2</w:t>
      </w:r>
      <w:r>
        <w:rPr>
          <w:rFonts w:eastAsia="Times New Roman"/>
          <w:lang w:val="sl-SI"/>
        </w:rPr>
        <w:t xml:space="preserve"> telesne površine adalimumaba do največjega posamičnega odmerka 40 mg ali placebo vsak drugi teden, 12 tednov. Obdobju dvojno slepega preskušanja je sledilo obdobje odprtega preskušanja, v katerem so bolniki prejemali 24 mg/m</w:t>
      </w:r>
      <w:r>
        <w:rPr>
          <w:rFonts w:eastAsia="Times New Roman"/>
          <w:sz w:val="14"/>
          <w:szCs w:val="14"/>
          <w:lang w:val="sl-SI"/>
        </w:rPr>
        <w:t>2</w:t>
      </w:r>
      <w:r>
        <w:rPr>
          <w:rFonts w:eastAsia="Times New Roman"/>
          <w:lang w:val="sl-SI"/>
        </w:rPr>
        <w:t xml:space="preserve"> telesne površine adalimumaba do največjega posamičnega odmerka 40 mg vsak drugi teden subkutano do največ 192 tednov. Primarni opazovani dogodek je bil odstotek spremembe od izhodiščne vrednosti do 12. tedna v številu aktivnih sklepov z artritisom (oteklina, ki ni nastala zaradi deformacije ali sklepi z zmanjšano gibljivostjo ter bolečino in/ali občutljivostjo); slednji je bil dosežen s povprečnim zmanjšanjem za –62,6 % (mediana sprememba –88,9 %) pri skupini bolnikov, ki je prejemala adalimumab v primerjavi z –11,6 % (mediana </w:t>
      </w:r>
      <w:r>
        <w:rPr>
          <w:rFonts w:eastAsia="Times New Roman"/>
          <w:lang w:val="sl-SI"/>
        </w:rPr>
        <w:lastRenderedPageBreak/>
        <w:t>sprememba –50,0 %) v skupini bolnikov, ki je prejemala placebo. Izboljšanje v številu aktivnih sklepov z artritisom se je ohranilo v obdobju odprtega preskušanja po 156. tednu pri 26 od 31 (84 %) bolnikov, ki so prejemali adalimumab in so ostali v študiji. Čeprav ni statistično značilno, je bilo pri večini bolnikov dokazano klinično izboljšanje sekundarnih opazovanih dogodkov, kot so število mest entezitisa, število občutljivih sklepov, število oteklih sklepov, odziv glede na merila Paediatric ARC 50 in Paediatric ARC 70.</w:t>
      </w:r>
    </w:p>
    <w:p w14:paraId="22E5DE26" w14:textId="77777777" w:rsidR="0066522E" w:rsidRDefault="0066522E" w:rsidP="0066522E">
      <w:pPr>
        <w:spacing w:before="16" w:line="240" w:lineRule="exact"/>
        <w:rPr>
          <w:sz w:val="24"/>
          <w:szCs w:val="24"/>
          <w:lang w:val="sl-SI"/>
        </w:rPr>
      </w:pPr>
    </w:p>
    <w:p w14:paraId="67882B33" w14:textId="77777777" w:rsidR="0066522E" w:rsidRDefault="0066522E" w:rsidP="0066522E">
      <w:pPr>
        <w:spacing w:before="16" w:line="240" w:lineRule="exact"/>
        <w:rPr>
          <w:sz w:val="24"/>
          <w:szCs w:val="24"/>
          <w:lang w:val="sl-SI"/>
        </w:rPr>
      </w:pPr>
    </w:p>
    <w:p w14:paraId="6DEE23BC" w14:textId="77777777" w:rsidR="0066522E" w:rsidRDefault="0066522E" w:rsidP="0066522E">
      <w:pPr>
        <w:spacing w:before="16" w:line="240" w:lineRule="exact"/>
        <w:rPr>
          <w:sz w:val="24"/>
          <w:szCs w:val="24"/>
          <w:lang w:val="sl-SI"/>
        </w:rPr>
      </w:pPr>
    </w:p>
    <w:p w14:paraId="63DDC5D3" w14:textId="77777777" w:rsidR="0066522E" w:rsidRDefault="0066522E" w:rsidP="0066522E">
      <w:pPr>
        <w:pStyle w:val="a3"/>
        <w:rPr>
          <w:rFonts w:eastAsia="Times New Roman"/>
          <w:lang w:val="sl-SI"/>
        </w:rPr>
      </w:pPr>
      <w:r>
        <w:rPr>
          <w:rFonts w:eastAsia="Times New Roman"/>
          <w:i/>
          <w:iCs/>
          <w:spacing w:val="-1"/>
          <w:lang w:val="sl-SI"/>
        </w:rPr>
        <w:t>Psoriaza v plakih pri pediatričnih bolnikih</w:t>
      </w:r>
    </w:p>
    <w:p w14:paraId="4DFB2A76" w14:textId="77777777" w:rsidR="0066522E" w:rsidRDefault="0066522E" w:rsidP="0066522E">
      <w:pPr>
        <w:pStyle w:val="a3"/>
        <w:rPr>
          <w:sz w:val="24"/>
          <w:szCs w:val="24"/>
          <w:lang w:val="sl-SI"/>
        </w:rPr>
      </w:pPr>
    </w:p>
    <w:p w14:paraId="3798BF8B" w14:textId="77777777" w:rsidR="0066522E" w:rsidRDefault="0066522E" w:rsidP="0066522E">
      <w:pPr>
        <w:pStyle w:val="a3"/>
        <w:rPr>
          <w:lang w:val="sl-SI"/>
        </w:rPr>
      </w:pPr>
      <w:r>
        <w:rPr>
          <w:rFonts w:eastAsia="Times New Roman"/>
          <w:lang w:val="sl-SI"/>
        </w:rPr>
        <w:t>Učinkovitost adalimumaba je bila ocenjena v randomizirani, dvojno slepi, kontrolirani študiji, v katero je bilo vključenih 114 pediatričnih bolnikov od 4. leta starosti, s hudo kronično psoriazo v plakih (definirano z zdravnikovo globalno oceno (PGA – Physician's Global Assessment) ≥ 4 ali &gt; 20 % zajete telesne površine ali &gt; 10 % zajete telesne površine z zelo grobimi lezijami ali indeksom obsežnosti in izrazitosti psoriaze (PASI – Psoriasis Area and Severity Index) ≥ 20 ali ≥ 10 s klinično pomembnim zajetjem obraza, genitalij ali dlani/stopal), ki ni bila ustrezno nadzorovana s topikalnim zdravljenjem in helioterapijo ali fototerapijo.</w:t>
      </w:r>
    </w:p>
    <w:p w14:paraId="79F906B1" w14:textId="77777777" w:rsidR="0066522E" w:rsidRDefault="0066522E" w:rsidP="0066522E">
      <w:pPr>
        <w:pStyle w:val="a3"/>
        <w:rPr>
          <w:sz w:val="24"/>
          <w:szCs w:val="24"/>
          <w:lang w:val="sl-SI"/>
        </w:rPr>
      </w:pPr>
    </w:p>
    <w:p w14:paraId="6182B447" w14:textId="77777777" w:rsidR="0066522E" w:rsidRDefault="0066522E" w:rsidP="0066522E">
      <w:pPr>
        <w:pStyle w:val="a3"/>
        <w:rPr>
          <w:lang w:val="sl-SI"/>
        </w:rPr>
      </w:pPr>
      <w:r>
        <w:rPr>
          <w:rFonts w:eastAsia="Times New Roman"/>
          <w:lang w:val="sl-SI"/>
        </w:rPr>
        <w:t>Bolniki so prejemali adalimumab v odmerkih 0,8 mg/kg vsak drugi teden (do največ 40 mg), 0,4 mg/kg vsak drugi teden (do največ 20 mg) ali 0,1–0,4 mg/kg metotreksata na teden (do največ 25 mg). V 16 tednu se je več bolnikov, ki so bili randomizirani na adalimumab 0,8 mg/kg, pozitivno odzvalo v smislu učinkovitosti (npr. PASI 75) kot tistih, ki so bili randomizirani na odmerek 0,4 mg/kg vsak drugi teden ali metotreksat.</w:t>
      </w:r>
    </w:p>
    <w:p w14:paraId="6E4AEAEC" w14:textId="77777777" w:rsidR="0066522E" w:rsidRDefault="0066522E" w:rsidP="0066522E">
      <w:pPr>
        <w:rPr>
          <w:lang w:val="sl-SI"/>
        </w:rPr>
      </w:pPr>
    </w:p>
    <w:p w14:paraId="4B23457D" w14:textId="216476AB" w:rsidR="0066522E" w:rsidRDefault="0066522E" w:rsidP="0066522E">
      <w:pPr>
        <w:pStyle w:val="a3"/>
        <w:jc w:val="center"/>
        <w:rPr>
          <w:b/>
          <w:lang w:val="sl-SI"/>
        </w:rPr>
      </w:pPr>
      <w:r>
        <w:rPr>
          <w:rFonts w:eastAsia="Times New Roman"/>
          <w:b/>
          <w:bCs/>
          <w:lang w:val="sl-SI"/>
        </w:rPr>
        <w:t xml:space="preserve">Preglednica </w:t>
      </w:r>
      <w:r w:rsidR="00945BDE">
        <w:rPr>
          <w:rFonts w:eastAsia="Times New Roman"/>
          <w:b/>
          <w:bCs/>
          <w:lang w:val="sl-SI"/>
        </w:rPr>
        <w:t>19</w:t>
      </w:r>
    </w:p>
    <w:p w14:paraId="232D99AA" w14:textId="77777777" w:rsidR="0066522E" w:rsidRDefault="0066522E" w:rsidP="0066522E">
      <w:pPr>
        <w:pStyle w:val="a3"/>
        <w:jc w:val="center"/>
        <w:rPr>
          <w:rFonts w:eastAsia="Times New Roman"/>
          <w:b/>
          <w:bCs/>
          <w:lang w:val="sl-SI"/>
        </w:rPr>
      </w:pPr>
      <w:r>
        <w:rPr>
          <w:rFonts w:eastAsia="Times New Roman"/>
          <w:b/>
          <w:bCs/>
          <w:lang w:val="sl-SI"/>
        </w:rPr>
        <w:t>Rezultati učinkovitosti v 16. tednu pri pediatričnih bolnikih s psoriazo v plakih</w:t>
      </w:r>
    </w:p>
    <w:p w14:paraId="3FF47B66" w14:textId="77777777" w:rsidR="006B39BF" w:rsidRDefault="006B39BF" w:rsidP="0066522E">
      <w:pPr>
        <w:pStyle w:val="a3"/>
        <w:jc w:val="center"/>
        <w:rPr>
          <w:b/>
          <w:lang w:val="sl-SI"/>
        </w:rPr>
      </w:pPr>
    </w:p>
    <w:p w14:paraId="276CCCA7" w14:textId="77777777" w:rsidR="0066522E" w:rsidRDefault="0066522E" w:rsidP="0066522E">
      <w:pPr>
        <w:spacing w:before="4" w:line="10" w:lineRule="exact"/>
        <w:rPr>
          <w:sz w:val="4"/>
          <w:szCs w:val="4"/>
          <w:lang w:val="sl-SI"/>
        </w:rPr>
      </w:pPr>
    </w:p>
    <w:tbl>
      <w:tblPr>
        <w:tblStyle w:val="TableNormal1"/>
        <w:tblW w:w="0" w:type="auto"/>
        <w:tblInd w:w="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25"/>
        <w:gridCol w:w="1843"/>
        <w:gridCol w:w="3630"/>
      </w:tblGrid>
      <w:tr w:rsidR="0066522E" w:rsidRPr="00AC7013" w14:paraId="70B31592" w14:textId="77777777" w:rsidTr="00183CD7">
        <w:tc>
          <w:tcPr>
            <w:tcW w:w="2925" w:type="dxa"/>
          </w:tcPr>
          <w:p w14:paraId="13F3D77F" w14:textId="77777777" w:rsidR="0066522E" w:rsidRDefault="0066522E" w:rsidP="00183CD7">
            <w:pPr>
              <w:rPr>
                <w:lang w:val="sl-SI"/>
              </w:rPr>
            </w:pPr>
          </w:p>
        </w:tc>
        <w:tc>
          <w:tcPr>
            <w:tcW w:w="1843" w:type="dxa"/>
          </w:tcPr>
          <w:p w14:paraId="0C9ED8CA" w14:textId="77777777" w:rsidR="0066522E" w:rsidRDefault="0066522E" w:rsidP="00183CD7">
            <w:pPr>
              <w:pStyle w:val="TableParagraph"/>
              <w:ind w:left="537" w:right="535"/>
              <w:jc w:val="center"/>
              <w:rPr>
                <w:rFonts w:ascii="Times New Roman" w:eastAsia="Times New Roman" w:hAnsi="Times New Roman" w:cs="Times New Roman"/>
                <w:lang w:val="sl-SI"/>
              </w:rPr>
            </w:pPr>
            <w:r>
              <w:rPr>
                <w:rFonts w:ascii="Times New Roman" w:eastAsia="Times New Roman" w:hAnsi="Times New Roman" w:cs="Times New Roman"/>
                <w:lang w:val="sl-SI"/>
              </w:rPr>
              <w:t>MTX</w:t>
            </w:r>
            <w:r>
              <w:rPr>
                <w:rFonts w:ascii="Times New Roman" w:eastAsia="Times New Roman" w:hAnsi="Times New Roman" w:cs="Times New Roman"/>
                <w:vertAlign w:val="superscript"/>
                <w:lang w:val="sl-SI"/>
              </w:rPr>
              <w:t>a</w:t>
            </w:r>
          </w:p>
          <w:p w14:paraId="44EF72F5" w14:textId="77777777" w:rsidR="0066522E" w:rsidRDefault="0066522E" w:rsidP="00183CD7">
            <w:pPr>
              <w:pStyle w:val="TableParagraph"/>
              <w:ind w:left="563" w:right="563"/>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N = 37</w:t>
            </w:r>
          </w:p>
        </w:tc>
        <w:tc>
          <w:tcPr>
            <w:tcW w:w="3630" w:type="dxa"/>
          </w:tcPr>
          <w:p w14:paraId="3119F5F9" w14:textId="77777777" w:rsidR="0066522E" w:rsidRDefault="0066522E" w:rsidP="00183CD7">
            <w:pPr>
              <w:pStyle w:val="TableParagraph"/>
              <w:spacing w:before="5"/>
              <w:ind w:left="113" w:right="102"/>
              <w:jc w:val="center"/>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Adalimumab 0,8 mg vsak drugi teden </w:t>
            </w:r>
          </w:p>
          <w:p w14:paraId="4BFE2A8C" w14:textId="77777777" w:rsidR="0066522E" w:rsidRDefault="0066522E" w:rsidP="00183CD7">
            <w:pPr>
              <w:pStyle w:val="TableParagraph"/>
              <w:spacing w:before="5"/>
              <w:ind w:left="113" w:right="102"/>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N = 38</w:t>
            </w:r>
          </w:p>
        </w:tc>
      </w:tr>
      <w:tr w:rsidR="0066522E" w14:paraId="3365A732" w14:textId="77777777" w:rsidTr="00183CD7">
        <w:tc>
          <w:tcPr>
            <w:tcW w:w="2925" w:type="dxa"/>
          </w:tcPr>
          <w:p w14:paraId="214F84A4" w14:textId="77777777" w:rsidR="0066522E" w:rsidRDefault="0066522E" w:rsidP="00183CD7">
            <w:pPr>
              <w:pStyle w:val="TableParagraph"/>
              <w:spacing w:before="4"/>
              <w:ind w:left="227"/>
              <w:rPr>
                <w:rFonts w:ascii="Times New Roman" w:eastAsia="Times New Roman" w:hAnsi="Times New Roman" w:cs="Times New Roman"/>
                <w:lang w:val="sl-SI"/>
              </w:rPr>
            </w:pPr>
            <w:r>
              <w:rPr>
                <w:rFonts w:ascii="Times New Roman" w:eastAsia="Times New Roman" w:hAnsi="Times New Roman" w:cs="Times New Roman"/>
                <w:spacing w:val="-1"/>
                <w:lang w:val="sl-SI"/>
              </w:rPr>
              <w:t>PASI 75</w:t>
            </w:r>
            <w:r>
              <w:rPr>
                <w:rFonts w:ascii="Times New Roman" w:eastAsia="Times New Roman" w:hAnsi="Times New Roman" w:cs="Times New Roman"/>
                <w:spacing w:val="-1"/>
                <w:vertAlign w:val="superscript"/>
                <w:lang w:val="sl-SI"/>
              </w:rPr>
              <w:t>b</w:t>
            </w:r>
          </w:p>
        </w:tc>
        <w:tc>
          <w:tcPr>
            <w:tcW w:w="1843" w:type="dxa"/>
          </w:tcPr>
          <w:p w14:paraId="02A05223" w14:textId="77777777" w:rsidR="0066522E" w:rsidRDefault="0066522E" w:rsidP="00183CD7">
            <w:pPr>
              <w:pStyle w:val="TableParagraph"/>
              <w:spacing w:before="9"/>
              <w:ind w:left="337"/>
              <w:rPr>
                <w:rFonts w:ascii="Times New Roman" w:eastAsia="Times New Roman" w:hAnsi="Times New Roman" w:cs="Times New Roman"/>
                <w:lang w:val="sl-SI"/>
              </w:rPr>
            </w:pPr>
            <w:r>
              <w:rPr>
                <w:rFonts w:ascii="Times New Roman" w:eastAsia="Times New Roman" w:hAnsi="Times New Roman" w:cs="Times New Roman"/>
                <w:spacing w:val="-1"/>
                <w:lang w:val="sl-SI"/>
              </w:rPr>
              <w:t>12 (32,4 %)</w:t>
            </w:r>
          </w:p>
        </w:tc>
        <w:tc>
          <w:tcPr>
            <w:tcW w:w="3630" w:type="dxa"/>
            <w:vAlign w:val="center"/>
          </w:tcPr>
          <w:p w14:paraId="5B7BB1ED" w14:textId="77777777" w:rsidR="0066522E" w:rsidRDefault="0066522E" w:rsidP="00183CD7">
            <w:pPr>
              <w:pStyle w:val="TableParagraph"/>
              <w:spacing w:before="9"/>
              <w:jc w:val="center"/>
              <w:rPr>
                <w:rFonts w:ascii="Times New Roman" w:eastAsia="Times New Roman" w:hAnsi="Times New Roman" w:cs="Times New Roman"/>
                <w:lang w:val="sl-SI"/>
              </w:rPr>
            </w:pPr>
            <w:r>
              <w:rPr>
                <w:rFonts w:ascii="Times New Roman" w:eastAsia="Times New Roman" w:hAnsi="Times New Roman" w:cs="Times New Roman"/>
                <w:lang w:val="sl-SI"/>
              </w:rPr>
              <w:t>22 (57,9 %)</w:t>
            </w:r>
          </w:p>
        </w:tc>
      </w:tr>
      <w:tr w:rsidR="0066522E" w14:paraId="7D358A82" w14:textId="77777777" w:rsidTr="00183CD7">
        <w:tc>
          <w:tcPr>
            <w:tcW w:w="2925" w:type="dxa"/>
          </w:tcPr>
          <w:p w14:paraId="5DCBE854" w14:textId="77777777" w:rsidR="0066522E" w:rsidRDefault="0066522E" w:rsidP="00183CD7">
            <w:pPr>
              <w:pStyle w:val="TableParagraph"/>
              <w:spacing w:before="4"/>
              <w:ind w:left="227"/>
              <w:rPr>
                <w:rFonts w:ascii="Times New Roman" w:eastAsia="Times New Roman" w:hAnsi="Times New Roman" w:cs="Times New Roman"/>
                <w:lang w:val="sl-SI"/>
              </w:rPr>
            </w:pPr>
            <w:r>
              <w:rPr>
                <w:rFonts w:ascii="Times New Roman" w:eastAsia="Times New Roman" w:hAnsi="Times New Roman" w:cs="Times New Roman"/>
                <w:spacing w:val="-1"/>
                <w:lang w:val="sl-SI"/>
              </w:rPr>
              <w:t>PGA: čisto/minimalno</w:t>
            </w:r>
            <w:r>
              <w:rPr>
                <w:rFonts w:ascii="Times New Roman" w:eastAsia="Times New Roman" w:hAnsi="Times New Roman" w:cs="Times New Roman"/>
                <w:spacing w:val="-1"/>
                <w:vertAlign w:val="superscript"/>
                <w:lang w:val="sl-SI"/>
              </w:rPr>
              <w:t>c</w:t>
            </w:r>
          </w:p>
        </w:tc>
        <w:tc>
          <w:tcPr>
            <w:tcW w:w="1843" w:type="dxa"/>
          </w:tcPr>
          <w:p w14:paraId="729CBD13" w14:textId="77777777" w:rsidR="0066522E" w:rsidRDefault="0066522E" w:rsidP="00183CD7">
            <w:pPr>
              <w:pStyle w:val="TableParagraph"/>
              <w:spacing w:before="9"/>
              <w:ind w:left="337"/>
              <w:rPr>
                <w:rFonts w:ascii="Times New Roman" w:eastAsia="Times New Roman" w:hAnsi="Times New Roman" w:cs="Times New Roman"/>
                <w:lang w:val="sl-SI"/>
              </w:rPr>
            </w:pPr>
            <w:r>
              <w:rPr>
                <w:rFonts w:ascii="Times New Roman" w:eastAsia="Times New Roman" w:hAnsi="Times New Roman" w:cs="Times New Roman"/>
                <w:spacing w:val="-1"/>
                <w:lang w:val="sl-SI"/>
              </w:rPr>
              <w:t>15 (40,5 %)</w:t>
            </w:r>
          </w:p>
        </w:tc>
        <w:tc>
          <w:tcPr>
            <w:tcW w:w="3630" w:type="dxa"/>
            <w:vAlign w:val="center"/>
          </w:tcPr>
          <w:p w14:paraId="020E6496" w14:textId="77777777" w:rsidR="0066522E" w:rsidRDefault="0066522E" w:rsidP="00183CD7">
            <w:pPr>
              <w:pStyle w:val="TableParagraph"/>
              <w:spacing w:before="9"/>
              <w:jc w:val="center"/>
              <w:rPr>
                <w:rFonts w:ascii="Times New Roman" w:eastAsia="Times New Roman" w:hAnsi="Times New Roman" w:cs="Times New Roman"/>
                <w:lang w:val="sl-SI"/>
              </w:rPr>
            </w:pPr>
            <w:r>
              <w:rPr>
                <w:rFonts w:ascii="Times New Roman" w:eastAsia="Times New Roman" w:hAnsi="Times New Roman" w:cs="Times New Roman"/>
                <w:spacing w:val="-1"/>
                <w:lang w:val="sl-SI"/>
              </w:rPr>
              <w:t>23 (60,5 %)</w:t>
            </w:r>
          </w:p>
        </w:tc>
      </w:tr>
      <w:tr w:rsidR="0066522E" w:rsidRPr="00652F18" w14:paraId="7BA5808E" w14:textId="77777777" w:rsidTr="00183CD7">
        <w:tc>
          <w:tcPr>
            <w:tcW w:w="8398" w:type="dxa"/>
            <w:gridSpan w:val="3"/>
          </w:tcPr>
          <w:p w14:paraId="0A0F8A07" w14:textId="77777777" w:rsidR="0066522E" w:rsidRDefault="0066522E" w:rsidP="00183CD7">
            <w:pPr>
              <w:pStyle w:val="TableParagraph"/>
              <w:spacing w:before="4"/>
              <w:ind w:left="6"/>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a</w:t>
            </w:r>
            <w:r>
              <w:rPr>
                <w:rFonts w:ascii="Times New Roman" w:eastAsia="Times New Roman" w:hAnsi="Times New Roman" w:cs="Times New Roman"/>
                <w:position w:val="8"/>
                <w:lang w:val="sl-SI"/>
              </w:rPr>
              <w:t xml:space="preserve"> MTX = metotreksat</w:t>
            </w:r>
          </w:p>
          <w:p w14:paraId="112EEF36" w14:textId="77777777" w:rsidR="0066522E" w:rsidRDefault="0066522E" w:rsidP="00183CD7">
            <w:pPr>
              <w:pStyle w:val="TableParagraph"/>
              <w:ind w:left="6"/>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b</w:t>
            </w:r>
            <w:r>
              <w:rPr>
                <w:rFonts w:ascii="Times New Roman" w:eastAsia="Times New Roman" w:hAnsi="Times New Roman" w:cs="Times New Roman"/>
                <w:position w:val="8"/>
                <w:lang w:val="sl-SI"/>
              </w:rPr>
              <w:t xml:space="preserve"> P = 0,027, adalimumab 0,8 mg/kg v primerjavi z MTX</w:t>
            </w:r>
          </w:p>
          <w:p w14:paraId="509B94BA" w14:textId="77777777" w:rsidR="0066522E" w:rsidRDefault="0066522E" w:rsidP="00183CD7">
            <w:pPr>
              <w:pStyle w:val="TableParagraph"/>
              <w:ind w:left="6"/>
              <w:rPr>
                <w:rFonts w:ascii="Times New Roman" w:eastAsia="Times New Roman" w:hAnsi="Times New Roman" w:cs="Times New Roman"/>
                <w:lang w:val="sl-SI"/>
              </w:rPr>
            </w:pPr>
            <w:r>
              <w:rPr>
                <w:rFonts w:ascii="Times New Roman" w:eastAsia="Times New Roman" w:hAnsi="Times New Roman" w:cs="Times New Roman"/>
                <w:position w:val="8"/>
                <w:vertAlign w:val="superscript"/>
                <w:lang w:val="sl-SI"/>
              </w:rPr>
              <w:t>c</w:t>
            </w:r>
            <w:r>
              <w:rPr>
                <w:rFonts w:ascii="Times New Roman" w:eastAsia="Times New Roman" w:hAnsi="Times New Roman" w:cs="Times New Roman"/>
                <w:position w:val="8"/>
                <w:lang w:val="sl-SI"/>
              </w:rPr>
              <w:t xml:space="preserve"> P = 0,083, adalimumab 0,8 mg/kg v primerjavi z MTX</w:t>
            </w:r>
          </w:p>
        </w:tc>
      </w:tr>
    </w:tbl>
    <w:p w14:paraId="1741B163" w14:textId="77777777" w:rsidR="0066522E" w:rsidRDefault="0066522E" w:rsidP="0066522E">
      <w:pPr>
        <w:spacing w:before="3" w:line="170" w:lineRule="exact"/>
        <w:rPr>
          <w:sz w:val="17"/>
          <w:szCs w:val="17"/>
          <w:lang w:val="sl-SI"/>
        </w:rPr>
      </w:pPr>
    </w:p>
    <w:p w14:paraId="4E3EE8B9" w14:textId="77777777" w:rsidR="0066522E" w:rsidRDefault="0066522E" w:rsidP="0066522E">
      <w:pPr>
        <w:pStyle w:val="a3"/>
        <w:rPr>
          <w:lang w:val="sl-SI"/>
        </w:rPr>
      </w:pPr>
      <w:r>
        <w:rPr>
          <w:rFonts w:eastAsia="Times New Roman"/>
          <w:lang w:val="sl-SI"/>
        </w:rPr>
        <w:t>Bolniki, ki so dosegli PASI 75 in PGA čisto ali minimalno, so bili z zdravljenja odpuščeni in spremljani do 36 tednov glede izgube nadzora nad boleznijo (tj. poslabšanje PGA za najmanj 2 stopnji). Bolniki so bili nato znova zdravljeni z adalimumabom v odmerku 0,8 mg/kg vsak drugi teden še nadaljnjih 16 tednov, pri čemer so bile opažene stopnje odziva podobne kot v prejšnjem dvojno slepem obdobju: odziv PASI 75 pri 78,9 % (15 od 19 oseb) in PGA čisto ali minimalno pri 52,6 % (10 od 19 oseb).</w:t>
      </w:r>
    </w:p>
    <w:p w14:paraId="5E72DF2A" w14:textId="77777777" w:rsidR="0066522E" w:rsidRDefault="0066522E" w:rsidP="0066522E">
      <w:pPr>
        <w:pStyle w:val="a3"/>
        <w:rPr>
          <w:sz w:val="24"/>
          <w:szCs w:val="24"/>
          <w:lang w:val="sl-SI"/>
        </w:rPr>
      </w:pPr>
    </w:p>
    <w:p w14:paraId="77E845EA" w14:textId="77777777" w:rsidR="0066522E" w:rsidRDefault="0066522E" w:rsidP="0066522E">
      <w:pPr>
        <w:pStyle w:val="a3"/>
        <w:rPr>
          <w:lang w:val="sl-SI"/>
        </w:rPr>
      </w:pPr>
      <w:r>
        <w:rPr>
          <w:rFonts w:eastAsia="Times New Roman"/>
          <w:lang w:val="sl-SI"/>
        </w:rPr>
        <w:t>V odprtem obdobju študije so se odzivi PASI 75 in PGA čisto ali minimalno ohranili še do dodatnih 52 tednov brez novih varnostnih ugotovitev.</w:t>
      </w:r>
    </w:p>
    <w:p w14:paraId="24CF2549" w14:textId="77777777" w:rsidR="0066522E" w:rsidRPr="001B1C67" w:rsidRDefault="0066522E" w:rsidP="0066522E">
      <w:pPr>
        <w:spacing w:before="16" w:line="240" w:lineRule="exact"/>
        <w:rPr>
          <w:sz w:val="24"/>
          <w:szCs w:val="24"/>
          <w:lang w:val="sl-SI"/>
        </w:rPr>
      </w:pPr>
    </w:p>
    <w:p w14:paraId="1D53002A" w14:textId="77777777" w:rsidR="0066522E" w:rsidRDefault="0066522E" w:rsidP="0066522E">
      <w:pPr>
        <w:pStyle w:val="a3"/>
        <w:rPr>
          <w:i/>
          <w:lang w:val="sl-SI"/>
        </w:rPr>
      </w:pPr>
      <w:r>
        <w:rPr>
          <w:rFonts w:eastAsia="Times New Roman"/>
          <w:i/>
          <w:iCs/>
          <w:lang w:val="sl-SI"/>
        </w:rPr>
        <w:t>Crohnova bolezen pri pediatričnih bolnikih</w:t>
      </w:r>
    </w:p>
    <w:p w14:paraId="143A05DB" w14:textId="77777777" w:rsidR="0066522E" w:rsidRDefault="0066522E" w:rsidP="0066522E">
      <w:pPr>
        <w:pStyle w:val="a3"/>
        <w:rPr>
          <w:sz w:val="18"/>
          <w:szCs w:val="18"/>
          <w:lang w:val="sl-SI"/>
        </w:rPr>
      </w:pPr>
    </w:p>
    <w:p w14:paraId="10FF57B0" w14:textId="77777777" w:rsidR="0066522E" w:rsidRDefault="0066522E" w:rsidP="0066522E">
      <w:pPr>
        <w:pStyle w:val="a3"/>
        <w:rPr>
          <w:lang w:val="sl-SI"/>
        </w:rPr>
      </w:pPr>
      <w:r>
        <w:rPr>
          <w:rFonts w:eastAsia="Times New Roman"/>
          <w:lang w:val="sl-SI"/>
        </w:rPr>
        <w:t>Adalimumab je bil ocenjen v multicentrični, randomizirani, dvojno slepi klinični študiji, ki je bila zasnovana za oceno učinkovitosti in varnosti indukcijskega in vzdrževalnega zdravljenja z odmerki, odvisnimi od telesne mase (&lt; 40 mg ali ≥ 40 mg) pri 192 pediatričnih bolnikih med 6. in 17. (vključno) letom starosti, z zmerno do hudo Crohnovo boleznijo (CD) definirano kot vrednost indeksa Pediatric Crohn’s Disease Activity Index (PCDAI) &gt; 30. Bolniki so morali biti neuspešno zdravljeni s konvencionalno terapijo (vključno s kortikosteroidom in/ali z imunomodulatorjem) zaradi Crohnove bolezni. Bolniki so lahko pred tem tudi postali neodzivni ali so imeli intoleranco na infliksimab.</w:t>
      </w:r>
    </w:p>
    <w:p w14:paraId="2ED3A619" w14:textId="77777777" w:rsidR="0066522E" w:rsidRDefault="0066522E" w:rsidP="0066522E">
      <w:pPr>
        <w:pStyle w:val="a3"/>
        <w:rPr>
          <w:sz w:val="24"/>
          <w:szCs w:val="24"/>
          <w:lang w:val="sl-SI"/>
        </w:rPr>
      </w:pPr>
    </w:p>
    <w:p w14:paraId="0897D88A" w14:textId="77777777" w:rsidR="0066522E" w:rsidRDefault="0066522E" w:rsidP="0066522E">
      <w:pPr>
        <w:pStyle w:val="a3"/>
        <w:rPr>
          <w:lang w:val="sl-SI"/>
        </w:rPr>
      </w:pPr>
      <w:r>
        <w:rPr>
          <w:rFonts w:eastAsia="Times New Roman"/>
          <w:lang w:val="sl-SI"/>
        </w:rPr>
        <w:t xml:space="preserve">Vsi bolniki so prejeli odprto indukcijsko zdravljenje v odmerku glede na svojo začetno telesno maso: </w:t>
      </w:r>
      <w:r>
        <w:rPr>
          <w:rFonts w:eastAsia="Times New Roman"/>
          <w:lang w:val="sl-SI"/>
        </w:rPr>
        <w:lastRenderedPageBreak/>
        <w:t>160 mg v 0. tednu in 80 mg v 2. tednu bolniki z ≥ 40 kg ter 80 mg in 40 mg v tem vrstnem redu bolniki z</w:t>
      </w:r>
    </w:p>
    <w:p w14:paraId="445AD63D" w14:textId="77777777" w:rsidR="0066522E" w:rsidRDefault="0066522E" w:rsidP="0066522E">
      <w:pPr>
        <w:pStyle w:val="a3"/>
        <w:rPr>
          <w:lang w:val="sl-SI"/>
        </w:rPr>
      </w:pPr>
      <w:r>
        <w:rPr>
          <w:rFonts w:eastAsia="Times New Roman"/>
          <w:lang w:val="sl-SI"/>
        </w:rPr>
        <w:t>&lt; 40 kg.</w:t>
      </w:r>
    </w:p>
    <w:p w14:paraId="6BD9AD29" w14:textId="77777777" w:rsidR="0066522E" w:rsidRDefault="0066522E" w:rsidP="0066522E">
      <w:pPr>
        <w:pStyle w:val="a3"/>
        <w:rPr>
          <w:sz w:val="24"/>
          <w:szCs w:val="24"/>
          <w:lang w:val="sl-SI"/>
        </w:rPr>
      </w:pPr>
    </w:p>
    <w:p w14:paraId="18D4F748" w14:textId="2946EFA6" w:rsidR="0066522E" w:rsidRDefault="0066522E" w:rsidP="0066522E">
      <w:pPr>
        <w:pStyle w:val="a3"/>
        <w:rPr>
          <w:lang w:val="sl-SI"/>
        </w:rPr>
      </w:pPr>
      <w:r>
        <w:rPr>
          <w:rFonts w:eastAsia="Times New Roman"/>
          <w:lang w:val="sl-SI"/>
        </w:rPr>
        <w:t>V 4. tednu so bili bolniki glede na svojo telesno maso v tem času randomizirani v razmerju 1 : 1 bodisi v vzdrževalni režim z majhnim odmerkom ali vzdrževalni režim s standardnim odmerkom, kot kaže preglednica </w:t>
      </w:r>
      <w:r w:rsidR="00945BDE">
        <w:rPr>
          <w:rFonts w:eastAsia="Times New Roman"/>
          <w:lang w:val="sl-SI"/>
        </w:rPr>
        <w:t>20</w:t>
      </w:r>
      <w:r>
        <w:rPr>
          <w:rFonts w:eastAsia="Times New Roman"/>
          <w:lang w:val="sl-SI"/>
        </w:rPr>
        <w:t>.</w:t>
      </w:r>
    </w:p>
    <w:p w14:paraId="3D1F4286" w14:textId="77777777" w:rsidR="0066522E" w:rsidRDefault="0066522E" w:rsidP="0066522E">
      <w:pPr>
        <w:pStyle w:val="a3"/>
        <w:rPr>
          <w:sz w:val="24"/>
          <w:szCs w:val="24"/>
          <w:lang w:val="sl-SI"/>
        </w:rPr>
      </w:pPr>
    </w:p>
    <w:p w14:paraId="7347DF73" w14:textId="5A4E4E94" w:rsidR="0066522E" w:rsidRDefault="0066522E" w:rsidP="0066522E">
      <w:pPr>
        <w:pStyle w:val="a3"/>
        <w:jc w:val="center"/>
        <w:rPr>
          <w:b/>
          <w:lang w:val="sl-SI"/>
        </w:rPr>
      </w:pPr>
      <w:r>
        <w:rPr>
          <w:rFonts w:eastAsia="Times New Roman"/>
          <w:b/>
          <w:bCs/>
          <w:lang w:val="sl-SI"/>
        </w:rPr>
        <w:t>Preglednica </w:t>
      </w:r>
      <w:r w:rsidR="00945BDE">
        <w:rPr>
          <w:rFonts w:eastAsia="Times New Roman"/>
          <w:b/>
          <w:bCs/>
          <w:lang w:val="sl-SI"/>
        </w:rPr>
        <w:t>20</w:t>
      </w:r>
      <w:r>
        <w:rPr>
          <w:rFonts w:eastAsia="Times New Roman"/>
          <w:b/>
          <w:bCs/>
          <w:lang w:val="sl-SI"/>
        </w:rPr>
        <w:t>. Vzdrževalni režim</w:t>
      </w:r>
    </w:p>
    <w:p w14:paraId="275437A3" w14:textId="77777777" w:rsidR="0066522E" w:rsidRDefault="0066522E" w:rsidP="0066522E">
      <w:pPr>
        <w:pStyle w:val="a3"/>
        <w:jc w:val="center"/>
        <w:rPr>
          <w:b/>
          <w:lang w:val="sl-SI"/>
        </w:rPr>
      </w:pPr>
    </w:p>
    <w:tbl>
      <w:tblPr>
        <w:tblStyle w:val="TableNormal1"/>
        <w:tblW w:w="0" w:type="auto"/>
        <w:tblInd w:w="845" w:type="dxa"/>
        <w:tblLayout w:type="fixed"/>
        <w:tblLook w:val="01E0" w:firstRow="1" w:lastRow="1" w:firstColumn="1" w:lastColumn="1" w:noHBand="0" w:noVBand="0"/>
      </w:tblPr>
      <w:tblGrid>
        <w:gridCol w:w="2693"/>
        <w:gridCol w:w="2410"/>
        <w:gridCol w:w="2835"/>
      </w:tblGrid>
      <w:tr w:rsidR="0066522E" w14:paraId="000C94A9" w14:textId="77777777" w:rsidTr="00183CD7">
        <w:tc>
          <w:tcPr>
            <w:tcW w:w="2693" w:type="dxa"/>
            <w:tcBorders>
              <w:top w:val="single" w:sz="5" w:space="0" w:color="000000"/>
              <w:left w:val="single" w:sz="5" w:space="0" w:color="000000"/>
              <w:bottom w:val="single" w:sz="5" w:space="0" w:color="000000"/>
              <w:right w:val="single" w:sz="5" w:space="0" w:color="000000"/>
            </w:tcBorders>
          </w:tcPr>
          <w:p w14:paraId="64E7419A" w14:textId="77777777" w:rsidR="0066522E" w:rsidRDefault="0066522E" w:rsidP="00183CD7">
            <w:pPr>
              <w:pStyle w:val="TableParagraph"/>
              <w:spacing w:line="249" w:lineRule="exact"/>
              <w:ind w:left="102"/>
              <w:rPr>
                <w:rFonts w:ascii="Times New Roman" w:eastAsia="Times New Roman" w:hAnsi="Times New Roman" w:cs="Times New Roman"/>
                <w:lang w:val="sl-SI"/>
              </w:rPr>
            </w:pPr>
            <w:r w:rsidRPr="006A7666">
              <w:rPr>
                <w:rFonts w:ascii="Times New Roman" w:eastAsia="Times New Roman" w:hAnsi="Times New Roman" w:cs="Times New Roman"/>
                <w:b/>
                <w:bCs/>
                <w:lang w:val="sl-SI"/>
              </w:rPr>
              <w:t>Masa bolnika</w:t>
            </w:r>
          </w:p>
        </w:tc>
        <w:tc>
          <w:tcPr>
            <w:tcW w:w="2410" w:type="dxa"/>
            <w:tcBorders>
              <w:top w:val="single" w:sz="5" w:space="0" w:color="000000"/>
              <w:left w:val="single" w:sz="5" w:space="0" w:color="000000"/>
              <w:bottom w:val="single" w:sz="5" w:space="0" w:color="000000"/>
              <w:right w:val="single" w:sz="5" w:space="0" w:color="000000"/>
            </w:tcBorders>
          </w:tcPr>
          <w:p w14:paraId="16CCA589" w14:textId="77777777" w:rsidR="0066522E" w:rsidRDefault="0066522E" w:rsidP="00183CD7">
            <w:pPr>
              <w:pStyle w:val="TableParagraph"/>
              <w:spacing w:line="249"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2"/>
                <w:lang w:val="sl-SI"/>
              </w:rPr>
              <w:t>Majhni odmerek</w:t>
            </w:r>
          </w:p>
        </w:tc>
        <w:tc>
          <w:tcPr>
            <w:tcW w:w="2835" w:type="dxa"/>
            <w:tcBorders>
              <w:top w:val="single" w:sz="5" w:space="0" w:color="000000"/>
              <w:left w:val="single" w:sz="5" w:space="0" w:color="000000"/>
              <w:bottom w:val="single" w:sz="5" w:space="0" w:color="000000"/>
              <w:right w:val="single" w:sz="5" w:space="0" w:color="000000"/>
            </w:tcBorders>
          </w:tcPr>
          <w:p w14:paraId="43F74486" w14:textId="77777777" w:rsidR="0066522E" w:rsidRDefault="0066522E" w:rsidP="00183CD7">
            <w:pPr>
              <w:pStyle w:val="TableParagraph"/>
              <w:spacing w:line="249"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 xml:space="preserve">Standardni </w:t>
            </w:r>
            <w:r>
              <w:rPr>
                <w:rFonts w:ascii="Times New Roman" w:eastAsia="Times New Roman" w:hAnsi="Times New Roman" w:cs="Times New Roman"/>
                <w:b/>
                <w:bCs/>
                <w:lang w:val="sl-SI"/>
              </w:rPr>
              <w:t>odmerek</w:t>
            </w:r>
          </w:p>
        </w:tc>
      </w:tr>
      <w:tr w:rsidR="0066522E" w14:paraId="02FDC539" w14:textId="77777777" w:rsidTr="00183CD7">
        <w:tc>
          <w:tcPr>
            <w:tcW w:w="2693" w:type="dxa"/>
            <w:tcBorders>
              <w:top w:val="single" w:sz="5" w:space="0" w:color="000000"/>
              <w:left w:val="single" w:sz="5" w:space="0" w:color="000000"/>
              <w:bottom w:val="single" w:sz="5" w:space="0" w:color="000000"/>
              <w:right w:val="single" w:sz="5" w:space="0" w:color="000000"/>
            </w:tcBorders>
          </w:tcPr>
          <w:p w14:paraId="7DAFD1E9" w14:textId="77777777" w:rsidR="0066522E" w:rsidRDefault="0066522E" w:rsidP="00183CD7">
            <w:pPr>
              <w:pStyle w:val="TableParagraph"/>
              <w:spacing w:line="244"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&lt; 40 kg</w:t>
            </w:r>
          </w:p>
        </w:tc>
        <w:tc>
          <w:tcPr>
            <w:tcW w:w="2410" w:type="dxa"/>
            <w:tcBorders>
              <w:top w:val="single" w:sz="5" w:space="0" w:color="000000"/>
              <w:left w:val="single" w:sz="5" w:space="0" w:color="000000"/>
              <w:bottom w:val="single" w:sz="5" w:space="0" w:color="000000"/>
              <w:right w:val="single" w:sz="5" w:space="0" w:color="000000"/>
            </w:tcBorders>
          </w:tcPr>
          <w:p w14:paraId="5D14D287" w14:textId="77777777" w:rsidR="0066522E" w:rsidRDefault="0066522E" w:rsidP="00183CD7">
            <w:pPr>
              <w:pStyle w:val="TableParagraph"/>
              <w:spacing w:line="244"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10 mg vsak drugi teden</w:t>
            </w:r>
          </w:p>
        </w:tc>
        <w:tc>
          <w:tcPr>
            <w:tcW w:w="2835" w:type="dxa"/>
            <w:tcBorders>
              <w:top w:val="single" w:sz="5" w:space="0" w:color="000000"/>
              <w:left w:val="single" w:sz="5" w:space="0" w:color="000000"/>
              <w:bottom w:val="single" w:sz="5" w:space="0" w:color="000000"/>
              <w:right w:val="single" w:sz="5" w:space="0" w:color="000000"/>
            </w:tcBorders>
          </w:tcPr>
          <w:p w14:paraId="02DD687A" w14:textId="77777777" w:rsidR="0066522E" w:rsidRDefault="0066522E" w:rsidP="00183CD7">
            <w:pPr>
              <w:pStyle w:val="TableParagraph"/>
              <w:spacing w:line="244"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20 mg vsak drugi teden</w:t>
            </w:r>
          </w:p>
        </w:tc>
      </w:tr>
      <w:tr w:rsidR="0066522E" w14:paraId="60444418" w14:textId="77777777" w:rsidTr="00183CD7">
        <w:tc>
          <w:tcPr>
            <w:tcW w:w="2693" w:type="dxa"/>
            <w:tcBorders>
              <w:top w:val="single" w:sz="5" w:space="0" w:color="000000"/>
              <w:left w:val="single" w:sz="5" w:space="0" w:color="000000"/>
              <w:bottom w:val="single" w:sz="5" w:space="0" w:color="000000"/>
              <w:right w:val="single" w:sz="5" w:space="0" w:color="000000"/>
            </w:tcBorders>
          </w:tcPr>
          <w:p w14:paraId="5C83D853" w14:textId="77777777" w:rsidR="0066522E" w:rsidRDefault="0066522E" w:rsidP="00183CD7">
            <w:pPr>
              <w:pStyle w:val="TableParagraph"/>
              <w:spacing w:line="244"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 40 kg</w:t>
            </w:r>
          </w:p>
        </w:tc>
        <w:tc>
          <w:tcPr>
            <w:tcW w:w="2410" w:type="dxa"/>
            <w:tcBorders>
              <w:top w:val="single" w:sz="5" w:space="0" w:color="000000"/>
              <w:left w:val="single" w:sz="5" w:space="0" w:color="000000"/>
              <w:bottom w:val="single" w:sz="5" w:space="0" w:color="000000"/>
              <w:right w:val="single" w:sz="5" w:space="0" w:color="000000"/>
            </w:tcBorders>
          </w:tcPr>
          <w:p w14:paraId="490ED6F7" w14:textId="77777777" w:rsidR="0066522E" w:rsidRDefault="0066522E" w:rsidP="00183CD7">
            <w:pPr>
              <w:pStyle w:val="TableParagraph"/>
              <w:spacing w:line="244"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20 mg vsak drugi teden</w:t>
            </w:r>
          </w:p>
        </w:tc>
        <w:tc>
          <w:tcPr>
            <w:tcW w:w="2835" w:type="dxa"/>
            <w:tcBorders>
              <w:top w:val="single" w:sz="5" w:space="0" w:color="000000"/>
              <w:left w:val="single" w:sz="5" w:space="0" w:color="000000"/>
              <w:bottom w:val="single" w:sz="5" w:space="0" w:color="000000"/>
              <w:right w:val="single" w:sz="5" w:space="0" w:color="000000"/>
            </w:tcBorders>
          </w:tcPr>
          <w:p w14:paraId="5959ACBA" w14:textId="77777777" w:rsidR="0066522E" w:rsidRDefault="0066522E" w:rsidP="00183CD7">
            <w:pPr>
              <w:pStyle w:val="TableParagraph"/>
              <w:spacing w:line="244"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40 mg vsak drugi teden</w:t>
            </w:r>
          </w:p>
        </w:tc>
      </w:tr>
    </w:tbl>
    <w:p w14:paraId="35F53578" w14:textId="77777777" w:rsidR="0066522E" w:rsidRDefault="0066522E" w:rsidP="0066522E">
      <w:pPr>
        <w:pStyle w:val="a3"/>
        <w:rPr>
          <w:lang w:val="sl-SI"/>
        </w:rPr>
      </w:pPr>
    </w:p>
    <w:p w14:paraId="1B1113E3" w14:textId="77777777" w:rsidR="0066522E" w:rsidRDefault="0066522E" w:rsidP="0066522E">
      <w:pPr>
        <w:pStyle w:val="a3"/>
        <w:rPr>
          <w:rFonts w:eastAsia="Times New Roman"/>
          <w:lang w:val="sl-SI"/>
        </w:rPr>
      </w:pPr>
      <w:r>
        <w:rPr>
          <w:rFonts w:eastAsia="Times New Roman"/>
          <w:i/>
          <w:iCs/>
          <w:spacing w:val="-1"/>
          <w:u w:val="single" w:color="000000"/>
          <w:lang w:val="sl-SI"/>
        </w:rPr>
        <w:t>Rezultati učinkovitosti</w:t>
      </w:r>
    </w:p>
    <w:p w14:paraId="7934B664" w14:textId="77777777" w:rsidR="0066522E" w:rsidRDefault="0066522E" w:rsidP="0066522E">
      <w:pPr>
        <w:pStyle w:val="a3"/>
        <w:rPr>
          <w:sz w:val="19"/>
          <w:szCs w:val="19"/>
          <w:lang w:val="sl-SI"/>
        </w:rPr>
      </w:pPr>
    </w:p>
    <w:p w14:paraId="76460CBE" w14:textId="77777777" w:rsidR="0066522E" w:rsidRDefault="0066522E" w:rsidP="0066522E">
      <w:pPr>
        <w:pStyle w:val="a3"/>
        <w:rPr>
          <w:lang w:val="sl-SI"/>
        </w:rPr>
      </w:pPr>
      <w:r>
        <w:rPr>
          <w:rFonts w:eastAsia="Times New Roman"/>
          <w:lang w:val="sl-SI"/>
        </w:rPr>
        <w:t xml:space="preserve">Primarni cilj študije je bila klinična remisija v 26. tednu, definirana kot vrednost PCDAI </w:t>
      </w:r>
      <w:r>
        <w:rPr>
          <w:rFonts w:ascii="Symbol" w:eastAsia="Symbol" w:hAnsi="Symbol" w:cs="Symbol"/>
          <w:lang w:val="sl-SI"/>
        </w:rPr>
        <w:sym w:font="Symbol" w:char="F0A3"/>
      </w:r>
      <w:r>
        <w:rPr>
          <w:rFonts w:ascii="Symbol" w:eastAsia="Symbol" w:hAnsi="Symbol" w:cs="Symbol"/>
          <w:lang w:val="sl-SI"/>
        </w:rPr>
        <w:sym w:font="Symbol" w:char="F020"/>
      </w:r>
      <w:r>
        <w:rPr>
          <w:rFonts w:eastAsia="Times New Roman"/>
          <w:lang w:val="sl-SI"/>
        </w:rPr>
        <w:t> 10.</w:t>
      </w:r>
    </w:p>
    <w:p w14:paraId="7863BCF2" w14:textId="77777777" w:rsidR="0066522E" w:rsidRDefault="0066522E" w:rsidP="0066522E">
      <w:pPr>
        <w:pStyle w:val="a3"/>
        <w:rPr>
          <w:sz w:val="24"/>
          <w:szCs w:val="24"/>
          <w:lang w:val="sl-SI"/>
        </w:rPr>
      </w:pPr>
    </w:p>
    <w:p w14:paraId="25548DB8" w14:textId="50EFA8D5" w:rsidR="0066522E" w:rsidRDefault="0066522E" w:rsidP="0066522E">
      <w:pPr>
        <w:pStyle w:val="a3"/>
        <w:rPr>
          <w:rFonts w:eastAsia="Times New Roman"/>
          <w:lang w:val="sl-SI"/>
        </w:rPr>
      </w:pPr>
      <w:r>
        <w:rPr>
          <w:rFonts w:eastAsia="Times New Roman"/>
          <w:lang w:val="sl-SI"/>
        </w:rPr>
        <w:t>Stopnja klinične remisije in kliničnega odziva (definiran kot zmanjšanje vrednosti PCDAI vsaj za 15 točk od začetne vrednosti) sta predstavljena v preglednici </w:t>
      </w:r>
      <w:r w:rsidR="00270C6B">
        <w:rPr>
          <w:rFonts w:eastAsia="Times New Roman"/>
          <w:lang w:val="sl-SI"/>
        </w:rPr>
        <w:t>21</w:t>
      </w:r>
      <w:r>
        <w:rPr>
          <w:rFonts w:eastAsia="Times New Roman"/>
          <w:lang w:val="sl-SI"/>
        </w:rPr>
        <w:t>. Stopnja prenehanja zdravljenja s kortikosteroidi ali imunomodulatorji je predstavljena v preglednici </w:t>
      </w:r>
      <w:r w:rsidR="00270C6B">
        <w:rPr>
          <w:rFonts w:eastAsia="Times New Roman"/>
          <w:lang w:val="sl-SI"/>
        </w:rPr>
        <w:t>22</w:t>
      </w:r>
      <w:r>
        <w:rPr>
          <w:rFonts w:eastAsia="Times New Roman"/>
          <w:lang w:val="sl-SI"/>
        </w:rPr>
        <w:t>.</w:t>
      </w:r>
    </w:p>
    <w:p w14:paraId="56E1DF96" w14:textId="77777777" w:rsidR="0066522E" w:rsidRDefault="0066522E" w:rsidP="0066522E">
      <w:pPr>
        <w:rPr>
          <w:rFonts w:ascii="Times New Roman" w:hAnsi="Times New Roman" w:cs="Times New Roman"/>
          <w:lang w:val="sl-SI"/>
        </w:rPr>
      </w:pPr>
    </w:p>
    <w:tbl>
      <w:tblPr>
        <w:tblStyle w:val="TableNormal1"/>
        <w:tblW w:w="0" w:type="auto"/>
        <w:jc w:val="center"/>
        <w:tblLayout w:type="fixed"/>
        <w:tblLook w:val="01E0" w:firstRow="1" w:lastRow="1" w:firstColumn="1" w:lastColumn="1" w:noHBand="0" w:noVBand="0"/>
      </w:tblPr>
      <w:tblGrid>
        <w:gridCol w:w="2695"/>
        <w:gridCol w:w="2002"/>
        <w:gridCol w:w="1975"/>
        <w:gridCol w:w="2470"/>
      </w:tblGrid>
      <w:tr w:rsidR="0066522E" w:rsidRPr="00AC7013" w14:paraId="7878647B" w14:textId="77777777" w:rsidTr="00183CD7">
        <w:trPr>
          <w:trHeight w:val="450"/>
          <w:jc w:val="center"/>
        </w:trPr>
        <w:tc>
          <w:tcPr>
            <w:tcW w:w="9142" w:type="dxa"/>
            <w:gridSpan w:val="4"/>
            <w:tcBorders>
              <w:top w:val="single" w:sz="7" w:space="0" w:color="000000"/>
              <w:left w:val="single" w:sz="7" w:space="0" w:color="000000"/>
              <w:bottom w:val="single" w:sz="7" w:space="0" w:color="000000"/>
              <w:right w:val="single" w:sz="7" w:space="0" w:color="000000"/>
            </w:tcBorders>
          </w:tcPr>
          <w:p w14:paraId="324B6D96" w14:textId="40677D13" w:rsidR="0066522E" w:rsidRDefault="0066522E" w:rsidP="00183CD7">
            <w:pPr>
              <w:pStyle w:val="a3"/>
              <w:keepLines/>
              <w:jc w:val="center"/>
              <w:rPr>
                <w:b/>
                <w:lang w:val="sl-SI"/>
              </w:rPr>
            </w:pPr>
            <w:r>
              <w:rPr>
                <w:rFonts w:eastAsia="Times New Roman"/>
                <w:b/>
                <w:bCs/>
                <w:lang w:val="sl-SI"/>
              </w:rPr>
              <w:t>Preglednica </w:t>
            </w:r>
            <w:r w:rsidR="00270C6B">
              <w:rPr>
                <w:rFonts w:eastAsia="Times New Roman"/>
                <w:b/>
                <w:bCs/>
                <w:lang w:val="sl-SI"/>
              </w:rPr>
              <w:t>21</w:t>
            </w:r>
          </w:p>
          <w:p w14:paraId="12B7E325" w14:textId="77777777" w:rsidR="0066522E" w:rsidRDefault="0066522E" w:rsidP="00183CD7">
            <w:pPr>
              <w:pStyle w:val="a3"/>
              <w:keepLines/>
              <w:jc w:val="center"/>
              <w:rPr>
                <w:b/>
                <w:lang w:val="sl-SI"/>
              </w:rPr>
            </w:pPr>
            <w:r>
              <w:rPr>
                <w:rFonts w:eastAsia="Times New Roman"/>
                <w:b/>
                <w:bCs/>
                <w:lang w:val="sl-SI"/>
              </w:rPr>
              <w:t>Študija Crohnove bolezni pri pediatričnih bolnikih</w:t>
            </w:r>
          </w:p>
          <w:p w14:paraId="3391B924" w14:textId="77777777" w:rsidR="0066522E" w:rsidRDefault="0066522E" w:rsidP="00183CD7">
            <w:pPr>
              <w:pStyle w:val="a3"/>
              <w:keepLines/>
              <w:jc w:val="center"/>
              <w:rPr>
                <w:rFonts w:eastAsia="Times New Roman"/>
                <w:lang w:val="sl-SI"/>
              </w:rPr>
            </w:pPr>
            <w:r>
              <w:rPr>
                <w:rFonts w:eastAsia="Times New Roman"/>
                <w:b/>
                <w:bCs/>
                <w:lang w:val="sl-SI"/>
              </w:rPr>
              <w:t>PCDAI klinična remisija in odziv</w:t>
            </w:r>
          </w:p>
        </w:tc>
      </w:tr>
      <w:tr w:rsidR="0066522E" w14:paraId="197A0E87" w14:textId="77777777" w:rsidTr="00183CD7">
        <w:trPr>
          <w:trHeight w:val="740"/>
          <w:jc w:val="center"/>
        </w:trPr>
        <w:tc>
          <w:tcPr>
            <w:tcW w:w="2695" w:type="dxa"/>
            <w:tcBorders>
              <w:top w:val="single" w:sz="7" w:space="0" w:color="000000"/>
              <w:left w:val="single" w:sz="7" w:space="0" w:color="000000"/>
              <w:bottom w:val="single" w:sz="7" w:space="0" w:color="000000"/>
              <w:right w:val="single" w:sz="7" w:space="0" w:color="000000"/>
            </w:tcBorders>
          </w:tcPr>
          <w:p w14:paraId="3DB3AAAF" w14:textId="77777777" w:rsidR="0066522E" w:rsidRDefault="0066522E" w:rsidP="00183CD7">
            <w:pPr>
              <w:rPr>
                <w:lang w:val="sl-SI"/>
              </w:rPr>
            </w:pPr>
          </w:p>
        </w:tc>
        <w:tc>
          <w:tcPr>
            <w:tcW w:w="2002" w:type="dxa"/>
            <w:tcBorders>
              <w:top w:val="single" w:sz="7" w:space="0" w:color="000000"/>
              <w:left w:val="single" w:sz="7" w:space="0" w:color="000000"/>
              <w:bottom w:val="single" w:sz="7" w:space="0" w:color="000000"/>
              <w:right w:val="single" w:sz="7" w:space="0" w:color="000000"/>
            </w:tcBorders>
          </w:tcPr>
          <w:p w14:paraId="30A7D9E9" w14:textId="77777777" w:rsidR="0066522E" w:rsidRDefault="0066522E" w:rsidP="00183CD7">
            <w:pPr>
              <w:pStyle w:val="TableParagraph"/>
              <w:spacing w:before="1" w:line="252" w:lineRule="exact"/>
              <w:ind w:left="111" w:right="98"/>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Standardni odmerek 40/20 mg vsak drugi teden</w:t>
            </w:r>
          </w:p>
          <w:p w14:paraId="325F8D6C" w14:textId="77777777" w:rsidR="0066522E" w:rsidRDefault="0066522E" w:rsidP="00183CD7">
            <w:pPr>
              <w:pStyle w:val="TableParagraph"/>
              <w:spacing w:line="251" w:lineRule="exact"/>
              <w:ind w:left="480" w:right="468"/>
              <w:jc w:val="center"/>
              <w:rPr>
                <w:rFonts w:ascii="Times New Roman" w:eastAsia="Times New Roman" w:hAnsi="Times New Roman" w:cs="Times New Roman"/>
                <w:lang w:val="sl-SI"/>
              </w:rPr>
            </w:pPr>
            <w:r>
              <w:rPr>
                <w:rFonts w:ascii="Times New Roman" w:eastAsia="Times New Roman" w:hAnsi="Times New Roman" w:cs="Times New Roman"/>
                <w:b/>
                <w:bCs/>
                <w:lang w:val="sl-SI"/>
              </w:rPr>
              <w:t>N = 93</w:t>
            </w:r>
          </w:p>
        </w:tc>
        <w:tc>
          <w:tcPr>
            <w:tcW w:w="1975" w:type="dxa"/>
            <w:tcBorders>
              <w:top w:val="single" w:sz="7" w:space="0" w:color="000000"/>
              <w:left w:val="single" w:sz="7" w:space="0" w:color="000000"/>
              <w:bottom w:val="single" w:sz="7" w:space="0" w:color="000000"/>
              <w:right w:val="single" w:sz="7" w:space="0" w:color="000000"/>
            </w:tcBorders>
          </w:tcPr>
          <w:p w14:paraId="16C1308B" w14:textId="77777777" w:rsidR="0066522E" w:rsidRDefault="0066522E" w:rsidP="00183CD7">
            <w:pPr>
              <w:pStyle w:val="TableParagraph"/>
              <w:spacing w:before="1" w:line="252" w:lineRule="exact"/>
              <w:ind w:left="157" w:right="142" w:firstLine="1"/>
              <w:jc w:val="center"/>
              <w:rPr>
                <w:rFonts w:ascii="Times New Roman" w:eastAsia="Times New Roman" w:hAnsi="Times New Roman" w:cs="Times New Roman"/>
                <w:lang w:val="sl-SI"/>
              </w:rPr>
            </w:pPr>
            <w:r>
              <w:rPr>
                <w:rFonts w:ascii="Times New Roman" w:eastAsia="Times New Roman" w:hAnsi="Times New Roman" w:cs="Times New Roman"/>
                <w:b/>
                <w:bCs/>
                <w:spacing w:val="-2"/>
                <w:lang w:val="sl-SI"/>
              </w:rPr>
              <w:t>Majhni odmerek 20/10 mg vsak drugi teden</w:t>
            </w:r>
          </w:p>
          <w:p w14:paraId="0C7002D7" w14:textId="77777777" w:rsidR="0066522E" w:rsidRDefault="0066522E" w:rsidP="00183CD7">
            <w:pPr>
              <w:pStyle w:val="TableParagraph"/>
              <w:spacing w:line="251" w:lineRule="exact"/>
              <w:ind w:left="468" w:right="456"/>
              <w:jc w:val="center"/>
              <w:rPr>
                <w:rFonts w:ascii="Times New Roman" w:eastAsia="Times New Roman" w:hAnsi="Times New Roman" w:cs="Times New Roman"/>
                <w:lang w:val="sl-SI"/>
              </w:rPr>
            </w:pPr>
            <w:r>
              <w:rPr>
                <w:rFonts w:ascii="Times New Roman" w:eastAsia="Times New Roman" w:hAnsi="Times New Roman" w:cs="Times New Roman"/>
                <w:b/>
                <w:bCs/>
                <w:lang w:val="sl-SI"/>
              </w:rPr>
              <w:t>N = 95</w:t>
            </w:r>
          </w:p>
        </w:tc>
        <w:tc>
          <w:tcPr>
            <w:tcW w:w="2469" w:type="dxa"/>
            <w:tcBorders>
              <w:top w:val="single" w:sz="7" w:space="0" w:color="000000"/>
              <w:left w:val="single" w:sz="7" w:space="0" w:color="000000"/>
              <w:bottom w:val="single" w:sz="7" w:space="0" w:color="000000"/>
              <w:right w:val="single" w:sz="7" w:space="0" w:color="000000"/>
            </w:tcBorders>
          </w:tcPr>
          <w:p w14:paraId="4029AA60"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b/>
                <w:bCs/>
                <w:lang w:val="sl-SI"/>
              </w:rPr>
              <w:t>Vrednost p</w:t>
            </w:r>
            <w:r>
              <w:rPr>
                <w:rFonts w:ascii="Times New Roman" w:eastAsia="Times New Roman" w:hAnsi="Times New Roman" w:cs="Times New Roman"/>
                <w:lang w:val="sl-SI"/>
              </w:rPr>
              <w:t>*</w:t>
            </w:r>
          </w:p>
        </w:tc>
      </w:tr>
      <w:tr w:rsidR="0066522E" w14:paraId="4E064DAE" w14:textId="77777777" w:rsidTr="00183CD7">
        <w:trPr>
          <w:trHeight w:val="159"/>
          <w:jc w:val="center"/>
        </w:trPr>
        <w:tc>
          <w:tcPr>
            <w:tcW w:w="2695" w:type="dxa"/>
            <w:tcBorders>
              <w:top w:val="single" w:sz="7" w:space="0" w:color="000000"/>
              <w:left w:val="single" w:sz="7" w:space="0" w:color="000000"/>
              <w:bottom w:val="single" w:sz="7" w:space="0" w:color="000000"/>
              <w:right w:val="single" w:sz="7" w:space="0" w:color="000000"/>
            </w:tcBorders>
          </w:tcPr>
          <w:p w14:paraId="7A8C08DC" w14:textId="77777777" w:rsidR="0066522E" w:rsidRDefault="0066522E" w:rsidP="00183CD7">
            <w:pPr>
              <w:pStyle w:val="TableParagraph"/>
              <w:spacing w:line="251" w:lineRule="exact"/>
              <w:ind w:left="13"/>
              <w:rPr>
                <w:rFonts w:ascii="Times New Roman" w:eastAsia="Times New Roman" w:hAnsi="Times New Roman" w:cs="Times New Roman"/>
                <w:lang w:val="sl-SI"/>
              </w:rPr>
            </w:pPr>
            <w:r>
              <w:rPr>
                <w:rFonts w:ascii="Times New Roman" w:eastAsia="Times New Roman" w:hAnsi="Times New Roman" w:cs="Times New Roman"/>
                <w:b/>
                <w:bCs/>
                <w:lang w:val="sl-SI"/>
              </w:rPr>
              <w:t>26. teden</w:t>
            </w:r>
          </w:p>
        </w:tc>
        <w:tc>
          <w:tcPr>
            <w:tcW w:w="2002" w:type="dxa"/>
            <w:tcBorders>
              <w:top w:val="single" w:sz="7" w:space="0" w:color="000000"/>
              <w:left w:val="single" w:sz="7" w:space="0" w:color="000000"/>
              <w:bottom w:val="single" w:sz="7" w:space="0" w:color="000000"/>
              <w:right w:val="single" w:sz="7" w:space="0" w:color="000000"/>
            </w:tcBorders>
          </w:tcPr>
          <w:p w14:paraId="693CEC7C" w14:textId="77777777" w:rsidR="0066522E" w:rsidRDefault="0066522E" w:rsidP="00183CD7">
            <w:pPr>
              <w:rPr>
                <w:lang w:val="sl-SI"/>
              </w:rPr>
            </w:pPr>
          </w:p>
        </w:tc>
        <w:tc>
          <w:tcPr>
            <w:tcW w:w="1975" w:type="dxa"/>
            <w:tcBorders>
              <w:top w:val="single" w:sz="7" w:space="0" w:color="000000"/>
              <w:left w:val="single" w:sz="7" w:space="0" w:color="000000"/>
              <w:bottom w:val="single" w:sz="7" w:space="0" w:color="000000"/>
              <w:right w:val="single" w:sz="7" w:space="0" w:color="000000"/>
            </w:tcBorders>
          </w:tcPr>
          <w:p w14:paraId="614947F5" w14:textId="77777777" w:rsidR="0066522E" w:rsidRDefault="0066522E" w:rsidP="00183CD7">
            <w:pPr>
              <w:rPr>
                <w:lang w:val="sl-SI"/>
              </w:rPr>
            </w:pPr>
          </w:p>
        </w:tc>
        <w:tc>
          <w:tcPr>
            <w:tcW w:w="2469" w:type="dxa"/>
            <w:tcBorders>
              <w:top w:val="single" w:sz="7" w:space="0" w:color="000000"/>
              <w:left w:val="single" w:sz="7" w:space="0" w:color="000000"/>
              <w:bottom w:val="single" w:sz="7" w:space="0" w:color="000000"/>
              <w:right w:val="single" w:sz="7" w:space="0" w:color="000000"/>
            </w:tcBorders>
          </w:tcPr>
          <w:p w14:paraId="535A65F5" w14:textId="77777777" w:rsidR="0066522E" w:rsidRDefault="0066522E" w:rsidP="00183CD7">
            <w:pPr>
              <w:jc w:val="center"/>
              <w:rPr>
                <w:lang w:val="sl-SI"/>
              </w:rPr>
            </w:pPr>
          </w:p>
        </w:tc>
      </w:tr>
      <w:tr w:rsidR="0066522E" w14:paraId="796ED530" w14:textId="77777777" w:rsidTr="00183CD7">
        <w:trPr>
          <w:trHeight w:val="142"/>
          <w:jc w:val="center"/>
        </w:trPr>
        <w:tc>
          <w:tcPr>
            <w:tcW w:w="2695" w:type="dxa"/>
            <w:tcBorders>
              <w:top w:val="single" w:sz="7" w:space="0" w:color="000000"/>
              <w:left w:val="single" w:sz="7" w:space="0" w:color="000000"/>
              <w:bottom w:val="single" w:sz="7" w:space="0" w:color="000000"/>
              <w:right w:val="single" w:sz="7" w:space="0" w:color="000000"/>
            </w:tcBorders>
          </w:tcPr>
          <w:p w14:paraId="62DEF8B5" w14:textId="77777777" w:rsidR="0066522E" w:rsidRDefault="0066522E" w:rsidP="00183CD7">
            <w:pPr>
              <w:pStyle w:val="TableParagraph"/>
              <w:spacing w:line="246" w:lineRule="exact"/>
              <w:ind w:left="179"/>
              <w:rPr>
                <w:rFonts w:ascii="Times New Roman" w:eastAsia="Times New Roman" w:hAnsi="Times New Roman" w:cs="Times New Roman"/>
                <w:lang w:val="sl-SI"/>
              </w:rPr>
            </w:pPr>
            <w:r>
              <w:rPr>
                <w:rFonts w:ascii="Times New Roman" w:eastAsia="Times New Roman" w:hAnsi="Times New Roman" w:cs="Times New Roman"/>
                <w:spacing w:val="-1"/>
                <w:lang w:val="sl-SI"/>
              </w:rPr>
              <w:t>Klinična remisija</w:t>
            </w:r>
          </w:p>
        </w:tc>
        <w:tc>
          <w:tcPr>
            <w:tcW w:w="2002" w:type="dxa"/>
            <w:tcBorders>
              <w:top w:val="single" w:sz="7" w:space="0" w:color="000000"/>
              <w:left w:val="single" w:sz="7" w:space="0" w:color="000000"/>
              <w:bottom w:val="single" w:sz="7" w:space="0" w:color="000000"/>
              <w:right w:val="single" w:sz="7" w:space="0" w:color="000000"/>
            </w:tcBorders>
          </w:tcPr>
          <w:p w14:paraId="1EF81232"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38,7 %</w:t>
            </w:r>
          </w:p>
        </w:tc>
        <w:tc>
          <w:tcPr>
            <w:tcW w:w="1975" w:type="dxa"/>
            <w:tcBorders>
              <w:top w:val="single" w:sz="7" w:space="0" w:color="000000"/>
              <w:left w:val="single" w:sz="7" w:space="0" w:color="000000"/>
              <w:bottom w:val="single" w:sz="7" w:space="0" w:color="000000"/>
              <w:right w:val="single" w:sz="7" w:space="0" w:color="000000"/>
            </w:tcBorders>
          </w:tcPr>
          <w:p w14:paraId="2DDEC4DB"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28,4 %</w:t>
            </w:r>
          </w:p>
        </w:tc>
        <w:tc>
          <w:tcPr>
            <w:tcW w:w="2469" w:type="dxa"/>
            <w:tcBorders>
              <w:top w:val="single" w:sz="7" w:space="0" w:color="000000"/>
              <w:left w:val="single" w:sz="7" w:space="0" w:color="000000"/>
              <w:bottom w:val="single" w:sz="7" w:space="0" w:color="000000"/>
              <w:right w:val="single" w:sz="7" w:space="0" w:color="000000"/>
            </w:tcBorders>
          </w:tcPr>
          <w:p w14:paraId="5632E458"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0,075</w:t>
            </w:r>
          </w:p>
        </w:tc>
      </w:tr>
      <w:tr w:rsidR="0066522E" w14:paraId="02F1939C" w14:textId="77777777" w:rsidTr="00183CD7">
        <w:trPr>
          <w:trHeight w:val="148"/>
          <w:jc w:val="center"/>
        </w:trPr>
        <w:tc>
          <w:tcPr>
            <w:tcW w:w="2695" w:type="dxa"/>
            <w:tcBorders>
              <w:top w:val="single" w:sz="7" w:space="0" w:color="000000"/>
              <w:left w:val="single" w:sz="7" w:space="0" w:color="000000"/>
              <w:bottom w:val="single" w:sz="7" w:space="0" w:color="000000"/>
              <w:right w:val="single" w:sz="7" w:space="0" w:color="000000"/>
            </w:tcBorders>
          </w:tcPr>
          <w:p w14:paraId="2BF58EBF" w14:textId="77777777" w:rsidR="0066522E" w:rsidRDefault="0066522E" w:rsidP="00183CD7">
            <w:pPr>
              <w:pStyle w:val="TableParagraph"/>
              <w:spacing w:line="248" w:lineRule="exact"/>
              <w:ind w:left="179"/>
              <w:rPr>
                <w:rFonts w:ascii="Times New Roman" w:eastAsia="Times New Roman" w:hAnsi="Times New Roman" w:cs="Times New Roman"/>
                <w:lang w:val="sl-SI"/>
              </w:rPr>
            </w:pPr>
            <w:r>
              <w:rPr>
                <w:rFonts w:ascii="Times New Roman" w:eastAsia="Times New Roman" w:hAnsi="Times New Roman" w:cs="Times New Roman"/>
                <w:spacing w:val="-1"/>
                <w:lang w:val="sl-SI"/>
              </w:rPr>
              <w:t>Klinični odziv</w:t>
            </w:r>
          </w:p>
        </w:tc>
        <w:tc>
          <w:tcPr>
            <w:tcW w:w="2002" w:type="dxa"/>
            <w:tcBorders>
              <w:top w:val="single" w:sz="7" w:space="0" w:color="000000"/>
              <w:left w:val="single" w:sz="7" w:space="0" w:color="000000"/>
              <w:bottom w:val="single" w:sz="7" w:space="0" w:color="000000"/>
              <w:right w:val="single" w:sz="7" w:space="0" w:color="000000"/>
            </w:tcBorders>
          </w:tcPr>
          <w:p w14:paraId="0671F60E"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59,1 %</w:t>
            </w:r>
          </w:p>
        </w:tc>
        <w:tc>
          <w:tcPr>
            <w:tcW w:w="1975" w:type="dxa"/>
            <w:tcBorders>
              <w:top w:val="single" w:sz="7" w:space="0" w:color="000000"/>
              <w:left w:val="single" w:sz="7" w:space="0" w:color="000000"/>
              <w:bottom w:val="single" w:sz="7" w:space="0" w:color="000000"/>
              <w:right w:val="single" w:sz="7" w:space="0" w:color="000000"/>
            </w:tcBorders>
          </w:tcPr>
          <w:p w14:paraId="5CF92132"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48,4 %</w:t>
            </w:r>
          </w:p>
        </w:tc>
        <w:tc>
          <w:tcPr>
            <w:tcW w:w="2469" w:type="dxa"/>
            <w:tcBorders>
              <w:top w:val="single" w:sz="7" w:space="0" w:color="000000"/>
              <w:left w:val="single" w:sz="7" w:space="0" w:color="000000"/>
              <w:bottom w:val="single" w:sz="7" w:space="0" w:color="000000"/>
              <w:right w:val="single" w:sz="7" w:space="0" w:color="000000"/>
            </w:tcBorders>
          </w:tcPr>
          <w:p w14:paraId="5C7B5826"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0,073</w:t>
            </w:r>
          </w:p>
        </w:tc>
      </w:tr>
      <w:tr w:rsidR="0066522E" w14:paraId="40843703" w14:textId="77777777" w:rsidTr="00183CD7">
        <w:trPr>
          <w:trHeight w:val="153"/>
          <w:jc w:val="center"/>
        </w:trPr>
        <w:tc>
          <w:tcPr>
            <w:tcW w:w="2695" w:type="dxa"/>
            <w:tcBorders>
              <w:top w:val="single" w:sz="7" w:space="0" w:color="000000"/>
              <w:left w:val="single" w:sz="7" w:space="0" w:color="000000"/>
              <w:bottom w:val="single" w:sz="7" w:space="0" w:color="000000"/>
              <w:right w:val="single" w:sz="7" w:space="0" w:color="000000"/>
            </w:tcBorders>
          </w:tcPr>
          <w:p w14:paraId="08B86712" w14:textId="77777777" w:rsidR="0066522E" w:rsidRDefault="0066522E" w:rsidP="00183CD7">
            <w:pPr>
              <w:pStyle w:val="TableParagraph"/>
              <w:spacing w:line="251" w:lineRule="exact"/>
              <w:ind w:left="13"/>
              <w:rPr>
                <w:rFonts w:ascii="Times New Roman" w:eastAsia="Times New Roman" w:hAnsi="Times New Roman" w:cs="Times New Roman"/>
                <w:lang w:val="sl-SI"/>
              </w:rPr>
            </w:pPr>
            <w:r>
              <w:rPr>
                <w:rFonts w:ascii="Times New Roman" w:eastAsia="Times New Roman" w:hAnsi="Times New Roman" w:cs="Times New Roman"/>
                <w:b/>
                <w:bCs/>
                <w:lang w:val="sl-SI"/>
              </w:rPr>
              <w:t>52. teden</w:t>
            </w:r>
          </w:p>
        </w:tc>
        <w:tc>
          <w:tcPr>
            <w:tcW w:w="2002" w:type="dxa"/>
            <w:tcBorders>
              <w:top w:val="single" w:sz="7" w:space="0" w:color="000000"/>
              <w:left w:val="single" w:sz="7" w:space="0" w:color="000000"/>
              <w:bottom w:val="single" w:sz="7" w:space="0" w:color="000000"/>
              <w:right w:val="single" w:sz="7" w:space="0" w:color="000000"/>
            </w:tcBorders>
          </w:tcPr>
          <w:p w14:paraId="2556D524" w14:textId="77777777" w:rsidR="0066522E" w:rsidRDefault="0066522E" w:rsidP="00183CD7">
            <w:pPr>
              <w:rPr>
                <w:lang w:val="sl-SI"/>
              </w:rPr>
            </w:pPr>
          </w:p>
        </w:tc>
        <w:tc>
          <w:tcPr>
            <w:tcW w:w="1975" w:type="dxa"/>
            <w:tcBorders>
              <w:top w:val="single" w:sz="7" w:space="0" w:color="000000"/>
              <w:left w:val="single" w:sz="7" w:space="0" w:color="000000"/>
              <w:bottom w:val="single" w:sz="7" w:space="0" w:color="000000"/>
              <w:right w:val="single" w:sz="7" w:space="0" w:color="000000"/>
            </w:tcBorders>
          </w:tcPr>
          <w:p w14:paraId="0F3B8802" w14:textId="77777777" w:rsidR="0066522E" w:rsidRDefault="0066522E" w:rsidP="00183CD7">
            <w:pPr>
              <w:rPr>
                <w:lang w:val="sl-SI"/>
              </w:rPr>
            </w:pPr>
          </w:p>
        </w:tc>
        <w:tc>
          <w:tcPr>
            <w:tcW w:w="2469" w:type="dxa"/>
            <w:tcBorders>
              <w:top w:val="single" w:sz="7" w:space="0" w:color="000000"/>
              <w:left w:val="single" w:sz="7" w:space="0" w:color="000000"/>
              <w:bottom w:val="single" w:sz="7" w:space="0" w:color="000000"/>
              <w:right w:val="single" w:sz="7" w:space="0" w:color="000000"/>
            </w:tcBorders>
          </w:tcPr>
          <w:p w14:paraId="79DD7952" w14:textId="77777777" w:rsidR="0066522E" w:rsidRDefault="0066522E" w:rsidP="00183CD7">
            <w:pPr>
              <w:jc w:val="center"/>
              <w:rPr>
                <w:lang w:val="sl-SI"/>
              </w:rPr>
            </w:pPr>
          </w:p>
        </w:tc>
      </w:tr>
      <w:tr w:rsidR="0066522E" w14:paraId="70173BAB" w14:textId="77777777" w:rsidTr="00183CD7">
        <w:trPr>
          <w:trHeight w:val="148"/>
          <w:jc w:val="center"/>
        </w:trPr>
        <w:tc>
          <w:tcPr>
            <w:tcW w:w="2695" w:type="dxa"/>
            <w:tcBorders>
              <w:top w:val="single" w:sz="7" w:space="0" w:color="000000"/>
              <w:left w:val="single" w:sz="7" w:space="0" w:color="000000"/>
              <w:bottom w:val="single" w:sz="7" w:space="0" w:color="000000"/>
              <w:right w:val="single" w:sz="7" w:space="0" w:color="000000"/>
            </w:tcBorders>
          </w:tcPr>
          <w:p w14:paraId="2B3F45D5" w14:textId="77777777" w:rsidR="0066522E" w:rsidRDefault="0066522E" w:rsidP="00183CD7">
            <w:pPr>
              <w:pStyle w:val="TableParagraph"/>
              <w:spacing w:line="246" w:lineRule="exact"/>
              <w:ind w:left="179"/>
              <w:rPr>
                <w:rFonts w:ascii="Times New Roman" w:eastAsia="Times New Roman" w:hAnsi="Times New Roman" w:cs="Times New Roman"/>
                <w:lang w:val="sl-SI"/>
              </w:rPr>
            </w:pPr>
            <w:r>
              <w:rPr>
                <w:rFonts w:ascii="Times New Roman" w:eastAsia="Times New Roman" w:hAnsi="Times New Roman" w:cs="Times New Roman"/>
                <w:spacing w:val="-1"/>
                <w:lang w:val="sl-SI"/>
              </w:rPr>
              <w:t>Klinična remisija</w:t>
            </w:r>
          </w:p>
        </w:tc>
        <w:tc>
          <w:tcPr>
            <w:tcW w:w="2002" w:type="dxa"/>
            <w:tcBorders>
              <w:top w:val="single" w:sz="7" w:space="0" w:color="000000"/>
              <w:left w:val="single" w:sz="7" w:space="0" w:color="000000"/>
              <w:bottom w:val="single" w:sz="7" w:space="0" w:color="000000"/>
              <w:right w:val="single" w:sz="7" w:space="0" w:color="000000"/>
            </w:tcBorders>
          </w:tcPr>
          <w:p w14:paraId="3566CAC1"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33,3 %</w:t>
            </w:r>
          </w:p>
        </w:tc>
        <w:tc>
          <w:tcPr>
            <w:tcW w:w="1975" w:type="dxa"/>
            <w:tcBorders>
              <w:top w:val="single" w:sz="7" w:space="0" w:color="000000"/>
              <w:left w:val="single" w:sz="7" w:space="0" w:color="000000"/>
              <w:bottom w:val="single" w:sz="7" w:space="0" w:color="000000"/>
              <w:right w:val="single" w:sz="7" w:space="0" w:color="000000"/>
            </w:tcBorders>
          </w:tcPr>
          <w:p w14:paraId="437D27CD"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23,2 %</w:t>
            </w:r>
          </w:p>
        </w:tc>
        <w:tc>
          <w:tcPr>
            <w:tcW w:w="2469" w:type="dxa"/>
            <w:tcBorders>
              <w:top w:val="single" w:sz="7" w:space="0" w:color="000000"/>
              <w:left w:val="single" w:sz="7" w:space="0" w:color="000000"/>
              <w:bottom w:val="single" w:sz="7" w:space="0" w:color="000000"/>
              <w:right w:val="single" w:sz="7" w:space="0" w:color="000000"/>
            </w:tcBorders>
          </w:tcPr>
          <w:p w14:paraId="336CCD92" w14:textId="77777777" w:rsidR="0066522E" w:rsidRDefault="0066522E" w:rsidP="00183CD7">
            <w:pPr>
              <w:pStyle w:val="TableParagraph"/>
              <w:spacing w:line="246"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0,100</w:t>
            </w:r>
          </w:p>
        </w:tc>
      </w:tr>
      <w:tr w:rsidR="0066522E" w14:paraId="010206FC" w14:textId="77777777" w:rsidTr="00183CD7">
        <w:trPr>
          <w:trHeight w:val="142"/>
          <w:jc w:val="center"/>
        </w:trPr>
        <w:tc>
          <w:tcPr>
            <w:tcW w:w="2695" w:type="dxa"/>
            <w:tcBorders>
              <w:top w:val="single" w:sz="7" w:space="0" w:color="000000"/>
              <w:left w:val="single" w:sz="7" w:space="0" w:color="000000"/>
              <w:bottom w:val="single" w:sz="7" w:space="0" w:color="000000"/>
              <w:right w:val="single" w:sz="7" w:space="0" w:color="000000"/>
            </w:tcBorders>
          </w:tcPr>
          <w:p w14:paraId="465902F6" w14:textId="77777777" w:rsidR="0066522E" w:rsidRDefault="0066522E" w:rsidP="00183CD7">
            <w:pPr>
              <w:pStyle w:val="TableParagraph"/>
              <w:spacing w:line="248" w:lineRule="exact"/>
              <w:ind w:left="179"/>
              <w:rPr>
                <w:rFonts w:ascii="Times New Roman" w:eastAsia="Times New Roman" w:hAnsi="Times New Roman" w:cs="Times New Roman"/>
                <w:lang w:val="sl-SI"/>
              </w:rPr>
            </w:pPr>
            <w:r>
              <w:rPr>
                <w:rFonts w:ascii="Times New Roman" w:eastAsia="Times New Roman" w:hAnsi="Times New Roman" w:cs="Times New Roman"/>
                <w:spacing w:val="-1"/>
                <w:lang w:val="sl-SI"/>
              </w:rPr>
              <w:t>Klinični odziv</w:t>
            </w:r>
          </w:p>
        </w:tc>
        <w:tc>
          <w:tcPr>
            <w:tcW w:w="2002" w:type="dxa"/>
            <w:tcBorders>
              <w:top w:val="single" w:sz="7" w:space="0" w:color="000000"/>
              <w:left w:val="single" w:sz="7" w:space="0" w:color="000000"/>
              <w:bottom w:val="single" w:sz="7" w:space="0" w:color="000000"/>
              <w:right w:val="single" w:sz="7" w:space="0" w:color="000000"/>
            </w:tcBorders>
          </w:tcPr>
          <w:p w14:paraId="5FD36A50"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41,9 %</w:t>
            </w:r>
          </w:p>
        </w:tc>
        <w:tc>
          <w:tcPr>
            <w:tcW w:w="1975" w:type="dxa"/>
            <w:tcBorders>
              <w:top w:val="single" w:sz="7" w:space="0" w:color="000000"/>
              <w:left w:val="single" w:sz="7" w:space="0" w:color="000000"/>
              <w:bottom w:val="single" w:sz="7" w:space="0" w:color="000000"/>
              <w:right w:val="single" w:sz="7" w:space="0" w:color="000000"/>
            </w:tcBorders>
          </w:tcPr>
          <w:p w14:paraId="4CA25BD3"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28,4 %</w:t>
            </w:r>
          </w:p>
        </w:tc>
        <w:tc>
          <w:tcPr>
            <w:tcW w:w="2469" w:type="dxa"/>
            <w:tcBorders>
              <w:top w:val="single" w:sz="7" w:space="0" w:color="000000"/>
              <w:left w:val="single" w:sz="7" w:space="0" w:color="000000"/>
              <w:bottom w:val="single" w:sz="7" w:space="0" w:color="000000"/>
              <w:right w:val="single" w:sz="7" w:space="0" w:color="000000"/>
            </w:tcBorders>
          </w:tcPr>
          <w:p w14:paraId="0BA9828D" w14:textId="77777777" w:rsidR="0066522E" w:rsidRDefault="0066522E" w:rsidP="00183CD7">
            <w:pPr>
              <w:pStyle w:val="TableParagraph"/>
              <w:spacing w:line="248" w:lineRule="exact"/>
              <w:jc w:val="center"/>
              <w:rPr>
                <w:rFonts w:ascii="Times New Roman" w:eastAsia="Times New Roman" w:hAnsi="Times New Roman" w:cs="Times New Roman"/>
                <w:lang w:val="sl-SI"/>
              </w:rPr>
            </w:pPr>
            <w:r>
              <w:rPr>
                <w:rFonts w:ascii="Times New Roman" w:eastAsia="Times New Roman" w:hAnsi="Times New Roman" w:cs="Times New Roman"/>
                <w:lang w:val="sl-SI"/>
              </w:rPr>
              <w:t>0,038</w:t>
            </w:r>
          </w:p>
        </w:tc>
      </w:tr>
      <w:tr w:rsidR="0066522E" w:rsidRPr="00AC7013" w14:paraId="3D84A3AE" w14:textId="77777777" w:rsidTr="00183CD7">
        <w:trPr>
          <w:trHeight w:val="142"/>
          <w:jc w:val="center"/>
        </w:trPr>
        <w:tc>
          <w:tcPr>
            <w:tcW w:w="9142" w:type="dxa"/>
            <w:gridSpan w:val="4"/>
            <w:tcBorders>
              <w:top w:val="single" w:sz="7" w:space="0" w:color="000000"/>
              <w:left w:val="single" w:sz="7" w:space="0" w:color="000000"/>
              <w:bottom w:val="single" w:sz="7" w:space="0" w:color="000000"/>
              <w:right w:val="single" w:sz="7" w:space="0" w:color="000000"/>
            </w:tcBorders>
          </w:tcPr>
          <w:p w14:paraId="45D2A805" w14:textId="77777777" w:rsidR="0066522E" w:rsidRDefault="0066522E" w:rsidP="00183CD7">
            <w:pPr>
              <w:pStyle w:val="TableParagraph"/>
              <w:spacing w:line="246" w:lineRule="exact"/>
              <w:ind w:left="13"/>
              <w:rPr>
                <w:rFonts w:ascii="Times New Roman" w:eastAsia="Times New Roman" w:hAnsi="Times New Roman" w:cs="Times New Roman"/>
                <w:lang w:val="sl-SI"/>
              </w:rPr>
            </w:pPr>
            <w:r>
              <w:rPr>
                <w:rFonts w:ascii="Times New Roman" w:eastAsia="Times New Roman" w:hAnsi="Times New Roman" w:cs="Times New Roman"/>
                <w:lang w:val="sl-SI"/>
              </w:rPr>
              <w:t>* Vrednost p za primerjavo standardnega in majhnega odmerka.</w:t>
            </w:r>
          </w:p>
        </w:tc>
      </w:tr>
    </w:tbl>
    <w:p w14:paraId="15CD790B" w14:textId="77777777" w:rsidR="0066522E" w:rsidRDefault="0066522E" w:rsidP="0066522E">
      <w:pPr>
        <w:rPr>
          <w:sz w:val="24"/>
          <w:szCs w:val="24"/>
          <w:lang w:val="sl-SI"/>
        </w:rPr>
      </w:pPr>
    </w:p>
    <w:tbl>
      <w:tblPr>
        <w:tblStyle w:val="TableNormal1"/>
        <w:tblW w:w="9180" w:type="dxa"/>
        <w:jc w:val="center"/>
        <w:tblLayout w:type="fixed"/>
        <w:tblLook w:val="01E0" w:firstRow="1" w:lastRow="1" w:firstColumn="1" w:lastColumn="1" w:noHBand="0" w:noVBand="0"/>
      </w:tblPr>
      <w:tblGrid>
        <w:gridCol w:w="3368"/>
        <w:gridCol w:w="2268"/>
        <w:gridCol w:w="1812"/>
        <w:gridCol w:w="1732"/>
      </w:tblGrid>
      <w:tr w:rsidR="0066522E" w:rsidRPr="00652F18" w14:paraId="0DB59283" w14:textId="77777777" w:rsidTr="00183CD7">
        <w:trPr>
          <w:jc w:val="center"/>
        </w:trPr>
        <w:tc>
          <w:tcPr>
            <w:tcW w:w="9180" w:type="dxa"/>
            <w:gridSpan w:val="4"/>
            <w:tcBorders>
              <w:top w:val="single" w:sz="7" w:space="0" w:color="000000"/>
              <w:left w:val="single" w:sz="7" w:space="0" w:color="000000"/>
              <w:bottom w:val="single" w:sz="7" w:space="0" w:color="000000"/>
              <w:right w:val="single" w:sz="7" w:space="0" w:color="000000"/>
            </w:tcBorders>
          </w:tcPr>
          <w:p w14:paraId="06A962A2" w14:textId="557247C9" w:rsidR="0066522E" w:rsidRDefault="0066522E" w:rsidP="00183CD7">
            <w:pPr>
              <w:pStyle w:val="TableParagraph"/>
              <w:spacing w:before="3" w:line="252" w:lineRule="exact"/>
              <w:ind w:right="142" w:hanging="12"/>
              <w:jc w:val="center"/>
              <w:rPr>
                <w:rFonts w:ascii="Times New Roman" w:eastAsia="Times New Roman" w:hAnsi="Times New Roman" w:cs="Times New Roman"/>
                <w:b/>
                <w:bCs/>
                <w:lang w:val="sl-SI"/>
              </w:rPr>
            </w:pPr>
            <w:r>
              <w:rPr>
                <w:rFonts w:ascii="Times New Roman" w:eastAsia="Times New Roman" w:hAnsi="Times New Roman" w:cs="Times New Roman"/>
                <w:b/>
                <w:bCs/>
                <w:lang w:val="sl-SI"/>
              </w:rPr>
              <w:t xml:space="preserve">Preglednica </w:t>
            </w:r>
            <w:r w:rsidR="00270C6B">
              <w:rPr>
                <w:rFonts w:ascii="Times New Roman" w:eastAsia="Times New Roman" w:hAnsi="Times New Roman" w:cs="Times New Roman"/>
                <w:b/>
                <w:bCs/>
                <w:lang w:val="sl-SI"/>
              </w:rPr>
              <w:t>22</w:t>
            </w:r>
            <w:r>
              <w:rPr>
                <w:rFonts w:ascii="Times New Roman" w:eastAsia="Times New Roman" w:hAnsi="Times New Roman" w:cs="Times New Roman"/>
                <w:b/>
                <w:bCs/>
                <w:lang w:val="sl-SI"/>
              </w:rPr>
              <w:t>.</w:t>
            </w:r>
          </w:p>
          <w:p w14:paraId="2B3986D8" w14:textId="77777777" w:rsidR="0066522E" w:rsidRDefault="0066522E" w:rsidP="00183CD7">
            <w:pPr>
              <w:pStyle w:val="TableParagraph"/>
              <w:spacing w:before="3" w:line="252" w:lineRule="exact"/>
              <w:ind w:left="2234" w:right="142" w:hanging="12"/>
              <w:rPr>
                <w:rFonts w:ascii="Times New Roman" w:eastAsia="Times New Roman" w:hAnsi="Times New Roman" w:cs="Times New Roman"/>
                <w:lang w:val="sl-SI"/>
              </w:rPr>
            </w:pPr>
            <w:r>
              <w:rPr>
                <w:rFonts w:ascii="Times New Roman" w:eastAsia="Times New Roman" w:hAnsi="Times New Roman" w:cs="Times New Roman"/>
                <w:b/>
                <w:bCs/>
                <w:lang w:val="sl-SI"/>
              </w:rPr>
              <w:t>Študija Crohnove bolezni pri pediatričnih bolnikih:</w:t>
            </w:r>
          </w:p>
          <w:p w14:paraId="58F6C377" w14:textId="77777777" w:rsidR="0066522E" w:rsidRDefault="0066522E" w:rsidP="00183CD7">
            <w:pPr>
              <w:pStyle w:val="TableParagraph"/>
              <w:spacing w:line="249" w:lineRule="exact"/>
              <w:ind w:left="431"/>
              <w:rPr>
                <w:rFonts w:ascii="Times New Roman" w:eastAsia="Times New Roman" w:hAnsi="Times New Roman" w:cs="Times New Roman"/>
                <w:lang w:val="sl-SI"/>
              </w:rPr>
            </w:pPr>
            <w:r>
              <w:rPr>
                <w:rFonts w:ascii="Times New Roman" w:eastAsia="Times New Roman" w:hAnsi="Times New Roman" w:cs="Times New Roman"/>
                <w:b/>
                <w:bCs/>
                <w:spacing w:val="-1"/>
                <w:lang w:val="sl-SI"/>
              </w:rPr>
              <w:t>Prenehanje zdravljenja s kortikosteroidi ali imunomodulatorji in remisija fistule</w:t>
            </w:r>
          </w:p>
        </w:tc>
      </w:tr>
      <w:tr w:rsidR="0066522E" w14:paraId="0169B99B" w14:textId="77777777" w:rsidTr="00183CD7">
        <w:trPr>
          <w:jc w:val="center"/>
        </w:trPr>
        <w:tc>
          <w:tcPr>
            <w:tcW w:w="3368" w:type="dxa"/>
            <w:tcBorders>
              <w:top w:val="single" w:sz="7" w:space="0" w:color="000000"/>
              <w:left w:val="single" w:sz="7" w:space="0" w:color="000000"/>
              <w:bottom w:val="single" w:sz="7" w:space="0" w:color="000000"/>
              <w:right w:val="single" w:sz="7" w:space="0" w:color="000000"/>
            </w:tcBorders>
          </w:tcPr>
          <w:p w14:paraId="09C25CBF" w14:textId="77777777" w:rsidR="0066522E" w:rsidRDefault="0066522E" w:rsidP="00183CD7">
            <w:pPr>
              <w:rPr>
                <w:lang w:val="sl-SI"/>
              </w:rPr>
            </w:pPr>
          </w:p>
        </w:tc>
        <w:tc>
          <w:tcPr>
            <w:tcW w:w="2268" w:type="dxa"/>
            <w:tcBorders>
              <w:top w:val="single" w:sz="7" w:space="0" w:color="000000"/>
              <w:left w:val="single" w:sz="7" w:space="0" w:color="000000"/>
              <w:bottom w:val="single" w:sz="7" w:space="0" w:color="000000"/>
              <w:right w:val="single" w:sz="7" w:space="0" w:color="000000"/>
            </w:tcBorders>
          </w:tcPr>
          <w:p w14:paraId="006CC4DC" w14:textId="77777777" w:rsidR="0066522E" w:rsidRDefault="0066522E" w:rsidP="00183CD7">
            <w:pPr>
              <w:pStyle w:val="TableParagraph"/>
              <w:spacing w:line="251" w:lineRule="exact"/>
              <w:ind w:left="133" w:right="105"/>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 xml:space="preserve">Standardni odmerek </w:t>
            </w:r>
            <w:r>
              <w:rPr>
                <w:rFonts w:ascii="Times New Roman" w:eastAsia="Times New Roman" w:hAnsi="Times New Roman" w:cs="Times New Roman"/>
                <w:b/>
                <w:bCs/>
                <w:lang w:val="sl-SI"/>
              </w:rPr>
              <w:t>40/20 mg vsak drugi teden</w:t>
            </w:r>
          </w:p>
        </w:tc>
        <w:tc>
          <w:tcPr>
            <w:tcW w:w="1812" w:type="dxa"/>
            <w:tcBorders>
              <w:top w:val="single" w:sz="7" w:space="0" w:color="000000"/>
              <w:left w:val="single" w:sz="7" w:space="0" w:color="000000"/>
              <w:bottom w:val="single" w:sz="7" w:space="0" w:color="000000"/>
              <w:right w:val="single" w:sz="7" w:space="0" w:color="000000"/>
            </w:tcBorders>
          </w:tcPr>
          <w:p w14:paraId="67C8EB9C" w14:textId="77777777" w:rsidR="0066522E" w:rsidRDefault="0066522E" w:rsidP="00183CD7">
            <w:pPr>
              <w:pStyle w:val="TableParagraph"/>
              <w:spacing w:line="251" w:lineRule="exact"/>
              <w:ind w:left="97" w:right="105"/>
              <w:jc w:val="center"/>
              <w:rPr>
                <w:rFonts w:ascii="Times New Roman" w:eastAsia="Times New Roman" w:hAnsi="Times New Roman" w:cs="Times New Roman"/>
                <w:lang w:val="sl-SI"/>
              </w:rPr>
            </w:pPr>
            <w:r>
              <w:rPr>
                <w:rFonts w:ascii="Times New Roman" w:eastAsia="Times New Roman" w:hAnsi="Times New Roman" w:cs="Times New Roman"/>
                <w:b/>
                <w:bCs/>
                <w:spacing w:val="-2"/>
                <w:lang w:val="sl-SI"/>
              </w:rPr>
              <w:t xml:space="preserve">Majhni odmerek </w:t>
            </w:r>
            <w:r>
              <w:rPr>
                <w:rFonts w:ascii="Times New Roman" w:eastAsia="Times New Roman" w:hAnsi="Times New Roman" w:cs="Times New Roman"/>
                <w:b/>
                <w:bCs/>
                <w:lang w:val="sl-SI"/>
              </w:rPr>
              <w:t>20/10 mg vsak drugi teden</w:t>
            </w:r>
          </w:p>
        </w:tc>
        <w:tc>
          <w:tcPr>
            <w:tcW w:w="1732" w:type="dxa"/>
            <w:tcBorders>
              <w:top w:val="single" w:sz="7" w:space="0" w:color="000000"/>
              <w:left w:val="single" w:sz="7" w:space="0" w:color="000000"/>
              <w:bottom w:val="single" w:sz="7" w:space="0" w:color="000000"/>
              <w:right w:val="single" w:sz="7" w:space="0" w:color="000000"/>
            </w:tcBorders>
          </w:tcPr>
          <w:p w14:paraId="2203A8A6" w14:textId="77777777" w:rsidR="0066522E" w:rsidRDefault="0066522E" w:rsidP="00183CD7">
            <w:pPr>
              <w:pStyle w:val="TableParagraph"/>
              <w:spacing w:line="251" w:lineRule="exact"/>
              <w:ind w:left="186"/>
              <w:jc w:val="center"/>
              <w:rPr>
                <w:rFonts w:ascii="Times New Roman" w:eastAsia="Times New Roman" w:hAnsi="Times New Roman" w:cs="Times New Roman"/>
                <w:lang w:val="sl-SI"/>
              </w:rPr>
            </w:pPr>
            <w:r>
              <w:rPr>
                <w:rFonts w:ascii="Times New Roman" w:eastAsia="Times New Roman" w:hAnsi="Times New Roman" w:cs="Times New Roman"/>
                <w:b/>
                <w:bCs/>
                <w:lang w:val="sl-SI"/>
              </w:rPr>
              <w:t>Vrednost p</w:t>
            </w:r>
            <w:r>
              <w:rPr>
                <w:rFonts w:ascii="Times New Roman" w:eastAsia="Times New Roman" w:hAnsi="Times New Roman" w:cs="Times New Roman"/>
                <w:b/>
                <w:bCs/>
                <w:vertAlign w:val="superscript"/>
                <w:lang w:val="sl-SI"/>
              </w:rPr>
              <w:t>1</w:t>
            </w:r>
          </w:p>
        </w:tc>
      </w:tr>
      <w:tr w:rsidR="0066522E" w14:paraId="5B8C3B11" w14:textId="77777777" w:rsidTr="00183CD7">
        <w:trPr>
          <w:jc w:val="center"/>
        </w:trPr>
        <w:tc>
          <w:tcPr>
            <w:tcW w:w="3368" w:type="dxa"/>
            <w:tcBorders>
              <w:top w:val="single" w:sz="7" w:space="0" w:color="000000"/>
              <w:left w:val="single" w:sz="7" w:space="0" w:color="000000"/>
              <w:bottom w:val="single" w:sz="7" w:space="0" w:color="000000"/>
              <w:right w:val="single" w:sz="7" w:space="0" w:color="000000"/>
            </w:tcBorders>
          </w:tcPr>
          <w:p w14:paraId="500225DB" w14:textId="77777777" w:rsidR="0066522E" w:rsidRDefault="0066522E" w:rsidP="00183CD7">
            <w:pPr>
              <w:pStyle w:val="TableParagraph"/>
              <w:spacing w:line="251" w:lineRule="exact"/>
              <w:ind w:left="-1"/>
              <w:rPr>
                <w:rFonts w:ascii="Times New Roman" w:eastAsia="Times New Roman" w:hAnsi="Times New Roman" w:cs="Times New Roman"/>
                <w:lang w:val="sl-SI"/>
              </w:rPr>
            </w:pPr>
            <w:r>
              <w:rPr>
                <w:rFonts w:ascii="Times New Roman" w:eastAsia="Times New Roman" w:hAnsi="Times New Roman" w:cs="Times New Roman"/>
                <w:b/>
                <w:bCs/>
                <w:spacing w:val="-1"/>
                <w:lang w:val="sl-SI"/>
              </w:rPr>
              <w:t>Prenehanje s kortikosteroidi</w:t>
            </w:r>
          </w:p>
        </w:tc>
        <w:tc>
          <w:tcPr>
            <w:tcW w:w="2268" w:type="dxa"/>
            <w:tcBorders>
              <w:top w:val="single" w:sz="7" w:space="0" w:color="000000"/>
              <w:left w:val="single" w:sz="7" w:space="0" w:color="000000"/>
              <w:bottom w:val="single" w:sz="7" w:space="0" w:color="000000"/>
              <w:right w:val="single" w:sz="7" w:space="0" w:color="000000"/>
            </w:tcBorders>
          </w:tcPr>
          <w:p w14:paraId="7D732563" w14:textId="77777777" w:rsidR="0066522E" w:rsidRDefault="0066522E" w:rsidP="00183CD7">
            <w:pPr>
              <w:pStyle w:val="TableParagraph"/>
              <w:spacing w:line="251"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33</w:t>
            </w:r>
          </w:p>
        </w:tc>
        <w:tc>
          <w:tcPr>
            <w:tcW w:w="1812" w:type="dxa"/>
            <w:tcBorders>
              <w:top w:val="single" w:sz="7" w:space="0" w:color="000000"/>
              <w:left w:val="single" w:sz="7" w:space="0" w:color="000000"/>
              <w:bottom w:val="single" w:sz="7" w:space="0" w:color="000000"/>
              <w:right w:val="single" w:sz="7" w:space="0" w:color="000000"/>
            </w:tcBorders>
          </w:tcPr>
          <w:p w14:paraId="456E42AC" w14:textId="77777777" w:rsidR="0066522E" w:rsidRDefault="0066522E" w:rsidP="00183CD7">
            <w:pPr>
              <w:pStyle w:val="TableParagraph"/>
              <w:spacing w:line="251"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38</w:t>
            </w:r>
          </w:p>
        </w:tc>
        <w:tc>
          <w:tcPr>
            <w:tcW w:w="1732" w:type="dxa"/>
            <w:tcBorders>
              <w:top w:val="single" w:sz="7" w:space="0" w:color="000000"/>
              <w:left w:val="single" w:sz="7" w:space="0" w:color="000000"/>
              <w:bottom w:val="single" w:sz="7" w:space="0" w:color="000000"/>
              <w:right w:val="single" w:sz="7" w:space="0" w:color="000000"/>
            </w:tcBorders>
          </w:tcPr>
          <w:p w14:paraId="32009621" w14:textId="77777777" w:rsidR="0066522E" w:rsidRDefault="0066522E" w:rsidP="00183CD7">
            <w:pPr>
              <w:ind w:left="142"/>
              <w:jc w:val="center"/>
              <w:rPr>
                <w:lang w:val="sl-SI"/>
              </w:rPr>
            </w:pPr>
          </w:p>
        </w:tc>
      </w:tr>
      <w:tr w:rsidR="0066522E" w14:paraId="6FDA81D9" w14:textId="77777777" w:rsidTr="00183CD7">
        <w:trPr>
          <w:jc w:val="center"/>
        </w:trPr>
        <w:tc>
          <w:tcPr>
            <w:tcW w:w="3368" w:type="dxa"/>
            <w:tcBorders>
              <w:top w:val="single" w:sz="7" w:space="0" w:color="000000"/>
              <w:left w:val="single" w:sz="7" w:space="0" w:color="000000"/>
              <w:bottom w:val="single" w:sz="7" w:space="0" w:color="000000"/>
              <w:right w:val="single" w:sz="7" w:space="0" w:color="000000"/>
            </w:tcBorders>
          </w:tcPr>
          <w:p w14:paraId="2DC2D52B" w14:textId="77777777" w:rsidR="0066522E" w:rsidRDefault="0066522E" w:rsidP="00183CD7">
            <w:pPr>
              <w:pStyle w:val="TableParagraph"/>
              <w:spacing w:line="246" w:lineRule="exact"/>
              <w:ind w:left="-1"/>
              <w:rPr>
                <w:rFonts w:ascii="Times New Roman" w:eastAsia="Times New Roman" w:hAnsi="Times New Roman" w:cs="Times New Roman"/>
                <w:lang w:val="sl-SI"/>
              </w:rPr>
            </w:pPr>
            <w:r>
              <w:rPr>
                <w:rFonts w:ascii="Times New Roman" w:eastAsia="Times New Roman" w:hAnsi="Times New Roman" w:cs="Times New Roman"/>
                <w:lang w:val="sl-SI"/>
              </w:rPr>
              <w:t>26. teden</w:t>
            </w:r>
          </w:p>
        </w:tc>
        <w:tc>
          <w:tcPr>
            <w:tcW w:w="2268" w:type="dxa"/>
            <w:tcBorders>
              <w:top w:val="single" w:sz="7" w:space="0" w:color="000000"/>
              <w:left w:val="single" w:sz="7" w:space="0" w:color="000000"/>
              <w:bottom w:val="single" w:sz="7" w:space="0" w:color="000000"/>
              <w:right w:val="single" w:sz="7" w:space="0" w:color="000000"/>
            </w:tcBorders>
          </w:tcPr>
          <w:p w14:paraId="26788BDE" w14:textId="77777777" w:rsidR="0066522E" w:rsidRDefault="0066522E" w:rsidP="00183CD7">
            <w:pPr>
              <w:pStyle w:val="TableParagraph"/>
              <w:spacing w:line="246"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lang w:val="sl-SI"/>
              </w:rPr>
              <w:t>84,8 %</w:t>
            </w:r>
          </w:p>
        </w:tc>
        <w:tc>
          <w:tcPr>
            <w:tcW w:w="1812" w:type="dxa"/>
            <w:tcBorders>
              <w:top w:val="single" w:sz="7" w:space="0" w:color="000000"/>
              <w:left w:val="single" w:sz="7" w:space="0" w:color="000000"/>
              <w:bottom w:val="single" w:sz="7" w:space="0" w:color="000000"/>
              <w:right w:val="single" w:sz="7" w:space="0" w:color="000000"/>
            </w:tcBorders>
          </w:tcPr>
          <w:p w14:paraId="799A94CB" w14:textId="77777777" w:rsidR="0066522E" w:rsidRDefault="0066522E" w:rsidP="00183CD7">
            <w:pPr>
              <w:pStyle w:val="TableParagraph"/>
              <w:spacing w:line="246"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lang w:val="sl-SI"/>
              </w:rPr>
              <w:t>65,8 %</w:t>
            </w:r>
          </w:p>
        </w:tc>
        <w:tc>
          <w:tcPr>
            <w:tcW w:w="1732" w:type="dxa"/>
            <w:tcBorders>
              <w:top w:val="single" w:sz="7" w:space="0" w:color="000000"/>
              <w:left w:val="single" w:sz="7" w:space="0" w:color="000000"/>
              <w:bottom w:val="single" w:sz="7" w:space="0" w:color="000000"/>
              <w:right w:val="single" w:sz="7" w:space="0" w:color="000000"/>
            </w:tcBorders>
          </w:tcPr>
          <w:p w14:paraId="3A4B2516" w14:textId="77777777" w:rsidR="0066522E" w:rsidRDefault="0066522E" w:rsidP="00183CD7">
            <w:pPr>
              <w:pStyle w:val="TableParagraph"/>
              <w:spacing w:line="246" w:lineRule="exact"/>
              <w:ind w:left="142"/>
              <w:jc w:val="center"/>
              <w:rPr>
                <w:rFonts w:ascii="Times New Roman" w:eastAsia="Times New Roman" w:hAnsi="Times New Roman" w:cs="Times New Roman"/>
                <w:lang w:val="sl-SI"/>
              </w:rPr>
            </w:pPr>
            <w:r>
              <w:rPr>
                <w:rFonts w:ascii="Times New Roman" w:eastAsia="Times New Roman" w:hAnsi="Times New Roman" w:cs="Times New Roman"/>
                <w:lang w:val="sl-SI"/>
              </w:rPr>
              <w:t>0,066</w:t>
            </w:r>
          </w:p>
        </w:tc>
      </w:tr>
      <w:tr w:rsidR="0066522E" w14:paraId="620376DF" w14:textId="77777777" w:rsidTr="00183CD7">
        <w:trPr>
          <w:trHeight w:val="163"/>
          <w:jc w:val="center"/>
        </w:trPr>
        <w:tc>
          <w:tcPr>
            <w:tcW w:w="3368" w:type="dxa"/>
            <w:tcBorders>
              <w:top w:val="single" w:sz="7" w:space="0" w:color="000000"/>
              <w:left w:val="single" w:sz="7" w:space="0" w:color="000000"/>
              <w:bottom w:val="single" w:sz="7" w:space="0" w:color="000000"/>
              <w:right w:val="single" w:sz="7" w:space="0" w:color="000000"/>
            </w:tcBorders>
          </w:tcPr>
          <w:p w14:paraId="2CB45F43" w14:textId="77777777" w:rsidR="0066522E" w:rsidRDefault="0066522E" w:rsidP="00183CD7">
            <w:pPr>
              <w:pStyle w:val="TableParagraph"/>
              <w:spacing w:line="246" w:lineRule="exact"/>
              <w:ind w:left="-1"/>
              <w:rPr>
                <w:rFonts w:ascii="Times New Roman" w:eastAsia="Times New Roman" w:hAnsi="Times New Roman" w:cs="Times New Roman"/>
                <w:lang w:val="sl-SI"/>
              </w:rPr>
            </w:pPr>
            <w:r>
              <w:rPr>
                <w:rFonts w:ascii="Times New Roman" w:eastAsia="Times New Roman" w:hAnsi="Times New Roman" w:cs="Times New Roman"/>
                <w:lang w:val="sl-SI"/>
              </w:rPr>
              <w:t>52. teden</w:t>
            </w:r>
          </w:p>
        </w:tc>
        <w:tc>
          <w:tcPr>
            <w:tcW w:w="2268" w:type="dxa"/>
            <w:tcBorders>
              <w:top w:val="single" w:sz="7" w:space="0" w:color="000000"/>
              <w:left w:val="single" w:sz="7" w:space="0" w:color="000000"/>
              <w:bottom w:val="single" w:sz="7" w:space="0" w:color="000000"/>
              <w:right w:val="single" w:sz="7" w:space="0" w:color="000000"/>
            </w:tcBorders>
          </w:tcPr>
          <w:p w14:paraId="1EB769E1" w14:textId="77777777" w:rsidR="0066522E" w:rsidRDefault="0066522E" w:rsidP="00183CD7">
            <w:pPr>
              <w:pStyle w:val="TableParagraph"/>
              <w:spacing w:line="246"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lang w:val="sl-SI"/>
              </w:rPr>
              <w:t>69,7 %</w:t>
            </w:r>
          </w:p>
        </w:tc>
        <w:tc>
          <w:tcPr>
            <w:tcW w:w="1812" w:type="dxa"/>
            <w:tcBorders>
              <w:top w:val="single" w:sz="7" w:space="0" w:color="000000"/>
              <w:left w:val="single" w:sz="7" w:space="0" w:color="000000"/>
              <w:bottom w:val="single" w:sz="7" w:space="0" w:color="000000"/>
              <w:right w:val="single" w:sz="7" w:space="0" w:color="000000"/>
            </w:tcBorders>
          </w:tcPr>
          <w:p w14:paraId="7D659CB9" w14:textId="77777777" w:rsidR="0066522E" w:rsidRDefault="0066522E" w:rsidP="00183CD7">
            <w:pPr>
              <w:pStyle w:val="TableParagraph"/>
              <w:spacing w:line="246"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lang w:val="sl-SI"/>
              </w:rPr>
              <w:t>60,5 %</w:t>
            </w:r>
          </w:p>
        </w:tc>
        <w:tc>
          <w:tcPr>
            <w:tcW w:w="1732" w:type="dxa"/>
            <w:tcBorders>
              <w:top w:val="single" w:sz="7" w:space="0" w:color="000000"/>
              <w:left w:val="single" w:sz="7" w:space="0" w:color="000000"/>
              <w:bottom w:val="single" w:sz="7" w:space="0" w:color="000000"/>
              <w:right w:val="single" w:sz="7" w:space="0" w:color="000000"/>
            </w:tcBorders>
          </w:tcPr>
          <w:p w14:paraId="3E3A6A0E" w14:textId="77777777" w:rsidR="0066522E" w:rsidRDefault="0066522E" w:rsidP="00183CD7">
            <w:pPr>
              <w:pStyle w:val="TableParagraph"/>
              <w:spacing w:line="246" w:lineRule="exact"/>
              <w:ind w:left="142"/>
              <w:jc w:val="center"/>
              <w:rPr>
                <w:rFonts w:ascii="Times New Roman" w:eastAsia="Times New Roman" w:hAnsi="Times New Roman" w:cs="Times New Roman"/>
                <w:lang w:val="sl-SI"/>
              </w:rPr>
            </w:pPr>
            <w:r>
              <w:rPr>
                <w:rFonts w:ascii="Times New Roman" w:eastAsia="Times New Roman" w:hAnsi="Times New Roman" w:cs="Times New Roman"/>
                <w:lang w:val="sl-SI"/>
              </w:rPr>
              <w:t>0,420</w:t>
            </w:r>
          </w:p>
        </w:tc>
      </w:tr>
      <w:tr w:rsidR="0066522E" w14:paraId="24E60BFC" w14:textId="77777777" w:rsidTr="00183CD7">
        <w:trPr>
          <w:jc w:val="center"/>
        </w:trPr>
        <w:tc>
          <w:tcPr>
            <w:tcW w:w="3368" w:type="dxa"/>
            <w:tcBorders>
              <w:top w:val="single" w:sz="7" w:space="0" w:color="000000"/>
              <w:left w:val="single" w:sz="7" w:space="0" w:color="000000"/>
              <w:bottom w:val="single" w:sz="7" w:space="0" w:color="000000"/>
              <w:right w:val="single" w:sz="7" w:space="0" w:color="000000"/>
            </w:tcBorders>
          </w:tcPr>
          <w:p w14:paraId="39F43668" w14:textId="77777777" w:rsidR="0066522E" w:rsidRDefault="0066522E" w:rsidP="00183CD7">
            <w:pPr>
              <w:pStyle w:val="TableParagraph"/>
              <w:spacing w:line="251" w:lineRule="exact"/>
              <w:ind w:left="-1"/>
              <w:rPr>
                <w:rFonts w:ascii="Times New Roman" w:eastAsia="Times New Roman" w:hAnsi="Times New Roman" w:cs="Times New Roman"/>
                <w:lang w:val="sl-SI"/>
              </w:rPr>
            </w:pPr>
            <w:r>
              <w:rPr>
                <w:rFonts w:ascii="Times New Roman" w:eastAsia="Times New Roman" w:hAnsi="Times New Roman" w:cs="Times New Roman"/>
                <w:b/>
                <w:bCs/>
                <w:spacing w:val="-1"/>
                <w:lang w:val="sl-SI"/>
              </w:rPr>
              <w:t>Prenehanje z imunomodulatorji</w:t>
            </w:r>
            <w:r>
              <w:rPr>
                <w:rFonts w:ascii="Times New Roman" w:eastAsia="Times New Roman" w:hAnsi="Times New Roman" w:cs="Times New Roman"/>
                <w:b/>
                <w:bCs/>
                <w:spacing w:val="-1"/>
                <w:vertAlign w:val="superscript"/>
                <w:lang w:val="sl-SI"/>
              </w:rPr>
              <w:t>2</w:t>
            </w:r>
          </w:p>
        </w:tc>
        <w:tc>
          <w:tcPr>
            <w:tcW w:w="2268" w:type="dxa"/>
            <w:tcBorders>
              <w:top w:val="single" w:sz="7" w:space="0" w:color="000000"/>
              <w:left w:val="single" w:sz="7" w:space="0" w:color="000000"/>
              <w:bottom w:val="single" w:sz="7" w:space="0" w:color="000000"/>
              <w:right w:val="single" w:sz="7" w:space="0" w:color="000000"/>
            </w:tcBorders>
          </w:tcPr>
          <w:p w14:paraId="68D8151C" w14:textId="77777777" w:rsidR="0066522E" w:rsidRDefault="0066522E" w:rsidP="00183CD7">
            <w:pPr>
              <w:pStyle w:val="TableParagraph"/>
              <w:spacing w:line="251"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60</w:t>
            </w:r>
          </w:p>
        </w:tc>
        <w:tc>
          <w:tcPr>
            <w:tcW w:w="1812" w:type="dxa"/>
            <w:tcBorders>
              <w:top w:val="single" w:sz="7" w:space="0" w:color="000000"/>
              <w:left w:val="single" w:sz="7" w:space="0" w:color="000000"/>
              <w:bottom w:val="single" w:sz="7" w:space="0" w:color="000000"/>
              <w:right w:val="single" w:sz="7" w:space="0" w:color="000000"/>
            </w:tcBorders>
          </w:tcPr>
          <w:p w14:paraId="44AED180" w14:textId="77777777" w:rsidR="0066522E" w:rsidRDefault="0066522E" w:rsidP="00183CD7">
            <w:pPr>
              <w:pStyle w:val="TableParagraph"/>
              <w:spacing w:line="251"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57</w:t>
            </w:r>
          </w:p>
        </w:tc>
        <w:tc>
          <w:tcPr>
            <w:tcW w:w="1732" w:type="dxa"/>
            <w:tcBorders>
              <w:top w:val="single" w:sz="7" w:space="0" w:color="000000"/>
              <w:left w:val="single" w:sz="7" w:space="0" w:color="000000"/>
              <w:bottom w:val="single" w:sz="7" w:space="0" w:color="000000"/>
              <w:right w:val="single" w:sz="7" w:space="0" w:color="000000"/>
            </w:tcBorders>
          </w:tcPr>
          <w:p w14:paraId="01A7FEC9" w14:textId="77777777" w:rsidR="0066522E" w:rsidRDefault="0066522E" w:rsidP="00183CD7">
            <w:pPr>
              <w:ind w:left="142"/>
              <w:jc w:val="center"/>
              <w:rPr>
                <w:lang w:val="sl-SI"/>
              </w:rPr>
            </w:pPr>
          </w:p>
        </w:tc>
      </w:tr>
      <w:tr w:rsidR="0066522E" w14:paraId="653C66AD" w14:textId="77777777" w:rsidTr="00183CD7">
        <w:trPr>
          <w:jc w:val="center"/>
        </w:trPr>
        <w:tc>
          <w:tcPr>
            <w:tcW w:w="3368" w:type="dxa"/>
            <w:tcBorders>
              <w:top w:val="single" w:sz="7" w:space="0" w:color="000000"/>
              <w:left w:val="single" w:sz="7" w:space="0" w:color="000000"/>
              <w:bottom w:val="single" w:sz="7" w:space="0" w:color="000000"/>
              <w:right w:val="single" w:sz="7" w:space="0" w:color="000000"/>
            </w:tcBorders>
          </w:tcPr>
          <w:p w14:paraId="28668769" w14:textId="77777777" w:rsidR="0066522E" w:rsidRDefault="0066522E" w:rsidP="00183CD7">
            <w:pPr>
              <w:pStyle w:val="TableParagraph"/>
              <w:spacing w:line="246" w:lineRule="exact"/>
              <w:ind w:left="-1"/>
              <w:rPr>
                <w:rFonts w:ascii="Times New Roman" w:eastAsia="Times New Roman" w:hAnsi="Times New Roman" w:cs="Times New Roman"/>
                <w:lang w:val="sl-SI"/>
              </w:rPr>
            </w:pPr>
            <w:r>
              <w:rPr>
                <w:rFonts w:ascii="Times New Roman" w:eastAsia="Times New Roman" w:hAnsi="Times New Roman" w:cs="Times New Roman"/>
                <w:lang w:val="sl-SI"/>
              </w:rPr>
              <w:t>52. teden</w:t>
            </w:r>
          </w:p>
        </w:tc>
        <w:tc>
          <w:tcPr>
            <w:tcW w:w="2268" w:type="dxa"/>
            <w:tcBorders>
              <w:top w:val="single" w:sz="7" w:space="0" w:color="000000"/>
              <w:left w:val="single" w:sz="7" w:space="0" w:color="000000"/>
              <w:bottom w:val="single" w:sz="7" w:space="0" w:color="000000"/>
              <w:right w:val="single" w:sz="7" w:space="0" w:color="000000"/>
            </w:tcBorders>
          </w:tcPr>
          <w:p w14:paraId="0065835B" w14:textId="77777777" w:rsidR="0066522E" w:rsidRDefault="0066522E" w:rsidP="00183CD7">
            <w:pPr>
              <w:pStyle w:val="TableParagraph"/>
              <w:spacing w:line="246"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lang w:val="sl-SI"/>
              </w:rPr>
              <w:t>30,0 %</w:t>
            </w:r>
          </w:p>
        </w:tc>
        <w:tc>
          <w:tcPr>
            <w:tcW w:w="1812" w:type="dxa"/>
            <w:tcBorders>
              <w:top w:val="single" w:sz="7" w:space="0" w:color="000000"/>
              <w:left w:val="single" w:sz="7" w:space="0" w:color="000000"/>
              <w:bottom w:val="single" w:sz="7" w:space="0" w:color="000000"/>
              <w:right w:val="single" w:sz="7" w:space="0" w:color="000000"/>
            </w:tcBorders>
          </w:tcPr>
          <w:p w14:paraId="516CD85E" w14:textId="77777777" w:rsidR="0066522E" w:rsidRDefault="0066522E" w:rsidP="00183CD7">
            <w:pPr>
              <w:pStyle w:val="TableParagraph"/>
              <w:spacing w:line="246"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lang w:val="sl-SI"/>
              </w:rPr>
              <w:t>29,8 %</w:t>
            </w:r>
          </w:p>
        </w:tc>
        <w:tc>
          <w:tcPr>
            <w:tcW w:w="1732" w:type="dxa"/>
            <w:tcBorders>
              <w:top w:val="single" w:sz="7" w:space="0" w:color="000000"/>
              <w:left w:val="single" w:sz="7" w:space="0" w:color="000000"/>
              <w:bottom w:val="single" w:sz="7" w:space="0" w:color="000000"/>
              <w:right w:val="single" w:sz="7" w:space="0" w:color="000000"/>
            </w:tcBorders>
          </w:tcPr>
          <w:p w14:paraId="57B566FA" w14:textId="77777777" w:rsidR="0066522E" w:rsidRDefault="0066522E" w:rsidP="00183CD7">
            <w:pPr>
              <w:pStyle w:val="TableParagraph"/>
              <w:spacing w:line="246" w:lineRule="exact"/>
              <w:ind w:left="142"/>
              <w:jc w:val="center"/>
              <w:rPr>
                <w:rFonts w:ascii="Times New Roman" w:eastAsia="Times New Roman" w:hAnsi="Times New Roman" w:cs="Times New Roman"/>
                <w:lang w:val="sl-SI"/>
              </w:rPr>
            </w:pPr>
            <w:r>
              <w:rPr>
                <w:rFonts w:ascii="Times New Roman" w:eastAsia="Times New Roman" w:hAnsi="Times New Roman" w:cs="Times New Roman"/>
                <w:lang w:val="sl-SI"/>
              </w:rPr>
              <w:t>0,983</w:t>
            </w:r>
          </w:p>
        </w:tc>
      </w:tr>
      <w:tr w:rsidR="0066522E" w14:paraId="6E5FAA73" w14:textId="77777777" w:rsidTr="00183CD7">
        <w:trPr>
          <w:jc w:val="center"/>
        </w:trPr>
        <w:tc>
          <w:tcPr>
            <w:tcW w:w="3368" w:type="dxa"/>
            <w:tcBorders>
              <w:top w:val="single" w:sz="7" w:space="0" w:color="000000"/>
              <w:left w:val="single" w:sz="7" w:space="0" w:color="000000"/>
              <w:bottom w:val="single" w:sz="7" w:space="0" w:color="000000"/>
              <w:right w:val="single" w:sz="7" w:space="0" w:color="000000"/>
            </w:tcBorders>
          </w:tcPr>
          <w:p w14:paraId="593BDD3A" w14:textId="77777777" w:rsidR="0066522E" w:rsidRDefault="0066522E" w:rsidP="00183CD7">
            <w:pPr>
              <w:pStyle w:val="TableParagraph"/>
              <w:spacing w:line="251" w:lineRule="exact"/>
              <w:ind w:left="-1"/>
              <w:rPr>
                <w:rFonts w:ascii="Times New Roman" w:eastAsia="Times New Roman" w:hAnsi="Times New Roman" w:cs="Times New Roman"/>
                <w:lang w:val="sl-SI"/>
              </w:rPr>
            </w:pPr>
            <w:r>
              <w:rPr>
                <w:rFonts w:ascii="Times New Roman" w:eastAsia="Times New Roman" w:hAnsi="Times New Roman" w:cs="Times New Roman"/>
                <w:b/>
                <w:bCs/>
                <w:spacing w:val="-1"/>
                <w:lang w:val="sl-SI"/>
              </w:rPr>
              <w:t>Remisija fistule</w:t>
            </w:r>
            <w:r>
              <w:rPr>
                <w:rFonts w:ascii="Times New Roman" w:eastAsia="Times New Roman" w:hAnsi="Times New Roman" w:cs="Times New Roman"/>
                <w:b/>
                <w:bCs/>
                <w:spacing w:val="-1"/>
                <w:vertAlign w:val="superscript"/>
                <w:lang w:val="sl-SI"/>
              </w:rPr>
              <w:t>3</w:t>
            </w:r>
          </w:p>
        </w:tc>
        <w:tc>
          <w:tcPr>
            <w:tcW w:w="2268" w:type="dxa"/>
            <w:tcBorders>
              <w:top w:val="single" w:sz="7" w:space="0" w:color="000000"/>
              <w:left w:val="single" w:sz="7" w:space="0" w:color="000000"/>
              <w:bottom w:val="single" w:sz="7" w:space="0" w:color="000000"/>
              <w:right w:val="single" w:sz="7" w:space="0" w:color="000000"/>
            </w:tcBorders>
          </w:tcPr>
          <w:p w14:paraId="68A2E6DD" w14:textId="77777777" w:rsidR="0066522E" w:rsidRDefault="0066522E" w:rsidP="00183CD7">
            <w:pPr>
              <w:pStyle w:val="TableParagraph"/>
              <w:spacing w:line="251"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15</w:t>
            </w:r>
          </w:p>
        </w:tc>
        <w:tc>
          <w:tcPr>
            <w:tcW w:w="1812" w:type="dxa"/>
            <w:tcBorders>
              <w:top w:val="single" w:sz="7" w:space="0" w:color="000000"/>
              <w:left w:val="single" w:sz="7" w:space="0" w:color="000000"/>
              <w:bottom w:val="single" w:sz="7" w:space="0" w:color="000000"/>
              <w:right w:val="single" w:sz="7" w:space="0" w:color="000000"/>
            </w:tcBorders>
          </w:tcPr>
          <w:p w14:paraId="4C7FA299" w14:textId="77777777" w:rsidR="0066522E" w:rsidRDefault="0066522E" w:rsidP="00183CD7">
            <w:pPr>
              <w:pStyle w:val="TableParagraph"/>
              <w:spacing w:line="251"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N = 21</w:t>
            </w:r>
          </w:p>
        </w:tc>
        <w:tc>
          <w:tcPr>
            <w:tcW w:w="1732" w:type="dxa"/>
            <w:tcBorders>
              <w:top w:val="single" w:sz="7" w:space="0" w:color="000000"/>
              <w:left w:val="single" w:sz="7" w:space="0" w:color="000000"/>
              <w:bottom w:val="single" w:sz="7" w:space="0" w:color="000000"/>
              <w:right w:val="single" w:sz="7" w:space="0" w:color="000000"/>
            </w:tcBorders>
          </w:tcPr>
          <w:p w14:paraId="578D9A27" w14:textId="77777777" w:rsidR="0066522E" w:rsidRDefault="0066522E" w:rsidP="00183CD7">
            <w:pPr>
              <w:ind w:left="142"/>
              <w:jc w:val="center"/>
              <w:rPr>
                <w:lang w:val="sl-SI"/>
              </w:rPr>
            </w:pPr>
          </w:p>
        </w:tc>
      </w:tr>
      <w:tr w:rsidR="0066522E" w14:paraId="160EBCD0" w14:textId="77777777" w:rsidTr="00183CD7">
        <w:trPr>
          <w:jc w:val="center"/>
        </w:trPr>
        <w:tc>
          <w:tcPr>
            <w:tcW w:w="3368" w:type="dxa"/>
            <w:tcBorders>
              <w:top w:val="single" w:sz="7" w:space="0" w:color="000000"/>
              <w:left w:val="single" w:sz="7" w:space="0" w:color="000000"/>
              <w:bottom w:val="single" w:sz="7" w:space="0" w:color="000000"/>
              <w:right w:val="single" w:sz="7" w:space="0" w:color="000000"/>
            </w:tcBorders>
          </w:tcPr>
          <w:p w14:paraId="671AE746" w14:textId="77777777" w:rsidR="0066522E" w:rsidRDefault="0066522E" w:rsidP="00183CD7">
            <w:pPr>
              <w:pStyle w:val="TableParagraph"/>
              <w:spacing w:line="246" w:lineRule="exact"/>
              <w:ind w:left="-1"/>
              <w:rPr>
                <w:rFonts w:ascii="Times New Roman" w:eastAsia="Times New Roman" w:hAnsi="Times New Roman" w:cs="Times New Roman"/>
                <w:lang w:val="sl-SI"/>
              </w:rPr>
            </w:pPr>
            <w:r>
              <w:rPr>
                <w:rFonts w:ascii="Times New Roman" w:eastAsia="Times New Roman" w:hAnsi="Times New Roman" w:cs="Times New Roman"/>
                <w:lang w:val="sl-SI"/>
              </w:rPr>
              <w:t>26. teden</w:t>
            </w:r>
          </w:p>
        </w:tc>
        <w:tc>
          <w:tcPr>
            <w:tcW w:w="2268" w:type="dxa"/>
            <w:tcBorders>
              <w:top w:val="single" w:sz="7" w:space="0" w:color="000000"/>
              <w:left w:val="single" w:sz="7" w:space="0" w:color="000000"/>
              <w:bottom w:val="single" w:sz="7" w:space="0" w:color="000000"/>
              <w:right w:val="single" w:sz="7" w:space="0" w:color="000000"/>
            </w:tcBorders>
          </w:tcPr>
          <w:p w14:paraId="0E275F0B" w14:textId="77777777" w:rsidR="0066522E" w:rsidRDefault="0066522E" w:rsidP="00183CD7">
            <w:pPr>
              <w:pStyle w:val="TableParagraph"/>
              <w:spacing w:line="246"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lang w:val="sl-SI"/>
              </w:rPr>
              <w:t>46,7 %</w:t>
            </w:r>
          </w:p>
        </w:tc>
        <w:tc>
          <w:tcPr>
            <w:tcW w:w="1812" w:type="dxa"/>
            <w:tcBorders>
              <w:top w:val="single" w:sz="7" w:space="0" w:color="000000"/>
              <w:left w:val="single" w:sz="7" w:space="0" w:color="000000"/>
              <w:bottom w:val="single" w:sz="7" w:space="0" w:color="000000"/>
              <w:right w:val="single" w:sz="7" w:space="0" w:color="000000"/>
            </w:tcBorders>
          </w:tcPr>
          <w:p w14:paraId="1775F114" w14:textId="77777777" w:rsidR="0066522E" w:rsidRDefault="0066522E" w:rsidP="00183CD7">
            <w:pPr>
              <w:pStyle w:val="TableParagraph"/>
              <w:spacing w:line="246"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lang w:val="sl-SI"/>
              </w:rPr>
              <w:t>38,1 %</w:t>
            </w:r>
          </w:p>
        </w:tc>
        <w:tc>
          <w:tcPr>
            <w:tcW w:w="1732" w:type="dxa"/>
            <w:tcBorders>
              <w:top w:val="single" w:sz="7" w:space="0" w:color="000000"/>
              <w:left w:val="single" w:sz="7" w:space="0" w:color="000000"/>
              <w:bottom w:val="single" w:sz="7" w:space="0" w:color="000000"/>
              <w:right w:val="single" w:sz="7" w:space="0" w:color="000000"/>
            </w:tcBorders>
          </w:tcPr>
          <w:p w14:paraId="22AE5C11" w14:textId="77777777" w:rsidR="0066522E" w:rsidRDefault="0066522E" w:rsidP="00183CD7">
            <w:pPr>
              <w:pStyle w:val="TableParagraph"/>
              <w:spacing w:line="246" w:lineRule="exact"/>
              <w:ind w:left="142"/>
              <w:jc w:val="center"/>
              <w:rPr>
                <w:rFonts w:ascii="Times New Roman" w:eastAsia="Times New Roman" w:hAnsi="Times New Roman" w:cs="Times New Roman"/>
                <w:lang w:val="sl-SI"/>
              </w:rPr>
            </w:pPr>
            <w:r>
              <w:rPr>
                <w:rFonts w:ascii="Times New Roman" w:eastAsia="Times New Roman" w:hAnsi="Times New Roman" w:cs="Times New Roman"/>
                <w:lang w:val="sl-SI"/>
              </w:rPr>
              <w:t>0,608</w:t>
            </w:r>
          </w:p>
        </w:tc>
      </w:tr>
      <w:tr w:rsidR="0066522E" w14:paraId="64FE3C21" w14:textId="77777777" w:rsidTr="00183CD7">
        <w:trPr>
          <w:jc w:val="center"/>
        </w:trPr>
        <w:tc>
          <w:tcPr>
            <w:tcW w:w="3368" w:type="dxa"/>
            <w:tcBorders>
              <w:top w:val="single" w:sz="7" w:space="0" w:color="000000"/>
              <w:left w:val="single" w:sz="7" w:space="0" w:color="000000"/>
              <w:bottom w:val="single" w:sz="5" w:space="0" w:color="000000"/>
              <w:right w:val="single" w:sz="7" w:space="0" w:color="000000"/>
            </w:tcBorders>
          </w:tcPr>
          <w:p w14:paraId="4E6E39B9" w14:textId="77777777" w:rsidR="0066522E" w:rsidRDefault="0066522E" w:rsidP="00183CD7">
            <w:pPr>
              <w:pStyle w:val="TableParagraph"/>
              <w:spacing w:line="246" w:lineRule="exact"/>
              <w:ind w:left="-1"/>
              <w:rPr>
                <w:rFonts w:ascii="Times New Roman" w:eastAsia="Times New Roman" w:hAnsi="Times New Roman" w:cs="Times New Roman"/>
                <w:lang w:val="sl-SI"/>
              </w:rPr>
            </w:pPr>
            <w:r>
              <w:rPr>
                <w:rFonts w:ascii="Times New Roman" w:eastAsia="Times New Roman" w:hAnsi="Times New Roman" w:cs="Times New Roman"/>
                <w:lang w:val="sl-SI"/>
              </w:rPr>
              <w:t>52. teden</w:t>
            </w:r>
          </w:p>
        </w:tc>
        <w:tc>
          <w:tcPr>
            <w:tcW w:w="2268" w:type="dxa"/>
            <w:tcBorders>
              <w:top w:val="single" w:sz="7" w:space="0" w:color="000000"/>
              <w:left w:val="single" w:sz="7" w:space="0" w:color="000000"/>
              <w:bottom w:val="single" w:sz="5" w:space="0" w:color="000000"/>
              <w:right w:val="single" w:sz="7" w:space="0" w:color="000000"/>
            </w:tcBorders>
          </w:tcPr>
          <w:p w14:paraId="75A956F4" w14:textId="77777777" w:rsidR="0066522E" w:rsidRDefault="0066522E" w:rsidP="00183CD7">
            <w:pPr>
              <w:pStyle w:val="TableParagraph"/>
              <w:spacing w:line="246" w:lineRule="exact"/>
              <w:ind w:left="142" w:right="141"/>
              <w:jc w:val="center"/>
              <w:rPr>
                <w:rFonts w:ascii="Times New Roman" w:eastAsia="Times New Roman" w:hAnsi="Times New Roman" w:cs="Times New Roman"/>
                <w:lang w:val="sl-SI"/>
              </w:rPr>
            </w:pPr>
            <w:r>
              <w:rPr>
                <w:rFonts w:ascii="Times New Roman" w:eastAsia="Times New Roman" w:hAnsi="Times New Roman" w:cs="Times New Roman"/>
                <w:lang w:val="sl-SI"/>
              </w:rPr>
              <w:t>40,0 %</w:t>
            </w:r>
          </w:p>
        </w:tc>
        <w:tc>
          <w:tcPr>
            <w:tcW w:w="1812" w:type="dxa"/>
            <w:tcBorders>
              <w:top w:val="single" w:sz="7" w:space="0" w:color="000000"/>
              <w:left w:val="single" w:sz="7" w:space="0" w:color="000000"/>
              <w:bottom w:val="single" w:sz="5" w:space="0" w:color="000000"/>
              <w:right w:val="single" w:sz="7" w:space="0" w:color="000000"/>
            </w:tcBorders>
          </w:tcPr>
          <w:p w14:paraId="7C79CC4B" w14:textId="77777777" w:rsidR="0066522E" w:rsidRDefault="0066522E" w:rsidP="00183CD7">
            <w:pPr>
              <w:pStyle w:val="TableParagraph"/>
              <w:spacing w:line="246" w:lineRule="exact"/>
              <w:ind w:left="142" w:right="202"/>
              <w:jc w:val="center"/>
              <w:rPr>
                <w:rFonts w:ascii="Times New Roman" w:eastAsia="Times New Roman" w:hAnsi="Times New Roman" w:cs="Times New Roman"/>
                <w:lang w:val="sl-SI"/>
              </w:rPr>
            </w:pPr>
            <w:r>
              <w:rPr>
                <w:rFonts w:ascii="Times New Roman" w:eastAsia="Times New Roman" w:hAnsi="Times New Roman" w:cs="Times New Roman"/>
                <w:lang w:val="sl-SI"/>
              </w:rPr>
              <w:t>23,8 %</w:t>
            </w:r>
          </w:p>
        </w:tc>
        <w:tc>
          <w:tcPr>
            <w:tcW w:w="1732" w:type="dxa"/>
            <w:tcBorders>
              <w:top w:val="single" w:sz="7" w:space="0" w:color="000000"/>
              <w:left w:val="single" w:sz="7" w:space="0" w:color="000000"/>
              <w:bottom w:val="single" w:sz="5" w:space="0" w:color="000000"/>
              <w:right w:val="single" w:sz="7" w:space="0" w:color="000000"/>
            </w:tcBorders>
          </w:tcPr>
          <w:p w14:paraId="679F4A9C" w14:textId="77777777" w:rsidR="0066522E" w:rsidRDefault="0066522E" w:rsidP="00183CD7">
            <w:pPr>
              <w:pStyle w:val="TableParagraph"/>
              <w:spacing w:line="246" w:lineRule="exact"/>
              <w:ind w:left="142"/>
              <w:jc w:val="center"/>
              <w:rPr>
                <w:rFonts w:ascii="Times New Roman" w:eastAsia="Times New Roman" w:hAnsi="Times New Roman" w:cs="Times New Roman"/>
                <w:lang w:val="sl-SI"/>
              </w:rPr>
            </w:pPr>
            <w:r>
              <w:rPr>
                <w:rFonts w:ascii="Times New Roman" w:eastAsia="Times New Roman" w:hAnsi="Times New Roman" w:cs="Times New Roman"/>
                <w:lang w:val="sl-SI"/>
              </w:rPr>
              <w:t>0,303</w:t>
            </w:r>
          </w:p>
        </w:tc>
      </w:tr>
    </w:tbl>
    <w:p w14:paraId="0855A8B1" w14:textId="77777777" w:rsidR="0066522E" w:rsidRDefault="0066522E" w:rsidP="007811C6">
      <w:pPr>
        <w:pStyle w:val="a3"/>
        <w:numPr>
          <w:ilvl w:val="0"/>
          <w:numId w:val="149"/>
        </w:numPr>
        <w:ind w:left="550"/>
        <w:rPr>
          <w:lang w:val="sl-SI"/>
        </w:rPr>
      </w:pPr>
      <w:r>
        <w:rPr>
          <w:rFonts w:eastAsia="Times New Roman"/>
          <w:lang w:val="sl-SI"/>
        </w:rPr>
        <w:t>Vrednost p za primerjavo standardnega in majhnega odmerka.</w:t>
      </w:r>
    </w:p>
    <w:p w14:paraId="59353497" w14:textId="77777777" w:rsidR="0066522E" w:rsidRDefault="0066522E" w:rsidP="007811C6">
      <w:pPr>
        <w:pStyle w:val="a3"/>
        <w:numPr>
          <w:ilvl w:val="0"/>
          <w:numId w:val="149"/>
        </w:numPr>
        <w:ind w:left="550"/>
        <w:rPr>
          <w:lang w:val="sl-SI"/>
        </w:rPr>
      </w:pPr>
      <w:r>
        <w:rPr>
          <w:rFonts w:eastAsia="Times New Roman"/>
          <w:lang w:val="sl-SI"/>
        </w:rPr>
        <w:t xml:space="preserve">Zdravljenje z imunosupresivi je bilo lahko prekinjeno v 26. tednu ali po njem po presoji raziskovalca, </w:t>
      </w:r>
      <w:r>
        <w:rPr>
          <w:rFonts w:eastAsia="Times New Roman"/>
          <w:lang w:val="sl-SI"/>
        </w:rPr>
        <w:lastRenderedPageBreak/>
        <w:t>če je bolnik izpolnjeval kriterije kliničnega odziva.</w:t>
      </w:r>
    </w:p>
    <w:p w14:paraId="692F57B9" w14:textId="77777777" w:rsidR="0066522E" w:rsidRDefault="0066522E" w:rsidP="007811C6">
      <w:pPr>
        <w:pStyle w:val="a3"/>
        <w:numPr>
          <w:ilvl w:val="0"/>
          <w:numId w:val="149"/>
        </w:numPr>
        <w:ind w:left="550"/>
        <w:rPr>
          <w:lang w:val="sl-SI"/>
        </w:rPr>
      </w:pPr>
      <w:r>
        <w:rPr>
          <w:rFonts w:eastAsia="Times New Roman"/>
          <w:lang w:val="sl-SI"/>
        </w:rPr>
        <w:t>Definiran kot zaprtje vseh fistul, ki so bile prisotne ob začetku študije na vsaj 2 zaporednih obiskih po začetku.</w:t>
      </w:r>
    </w:p>
    <w:p w14:paraId="5845505D" w14:textId="77777777" w:rsidR="0066522E" w:rsidRDefault="0066522E" w:rsidP="0066522E">
      <w:pPr>
        <w:spacing w:before="8" w:line="170" w:lineRule="exact"/>
        <w:rPr>
          <w:sz w:val="17"/>
          <w:szCs w:val="17"/>
          <w:lang w:val="sl-SI"/>
        </w:rPr>
      </w:pPr>
    </w:p>
    <w:p w14:paraId="7628D8CC" w14:textId="77777777" w:rsidR="0066522E" w:rsidRDefault="0066522E" w:rsidP="0066522E">
      <w:pPr>
        <w:pStyle w:val="a3"/>
        <w:rPr>
          <w:lang w:val="sl-SI"/>
        </w:rPr>
      </w:pPr>
      <w:r>
        <w:rPr>
          <w:rFonts w:eastAsia="Times New Roman"/>
          <w:lang w:val="sl-SI"/>
        </w:rPr>
        <w:t>V obeh skupinah so opazili statistično pomembno povečanje (izboljšanje) indeksa telesne mase in hitrosti rasti od začetka študije do 26. in 52. tedna.</w:t>
      </w:r>
    </w:p>
    <w:p w14:paraId="18120239" w14:textId="77777777" w:rsidR="0066522E" w:rsidRDefault="0066522E" w:rsidP="0066522E">
      <w:pPr>
        <w:spacing w:before="14" w:line="240" w:lineRule="exact"/>
        <w:rPr>
          <w:sz w:val="24"/>
          <w:szCs w:val="24"/>
          <w:lang w:val="sl-SI"/>
        </w:rPr>
      </w:pPr>
    </w:p>
    <w:p w14:paraId="05EBFEC8" w14:textId="77777777" w:rsidR="0066522E" w:rsidRDefault="0066522E" w:rsidP="0066522E">
      <w:pPr>
        <w:pStyle w:val="a3"/>
        <w:rPr>
          <w:lang w:val="sl-SI"/>
        </w:rPr>
      </w:pPr>
      <w:r>
        <w:rPr>
          <w:rFonts w:eastAsia="Times New Roman"/>
          <w:lang w:val="sl-SI"/>
        </w:rPr>
        <w:t>Opazili so tudi statistično in klinično pomembno izboljšanje parametrov kakovosti življenja (vključno z IMPACT III) glede na začetek študije.</w:t>
      </w:r>
    </w:p>
    <w:p w14:paraId="4999E95D" w14:textId="77777777" w:rsidR="0066522E" w:rsidRDefault="0066522E" w:rsidP="0066522E">
      <w:pPr>
        <w:pStyle w:val="a3"/>
        <w:rPr>
          <w:lang w:val="sl-SI"/>
        </w:rPr>
      </w:pPr>
    </w:p>
    <w:p w14:paraId="309A8328" w14:textId="77777777" w:rsidR="0066522E" w:rsidRDefault="0066522E" w:rsidP="0066522E">
      <w:pPr>
        <w:pStyle w:val="a3"/>
        <w:rPr>
          <w:lang w:val="sl-SI"/>
        </w:rPr>
      </w:pPr>
      <w:r>
        <w:rPr>
          <w:rFonts w:eastAsia="Times New Roman"/>
          <w:lang w:val="sl-SI"/>
        </w:rPr>
        <w:t>Sto bolnikov (n = 100) iz študije Crohnove bolezni pri pediatričnih bolnikih je nadaljevalo v odprti dolgoročni podaljšani študiji. Po 5 letih zdravljenja z adalimumabom se je glede na PCDAI klinična remisija nadaljevala pri 74,0 % (37/50) od 50 bolnikov, ki so ostali v študiji, klinični odziv pa se je nadaljeval pri 92,0 % (46/50) bolnikov, ki so ostali v študiji.</w:t>
      </w:r>
    </w:p>
    <w:p w14:paraId="32A65E5D" w14:textId="77777777" w:rsidR="0066522E" w:rsidRDefault="0066522E" w:rsidP="0066522E">
      <w:pPr>
        <w:spacing w:before="16" w:line="240" w:lineRule="exact"/>
        <w:rPr>
          <w:sz w:val="24"/>
          <w:szCs w:val="24"/>
          <w:lang w:val="sl-SI"/>
        </w:rPr>
      </w:pPr>
    </w:p>
    <w:p w14:paraId="7843B856" w14:textId="77777777" w:rsidR="0066522E" w:rsidRDefault="0066522E" w:rsidP="0066522E">
      <w:pPr>
        <w:pStyle w:val="a3"/>
        <w:rPr>
          <w:rFonts w:eastAsia="Times New Roman"/>
          <w:lang w:val="sl-SI"/>
        </w:rPr>
      </w:pPr>
      <w:r>
        <w:rPr>
          <w:rFonts w:eastAsia="Times New Roman"/>
          <w:i/>
          <w:iCs/>
          <w:spacing w:val="-1"/>
          <w:lang w:val="sl-SI"/>
        </w:rPr>
        <w:t>Uveitis pri pediatričnih bolnikih</w:t>
      </w:r>
    </w:p>
    <w:p w14:paraId="5903AB12" w14:textId="77777777" w:rsidR="0066522E" w:rsidRDefault="0066522E" w:rsidP="0066522E">
      <w:pPr>
        <w:pStyle w:val="a3"/>
        <w:rPr>
          <w:sz w:val="24"/>
          <w:szCs w:val="24"/>
          <w:lang w:val="sl-SI"/>
        </w:rPr>
      </w:pPr>
    </w:p>
    <w:p w14:paraId="7CC6AB60" w14:textId="77777777" w:rsidR="0066522E" w:rsidRDefault="0066522E" w:rsidP="0066522E">
      <w:pPr>
        <w:pStyle w:val="a3"/>
        <w:rPr>
          <w:lang w:val="sl-SI"/>
        </w:rPr>
      </w:pPr>
      <w:r>
        <w:rPr>
          <w:rFonts w:eastAsia="Times New Roman"/>
          <w:lang w:val="sl-SI"/>
        </w:rPr>
        <w:t>Varnost in učinkovitost adalimumaba sta bili ocenjeni v randomizirani, dvojno slepi, kontrolirani študiji pri 90 pediatričnih bolnikih, starih od 2 do manj kot 18 let, z aktivnim neinfekcijskim anteriornim uveitisom, povezanim z juvenilnim idiopatskim artritisom, ki se niso odzvali na zdravljenje z metotreksatom, ki je trajalo vsaj 12 tednov. Bolniki so prejeli placebo ali 20 mg adalimumaba (če so tehtali manj kot 30 kg) ali 40 mg adalimumaba (če so tehtali 30 kg ali več) vsak drugi teden v kombinaciji z izhodiščnim odmerkom metotreksata.</w:t>
      </w:r>
    </w:p>
    <w:p w14:paraId="6CA979E8" w14:textId="77777777" w:rsidR="0066522E" w:rsidRDefault="0066522E" w:rsidP="0066522E">
      <w:pPr>
        <w:pStyle w:val="a3"/>
        <w:rPr>
          <w:lang w:val="sl-SI"/>
        </w:rPr>
      </w:pPr>
      <w:r>
        <w:rPr>
          <w:rFonts w:eastAsia="Times New Roman"/>
          <w:lang w:val="sl-SI"/>
        </w:rPr>
        <w:t>Primarni opazovani dogodek je bil “čas do neuspeha zdravljenja”. Merila, s katerimi so določali neuspeh zdravljenja so bila poslabšanje ali vztrajno ne-izboljšanje očesnega vnetja, delno izboljšanje z razvojem trajnih sočasnih očesnih bolezni ali poslabšanjem sočasnih očesnih bolezni, nedovoljena uporaba sočasnih zdravil ter prekinitev zdravljenja za daljše časovno obdobje.</w:t>
      </w:r>
    </w:p>
    <w:p w14:paraId="3CB6B92F" w14:textId="77777777" w:rsidR="0066522E" w:rsidRDefault="0066522E" w:rsidP="0066522E">
      <w:pPr>
        <w:pStyle w:val="a3"/>
        <w:rPr>
          <w:sz w:val="24"/>
          <w:szCs w:val="24"/>
          <w:lang w:val="sl-SI"/>
        </w:rPr>
      </w:pPr>
    </w:p>
    <w:p w14:paraId="48EB1C50" w14:textId="77777777" w:rsidR="0066522E" w:rsidRDefault="0066522E" w:rsidP="0066522E">
      <w:pPr>
        <w:pStyle w:val="a3"/>
        <w:rPr>
          <w:rFonts w:eastAsia="Times New Roman"/>
          <w:lang w:val="sl-SI"/>
        </w:rPr>
      </w:pPr>
      <w:r>
        <w:rPr>
          <w:rFonts w:eastAsia="Times New Roman"/>
          <w:i/>
          <w:iCs/>
          <w:spacing w:val="-1"/>
          <w:u w:val="single" w:color="000000"/>
          <w:lang w:val="sl-SI"/>
        </w:rPr>
        <w:t>Klinični odziv</w:t>
      </w:r>
    </w:p>
    <w:p w14:paraId="7EA9F38A" w14:textId="77777777" w:rsidR="0066522E" w:rsidRDefault="0066522E" w:rsidP="0066522E">
      <w:pPr>
        <w:pStyle w:val="a3"/>
        <w:rPr>
          <w:sz w:val="20"/>
          <w:szCs w:val="20"/>
          <w:lang w:val="sl-SI"/>
        </w:rPr>
      </w:pPr>
    </w:p>
    <w:p w14:paraId="58F0E41A" w14:textId="5D362003" w:rsidR="0066522E" w:rsidRDefault="0066522E" w:rsidP="0066522E">
      <w:pPr>
        <w:pStyle w:val="a3"/>
        <w:rPr>
          <w:lang w:val="sl-SI"/>
        </w:rPr>
      </w:pPr>
      <w:r>
        <w:rPr>
          <w:rFonts w:eastAsia="Times New Roman"/>
          <w:lang w:val="sl-SI"/>
        </w:rPr>
        <w:t xml:space="preserve">Adalimumab je značilno podaljšal čas do neuspeha zdravljenja v primerjavi s placebom (glejte sliko </w:t>
      </w:r>
      <w:r w:rsidR="00270C6B">
        <w:rPr>
          <w:rFonts w:eastAsia="Times New Roman"/>
          <w:lang w:val="sl-SI"/>
        </w:rPr>
        <w:t>2</w:t>
      </w:r>
      <w:r>
        <w:rPr>
          <w:rFonts w:eastAsia="Times New Roman"/>
          <w:lang w:val="sl-SI"/>
        </w:rPr>
        <w:t>, p &lt; 0,0001 iz testa log-rank). Mediani čas do neuspeha zdravljenja je bil 24,1 tedna za bolnike, ki so se zdravili s placebom, medtem ko mediani čas do neuspeha zdravljenja pri bolnikih, ki so bili zdravljeni z adalimumabom, ni bilo mogoče oceniti, ker je bilo zdravljenje neuspešno pri manj kot polovici teh bolnikov. Adalimumab je značilno zmanjšal tveganje za neuspeh zdravljenja za 75 % glede na placebo, kot prikazuje razmerje ogroženosti (HR = 0,25 [95-% IZ: 0,12, 0,49]).</w:t>
      </w:r>
    </w:p>
    <w:p w14:paraId="360F686B" w14:textId="77777777" w:rsidR="0066522E" w:rsidRDefault="0066522E" w:rsidP="0066522E">
      <w:pPr>
        <w:rPr>
          <w:rFonts w:ascii="Times New Roman" w:eastAsia="Times New Roman" w:hAnsi="Times New Roman" w:cs="Times New Roman"/>
          <w:b/>
          <w:bCs/>
          <w:lang w:val="sl-SI"/>
        </w:rPr>
      </w:pPr>
    </w:p>
    <w:p w14:paraId="56F54049" w14:textId="77777777" w:rsidR="006B39BF" w:rsidRDefault="006B39BF" w:rsidP="0066522E">
      <w:pPr>
        <w:rPr>
          <w:rFonts w:ascii="Times New Roman" w:eastAsia="Times New Roman" w:hAnsi="Times New Roman" w:cs="Times New Roman"/>
          <w:b/>
          <w:bCs/>
          <w:lang w:val="sl-SI"/>
        </w:rPr>
      </w:pPr>
    </w:p>
    <w:p w14:paraId="251BA810" w14:textId="77777777" w:rsidR="006B39BF" w:rsidRDefault="006B39BF" w:rsidP="0066522E">
      <w:pPr>
        <w:rPr>
          <w:rFonts w:ascii="Times New Roman" w:eastAsia="Times New Roman" w:hAnsi="Times New Roman" w:cs="Times New Roman"/>
          <w:b/>
          <w:bCs/>
          <w:lang w:val="sl-SI"/>
        </w:rPr>
      </w:pPr>
    </w:p>
    <w:p w14:paraId="1EDDC6CE" w14:textId="77777777" w:rsidR="006B39BF" w:rsidRDefault="006B39BF" w:rsidP="0066522E">
      <w:pPr>
        <w:rPr>
          <w:rFonts w:ascii="Times New Roman" w:eastAsia="Times New Roman" w:hAnsi="Times New Roman" w:cs="Times New Roman"/>
          <w:b/>
          <w:bCs/>
          <w:lang w:val="sl-SI"/>
        </w:rPr>
      </w:pPr>
    </w:p>
    <w:p w14:paraId="08A92318" w14:textId="77777777" w:rsidR="006B39BF" w:rsidRDefault="006B39BF" w:rsidP="0066522E">
      <w:pPr>
        <w:rPr>
          <w:rFonts w:ascii="Times New Roman" w:eastAsia="Times New Roman" w:hAnsi="Times New Roman" w:cs="Times New Roman"/>
          <w:b/>
          <w:bCs/>
          <w:lang w:val="sl-SI"/>
        </w:rPr>
      </w:pPr>
    </w:p>
    <w:p w14:paraId="0825918A" w14:textId="1D87AD71" w:rsidR="0066522E" w:rsidRDefault="0066522E" w:rsidP="0066522E">
      <w:pPr>
        <w:pStyle w:val="a3"/>
        <w:jc w:val="center"/>
        <w:rPr>
          <w:b/>
          <w:lang w:val="sl-SI"/>
        </w:rPr>
      </w:pPr>
      <w:r>
        <w:rPr>
          <w:rFonts w:eastAsia="Times New Roman"/>
          <w:b/>
          <w:bCs/>
          <w:lang w:val="sl-SI"/>
        </w:rPr>
        <w:t xml:space="preserve">Slika </w:t>
      </w:r>
      <w:r w:rsidR="00270C6B">
        <w:rPr>
          <w:rFonts w:eastAsia="Times New Roman"/>
          <w:b/>
          <w:bCs/>
          <w:lang w:val="sl-SI"/>
        </w:rPr>
        <w:t>2</w:t>
      </w:r>
      <w:r>
        <w:rPr>
          <w:rFonts w:eastAsia="Times New Roman"/>
          <w:b/>
          <w:bCs/>
          <w:lang w:val="sl-SI"/>
        </w:rPr>
        <w:t>: Kaplan-Meierjeve krivulje povzemajo čas do neuspeha zdravljenja v študiji uveitisa pri pediatričnih bolnikih</w:t>
      </w:r>
    </w:p>
    <w:p w14:paraId="244D053F" w14:textId="391B6D70" w:rsidR="0066522E" w:rsidRDefault="0066522E" w:rsidP="0066522E">
      <w:pPr>
        <w:spacing w:before="16" w:line="240" w:lineRule="exact"/>
        <w:rPr>
          <w:sz w:val="24"/>
          <w:szCs w:val="24"/>
          <w:lang w:val="sl-SI"/>
        </w:rPr>
      </w:pPr>
    </w:p>
    <w:p w14:paraId="39CEF883" w14:textId="2192F3CA" w:rsidR="0066522E" w:rsidRDefault="00253F96" w:rsidP="0066522E">
      <w:pPr>
        <w:ind w:left="687" w:right="10920"/>
        <w:rPr>
          <w:rFonts w:ascii="Times New Roman" w:eastAsia="Times New Roman" w:hAnsi="Times New Roman" w:cs="Times New Roman"/>
          <w:sz w:val="20"/>
          <w:szCs w:val="20"/>
          <w:lang w:val="sl-SI"/>
        </w:rPr>
      </w:pPr>
      <w:r w:rsidRPr="007F6B22">
        <w:rPr>
          <w:rFonts w:ascii="Times New Roman" w:eastAsia="Times New Roman" w:hAnsi="Times New Roman" w:cs="Times New Roman"/>
          <w:noProof/>
          <w:sz w:val="20"/>
          <w:szCs w:val="20"/>
          <w:lang w:eastAsia="ko-KR"/>
        </w:rPr>
        <w:lastRenderedPageBreak/>
        <mc:AlternateContent>
          <mc:Choice Requires="wps">
            <w:drawing>
              <wp:anchor distT="0" distB="0" distL="114300" distR="114300" simplePos="0" relativeHeight="251658346" behindDoc="0" locked="0" layoutInCell="1" allowOverlap="1" wp14:anchorId="5C27BBDD" wp14:editId="257444D0">
                <wp:simplePos x="0" y="0"/>
                <wp:positionH relativeFrom="column">
                  <wp:posOffset>534670</wp:posOffset>
                </wp:positionH>
                <wp:positionV relativeFrom="paragraph">
                  <wp:posOffset>3294380</wp:posOffset>
                </wp:positionV>
                <wp:extent cx="222637" cy="310211"/>
                <wp:effectExtent l="0" t="0" r="6350" b="0"/>
                <wp:wrapNone/>
                <wp:docPr id="3899"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637" cy="31021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A3ED7F2" w14:textId="77777777" w:rsidR="00474DFB" w:rsidRDefault="00474DFB" w:rsidP="0066522E">
                            <w:pPr>
                              <w:pStyle w:val="af1"/>
                              <w:kinsoku w:val="0"/>
                              <w:overflowPunct w:val="0"/>
                              <w:spacing w:before="0" w:beforeAutospacing="0" w:after="0" w:afterAutospacing="0"/>
                              <w:jc w:val="center"/>
                              <w:textAlignment w:val="baseline"/>
                            </w:pPr>
                            <w:r>
                              <w:rPr>
                                <w:rFonts w:ascii="Times New Roman" w:eastAsiaTheme="minorEastAsia" w:hAnsi="Times New Roman" w:cs="Times New Roman"/>
                                <w:color w:val="000000" w:themeColor="text1"/>
                                <w:kern w:val="24"/>
                                <w:sz w:val="16"/>
                                <w:szCs w:val="16"/>
                              </w:rPr>
                              <w:t>A</w:t>
                            </w:r>
                          </w:p>
                          <w:p w14:paraId="37EF456B" w14:textId="77777777" w:rsidR="00474DFB" w:rsidRDefault="00474DFB" w:rsidP="0066522E">
                            <w:pPr>
                              <w:pStyle w:val="af1"/>
                              <w:kinsoku w:val="0"/>
                              <w:overflowPunct w:val="0"/>
                              <w:spacing w:before="0" w:beforeAutospacing="0" w:after="0" w:afterAutospacing="0"/>
                              <w:jc w:val="center"/>
                              <w:textAlignment w:val="baseline"/>
                            </w:pPr>
                            <w:r>
                              <w:rPr>
                                <w:rFonts w:ascii="Times New Roman" w:eastAsia="Times New Roman" w:hAnsi="Times New Roman" w:cs="Times New Roman"/>
                                <w:color w:val="000000" w:themeColor="text1"/>
                                <w:kern w:val="24"/>
                                <w:sz w:val="16"/>
                                <w:szCs w:val="16"/>
                                <w:lang w:val="bg-BG"/>
                              </w:rPr>
                              <w:t>Р</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7BBDD" id="_x0000_s1047" type="#_x0000_t202" style="position:absolute;left:0;text-align:left;margin-left:42.1pt;margin-top:259.4pt;width:17.55pt;height:24.45pt;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" stroked="f" strokeweight=".5pt">
                <v:textbox inset="0,0,0,0">
                  <w:txbxContent>
                    <w:p w14:paraId="5A3ED7F2" w14:textId="77777777" w:rsidR="00474DFB" w:rsidRDefault="00474DFB" w:rsidP="0066522E">
                      <w:pPr>
                        <w:pStyle w:val="af1"/>
                        <w:kinsoku w:val="0"/>
                        <w:overflowPunct w:val="0"/>
                        <w:spacing w:before="0" w:beforeAutospacing="0" w:after="0" w:afterAutospacing="0"/>
                        <w:jc w:val="center"/>
                        <w:textAlignment w:val="baseline"/>
                      </w:pPr>
                      <w:r>
                        <w:rPr>
                          <w:rFonts w:ascii="Times New Roman" w:eastAsiaTheme="minorEastAsia" w:hAnsi="Times New Roman" w:cs="Times New Roman"/>
                          <w:color w:val="000000" w:themeColor="text1"/>
                          <w:kern w:val="24"/>
                          <w:sz w:val="16"/>
                          <w:szCs w:val="16"/>
                        </w:rPr>
                        <w:t>A</w:t>
                      </w:r>
                    </w:p>
                    <w:p w14:paraId="37EF456B" w14:textId="77777777" w:rsidR="00474DFB" w:rsidRDefault="00474DFB" w:rsidP="0066522E">
                      <w:pPr>
                        <w:pStyle w:val="af1"/>
                        <w:kinsoku w:val="0"/>
                        <w:overflowPunct w:val="0"/>
                        <w:spacing w:before="0" w:beforeAutospacing="0" w:after="0" w:afterAutospacing="0"/>
                        <w:jc w:val="center"/>
                        <w:textAlignment w:val="baseline"/>
                      </w:pPr>
                      <w:r>
                        <w:rPr>
                          <w:rFonts w:ascii="Times New Roman" w:eastAsia="Times New Roman" w:hAnsi="Times New Roman" w:cs="Times New Roman"/>
                          <w:color w:val="000000" w:themeColor="text1"/>
                          <w:kern w:val="24"/>
                          <w:sz w:val="16"/>
                          <w:szCs w:val="16"/>
                          <w:lang w:val="bg-BG"/>
                        </w:rPr>
                        <w:t>Р</w:t>
                      </w:r>
                    </w:p>
                  </w:txbxContent>
                </v:textbox>
              </v:shape>
            </w:pict>
          </mc:Fallback>
        </mc:AlternateContent>
      </w:r>
      <w:r w:rsidR="0066522E">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45" behindDoc="0" locked="0" layoutInCell="1" allowOverlap="1" wp14:anchorId="1776C476" wp14:editId="425BB06B">
                <wp:simplePos x="0" y="0"/>
                <wp:positionH relativeFrom="column">
                  <wp:posOffset>399001</wp:posOffset>
                </wp:positionH>
                <wp:positionV relativeFrom="paragraph">
                  <wp:posOffset>18663</wp:posOffset>
                </wp:positionV>
                <wp:extent cx="224790" cy="3180522"/>
                <wp:effectExtent l="0" t="0" r="3810" b="1270"/>
                <wp:wrapNone/>
                <wp:docPr id="1045" name="Text Box 1045"/>
                <wp:cNvGraphicFramePr/>
                <a:graphic xmlns:a="http://schemas.openxmlformats.org/drawingml/2006/main">
                  <a:graphicData uri="http://schemas.microsoft.com/office/word/2010/wordprocessingShape">
                    <wps:wsp>
                      <wps:cNvSpPr txBox="1"/>
                      <wps:spPr>
                        <a:xfrm>
                          <a:off x="0" y="0"/>
                          <a:ext cx="224790" cy="318052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1DCFCD" w14:textId="77777777" w:rsidR="00474DFB" w:rsidRDefault="00474DFB" w:rsidP="0066522E">
                            <w:pPr>
                              <w:jc w:val="right"/>
                              <w:rPr>
                                <w:rFonts w:asciiTheme="majorBidi" w:hAnsiTheme="majorBidi" w:cstheme="majorBidi"/>
                                <w:sz w:val="18"/>
                                <w:szCs w:val="18"/>
                              </w:rPr>
                            </w:pPr>
                            <w:r>
                              <w:rPr>
                                <w:rFonts w:ascii="Times New Roman" w:eastAsia="Times New Roman" w:hAnsi="Times New Roman" w:cs="Times New Roman"/>
                                <w:sz w:val="18"/>
                                <w:szCs w:val="18"/>
                                <w:lang w:val="sl-SI"/>
                              </w:rPr>
                              <w:t>1,0</w:t>
                            </w:r>
                          </w:p>
                          <w:p w14:paraId="16B9CADC" w14:textId="77777777" w:rsidR="00474DFB" w:rsidRDefault="00474DFB" w:rsidP="0066522E">
                            <w:pPr>
                              <w:jc w:val="right"/>
                              <w:rPr>
                                <w:rFonts w:ascii="Times New Roman" w:eastAsia="Times New Roman" w:hAnsi="Times New Roman" w:cs="Times New Roman"/>
                                <w:sz w:val="18"/>
                                <w:szCs w:val="18"/>
                                <w:lang w:val="sl-SI"/>
                              </w:rPr>
                            </w:pPr>
                          </w:p>
                          <w:p w14:paraId="70A81629" w14:textId="77777777" w:rsidR="00474DFB" w:rsidRDefault="00474DFB" w:rsidP="0066522E">
                            <w:pPr>
                              <w:jc w:val="right"/>
                              <w:rPr>
                                <w:rFonts w:ascii="Times New Roman" w:eastAsia="Times New Roman" w:hAnsi="Times New Roman" w:cs="Times New Roman"/>
                                <w:sz w:val="18"/>
                                <w:szCs w:val="18"/>
                                <w:lang w:val="sl-SI"/>
                              </w:rPr>
                            </w:pPr>
                          </w:p>
                          <w:p w14:paraId="7B672498" w14:textId="77777777" w:rsidR="00474DFB" w:rsidRDefault="00474DFB" w:rsidP="0066522E">
                            <w:pPr>
                              <w:jc w:val="right"/>
                              <w:rPr>
                                <w:rFonts w:ascii="Times New Roman" w:eastAsia="Times New Roman" w:hAnsi="Times New Roman" w:cs="Times New Roman"/>
                                <w:sz w:val="18"/>
                                <w:szCs w:val="18"/>
                                <w:lang w:val="sl-SI"/>
                              </w:rPr>
                            </w:pPr>
                          </w:p>
                          <w:p w14:paraId="3EF3C53E" w14:textId="77777777" w:rsidR="00474DFB" w:rsidRDefault="00474DFB" w:rsidP="0066522E">
                            <w:pPr>
                              <w:jc w:val="right"/>
                              <w:rPr>
                                <w:rFonts w:ascii="Times New Roman" w:eastAsia="Times New Roman" w:hAnsi="Times New Roman" w:cs="Times New Roman"/>
                                <w:sz w:val="18"/>
                                <w:szCs w:val="18"/>
                                <w:lang w:val="sl-SI"/>
                              </w:rPr>
                            </w:pPr>
                          </w:p>
                          <w:p w14:paraId="28E2B643" w14:textId="77777777" w:rsidR="00474DFB" w:rsidRDefault="00474DFB" w:rsidP="0066522E">
                            <w:pPr>
                              <w:jc w:val="right"/>
                              <w:rPr>
                                <w:rFonts w:asciiTheme="majorBidi" w:hAnsiTheme="majorBidi" w:cstheme="majorBidi"/>
                                <w:sz w:val="18"/>
                                <w:szCs w:val="18"/>
                              </w:rPr>
                            </w:pPr>
                            <w:r>
                              <w:rPr>
                                <w:rFonts w:ascii="Times New Roman" w:eastAsia="Times New Roman" w:hAnsi="Times New Roman" w:cs="Times New Roman"/>
                                <w:sz w:val="18"/>
                                <w:szCs w:val="18"/>
                                <w:lang w:val="sl-SI"/>
                              </w:rPr>
                              <w:t>0,8</w:t>
                            </w:r>
                          </w:p>
                          <w:p w14:paraId="1C7700E8" w14:textId="77777777" w:rsidR="00474DFB" w:rsidRDefault="00474DFB" w:rsidP="0066522E">
                            <w:pPr>
                              <w:jc w:val="right"/>
                              <w:rPr>
                                <w:rFonts w:ascii="Times New Roman" w:eastAsia="Times New Roman" w:hAnsi="Times New Roman" w:cs="Times New Roman"/>
                                <w:sz w:val="18"/>
                                <w:szCs w:val="18"/>
                                <w:lang w:val="sl-SI"/>
                              </w:rPr>
                            </w:pPr>
                          </w:p>
                          <w:p w14:paraId="1C6A9295" w14:textId="77777777" w:rsidR="00474DFB" w:rsidRDefault="00474DFB" w:rsidP="0066522E">
                            <w:pPr>
                              <w:jc w:val="right"/>
                              <w:rPr>
                                <w:rFonts w:ascii="Times New Roman" w:eastAsia="Times New Roman" w:hAnsi="Times New Roman" w:cs="Times New Roman"/>
                                <w:sz w:val="18"/>
                                <w:szCs w:val="18"/>
                                <w:lang w:val="sl-SI"/>
                              </w:rPr>
                            </w:pPr>
                          </w:p>
                          <w:p w14:paraId="3F8630DA" w14:textId="77777777" w:rsidR="00474DFB" w:rsidRDefault="00474DFB" w:rsidP="0066522E">
                            <w:pPr>
                              <w:jc w:val="right"/>
                              <w:rPr>
                                <w:rFonts w:ascii="Times New Roman" w:eastAsia="Times New Roman" w:hAnsi="Times New Roman" w:cs="Times New Roman"/>
                                <w:sz w:val="18"/>
                                <w:szCs w:val="18"/>
                                <w:lang w:val="sl-SI"/>
                              </w:rPr>
                            </w:pPr>
                          </w:p>
                          <w:p w14:paraId="1A0CE30E" w14:textId="77777777" w:rsidR="00474DFB" w:rsidRDefault="00474DFB" w:rsidP="0066522E">
                            <w:pPr>
                              <w:jc w:val="right"/>
                              <w:rPr>
                                <w:rFonts w:ascii="Times New Roman" w:eastAsia="Times New Roman" w:hAnsi="Times New Roman" w:cs="Times New Roman"/>
                                <w:sz w:val="18"/>
                                <w:szCs w:val="18"/>
                                <w:lang w:val="sl-SI"/>
                              </w:rPr>
                            </w:pPr>
                          </w:p>
                          <w:p w14:paraId="7B6F4AFA" w14:textId="77777777" w:rsidR="00474DFB" w:rsidRDefault="00474DFB" w:rsidP="0066522E">
                            <w:pPr>
                              <w:jc w:val="right"/>
                              <w:rPr>
                                <w:rFonts w:asciiTheme="majorBidi" w:hAnsiTheme="majorBidi" w:cstheme="majorBidi"/>
                                <w:sz w:val="18"/>
                                <w:szCs w:val="18"/>
                              </w:rPr>
                            </w:pPr>
                            <w:r>
                              <w:rPr>
                                <w:rFonts w:ascii="Times New Roman" w:eastAsia="Times New Roman" w:hAnsi="Times New Roman" w:cs="Times New Roman"/>
                                <w:sz w:val="18"/>
                                <w:szCs w:val="18"/>
                                <w:lang w:val="sl-SI"/>
                              </w:rPr>
                              <w:t>0,6</w:t>
                            </w:r>
                          </w:p>
                          <w:p w14:paraId="779C502E" w14:textId="77777777" w:rsidR="00474DFB" w:rsidRDefault="00474DFB" w:rsidP="0066522E">
                            <w:pPr>
                              <w:jc w:val="right"/>
                              <w:rPr>
                                <w:rFonts w:ascii="Times New Roman" w:eastAsia="Times New Roman" w:hAnsi="Times New Roman" w:cs="Times New Roman"/>
                                <w:sz w:val="18"/>
                                <w:szCs w:val="18"/>
                                <w:lang w:val="sl-SI"/>
                              </w:rPr>
                            </w:pPr>
                          </w:p>
                          <w:p w14:paraId="42BCDC30" w14:textId="77777777" w:rsidR="00474DFB" w:rsidRDefault="00474DFB" w:rsidP="0066522E">
                            <w:pPr>
                              <w:jc w:val="right"/>
                              <w:rPr>
                                <w:rFonts w:ascii="Times New Roman" w:eastAsia="Times New Roman" w:hAnsi="Times New Roman" w:cs="Times New Roman"/>
                                <w:sz w:val="18"/>
                                <w:szCs w:val="18"/>
                                <w:lang w:val="sl-SI"/>
                              </w:rPr>
                            </w:pPr>
                          </w:p>
                          <w:p w14:paraId="6257F16E" w14:textId="77777777" w:rsidR="00474DFB" w:rsidRDefault="00474DFB" w:rsidP="0066522E">
                            <w:pPr>
                              <w:jc w:val="right"/>
                              <w:rPr>
                                <w:rFonts w:ascii="Times New Roman" w:eastAsia="Times New Roman" w:hAnsi="Times New Roman" w:cs="Times New Roman"/>
                                <w:sz w:val="18"/>
                                <w:szCs w:val="18"/>
                                <w:lang w:val="sl-SI"/>
                              </w:rPr>
                            </w:pPr>
                          </w:p>
                          <w:p w14:paraId="62D5FA8D" w14:textId="77777777" w:rsidR="00474DFB" w:rsidRDefault="00474DFB" w:rsidP="0066522E">
                            <w:pPr>
                              <w:jc w:val="right"/>
                              <w:rPr>
                                <w:rFonts w:asciiTheme="majorBidi" w:hAnsiTheme="majorBidi" w:cstheme="majorBidi"/>
                                <w:sz w:val="18"/>
                                <w:szCs w:val="18"/>
                              </w:rPr>
                            </w:pPr>
                            <w:r>
                              <w:rPr>
                                <w:rFonts w:ascii="Times New Roman" w:eastAsia="Times New Roman" w:hAnsi="Times New Roman" w:cs="Times New Roman"/>
                                <w:sz w:val="18"/>
                                <w:szCs w:val="18"/>
                                <w:lang w:val="sl-SI"/>
                              </w:rPr>
                              <w:t>0,4</w:t>
                            </w:r>
                          </w:p>
                          <w:p w14:paraId="45F9DB26" w14:textId="77777777" w:rsidR="00474DFB" w:rsidRDefault="00474DFB" w:rsidP="0066522E">
                            <w:pPr>
                              <w:jc w:val="right"/>
                              <w:rPr>
                                <w:rFonts w:ascii="Times New Roman" w:eastAsia="Times New Roman" w:hAnsi="Times New Roman" w:cs="Times New Roman"/>
                                <w:sz w:val="18"/>
                                <w:szCs w:val="18"/>
                                <w:lang w:val="sl-SI"/>
                              </w:rPr>
                            </w:pPr>
                          </w:p>
                          <w:p w14:paraId="1D59182C" w14:textId="77777777" w:rsidR="00474DFB" w:rsidRDefault="00474DFB" w:rsidP="0066522E">
                            <w:pPr>
                              <w:jc w:val="right"/>
                              <w:rPr>
                                <w:rFonts w:ascii="Times New Roman" w:eastAsia="Times New Roman" w:hAnsi="Times New Roman" w:cs="Times New Roman"/>
                                <w:sz w:val="18"/>
                                <w:szCs w:val="18"/>
                                <w:lang w:val="sl-SI"/>
                              </w:rPr>
                            </w:pPr>
                          </w:p>
                          <w:p w14:paraId="7E0121E1" w14:textId="77777777" w:rsidR="00474DFB" w:rsidRDefault="00474DFB" w:rsidP="0066522E">
                            <w:pPr>
                              <w:jc w:val="right"/>
                              <w:rPr>
                                <w:rFonts w:ascii="Times New Roman" w:eastAsia="Times New Roman" w:hAnsi="Times New Roman" w:cs="Times New Roman"/>
                                <w:sz w:val="18"/>
                                <w:szCs w:val="18"/>
                                <w:lang w:val="sl-SI"/>
                              </w:rPr>
                            </w:pPr>
                          </w:p>
                          <w:p w14:paraId="0C7DA309" w14:textId="77777777" w:rsidR="00474DFB" w:rsidRDefault="00474DFB" w:rsidP="0066522E">
                            <w:pPr>
                              <w:jc w:val="right"/>
                              <w:rPr>
                                <w:rFonts w:ascii="Times New Roman" w:eastAsia="Times New Roman" w:hAnsi="Times New Roman" w:cs="Times New Roman"/>
                                <w:sz w:val="18"/>
                                <w:szCs w:val="18"/>
                                <w:lang w:val="sl-SI"/>
                              </w:rPr>
                            </w:pPr>
                          </w:p>
                          <w:p w14:paraId="4AE45222" w14:textId="77777777" w:rsidR="00474DFB" w:rsidRDefault="00474DFB" w:rsidP="0066522E">
                            <w:pPr>
                              <w:jc w:val="right"/>
                              <w:rPr>
                                <w:rFonts w:asciiTheme="majorBidi" w:hAnsiTheme="majorBidi" w:cstheme="majorBidi"/>
                                <w:sz w:val="18"/>
                                <w:szCs w:val="18"/>
                              </w:rPr>
                            </w:pPr>
                            <w:r>
                              <w:rPr>
                                <w:rFonts w:ascii="Times New Roman" w:eastAsia="Times New Roman" w:hAnsi="Times New Roman" w:cs="Times New Roman"/>
                                <w:sz w:val="18"/>
                                <w:szCs w:val="18"/>
                                <w:lang w:val="sl-SI"/>
                              </w:rPr>
                              <w:t>0.2</w:t>
                            </w:r>
                          </w:p>
                          <w:p w14:paraId="342FAF3B" w14:textId="77777777" w:rsidR="00474DFB" w:rsidRDefault="00474DFB" w:rsidP="0066522E">
                            <w:pPr>
                              <w:jc w:val="right"/>
                              <w:rPr>
                                <w:rFonts w:ascii="Times New Roman" w:eastAsia="Times New Roman" w:hAnsi="Times New Roman" w:cs="Times New Roman"/>
                                <w:sz w:val="18"/>
                                <w:szCs w:val="18"/>
                                <w:lang w:val="sl-SI"/>
                              </w:rPr>
                            </w:pPr>
                          </w:p>
                          <w:p w14:paraId="24622BD9" w14:textId="77777777" w:rsidR="00474DFB" w:rsidRDefault="00474DFB" w:rsidP="0066522E">
                            <w:pPr>
                              <w:jc w:val="right"/>
                              <w:rPr>
                                <w:rFonts w:ascii="Times New Roman" w:eastAsia="Times New Roman" w:hAnsi="Times New Roman" w:cs="Times New Roman"/>
                                <w:sz w:val="18"/>
                                <w:szCs w:val="18"/>
                                <w:lang w:val="sl-SI"/>
                              </w:rPr>
                            </w:pPr>
                          </w:p>
                          <w:p w14:paraId="6538ED43" w14:textId="77777777" w:rsidR="00474DFB" w:rsidRDefault="00474DFB" w:rsidP="0066522E">
                            <w:pPr>
                              <w:jc w:val="right"/>
                              <w:rPr>
                                <w:rFonts w:ascii="Times New Roman" w:eastAsia="Times New Roman" w:hAnsi="Times New Roman" w:cs="Times New Roman"/>
                                <w:sz w:val="18"/>
                                <w:szCs w:val="18"/>
                                <w:lang w:val="sl-SI"/>
                              </w:rPr>
                            </w:pPr>
                          </w:p>
                          <w:p w14:paraId="53F2FD7A" w14:textId="77777777" w:rsidR="00474DFB" w:rsidRDefault="00474DFB" w:rsidP="0066522E">
                            <w:pPr>
                              <w:jc w:val="right"/>
                              <w:rPr>
                                <w:rFonts w:asciiTheme="majorBidi" w:hAnsiTheme="majorBidi" w:cstheme="majorBidi"/>
                                <w:sz w:val="18"/>
                                <w:szCs w:val="18"/>
                              </w:rPr>
                            </w:pPr>
                            <w:r>
                              <w:rPr>
                                <w:rFonts w:ascii="Times New Roman" w:eastAsia="Times New Roman" w:hAnsi="Times New Roman" w:cs="Times New Roman"/>
                                <w:sz w:val="18"/>
                                <w:szCs w:val="18"/>
                                <w:lang w:val="sl-SI"/>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6C476" id="Text Box 1045" o:spid="_x0000_s1048" type="#_x0000_t202" style="position:absolute;left:0;text-align:left;margin-left:31.4pt;margin-top:1.45pt;width:17.7pt;height:250.45pt;z-index:251658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" fillcolor="white [3212]" stroked="f" strokeweight=".5pt">
                <v:textbox inset="0,0,0,0">
                  <w:txbxContent>
                    <w:p w14:paraId="541DCFCD" w14:textId="77777777" w:rsidR="00474DFB" w:rsidRDefault="00474DFB" w:rsidP="0066522E">
                      <w:pPr>
                        <w:jc w:val="right"/>
                        <w:rPr>
                          <w:rFonts w:asciiTheme="majorBidi" w:hAnsiTheme="majorBidi" w:cstheme="majorBidi"/>
                          <w:sz w:val="18"/>
                          <w:szCs w:val="18"/>
                        </w:rPr>
                      </w:pPr>
                      <w:r>
                        <w:rPr>
                          <w:rFonts w:ascii="Times New Roman" w:eastAsia="Times New Roman" w:hAnsi="Times New Roman" w:cs="Times New Roman"/>
                          <w:sz w:val="18"/>
                          <w:szCs w:val="18"/>
                          <w:lang w:val="sl-SI"/>
                        </w:rPr>
                        <w:t>1,0</w:t>
                      </w:r>
                    </w:p>
                    <w:p w14:paraId="16B9CADC" w14:textId="77777777" w:rsidR="00474DFB" w:rsidRDefault="00474DFB" w:rsidP="0066522E">
                      <w:pPr>
                        <w:jc w:val="right"/>
                        <w:rPr>
                          <w:rFonts w:ascii="Times New Roman" w:eastAsia="Times New Roman" w:hAnsi="Times New Roman" w:cs="Times New Roman"/>
                          <w:sz w:val="18"/>
                          <w:szCs w:val="18"/>
                          <w:lang w:val="sl-SI"/>
                        </w:rPr>
                      </w:pPr>
                    </w:p>
                    <w:p w14:paraId="70A81629" w14:textId="77777777" w:rsidR="00474DFB" w:rsidRDefault="00474DFB" w:rsidP="0066522E">
                      <w:pPr>
                        <w:jc w:val="right"/>
                        <w:rPr>
                          <w:rFonts w:ascii="Times New Roman" w:eastAsia="Times New Roman" w:hAnsi="Times New Roman" w:cs="Times New Roman"/>
                          <w:sz w:val="18"/>
                          <w:szCs w:val="18"/>
                          <w:lang w:val="sl-SI"/>
                        </w:rPr>
                      </w:pPr>
                    </w:p>
                    <w:p w14:paraId="7B672498" w14:textId="77777777" w:rsidR="00474DFB" w:rsidRDefault="00474DFB" w:rsidP="0066522E">
                      <w:pPr>
                        <w:jc w:val="right"/>
                        <w:rPr>
                          <w:rFonts w:ascii="Times New Roman" w:eastAsia="Times New Roman" w:hAnsi="Times New Roman" w:cs="Times New Roman"/>
                          <w:sz w:val="18"/>
                          <w:szCs w:val="18"/>
                          <w:lang w:val="sl-SI"/>
                        </w:rPr>
                      </w:pPr>
                    </w:p>
                    <w:p w14:paraId="3EF3C53E" w14:textId="77777777" w:rsidR="00474DFB" w:rsidRDefault="00474DFB" w:rsidP="0066522E">
                      <w:pPr>
                        <w:jc w:val="right"/>
                        <w:rPr>
                          <w:rFonts w:ascii="Times New Roman" w:eastAsia="Times New Roman" w:hAnsi="Times New Roman" w:cs="Times New Roman"/>
                          <w:sz w:val="18"/>
                          <w:szCs w:val="18"/>
                          <w:lang w:val="sl-SI"/>
                        </w:rPr>
                      </w:pPr>
                    </w:p>
                    <w:p w14:paraId="28E2B643" w14:textId="77777777" w:rsidR="00474DFB" w:rsidRDefault="00474DFB" w:rsidP="0066522E">
                      <w:pPr>
                        <w:jc w:val="right"/>
                        <w:rPr>
                          <w:rFonts w:asciiTheme="majorBidi" w:hAnsiTheme="majorBidi" w:cstheme="majorBidi"/>
                          <w:sz w:val="18"/>
                          <w:szCs w:val="18"/>
                        </w:rPr>
                      </w:pPr>
                      <w:r>
                        <w:rPr>
                          <w:rFonts w:ascii="Times New Roman" w:eastAsia="Times New Roman" w:hAnsi="Times New Roman" w:cs="Times New Roman"/>
                          <w:sz w:val="18"/>
                          <w:szCs w:val="18"/>
                          <w:lang w:val="sl-SI"/>
                        </w:rPr>
                        <w:t>0,8</w:t>
                      </w:r>
                    </w:p>
                    <w:p w14:paraId="1C7700E8" w14:textId="77777777" w:rsidR="00474DFB" w:rsidRDefault="00474DFB" w:rsidP="0066522E">
                      <w:pPr>
                        <w:jc w:val="right"/>
                        <w:rPr>
                          <w:rFonts w:ascii="Times New Roman" w:eastAsia="Times New Roman" w:hAnsi="Times New Roman" w:cs="Times New Roman"/>
                          <w:sz w:val="18"/>
                          <w:szCs w:val="18"/>
                          <w:lang w:val="sl-SI"/>
                        </w:rPr>
                      </w:pPr>
                    </w:p>
                    <w:p w14:paraId="1C6A9295" w14:textId="77777777" w:rsidR="00474DFB" w:rsidRDefault="00474DFB" w:rsidP="0066522E">
                      <w:pPr>
                        <w:jc w:val="right"/>
                        <w:rPr>
                          <w:rFonts w:ascii="Times New Roman" w:eastAsia="Times New Roman" w:hAnsi="Times New Roman" w:cs="Times New Roman"/>
                          <w:sz w:val="18"/>
                          <w:szCs w:val="18"/>
                          <w:lang w:val="sl-SI"/>
                        </w:rPr>
                      </w:pPr>
                    </w:p>
                    <w:p w14:paraId="3F8630DA" w14:textId="77777777" w:rsidR="00474DFB" w:rsidRDefault="00474DFB" w:rsidP="0066522E">
                      <w:pPr>
                        <w:jc w:val="right"/>
                        <w:rPr>
                          <w:rFonts w:ascii="Times New Roman" w:eastAsia="Times New Roman" w:hAnsi="Times New Roman" w:cs="Times New Roman"/>
                          <w:sz w:val="18"/>
                          <w:szCs w:val="18"/>
                          <w:lang w:val="sl-SI"/>
                        </w:rPr>
                      </w:pPr>
                    </w:p>
                    <w:p w14:paraId="1A0CE30E" w14:textId="77777777" w:rsidR="00474DFB" w:rsidRDefault="00474DFB" w:rsidP="0066522E">
                      <w:pPr>
                        <w:jc w:val="right"/>
                        <w:rPr>
                          <w:rFonts w:ascii="Times New Roman" w:eastAsia="Times New Roman" w:hAnsi="Times New Roman" w:cs="Times New Roman"/>
                          <w:sz w:val="18"/>
                          <w:szCs w:val="18"/>
                          <w:lang w:val="sl-SI"/>
                        </w:rPr>
                      </w:pPr>
                    </w:p>
                    <w:p w14:paraId="7B6F4AFA" w14:textId="77777777" w:rsidR="00474DFB" w:rsidRDefault="00474DFB" w:rsidP="0066522E">
                      <w:pPr>
                        <w:jc w:val="right"/>
                        <w:rPr>
                          <w:rFonts w:asciiTheme="majorBidi" w:hAnsiTheme="majorBidi" w:cstheme="majorBidi"/>
                          <w:sz w:val="18"/>
                          <w:szCs w:val="18"/>
                        </w:rPr>
                      </w:pPr>
                      <w:r>
                        <w:rPr>
                          <w:rFonts w:ascii="Times New Roman" w:eastAsia="Times New Roman" w:hAnsi="Times New Roman" w:cs="Times New Roman"/>
                          <w:sz w:val="18"/>
                          <w:szCs w:val="18"/>
                          <w:lang w:val="sl-SI"/>
                        </w:rPr>
                        <w:t>0,6</w:t>
                      </w:r>
                    </w:p>
                    <w:p w14:paraId="779C502E" w14:textId="77777777" w:rsidR="00474DFB" w:rsidRDefault="00474DFB" w:rsidP="0066522E">
                      <w:pPr>
                        <w:jc w:val="right"/>
                        <w:rPr>
                          <w:rFonts w:ascii="Times New Roman" w:eastAsia="Times New Roman" w:hAnsi="Times New Roman" w:cs="Times New Roman"/>
                          <w:sz w:val="18"/>
                          <w:szCs w:val="18"/>
                          <w:lang w:val="sl-SI"/>
                        </w:rPr>
                      </w:pPr>
                    </w:p>
                    <w:p w14:paraId="42BCDC30" w14:textId="77777777" w:rsidR="00474DFB" w:rsidRDefault="00474DFB" w:rsidP="0066522E">
                      <w:pPr>
                        <w:jc w:val="right"/>
                        <w:rPr>
                          <w:rFonts w:ascii="Times New Roman" w:eastAsia="Times New Roman" w:hAnsi="Times New Roman" w:cs="Times New Roman"/>
                          <w:sz w:val="18"/>
                          <w:szCs w:val="18"/>
                          <w:lang w:val="sl-SI"/>
                        </w:rPr>
                      </w:pPr>
                    </w:p>
                    <w:p w14:paraId="6257F16E" w14:textId="77777777" w:rsidR="00474DFB" w:rsidRDefault="00474DFB" w:rsidP="0066522E">
                      <w:pPr>
                        <w:jc w:val="right"/>
                        <w:rPr>
                          <w:rFonts w:ascii="Times New Roman" w:eastAsia="Times New Roman" w:hAnsi="Times New Roman" w:cs="Times New Roman"/>
                          <w:sz w:val="18"/>
                          <w:szCs w:val="18"/>
                          <w:lang w:val="sl-SI"/>
                        </w:rPr>
                      </w:pPr>
                    </w:p>
                    <w:p w14:paraId="62D5FA8D" w14:textId="77777777" w:rsidR="00474DFB" w:rsidRDefault="00474DFB" w:rsidP="0066522E">
                      <w:pPr>
                        <w:jc w:val="right"/>
                        <w:rPr>
                          <w:rFonts w:asciiTheme="majorBidi" w:hAnsiTheme="majorBidi" w:cstheme="majorBidi"/>
                          <w:sz w:val="18"/>
                          <w:szCs w:val="18"/>
                        </w:rPr>
                      </w:pPr>
                      <w:r>
                        <w:rPr>
                          <w:rFonts w:ascii="Times New Roman" w:eastAsia="Times New Roman" w:hAnsi="Times New Roman" w:cs="Times New Roman"/>
                          <w:sz w:val="18"/>
                          <w:szCs w:val="18"/>
                          <w:lang w:val="sl-SI"/>
                        </w:rPr>
                        <w:t>0,4</w:t>
                      </w:r>
                    </w:p>
                    <w:p w14:paraId="45F9DB26" w14:textId="77777777" w:rsidR="00474DFB" w:rsidRDefault="00474DFB" w:rsidP="0066522E">
                      <w:pPr>
                        <w:jc w:val="right"/>
                        <w:rPr>
                          <w:rFonts w:ascii="Times New Roman" w:eastAsia="Times New Roman" w:hAnsi="Times New Roman" w:cs="Times New Roman"/>
                          <w:sz w:val="18"/>
                          <w:szCs w:val="18"/>
                          <w:lang w:val="sl-SI"/>
                        </w:rPr>
                      </w:pPr>
                    </w:p>
                    <w:p w14:paraId="1D59182C" w14:textId="77777777" w:rsidR="00474DFB" w:rsidRDefault="00474DFB" w:rsidP="0066522E">
                      <w:pPr>
                        <w:jc w:val="right"/>
                        <w:rPr>
                          <w:rFonts w:ascii="Times New Roman" w:eastAsia="Times New Roman" w:hAnsi="Times New Roman" w:cs="Times New Roman"/>
                          <w:sz w:val="18"/>
                          <w:szCs w:val="18"/>
                          <w:lang w:val="sl-SI"/>
                        </w:rPr>
                      </w:pPr>
                    </w:p>
                    <w:p w14:paraId="7E0121E1" w14:textId="77777777" w:rsidR="00474DFB" w:rsidRDefault="00474DFB" w:rsidP="0066522E">
                      <w:pPr>
                        <w:jc w:val="right"/>
                        <w:rPr>
                          <w:rFonts w:ascii="Times New Roman" w:eastAsia="Times New Roman" w:hAnsi="Times New Roman" w:cs="Times New Roman"/>
                          <w:sz w:val="18"/>
                          <w:szCs w:val="18"/>
                          <w:lang w:val="sl-SI"/>
                        </w:rPr>
                      </w:pPr>
                    </w:p>
                    <w:p w14:paraId="0C7DA309" w14:textId="77777777" w:rsidR="00474DFB" w:rsidRDefault="00474DFB" w:rsidP="0066522E">
                      <w:pPr>
                        <w:jc w:val="right"/>
                        <w:rPr>
                          <w:rFonts w:ascii="Times New Roman" w:eastAsia="Times New Roman" w:hAnsi="Times New Roman" w:cs="Times New Roman"/>
                          <w:sz w:val="18"/>
                          <w:szCs w:val="18"/>
                          <w:lang w:val="sl-SI"/>
                        </w:rPr>
                      </w:pPr>
                    </w:p>
                    <w:p w14:paraId="4AE45222" w14:textId="77777777" w:rsidR="00474DFB" w:rsidRDefault="00474DFB" w:rsidP="0066522E">
                      <w:pPr>
                        <w:jc w:val="right"/>
                        <w:rPr>
                          <w:rFonts w:asciiTheme="majorBidi" w:hAnsiTheme="majorBidi" w:cstheme="majorBidi"/>
                          <w:sz w:val="18"/>
                          <w:szCs w:val="18"/>
                        </w:rPr>
                      </w:pPr>
                      <w:r>
                        <w:rPr>
                          <w:rFonts w:ascii="Times New Roman" w:eastAsia="Times New Roman" w:hAnsi="Times New Roman" w:cs="Times New Roman"/>
                          <w:sz w:val="18"/>
                          <w:szCs w:val="18"/>
                          <w:lang w:val="sl-SI"/>
                        </w:rPr>
                        <w:t>0.2</w:t>
                      </w:r>
                    </w:p>
                    <w:p w14:paraId="342FAF3B" w14:textId="77777777" w:rsidR="00474DFB" w:rsidRDefault="00474DFB" w:rsidP="0066522E">
                      <w:pPr>
                        <w:jc w:val="right"/>
                        <w:rPr>
                          <w:rFonts w:ascii="Times New Roman" w:eastAsia="Times New Roman" w:hAnsi="Times New Roman" w:cs="Times New Roman"/>
                          <w:sz w:val="18"/>
                          <w:szCs w:val="18"/>
                          <w:lang w:val="sl-SI"/>
                        </w:rPr>
                      </w:pPr>
                    </w:p>
                    <w:p w14:paraId="24622BD9" w14:textId="77777777" w:rsidR="00474DFB" w:rsidRDefault="00474DFB" w:rsidP="0066522E">
                      <w:pPr>
                        <w:jc w:val="right"/>
                        <w:rPr>
                          <w:rFonts w:ascii="Times New Roman" w:eastAsia="Times New Roman" w:hAnsi="Times New Roman" w:cs="Times New Roman"/>
                          <w:sz w:val="18"/>
                          <w:szCs w:val="18"/>
                          <w:lang w:val="sl-SI"/>
                        </w:rPr>
                      </w:pPr>
                    </w:p>
                    <w:p w14:paraId="6538ED43" w14:textId="77777777" w:rsidR="00474DFB" w:rsidRDefault="00474DFB" w:rsidP="0066522E">
                      <w:pPr>
                        <w:jc w:val="right"/>
                        <w:rPr>
                          <w:rFonts w:ascii="Times New Roman" w:eastAsia="Times New Roman" w:hAnsi="Times New Roman" w:cs="Times New Roman"/>
                          <w:sz w:val="18"/>
                          <w:szCs w:val="18"/>
                          <w:lang w:val="sl-SI"/>
                        </w:rPr>
                      </w:pPr>
                    </w:p>
                    <w:p w14:paraId="53F2FD7A" w14:textId="77777777" w:rsidR="00474DFB" w:rsidRDefault="00474DFB" w:rsidP="0066522E">
                      <w:pPr>
                        <w:jc w:val="right"/>
                        <w:rPr>
                          <w:rFonts w:asciiTheme="majorBidi" w:hAnsiTheme="majorBidi" w:cstheme="majorBidi"/>
                          <w:sz w:val="18"/>
                          <w:szCs w:val="18"/>
                        </w:rPr>
                      </w:pPr>
                      <w:r>
                        <w:rPr>
                          <w:rFonts w:ascii="Times New Roman" w:eastAsia="Times New Roman" w:hAnsi="Times New Roman" w:cs="Times New Roman"/>
                          <w:sz w:val="18"/>
                          <w:szCs w:val="18"/>
                          <w:lang w:val="sl-SI"/>
                        </w:rPr>
                        <w:t>0,0</w:t>
                      </w:r>
                    </w:p>
                  </w:txbxContent>
                </v:textbox>
              </v:shape>
            </w:pict>
          </mc:Fallback>
        </mc:AlternateContent>
      </w:r>
      <w:r w:rsidR="0066522E">
        <w:rPr>
          <w:rFonts w:eastAsiaTheme="minorHAnsi"/>
          <w:noProof/>
          <w:lang w:eastAsia="ko-KR"/>
        </w:rPr>
        <mc:AlternateContent>
          <mc:Choice Requires="wps">
            <w:drawing>
              <wp:anchor distT="0" distB="0" distL="114300" distR="114300" simplePos="0" relativeHeight="251658344" behindDoc="1" locked="0" layoutInCell="1" allowOverlap="1" wp14:anchorId="35B0F1E2" wp14:editId="603C38F3">
                <wp:simplePos x="0" y="0"/>
                <wp:positionH relativeFrom="page">
                  <wp:posOffset>805218</wp:posOffset>
                </wp:positionH>
                <wp:positionV relativeFrom="paragraph">
                  <wp:posOffset>473938</wp:posOffset>
                </wp:positionV>
                <wp:extent cx="329508" cy="3203594"/>
                <wp:effectExtent l="0" t="0" r="13970" b="15875"/>
                <wp:wrapNone/>
                <wp:docPr id="3897" name="Text Box 3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08" cy="3203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1B2C37" w14:textId="77777777" w:rsidR="00474DFB" w:rsidRDefault="00474DFB" w:rsidP="0066522E">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sl-SI"/>
                              </w:rPr>
                              <w:t>VERJETNOST NEUSPEHA ZDRAVLJENJA</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B0F1E2" id="_x0000_s1049" type="#_x0000_t202" style="position:absolute;left:0;text-align:left;margin-left:63.4pt;margin-top:37.3pt;width:25.95pt;height:252.25pt;z-index:-251658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" filled="f" stroked="f">
                <v:textbox style="layout-flow:vertical;mso-layout-flow-alt:bottom-to-top" inset="0,0,0,0">
                  <w:txbxContent>
                    <w:p w14:paraId="6C1B2C37" w14:textId="77777777" w:rsidR="00474DFB" w:rsidRDefault="00474DFB" w:rsidP="0066522E">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sl-SI"/>
                        </w:rPr>
                        <w:t>VERJETNOST NEUSPEHA ZDRAVLJENJA</w:t>
                      </w:r>
                    </w:p>
                  </w:txbxContent>
                </v:textbox>
                <w10:wrap anchorx="page"/>
              </v:shape>
            </w:pict>
          </mc:Fallback>
        </mc:AlternateContent>
      </w:r>
      <w:r w:rsidR="0066522E">
        <w:rPr>
          <w:noProof/>
          <w:lang w:eastAsia="ko-KR"/>
        </w:rPr>
        <w:drawing>
          <wp:inline distT="0" distB="0" distL="0" distR="0" wp14:anchorId="0161B7EB" wp14:editId="5A10A5A0">
            <wp:extent cx="5460365" cy="3524250"/>
            <wp:effectExtent l="0" t="0" r="6985" b="0"/>
            <wp:docPr id="3909"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0891" name="Picture 29"/>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469105" cy="3529891"/>
                    </a:xfrm>
                    <a:prstGeom prst="rect">
                      <a:avLst/>
                    </a:prstGeom>
                    <a:noFill/>
                    <a:ln>
                      <a:noFill/>
                    </a:ln>
                  </pic:spPr>
                </pic:pic>
              </a:graphicData>
            </a:graphic>
          </wp:inline>
        </w:drawing>
      </w:r>
      <w:r w:rsidR="0066522E" w:rsidRPr="009D4E53">
        <w:rPr>
          <w:noProof/>
          <w:lang w:val="sl-SI" w:eastAsia="ko-KR"/>
        </w:rPr>
        <w:t xml:space="preserve"> </w:t>
      </w:r>
    </w:p>
    <w:p w14:paraId="54207D06" w14:textId="437CE0BD" w:rsidR="0066522E" w:rsidRDefault="0066522E" w:rsidP="0066522E">
      <w:pPr>
        <w:spacing w:before="36"/>
        <w:ind w:left="479"/>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ČAS (TEDNI)</w:t>
      </w:r>
    </w:p>
    <w:p w14:paraId="7D693B4C" w14:textId="77777777" w:rsidR="0066522E" w:rsidRDefault="0066522E" w:rsidP="0066522E">
      <w:pPr>
        <w:pStyle w:val="a3"/>
        <w:rPr>
          <w:lang w:val="sl-SI"/>
        </w:rPr>
      </w:pPr>
      <w:r>
        <w:rPr>
          <w:noProof/>
          <w:lang w:eastAsia="ko-KR"/>
        </w:rPr>
        <w:drawing>
          <wp:anchor distT="0" distB="0" distL="114300" distR="114300" simplePos="0" relativeHeight="251658343" behindDoc="1" locked="0" layoutInCell="1" allowOverlap="1" wp14:anchorId="06662F47" wp14:editId="1930695F">
            <wp:simplePos x="0" y="0"/>
            <wp:positionH relativeFrom="page">
              <wp:posOffset>5091430</wp:posOffset>
            </wp:positionH>
            <wp:positionV relativeFrom="paragraph">
              <wp:posOffset>67310</wp:posOffset>
            </wp:positionV>
            <wp:extent cx="452755" cy="86995"/>
            <wp:effectExtent l="0" t="0" r="0" b="0"/>
            <wp:wrapNone/>
            <wp:docPr id="3910" name="그림 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83341" name="Picture 3874"/>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52755" cy="8699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lang w:val="sl-SI"/>
        </w:rPr>
        <w:t>Zdravljenje</w:t>
      </w:r>
      <w:r>
        <w:rPr>
          <w:rFonts w:eastAsia="Times New Roman"/>
          <w:lang w:val="sl-SI"/>
        </w:rPr>
        <w:tab/>
      </w:r>
      <w:r>
        <w:rPr>
          <w:rFonts w:eastAsia="Times New Roman"/>
          <w:lang w:val="sl-SI"/>
        </w:rPr>
        <w:tab/>
      </w:r>
      <w:r>
        <w:rPr>
          <w:rFonts w:eastAsia="Times New Roman"/>
          <w:lang w:val="sl-SI"/>
        </w:rPr>
        <w:tab/>
      </w:r>
      <w:r>
        <w:rPr>
          <w:rFonts w:eastAsia="Times New Roman"/>
          <w:lang w:val="sl-SI"/>
        </w:rPr>
        <w:tab/>
      </w:r>
      <w:r>
        <w:rPr>
          <w:rFonts w:eastAsia="Times New Roman"/>
          <w:lang w:val="sl-SI"/>
        </w:rPr>
        <w:tab/>
      </w:r>
      <w:r>
        <w:rPr>
          <w:noProof/>
          <w:lang w:eastAsia="ko-KR"/>
        </w:rPr>
        <w:drawing>
          <wp:inline distT="0" distB="0" distL="0" distR="0" wp14:anchorId="71472C4A" wp14:editId="527AF75C">
            <wp:extent cx="457200" cy="127000"/>
            <wp:effectExtent l="0" t="0" r="0" b="0"/>
            <wp:docPr id="3911"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63580" name="Picture 30"/>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 cy="127000"/>
                    </a:xfrm>
                    <a:prstGeom prst="rect">
                      <a:avLst/>
                    </a:prstGeom>
                    <a:noFill/>
                    <a:ln>
                      <a:noFill/>
                    </a:ln>
                  </pic:spPr>
                </pic:pic>
              </a:graphicData>
            </a:graphic>
          </wp:inline>
        </w:drawing>
      </w:r>
      <w:r>
        <w:rPr>
          <w:rFonts w:eastAsia="Times New Roman"/>
          <w:lang w:val="sl-SI"/>
        </w:rPr>
        <w:t xml:space="preserve"> Placebo</w:t>
      </w:r>
      <w:r>
        <w:rPr>
          <w:rFonts w:eastAsia="Times New Roman"/>
          <w:lang w:val="sl-SI"/>
        </w:rPr>
        <w:tab/>
      </w:r>
      <w:r>
        <w:rPr>
          <w:rFonts w:eastAsia="Times New Roman"/>
          <w:lang w:val="sl-SI"/>
        </w:rPr>
        <w:tab/>
        <w:t xml:space="preserve">     Adalimumab</w:t>
      </w:r>
    </w:p>
    <w:p w14:paraId="4914D6EF" w14:textId="77777777" w:rsidR="0066522E" w:rsidRDefault="0066522E" w:rsidP="0066522E">
      <w:pPr>
        <w:pStyle w:val="a3"/>
        <w:rPr>
          <w:lang w:val="sl-SI"/>
        </w:rPr>
      </w:pPr>
      <w:r>
        <w:rPr>
          <w:rFonts w:eastAsia="Times New Roman"/>
          <w:lang w:val="sl-SI"/>
        </w:rPr>
        <w:t>Opomba: P = placebo (število rizičnih preiskovancev); A = adalimumab (število rizičnih preiskovancev).</w:t>
      </w:r>
    </w:p>
    <w:p w14:paraId="3F866046" w14:textId="77777777" w:rsidR="0066522E" w:rsidRDefault="0066522E" w:rsidP="0066522E">
      <w:pPr>
        <w:spacing w:before="16" w:line="240" w:lineRule="exact"/>
        <w:rPr>
          <w:sz w:val="24"/>
          <w:szCs w:val="24"/>
          <w:lang w:val="sl-SI"/>
        </w:rPr>
      </w:pPr>
    </w:p>
    <w:p w14:paraId="212821EB" w14:textId="77777777" w:rsidR="0066522E" w:rsidRDefault="0066522E" w:rsidP="0066522E">
      <w:pPr>
        <w:spacing w:before="16" w:line="240" w:lineRule="exact"/>
        <w:rPr>
          <w:sz w:val="24"/>
          <w:szCs w:val="24"/>
          <w:lang w:val="sl-SI"/>
        </w:rPr>
      </w:pPr>
    </w:p>
    <w:p w14:paraId="2B1F231A" w14:textId="77777777" w:rsidR="00365C5F" w:rsidRPr="00982DE1" w:rsidRDefault="00365C5F" w:rsidP="0066522E">
      <w:pPr>
        <w:spacing w:before="16" w:line="240" w:lineRule="exact"/>
        <w:rPr>
          <w:sz w:val="24"/>
          <w:szCs w:val="24"/>
          <w:lang w:val="sl-SI"/>
        </w:rPr>
      </w:pPr>
    </w:p>
    <w:p w14:paraId="1BA9E899" w14:textId="77777777" w:rsidR="0066522E" w:rsidRDefault="0066522E" w:rsidP="007811C6">
      <w:pPr>
        <w:widowControl/>
        <w:numPr>
          <w:ilvl w:val="1"/>
          <w:numId w:val="147"/>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Farmakokinetične lastnosti</w:t>
      </w:r>
    </w:p>
    <w:p w14:paraId="604D0035" w14:textId="77777777" w:rsidR="0066522E" w:rsidRDefault="0066522E" w:rsidP="0066522E">
      <w:pPr>
        <w:spacing w:before="9" w:line="240" w:lineRule="exact"/>
        <w:rPr>
          <w:sz w:val="24"/>
          <w:szCs w:val="24"/>
          <w:lang w:val="sl-SI"/>
        </w:rPr>
      </w:pPr>
    </w:p>
    <w:p w14:paraId="050DEE2A" w14:textId="77777777" w:rsidR="0066522E" w:rsidRDefault="0066522E" w:rsidP="0066522E">
      <w:pPr>
        <w:pStyle w:val="a3"/>
        <w:rPr>
          <w:u w:val="single"/>
          <w:lang w:val="sl-SI"/>
        </w:rPr>
      </w:pPr>
      <w:r>
        <w:rPr>
          <w:rFonts w:eastAsia="Times New Roman"/>
          <w:u w:val="single" w:color="000000"/>
          <w:lang w:val="sl-SI"/>
        </w:rPr>
        <w:t>Absorpcija in porazdelitev</w:t>
      </w:r>
    </w:p>
    <w:p w14:paraId="02766CDF" w14:textId="77777777" w:rsidR="0066522E" w:rsidRDefault="0066522E" w:rsidP="0066522E">
      <w:pPr>
        <w:spacing w:before="1" w:line="180" w:lineRule="exact"/>
        <w:rPr>
          <w:sz w:val="18"/>
          <w:szCs w:val="18"/>
          <w:lang w:val="sl-SI"/>
        </w:rPr>
      </w:pPr>
    </w:p>
    <w:p w14:paraId="4307A24F" w14:textId="77777777" w:rsidR="0066522E" w:rsidRDefault="0066522E" w:rsidP="0066522E">
      <w:pPr>
        <w:pStyle w:val="a3"/>
        <w:rPr>
          <w:lang w:val="sl-SI"/>
        </w:rPr>
      </w:pPr>
      <w:r>
        <w:rPr>
          <w:rFonts w:eastAsia="Times New Roman"/>
          <w:lang w:val="sl-SI"/>
        </w:rPr>
        <w:t>Po uporabi 24 mg/m</w:t>
      </w:r>
      <w:r>
        <w:rPr>
          <w:rFonts w:eastAsia="Times New Roman"/>
          <w:sz w:val="14"/>
          <w:szCs w:val="14"/>
          <w:lang w:val="sl-SI"/>
        </w:rPr>
        <w:t>2</w:t>
      </w:r>
      <w:r>
        <w:rPr>
          <w:rFonts w:eastAsia="Times New Roman"/>
          <w:lang w:val="sl-SI"/>
        </w:rPr>
        <w:t xml:space="preserve"> (največ 40 mg) subkutano vsak drugi teden pri bolnikih s poliartikularnim juvenilnim idiopatskim artritisom, starih od 4 do 17 let, je bila povprečna najmanjša koncentracija adalimumaba v serumu v stanju dinamičnega ravnovesja (vrednosti merjene od 20. do 48. tedna) med uporabo adalimumaba brez metotreksata 5,6 ± 5,6 µg/ml (koeficient variacije 102 %) in med uporabo z metotreksatom 10,9 ± 5,2 µg/ml (koeficient variacije 47,7 %).</w:t>
      </w:r>
    </w:p>
    <w:p w14:paraId="16EA8CA4" w14:textId="77777777" w:rsidR="0066522E" w:rsidRDefault="0066522E" w:rsidP="0066522E">
      <w:pPr>
        <w:spacing w:before="13" w:line="240" w:lineRule="exact"/>
        <w:rPr>
          <w:sz w:val="24"/>
          <w:szCs w:val="24"/>
          <w:lang w:val="sl-SI"/>
        </w:rPr>
      </w:pPr>
    </w:p>
    <w:p w14:paraId="3F221E2F" w14:textId="77777777" w:rsidR="0066522E" w:rsidRDefault="0066522E" w:rsidP="0066522E">
      <w:pPr>
        <w:pStyle w:val="a3"/>
        <w:rPr>
          <w:lang w:val="sl-SI"/>
        </w:rPr>
      </w:pPr>
      <w:r>
        <w:rPr>
          <w:rFonts w:eastAsia="Times New Roman"/>
          <w:lang w:val="sl-SI"/>
        </w:rPr>
        <w:t>Pri bolnikih s poliartikularnim JIA, starih od 2 do &lt; 4 leta ali starih 4 leta ali več in s telesno maso &lt; 15 kg, ki so prejemali adalimumab v odmerku 24 mg/m</w:t>
      </w:r>
      <w:r>
        <w:rPr>
          <w:rFonts w:eastAsia="Times New Roman"/>
          <w:sz w:val="14"/>
          <w:szCs w:val="14"/>
          <w:lang w:val="sl-SI"/>
        </w:rPr>
        <w:t>2</w:t>
      </w:r>
      <w:r>
        <w:rPr>
          <w:rFonts w:eastAsia="Times New Roman"/>
          <w:lang w:val="sl-SI"/>
        </w:rPr>
        <w:t>, je bila povprečna najmanjša koncentracija adalimumaba v serumu v stanju dinamičnega ravnovesja 6,0 ± 6,1 µg/ml (KV 101 %) med uporabo adalimumaba brez metotreksata in 7,9 ± 5,6 µg/ml (KV 71,2 %) med sočasno uporabo metotreksata.</w:t>
      </w:r>
    </w:p>
    <w:p w14:paraId="1AECCA2B" w14:textId="77777777" w:rsidR="0066522E" w:rsidRDefault="0066522E" w:rsidP="0066522E">
      <w:pPr>
        <w:spacing w:before="6" w:line="240" w:lineRule="exact"/>
        <w:rPr>
          <w:sz w:val="24"/>
          <w:szCs w:val="24"/>
          <w:lang w:val="sl-SI"/>
        </w:rPr>
      </w:pPr>
    </w:p>
    <w:p w14:paraId="091485FA" w14:textId="77777777" w:rsidR="0066522E" w:rsidRDefault="0066522E" w:rsidP="0066522E">
      <w:pPr>
        <w:pStyle w:val="a3"/>
        <w:rPr>
          <w:lang w:val="sl-SI"/>
        </w:rPr>
      </w:pPr>
      <w:r>
        <w:rPr>
          <w:rFonts w:eastAsia="Times New Roman"/>
          <w:lang w:val="sl-SI"/>
        </w:rPr>
        <w:t>Po dajanju 24 mg/m</w:t>
      </w:r>
      <w:r>
        <w:rPr>
          <w:rFonts w:eastAsia="Times New Roman"/>
          <w:sz w:val="14"/>
          <w:szCs w:val="14"/>
          <w:lang w:val="sl-SI"/>
        </w:rPr>
        <w:t>2</w:t>
      </w:r>
      <w:r>
        <w:rPr>
          <w:rFonts w:eastAsia="Times New Roman"/>
          <w:lang w:val="sl-SI"/>
        </w:rPr>
        <w:t xml:space="preserve"> (največ 40 mg) subkutano vsak drugi teden bolnikom z artritisom, povezanim z entezitisom, ki so bili stari od 6 do 17 let, je bila povprečna najmanjša koncentracija adalimumaba v serumu v stanju dinamičnega ravnovesja (vrednost merjena v 24. tednu) 8,8 ± 6,6 μg/ml med uporabo adalimumaba brez metotreksata in 11,8 ± 4,3 μg/ml med sočasno uporabo metotreksata.</w:t>
      </w:r>
    </w:p>
    <w:p w14:paraId="23232B35" w14:textId="77777777" w:rsidR="0066522E" w:rsidRDefault="0066522E" w:rsidP="0066522E">
      <w:pPr>
        <w:spacing w:before="11" w:line="240" w:lineRule="exact"/>
        <w:rPr>
          <w:sz w:val="24"/>
          <w:szCs w:val="24"/>
          <w:lang w:val="sl-SI"/>
        </w:rPr>
      </w:pPr>
    </w:p>
    <w:p w14:paraId="173D51AB" w14:textId="77777777" w:rsidR="0066522E" w:rsidRDefault="0066522E" w:rsidP="0066522E">
      <w:pPr>
        <w:pStyle w:val="a3"/>
        <w:rPr>
          <w:lang w:val="sl-SI"/>
        </w:rPr>
      </w:pPr>
      <w:r>
        <w:rPr>
          <w:rFonts w:eastAsia="Times New Roman"/>
          <w:lang w:val="sl-SI"/>
        </w:rPr>
        <w:t>Po dajanju adalimumaba 0,8 mg/kg (največ 40 mg) subkutano vsak drugi teden pediatričnim bolnikom s kronično psoriazo v plakih, je bila povprečna (± SD) najmanjša koncentracija adalimumaba v stanju dinamičnega ravnovesja približno 7,4 ± 5,8 µg/ml (79 % KV).</w:t>
      </w:r>
    </w:p>
    <w:p w14:paraId="03C11486" w14:textId="77777777" w:rsidR="0066522E" w:rsidRDefault="0066522E" w:rsidP="0066522E">
      <w:pPr>
        <w:spacing w:before="11" w:line="240" w:lineRule="exact"/>
        <w:rPr>
          <w:sz w:val="24"/>
          <w:szCs w:val="24"/>
          <w:lang w:val="sl-SI"/>
        </w:rPr>
      </w:pPr>
    </w:p>
    <w:p w14:paraId="213CFB4C" w14:textId="77777777" w:rsidR="0066522E" w:rsidRDefault="0066522E" w:rsidP="0066522E">
      <w:pPr>
        <w:pStyle w:val="a3"/>
        <w:rPr>
          <w:lang w:val="sl-SI"/>
        </w:rPr>
      </w:pPr>
      <w:r>
        <w:rPr>
          <w:rFonts w:eastAsia="Times New Roman"/>
          <w:lang w:val="sl-SI"/>
        </w:rPr>
        <w:t xml:space="preserve">Pediatrični bolniki z zmerno do hudo Crohnovo boleznijo so odvisno od njihove telesne mase (več ali manj od 40 kg) dobivali odprt začetni odmerek adalimumaba 160/80 mg v 0. tednu in 80/40 mg v 2. tednu. V </w:t>
      </w:r>
      <w:r>
        <w:rPr>
          <w:rFonts w:eastAsia="Times New Roman"/>
          <w:lang w:val="sl-SI"/>
        </w:rPr>
        <w:lastRenderedPageBreak/>
        <w:t>4. tednu so bili bolniki randomizirani 1 : 1 bodisi v skupino s standardnim vzdrževalnim odmerkom (40/20 mg vsak drugi teden) ali v skupino z majhnim vzdrževalnim odmerkom (20/10 mg vsak drugi teden), odvisno od njihove telesne mase. Povprečne (± SD) serumske koncentracije adalimumaba, dosežene v 4. tednu, so bile 15,7 ± 6,6 </w:t>
      </w:r>
      <w:r>
        <w:rPr>
          <w:rFonts w:ascii="Symbol" w:eastAsia="Symbol" w:hAnsi="Symbol" w:cs="Symbol"/>
          <w:lang w:val="sl-SI"/>
        </w:rPr>
        <w:sym w:font="Symbol" w:char="F06D"/>
      </w:r>
      <w:r>
        <w:rPr>
          <w:rFonts w:eastAsia="Times New Roman"/>
          <w:lang w:val="sl-SI"/>
        </w:rPr>
        <w:t>g/ml pri bolnikih ≥ 40 kg (160/80 mg) in 10,6 ± 6,1 </w:t>
      </w:r>
      <w:r>
        <w:rPr>
          <w:rFonts w:ascii="Symbol" w:eastAsia="Symbol" w:hAnsi="Symbol" w:cs="Symbol"/>
          <w:lang w:val="sl-SI"/>
        </w:rPr>
        <w:sym w:font="Symbol" w:char="F06D"/>
      </w:r>
      <w:r>
        <w:rPr>
          <w:rFonts w:eastAsia="Times New Roman"/>
          <w:lang w:val="sl-SI"/>
        </w:rPr>
        <w:t>g/ml pri bolnikih &lt; 40 kg (80/40 mg).</w:t>
      </w:r>
    </w:p>
    <w:p w14:paraId="3B81694D" w14:textId="77777777" w:rsidR="0066522E" w:rsidRDefault="0066522E" w:rsidP="0066522E">
      <w:pPr>
        <w:spacing w:before="7" w:line="240" w:lineRule="exact"/>
        <w:rPr>
          <w:sz w:val="24"/>
          <w:szCs w:val="24"/>
          <w:lang w:val="sl-SI"/>
        </w:rPr>
      </w:pPr>
    </w:p>
    <w:p w14:paraId="6EB18EE1" w14:textId="77777777" w:rsidR="0066522E" w:rsidRDefault="0066522E" w:rsidP="0066522E">
      <w:pPr>
        <w:pStyle w:val="a3"/>
        <w:rPr>
          <w:lang w:val="sl-SI"/>
        </w:rPr>
      </w:pPr>
      <w:r>
        <w:rPr>
          <w:rFonts w:eastAsia="Times New Roman"/>
          <w:lang w:val="sl-SI"/>
        </w:rPr>
        <w:t>Pri bolnikih, ki so ostali na svoji randomizirani terapiji, so bile povprečne najmanjše koncentracije adalimumaba v 52. tednu 9,5 ± 5,6 </w:t>
      </w:r>
      <w:r>
        <w:rPr>
          <w:rFonts w:ascii="Symbol" w:eastAsia="Symbol" w:hAnsi="Symbol" w:cs="Symbol"/>
          <w:lang w:val="sl-SI"/>
        </w:rPr>
        <w:sym w:font="Symbol" w:char="F06D"/>
      </w:r>
      <w:r>
        <w:rPr>
          <w:rFonts w:eastAsia="Times New Roman"/>
          <w:lang w:val="sl-SI"/>
        </w:rPr>
        <w:t>g/ml v skupini s standardnim odmerkom in 3,5 ± 2,2 </w:t>
      </w:r>
      <w:r>
        <w:rPr>
          <w:rFonts w:ascii="Symbol" w:eastAsia="Symbol" w:hAnsi="Symbol" w:cs="Symbol"/>
          <w:lang w:val="sl-SI"/>
        </w:rPr>
        <w:sym w:font="Symbol" w:char="F06D"/>
      </w:r>
      <w:r>
        <w:rPr>
          <w:rFonts w:eastAsia="Times New Roman"/>
          <w:lang w:val="sl-SI"/>
        </w:rPr>
        <w:t>g/ml v skupini z majhnim odmerkom. Povprečne najmanjše koncentracije so se pri bolnikih, ki so 52 tednov še naprej prejemali zdravljenje z adalimumabom vsak drugi teden, ohranile. Pri bolnikih, ki so prešli iz režima vsak drugi teden na režim vsak teden, so bile povprečne (± SD) serumske koncentracije adalimumaba v 52. tednu 15,3 ± 11,4 μg/ml (40/20 mg, tedensko) in 6,7 ± 3,5 μg/ml (20/10 mg, tedensko).</w:t>
      </w:r>
    </w:p>
    <w:p w14:paraId="78149038" w14:textId="77777777" w:rsidR="0066522E" w:rsidRDefault="0066522E" w:rsidP="0066522E">
      <w:pPr>
        <w:spacing w:before="13" w:line="240" w:lineRule="exact"/>
        <w:rPr>
          <w:sz w:val="24"/>
          <w:szCs w:val="24"/>
          <w:lang w:val="sl-SI"/>
        </w:rPr>
      </w:pPr>
    </w:p>
    <w:p w14:paraId="47EDA4E3" w14:textId="77777777" w:rsidR="0066522E" w:rsidRDefault="0066522E" w:rsidP="0066522E">
      <w:pPr>
        <w:pStyle w:val="a3"/>
        <w:rPr>
          <w:lang w:val="sl-SI"/>
        </w:rPr>
      </w:pPr>
      <w:r>
        <w:rPr>
          <w:rFonts w:eastAsia="Times New Roman"/>
          <w:lang w:val="sl-SI"/>
        </w:rPr>
        <w:t>Izpostavljenost adalimumabu pri pediatričnih bolnikih z uveitisom je bila napovedana z uporabo populacijskega farmakokinetičnega modeliranja in simulacije, ki temelji na farmakokinetiki indikacij pri drugih pediatričnih bolnikih (psoriaza pri pediatričnih bolnikih, juvenilni idiopatski artritis, Crohnova bolezen pri pediatričnih bolnikih in artritis, povezan z entezitisom). Klinični podatki o izpostavljenosti pri uporabi polnilnega odmerka pri otrocih, mlajših od 6 let, niso na voljo. Napovedane izpostavljenosti nakazujejo, da lahko polnilni odmerek v odsotnosti metotreksata povzroči začetno povečanje sistemske izpostavljenosti.</w:t>
      </w:r>
    </w:p>
    <w:p w14:paraId="02DB6BB7" w14:textId="77777777" w:rsidR="0066522E" w:rsidRDefault="0066522E" w:rsidP="0066522E">
      <w:pPr>
        <w:spacing w:before="13" w:line="240" w:lineRule="exact"/>
        <w:rPr>
          <w:sz w:val="24"/>
          <w:szCs w:val="24"/>
          <w:lang w:val="sl-SI"/>
        </w:rPr>
      </w:pPr>
    </w:p>
    <w:p w14:paraId="11D1EC49" w14:textId="77777777" w:rsidR="0066522E" w:rsidRDefault="0066522E" w:rsidP="0066522E">
      <w:pPr>
        <w:pStyle w:val="a3"/>
        <w:rPr>
          <w:u w:val="single"/>
          <w:lang w:val="sl-SI"/>
        </w:rPr>
      </w:pPr>
      <w:r w:rsidRPr="00AC7013">
        <w:rPr>
          <w:rFonts w:eastAsia="Times New Roman"/>
          <w:u w:val="single" w:color="000000"/>
          <w:lang w:val="sl-SI"/>
        </w:rPr>
        <w:t>Razmerje</w:t>
      </w:r>
      <w:r>
        <w:rPr>
          <w:rFonts w:eastAsia="Times New Roman"/>
          <w:u w:val="single" w:color="000000"/>
          <w:lang w:val="sl-SI"/>
        </w:rPr>
        <w:t xml:space="preserve"> med izpostavljenostjo in odzivom pri pediatrični populaciji</w:t>
      </w:r>
    </w:p>
    <w:p w14:paraId="3D627247" w14:textId="77777777" w:rsidR="0066522E" w:rsidRDefault="0066522E" w:rsidP="0066522E">
      <w:pPr>
        <w:pStyle w:val="a3"/>
        <w:rPr>
          <w:lang w:val="sl-SI"/>
        </w:rPr>
      </w:pPr>
    </w:p>
    <w:p w14:paraId="04C6EBC2" w14:textId="77777777" w:rsidR="0066522E" w:rsidRDefault="0066522E" w:rsidP="0066522E">
      <w:pPr>
        <w:pStyle w:val="a3"/>
        <w:rPr>
          <w:lang w:val="sl-SI"/>
        </w:rPr>
      </w:pPr>
      <w:r>
        <w:rPr>
          <w:rFonts w:eastAsia="Times New Roman"/>
          <w:lang w:val="sl-SI"/>
        </w:rPr>
        <w:t>Na podlagi podatkov iz kliničnih preskušanj pri bolnikih z juvenilnim idiopatskim artritisom (JIA) (poliartikularnim idiopatskim artritisom (pJIA) in z artritisom, povezanim z entezitisom (ERA)) je bilo dokazano razmerje med izpostavljenostjo in odzivom med plazemskimi koncentracijami in PedACR (PedACR - American College of Rheumatology pediatric) odzivom. Navidezna koncentracija adalimumaba v plazmi, ki doseže polovico največje verjetnosti Ped ACR 50 odziva (EC50) je bila 3 μg/ml (95-% IZ: 1–6 μg/ml).</w:t>
      </w:r>
    </w:p>
    <w:p w14:paraId="5E4F1C69" w14:textId="77777777" w:rsidR="0066522E" w:rsidRDefault="0066522E" w:rsidP="0066522E">
      <w:pPr>
        <w:spacing w:before="13" w:line="240" w:lineRule="exact"/>
        <w:rPr>
          <w:sz w:val="24"/>
          <w:szCs w:val="24"/>
          <w:lang w:val="sl-SI"/>
        </w:rPr>
      </w:pPr>
    </w:p>
    <w:p w14:paraId="1C01C50F" w14:textId="77777777" w:rsidR="0066522E" w:rsidRDefault="0066522E" w:rsidP="0066522E">
      <w:pPr>
        <w:pStyle w:val="a3"/>
        <w:rPr>
          <w:lang w:val="sl-SI"/>
        </w:rPr>
      </w:pPr>
      <w:r>
        <w:rPr>
          <w:rFonts w:eastAsia="Times New Roman"/>
          <w:lang w:val="sl-SI"/>
        </w:rPr>
        <w:t>Razmerji med izpostavljenostjo in odzivom med koncentracijo adalimumaba in učinkovitostjo pri pediatričnih bolnikih s hudo kronično psoriazo v plakih sta bili za PASI 75 (PASI – Psoriasis Area and Severity Index) in za PGA (PGA – Physician's Global Assessment) čisto ali minimalno. PASI 75 in PGA čisto ali minimalno, sta se povečevali z zvečanjem koncentracije adalimumaba, obe s podobno navidezno EC50, za približno 4,5 μg/ml (95-% IZ 0,4–47,6 in 1,9–10,5).</w:t>
      </w:r>
    </w:p>
    <w:p w14:paraId="0AF18CEB" w14:textId="7C653154" w:rsidR="0066522E" w:rsidRDefault="0066522E" w:rsidP="0066522E">
      <w:pPr>
        <w:spacing w:before="13" w:line="240" w:lineRule="exact"/>
        <w:rPr>
          <w:sz w:val="24"/>
          <w:szCs w:val="24"/>
          <w:lang w:val="sl-SI"/>
        </w:rPr>
      </w:pPr>
    </w:p>
    <w:p w14:paraId="15502364" w14:textId="147C3FBB" w:rsidR="00270C6B" w:rsidRPr="007811C6" w:rsidRDefault="00270C6B" w:rsidP="0066522E">
      <w:pPr>
        <w:spacing w:before="13" w:line="240" w:lineRule="exact"/>
        <w:rPr>
          <w:rFonts w:ascii="Times New Roman" w:eastAsia="Times New Roman" w:hAnsi="Times New Roman" w:cs="Times New Roman"/>
          <w:u w:val="single"/>
          <w:lang w:val="sl-SI"/>
        </w:rPr>
      </w:pPr>
      <w:r w:rsidRPr="007811C6">
        <w:rPr>
          <w:rFonts w:ascii="Times New Roman" w:eastAsia="Times New Roman" w:hAnsi="Times New Roman" w:cs="Times New Roman"/>
          <w:u w:val="single"/>
          <w:lang w:val="sl-SI"/>
        </w:rPr>
        <w:t>Odrasli</w:t>
      </w:r>
    </w:p>
    <w:p w14:paraId="6663096B" w14:textId="77777777" w:rsidR="00270C6B" w:rsidRDefault="00270C6B" w:rsidP="0066522E">
      <w:pPr>
        <w:spacing w:before="13" w:line="240" w:lineRule="exact"/>
        <w:rPr>
          <w:sz w:val="24"/>
          <w:szCs w:val="24"/>
          <w:lang w:val="sl-SI"/>
        </w:rPr>
      </w:pPr>
    </w:p>
    <w:p w14:paraId="103E7DB9" w14:textId="77777777" w:rsidR="006B39BF" w:rsidRDefault="006B39BF" w:rsidP="006B39BF">
      <w:pPr>
        <w:pStyle w:val="a3"/>
        <w:rPr>
          <w:lang w:val="sl-SI"/>
        </w:rPr>
      </w:pPr>
      <w:r>
        <w:rPr>
          <w:rFonts w:eastAsia="Times New Roman"/>
          <w:lang w:val="sl-SI"/>
        </w:rPr>
        <w:t>Po subkutani uporabi enega samega 40 mg odmerka sta bili absorpcija in distribucija adalimumaba počasni in največja koncentracija v serumu je bila dosežena približno 5 dni po uporabi. Povprečna absolutna biološka uporabnost adalimumaba, ocenjena iz treh študij po enem 40 mg odmerku subkutano, je 64 %. Po enem samem intravenskem odmerku od 0,25 do 10 mg/kg so bile koncentracije sorazmerne odmerku. Po odmerkih 0,5 mg/kg (~40 mg) je bil očistek od 11 do 15 ml/uro, volumen distribucije (V</w:t>
      </w:r>
      <w:r>
        <w:rPr>
          <w:rFonts w:eastAsia="Times New Roman"/>
          <w:sz w:val="14"/>
          <w:szCs w:val="14"/>
          <w:lang w:val="sl-SI"/>
        </w:rPr>
        <w:t>ss</w:t>
      </w:r>
      <w:r>
        <w:rPr>
          <w:rFonts w:eastAsia="Times New Roman"/>
          <w:lang w:val="sl-SI"/>
        </w:rPr>
        <w:t>) od 5 do 6 litrov in povprečni razpolovni čas terminalne faze približno dva tedna. Koncentracije adalimumaba v sinovijski tekočini več bolnikov z revmatoidnim artritisom so bile od 31 do 96 % tistih v serumu.</w:t>
      </w:r>
    </w:p>
    <w:p w14:paraId="4869E21F" w14:textId="77777777" w:rsidR="006B39BF" w:rsidRDefault="006B39BF" w:rsidP="006B39BF">
      <w:pPr>
        <w:spacing w:before="14" w:line="240" w:lineRule="exact"/>
        <w:rPr>
          <w:sz w:val="24"/>
          <w:szCs w:val="24"/>
          <w:lang w:val="sl-SI"/>
        </w:rPr>
      </w:pPr>
    </w:p>
    <w:p w14:paraId="211496C8" w14:textId="77777777" w:rsidR="006B39BF" w:rsidRDefault="006B39BF" w:rsidP="006B39BF">
      <w:pPr>
        <w:pStyle w:val="a3"/>
        <w:rPr>
          <w:lang w:val="sl-SI"/>
        </w:rPr>
      </w:pPr>
      <w:r>
        <w:rPr>
          <w:rFonts w:eastAsia="Times New Roman"/>
          <w:lang w:val="sl-SI"/>
        </w:rPr>
        <w:t>Po subkutani uporabi 40 mg adalimumaba vsak drugi teden pri odraslih bolnikih z revmatoidnim artritisom (RA) so bile povprečne najmanjše koncentracije v stanju dinamičnega ravnovesja približno 5 </w:t>
      </w:r>
      <w:r>
        <w:rPr>
          <w:rFonts w:ascii="Symbol" w:eastAsia="Symbol" w:hAnsi="Symbol" w:cs="Symbol"/>
          <w:lang w:val="sl-SI"/>
        </w:rPr>
        <w:sym w:font="Symbol" w:char="F06D"/>
      </w:r>
      <w:r>
        <w:rPr>
          <w:rFonts w:eastAsia="Times New Roman"/>
          <w:lang w:val="sl-SI"/>
        </w:rPr>
        <w:t>g/ml (brez sočasne uporabe metotreksata) in od 8 do 9 </w:t>
      </w:r>
      <w:r>
        <w:rPr>
          <w:rFonts w:ascii="Symbol" w:eastAsia="Symbol" w:hAnsi="Symbol" w:cs="Symbol"/>
          <w:lang w:val="sl-SI"/>
        </w:rPr>
        <w:sym w:font="Symbol" w:char="F06D"/>
      </w:r>
      <w:r>
        <w:rPr>
          <w:rFonts w:eastAsia="Times New Roman"/>
          <w:lang w:val="sl-SI"/>
        </w:rPr>
        <w:t>g/ml (s sočasno uporabo metotreksata). Najmanjše koncentracije adalimumaba v serumu v stanju dinamičnega ravnovesja so naraščale približno sorazmerno odmerku po 20, 40 in 80 mg subkutano vsak drugi teden in vsak teden.</w:t>
      </w:r>
    </w:p>
    <w:p w14:paraId="2DE93021" w14:textId="77777777" w:rsidR="006B39BF" w:rsidRDefault="006B39BF" w:rsidP="006B39BF">
      <w:pPr>
        <w:spacing w:before="8" w:line="240" w:lineRule="exact"/>
        <w:rPr>
          <w:sz w:val="24"/>
          <w:szCs w:val="24"/>
          <w:lang w:val="sl-SI"/>
        </w:rPr>
      </w:pPr>
    </w:p>
    <w:p w14:paraId="65E821AD" w14:textId="77777777" w:rsidR="006B39BF" w:rsidRPr="00911EA9" w:rsidRDefault="006B39BF" w:rsidP="006B39BF">
      <w:pPr>
        <w:pStyle w:val="a3"/>
        <w:rPr>
          <w:lang w:val="sl-SI"/>
        </w:rPr>
      </w:pPr>
      <w:r w:rsidRPr="00911EA9">
        <w:rPr>
          <w:rFonts w:eastAsia="Times New Roman"/>
          <w:lang w:val="sl-SI"/>
        </w:rPr>
        <w:t>Pri odraslih bolnikih s psoriazo je bila povprečna najmanjša koncentracija v stanju dinamičnega ravnovesja 5 </w:t>
      </w:r>
      <w:r w:rsidRPr="00911EA9">
        <w:rPr>
          <w:rFonts w:eastAsia="Symbol"/>
          <w:lang w:val="sl-SI"/>
        </w:rPr>
        <w:sym w:font="Symbol" w:char="F06D"/>
      </w:r>
      <w:r w:rsidRPr="00911EA9">
        <w:rPr>
          <w:rFonts w:eastAsia="Times New Roman"/>
          <w:lang w:val="sl-SI"/>
        </w:rPr>
        <w:t>g/ml med monoterapijo z adalimumabom 40 mg vsak drugi teden.</w:t>
      </w:r>
    </w:p>
    <w:p w14:paraId="1560D2D3" w14:textId="77777777" w:rsidR="006B39BF" w:rsidRDefault="006B39BF" w:rsidP="006B39BF">
      <w:pPr>
        <w:spacing w:before="13" w:line="240" w:lineRule="exact"/>
        <w:rPr>
          <w:sz w:val="24"/>
          <w:szCs w:val="24"/>
          <w:lang w:val="sl-SI"/>
        </w:rPr>
      </w:pPr>
    </w:p>
    <w:p w14:paraId="3E84AE7C" w14:textId="77777777" w:rsidR="006B39BF" w:rsidRDefault="006B39BF" w:rsidP="006B39BF">
      <w:pPr>
        <w:pStyle w:val="a3"/>
        <w:rPr>
          <w:lang w:val="sl-SI"/>
        </w:rPr>
      </w:pPr>
      <w:r>
        <w:rPr>
          <w:rFonts w:eastAsia="Times New Roman"/>
          <w:lang w:val="sl-SI"/>
        </w:rPr>
        <w:t>Pri bolnikih s Crohnovo boleznijo doseže polnilni odmerek 80 mg adalimumaba na 0. teden, ki mu sledi 40 mg adalimumaba 2. teden, med obdobjem indukcije najmanjšo koncentracijo v serumu približno 5,5 </w:t>
      </w:r>
      <w:r>
        <w:rPr>
          <w:rFonts w:ascii="Symbol" w:eastAsia="Symbol" w:hAnsi="Symbol" w:cs="Symbol"/>
          <w:lang w:val="sl-SI"/>
        </w:rPr>
        <w:sym w:font="Symbol" w:char="F06D"/>
      </w:r>
      <w:r>
        <w:rPr>
          <w:rFonts w:eastAsia="Times New Roman"/>
          <w:lang w:val="sl-SI"/>
        </w:rPr>
        <w:t>g/ml. Polnilni odmerek 160 mg adalimumaba na 0. teden, ki mu sledi 80 mg adalimumaba 2. teden, doseže med obdobjem indukcije najmanjšo koncentracijo v serumu približno 12 </w:t>
      </w:r>
      <w:r>
        <w:rPr>
          <w:rFonts w:ascii="Symbol" w:eastAsia="Symbol" w:hAnsi="Symbol" w:cs="Symbol"/>
          <w:lang w:val="sl-SI"/>
        </w:rPr>
        <w:sym w:font="Symbol" w:char="F06D"/>
      </w:r>
      <w:r>
        <w:rPr>
          <w:rFonts w:eastAsia="Times New Roman"/>
          <w:lang w:val="sl-SI"/>
        </w:rPr>
        <w:t xml:space="preserve">g/ml. Pri bolnikih s Crohnovo boleznijo, ki so dobivali vzdrževalni odmerek 40 mg adalimumaba vsak drugi teden, so ugotovili </w:t>
      </w:r>
      <w:r>
        <w:rPr>
          <w:lang w:val="sl-SI"/>
        </w:rPr>
        <w:t>najmanjšo</w:t>
      </w:r>
      <w:r w:rsidRPr="0046564D">
        <w:rPr>
          <w:lang w:val="sl-SI"/>
        </w:rPr>
        <w:t xml:space="preserve"> </w:t>
      </w:r>
      <w:r>
        <w:rPr>
          <w:rFonts w:eastAsia="Times New Roman"/>
          <w:lang w:val="sl-SI"/>
        </w:rPr>
        <w:t>koncentracijo v stanju dinamičnega ravnovesja približno 7 </w:t>
      </w:r>
      <w:r>
        <w:rPr>
          <w:rFonts w:ascii="Symbol" w:eastAsia="Symbol" w:hAnsi="Symbol" w:cs="Symbol"/>
          <w:lang w:val="sl-SI"/>
        </w:rPr>
        <w:sym w:font="Symbol" w:char="F06D"/>
      </w:r>
      <w:r>
        <w:rPr>
          <w:rFonts w:eastAsia="Times New Roman"/>
          <w:lang w:val="sl-SI"/>
        </w:rPr>
        <w:t>g/ml.</w:t>
      </w:r>
    </w:p>
    <w:p w14:paraId="0326AFFB" w14:textId="77777777" w:rsidR="006B39BF" w:rsidRPr="007811C6" w:rsidRDefault="006B39BF" w:rsidP="006B39BF">
      <w:pPr>
        <w:spacing w:before="13" w:line="240" w:lineRule="exact"/>
        <w:rPr>
          <w:sz w:val="24"/>
          <w:szCs w:val="24"/>
          <w:lang w:val="sl-SI"/>
        </w:rPr>
      </w:pPr>
    </w:p>
    <w:p w14:paraId="7E39D6FE" w14:textId="77777777" w:rsidR="006B39BF" w:rsidRDefault="006B39BF" w:rsidP="006B39BF">
      <w:pPr>
        <w:pStyle w:val="a3"/>
        <w:rPr>
          <w:lang w:val="sl-SI"/>
        </w:rPr>
      </w:pPr>
      <w:r>
        <w:rPr>
          <w:rFonts w:eastAsia="Times New Roman"/>
          <w:spacing w:val="-2"/>
          <w:lang w:val="sl-SI"/>
        </w:rPr>
        <w:t>Pri odraslih bolnikih z uveitisom je polnilni odmerek 80 mg adalimumaba v 0. tednu, ki mu je sledil odmerek 40 mg adalimumaba vsak drugi teden z začetkom v 1. tednu, povzročil povprečno koncentracijo v stanju dinamičnega ravnovesja približno 8 do 10 </w:t>
      </w:r>
      <w:r>
        <w:rPr>
          <w:rFonts w:ascii="Symbol" w:eastAsia="Symbol" w:hAnsi="Symbol" w:cs="Symbol"/>
          <w:spacing w:val="-2"/>
          <w:lang w:val="sl-SI"/>
        </w:rPr>
        <w:sym w:font="Symbol" w:char="F06D"/>
      </w:r>
      <w:r>
        <w:rPr>
          <w:rFonts w:eastAsia="Times New Roman"/>
          <w:spacing w:val="-2"/>
          <w:lang w:val="sl-SI"/>
        </w:rPr>
        <w:t>g/ml.</w:t>
      </w:r>
    </w:p>
    <w:p w14:paraId="0BF9D1EE" w14:textId="77777777" w:rsidR="006B39BF" w:rsidRPr="007811C6" w:rsidRDefault="006B39BF" w:rsidP="006B39BF">
      <w:pPr>
        <w:spacing w:before="13" w:line="240" w:lineRule="exact"/>
        <w:rPr>
          <w:sz w:val="24"/>
          <w:szCs w:val="24"/>
          <w:lang w:val="sl-SI"/>
        </w:rPr>
      </w:pPr>
    </w:p>
    <w:p w14:paraId="09F7410D" w14:textId="77777777" w:rsidR="006B39BF" w:rsidRDefault="006B39BF" w:rsidP="006B39BF">
      <w:pPr>
        <w:pStyle w:val="a3"/>
        <w:rPr>
          <w:lang w:val="sl-SI"/>
        </w:rPr>
      </w:pPr>
      <w:r>
        <w:rPr>
          <w:rFonts w:eastAsia="Times New Roman"/>
          <w:lang w:val="sl-SI"/>
        </w:rPr>
        <w:t>Populacijsko farmakokinetično in farmakokinetično/farmakodinamično modeliranje in simulacija so za adalimumab napovedali primerljivo izpostavljenost in učinkovitost pri bolnikih, zdravljenih z 80 mg vsak drugi teden v primerjavi s 40 mg vsak teden (vključno z odraslimi bolniki z RA, HS, UC, CD ali Ps, mladostniki s HS in pediatričnimi bolniki ≥ 40 kg s CD</w:t>
      </w:r>
      <w:r>
        <w:rPr>
          <w:lang w:val="sl-SI"/>
        </w:rPr>
        <w:t xml:space="preserve"> in UC</w:t>
      </w:r>
      <w:r>
        <w:rPr>
          <w:rFonts w:eastAsia="Times New Roman"/>
          <w:lang w:val="sl-SI"/>
        </w:rPr>
        <w:t>).</w:t>
      </w:r>
    </w:p>
    <w:p w14:paraId="6D873BEE" w14:textId="77777777" w:rsidR="006B39BF" w:rsidRPr="007811C6" w:rsidRDefault="006B39BF" w:rsidP="006B39BF">
      <w:pPr>
        <w:spacing w:before="13" w:line="240" w:lineRule="exact"/>
        <w:rPr>
          <w:sz w:val="24"/>
          <w:szCs w:val="24"/>
          <w:lang w:val="sl-SI"/>
        </w:rPr>
      </w:pPr>
    </w:p>
    <w:p w14:paraId="6FB7DD3F" w14:textId="77777777" w:rsidR="0066522E" w:rsidRDefault="0066522E" w:rsidP="0066522E">
      <w:pPr>
        <w:pStyle w:val="a3"/>
        <w:rPr>
          <w:u w:val="single"/>
          <w:lang w:val="sl-SI"/>
        </w:rPr>
      </w:pPr>
      <w:r>
        <w:rPr>
          <w:rFonts w:eastAsia="Times New Roman"/>
          <w:u w:val="single" w:color="000000"/>
          <w:lang w:val="sl-SI"/>
        </w:rPr>
        <w:t>Izločanje</w:t>
      </w:r>
    </w:p>
    <w:p w14:paraId="7BAFBDD5" w14:textId="77777777" w:rsidR="0066522E" w:rsidRDefault="0066522E" w:rsidP="0066522E">
      <w:pPr>
        <w:spacing w:before="1" w:line="180" w:lineRule="exact"/>
        <w:rPr>
          <w:sz w:val="18"/>
          <w:szCs w:val="18"/>
          <w:lang w:val="sl-SI"/>
        </w:rPr>
      </w:pPr>
    </w:p>
    <w:p w14:paraId="20128FA3" w14:textId="77777777" w:rsidR="0066522E" w:rsidRDefault="0066522E" w:rsidP="0066522E">
      <w:pPr>
        <w:pStyle w:val="a3"/>
        <w:rPr>
          <w:lang w:val="sl-SI"/>
        </w:rPr>
      </w:pPr>
      <w:r>
        <w:rPr>
          <w:rFonts w:eastAsia="Times New Roman"/>
          <w:lang w:val="sl-SI"/>
        </w:rPr>
        <w:t>Analize populacijske farmakokinetike s podatki za več kot 1300 bolnikov z revmatoidnim artritisom so pokazale trend k večjemu navideznemu očistku adalimumaba z večanjem telesne mase. Po korekciji za razlike v teži se je izkazalo, da spol in starost po vsem sodeč minimalno vplivata na očistek adalimumaba. Ugotovljeno je bilo, da so koncentracije prostega adalimumaba (tistega, ki ni vezan na protitelesa proti adalimumabu) v serumu manjše pri bolnikih, ki imajo merljivo raven protiteles proti adalimumabu.</w:t>
      </w:r>
    </w:p>
    <w:p w14:paraId="031D326A" w14:textId="77777777" w:rsidR="0066522E" w:rsidRDefault="0066522E" w:rsidP="0066522E">
      <w:pPr>
        <w:spacing w:before="13" w:line="240" w:lineRule="exact"/>
        <w:rPr>
          <w:sz w:val="24"/>
          <w:szCs w:val="24"/>
          <w:lang w:val="sl-SI"/>
        </w:rPr>
      </w:pPr>
    </w:p>
    <w:p w14:paraId="1223C9F4" w14:textId="77777777" w:rsidR="0066522E" w:rsidRDefault="0066522E" w:rsidP="0066522E">
      <w:pPr>
        <w:pStyle w:val="a3"/>
        <w:rPr>
          <w:u w:val="single"/>
          <w:lang w:val="sl-SI"/>
        </w:rPr>
      </w:pPr>
      <w:r>
        <w:rPr>
          <w:rFonts w:eastAsia="Times New Roman"/>
          <w:u w:val="single" w:color="000000"/>
          <w:lang w:val="sl-SI"/>
        </w:rPr>
        <w:t>Okvara jeter ali ledvic</w:t>
      </w:r>
    </w:p>
    <w:p w14:paraId="02074706" w14:textId="77777777" w:rsidR="0066522E" w:rsidRDefault="0066522E" w:rsidP="0066522E">
      <w:pPr>
        <w:spacing w:before="1" w:line="180" w:lineRule="exact"/>
        <w:rPr>
          <w:sz w:val="18"/>
          <w:szCs w:val="18"/>
          <w:lang w:val="sl-SI"/>
        </w:rPr>
      </w:pPr>
    </w:p>
    <w:p w14:paraId="6C3C7031" w14:textId="77777777" w:rsidR="0066522E" w:rsidRDefault="0066522E" w:rsidP="0066522E">
      <w:pPr>
        <w:pStyle w:val="a3"/>
        <w:rPr>
          <w:lang w:val="sl-SI"/>
        </w:rPr>
      </w:pPr>
      <w:r>
        <w:rPr>
          <w:rFonts w:eastAsia="Times New Roman"/>
          <w:lang w:val="sl-SI"/>
        </w:rPr>
        <w:t>Adalimumaba niso proučili pri bolnikih z okvaro jeter ali ledvic.</w:t>
      </w:r>
    </w:p>
    <w:p w14:paraId="65A8FECA" w14:textId="77777777" w:rsidR="0066522E" w:rsidRDefault="0066522E" w:rsidP="0066522E">
      <w:pPr>
        <w:spacing w:before="18" w:line="240" w:lineRule="exact"/>
        <w:rPr>
          <w:sz w:val="24"/>
          <w:szCs w:val="24"/>
          <w:lang w:val="sl-SI"/>
        </w:rPr>
      </w:pPr>
    </w:p>
    <w:p w14:paraId="1F436706" w14:textId="77777777" w:rsidR="0066522E" w:rsidRDefault="0066522E" w:rsidP="007811C6">
      <w:pPr>
        <w:widowControl/>
        <w:numPr>
          <w:ilvl w:val="1"/>
          <w:numId w:val="147"/>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Predklinični podatki o varnosti</w:t>
      </w:r>
    </w:p>
    <w:p w14:paraId="77D40A46" w14:textId="77777777" w:rsidR="0066522E" w:rsidRDefault="0066522E" w:rsidP="0066522E">
      <w:pPr>
        <w:spacing w:before="6" w:line="240" w:lineRule="exact"/>
        <w:rPr>
          <w:sz w:val="24"/>
          <w:szCs w:val="24"/>
          <w:lang w:val="sl-SI"/>
        </w:rPr>
      </w:pPr>
    </w:p>
    <w:p w14:paraId="1C9B0902" w14:textId="77777777" w:rsidR="0066522E" w:rsidRDefault="0066522E" w:rsidP="0066522E">
      <w:pPr>
        <w:pStyle w:val="a3"/>
        <w:rPr>
          <w:lang w:val="sl-SI"/>
        </w:rPr>
      </w:pPr>
      <w:r>
        <w:rPr>
          <w:rFonts w:eastAsia="Times New Roman"/>
          <w:lang w:val="sl-SI"/>
        </w:rPr>
        <w:t>Predklinični podatki na osnovi študij toksičnosti posameznih odmerkov, toksičnosti pri ponavljajočih se odmerkih in genotoksičnosti ne kažejo posebnega tveganja za človeka.</w:t>
      </w:r>
    </w:p>
    <w:p w14:paraId="02B542A9" w14:textId="77777777" w:rsidR="0066522E" w:rsidRDefault="0066522E" w:rsidP="0066522E">
      <w:pPr>
        <w:spacing w:before="12" w:line="240" w:lineRule="exact"/>
        <w:rPr>
          <w:sz w:val="24"/>
          <w:szCs w:val="24"/>
          <w:lang w:val="sl-SI"/>
        </w:rPr>
      </w:pPr>
    </w:p>
    <w:p w14:paraId="7ECAF1F5" w14:textId="77777777" w:rsidR="0066522E" w:rsidRDefault="0066522E" w:rsidP="0066522E">
      <w:pPr>
        <w:pStyle w:val="a3"/>
        <w:rPr>
          <w:lang w:val="sl-SI"/>
        </w:rPr>
      </w:pPr>
      <w:r>
        <w:rPr>
          <w:rFonts w:eastAsia="Times New Roman"/>
          <w:lang w:val="sl-SI"/>
        </w:rPr>
        <w:t>Raziskava embrio-fetalne razvojne toksičnosti/perinatalnega razvoja je bila narejena pri opicah Cynomolgus z odmerki 0, 30 in 100 mg/kg (od 9 do 17 opic na skupino) in ni pokazala znakov okvare plodov zaradi adalimumaba. Z adalimumabom niso bile narejene niti raziskave kancerogenosti, niti standardne ocene plodnosti ter poporodne toksičnosti, in sicer zato, ker ni ustreznih modelov za protitelo z omejeno navzkrižno reaktivnostjo z glodalskim TNF, in zaradi nastanka nevtralizirajočih protiteles pri glodalcih.</w:t>
      </w:r>
    </w:p>
    <w:p w14:paraId="4AB1366C" w14:textId="77777777" w:rsidR="0066522E" w:rsidRDefault="0066522E" w:rsidP="0066522E">
      <w:pPr>
        <w:rPr>
          <w:rFonts w:ascii="Times New Roman" w:eastAsia="Times New Roman" w:hAnsi="Times New Roman"/>
          <w:lang w:val="sl-SI"/>
        </w:rPr>
      </w:pPr>
    </w:p>
    <w:p w14:paraId="0B81A5BA" w14:textId="77777777" w:rsidR="0066522E" w:rsidRDefault="0066522E" w:rsidP="0066522E">
      <w:pPr>
        <w:rPr>
          <w:rFonts w:ascii="Times New Roman" w:eastAsia="Times New Roman" w:hAnsi="Times New Roman"/>
          <w:lang w:val="sl-SI"/>
        </w:rPr>
      </w:pPr>
    </w:p>
    <w:p w14:paraId="07BF97E8" w14:textId="77777777" w:rsidR="0066522E" w:rsidRDefault="0066522E" w:rsidP="007811C6">
      <w:pPr>
        <w:widowControl/>
        <w:numPr>
          <w:ilvl w:val="0"/>
          <w:numId w:val="145"/>
        </w:numPr>
        <w:tabs>
          <w:tab w:val="left" w:pos="567"/>
        </w:tabs>
        <w:spacing w:line="260" w:lineRule="exact"/>
        <w:ind w:left="0"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FARMACEVTSKI PODATKI</w:t>
      </w:r>
    </w:p>
    <w:p w14:paraId="5C334FC2" w14:textId="77777777" w:rsidR="0066522E" w:rsidRDefault="0066522E" w:rsidP="0066522E">
      <w:pPr>
        <w:spacing w:before="13" w:line="240" w:lineRule="exact"/>
        <w:rPr>
          <w:sz w:val="24"/>
          <w:szCs w:val="24"/>
          <w:lang w:val="sl-SI"/>
        </w:rPr>
      </w:pPr>
    </w:p>
    <w:p w14:paraId="3787B353" w14:textId="77777777" w:rsidR="0066522E" w:rsidRDefault="0066522E" w:rsidP="007811C6">
      <w:pPr>
        <w:widowControl/>
        <w:numPr>
          <w:ilvl w:val="1"/>
          <w:numId w:val="150"/>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Seznam pomožnih snovi</w:t>
      </w:r>
    </w:p>
    <w:p w14:paraId="6BF73591" w14:textId="77777777" w:rsidR="0066522E" w:rsidRDefault="0066522E" w:rsidP="0066522E">
      <w:pPr>
        <w:spacing w:line="240" w:lineRule="exact"/>
        <w:rPr>
          <w:sz w:val="24"/>
          <w:szCs w:val="24"/>
          <w:lang w:val="sl-SI"/>
        </w:rPr>
      </w:pPr>
    </w:p>
    <w:p w14:paraId="05CEE148" w14:textId="77777777" w:rsidR="0066522E" w:rsidRDefault="0066522E" w:rsidP="0066522E">
      <w:pPr>
        <w:pStyle w:val="a3"/>
        <w:rPr>
          <w:lang w:val="sl-SI"/>
        </w:rPr>
      </w:pPr>
      <w:r>
        <w:rPr>
          <w:rFonts w:eastAsia="Times New Roman"/>
          <w:lang w:val="sl-SI"/>
        </w:rPr>
        <w:t>ocetna kislina</w:t>
      </w:r>
    </w:p>
    <w:p w14:paraId="6CA54652" w14:textId="77777777" w:rsidR="0066522E" w:rsidRDefault="0066522E" w:rsidP="0066522E">
      <w:pPr>
        <w:pStyle w:val="a3"/>
        <w:rPr>
          <w:lang w:val="sl-SI"/>
        </w:rPr>
      </w:pPr>
      <w:r>
        <w:rPr>
          <w:rFonts w:eastAsia="Times New Roman"/>
          <w:lang w:val="sl-SI"/>
        </w:rPr>
        <w:t>natrijev acetat trihidrat</w:t>
      </w:r>
    </w:p>
    <w:p w14:paraId="1B87965A" w14:textId="77777777" w:rsidR="0066522E" w:rsidRDefault="0066522E" w:rsidP="0066522E">
      <w:pPr>
        <w:pStyle w:val="a3"/>
        <w:rPr>
          <w:lang w:val="sl-SI"/>
        </w:rPr>
      </w:pPr>
      <w:r>
        <w:rPr>
          <w:rFonts w:eastAsia="Times New Roman"/>
          <w:lang w:val="sl-SI"/>
        </w:rPr>
        <w:t>glicin</w:t>
      </w:r>
    </w:p>
    <w:p w14:paraId="3B9FB72A" w14:textId="77777777" w:rsidR="0066522E" w:rsidRDefault="0066522E" w:rsidP="0066522E">
      <w:pPr>
        <w:pStyle w:val="a3"/>
        <w:rPr>
          <w:lang w:val="sl-SI"/>
        </w:rPr>
      </w:pPr>
      <w:r>
        <w:rPr>
          <w:rFonts w:eastAsia="Times New Roman"/>
          <w:lang w:val="sl-SI"/>
        </w:rPr>
        <w:t>polisorbat 80</w:t>
      </w:r>
    </w:p>
    <w:p w14:paraId="79429022" w14:textId="77777777" w:rsidR="0066522E" w:rsidRDefault="0066522E" w:rsidP="0066522E">
      <w:pPr>
        <w:pStyle w:val="a3"/>
        <w:rPr>
          <w:lang w:val="sl-SI"/>
        </w:rPr>
      </w:pPr>
      <w:r>
        <w:rPr>
          <w:rFonts w:eastAsia="Times New Roman"/>
          <w:lang w:val="sl-SI"/>
        </w:rPr>
        <w:t>voda za injekcije</w:t>
      </w:r>
    </w:p>
    <w:p w14:paraId="09A06C4E" w14:textId="77777777" w:rsidR="0066522E" w:rsidRDefault="0066522E" w:rsidP="0066522E">
      <w:pPr>
        <w:spacing w:line="240" w:lineRule="exact"/>
        <w:rPr>
          <w:sz w:val="24"/>
          <w:szCs w:val="24"/>
          <w:lang w:val="sl-SI"/>
        </w:rPr>
      </w:pPr>
    </w:p>
    <w:p w14:paraId="6A679ADD" w14:textId="77777777" w:rsidR="0066522E" w:rsidRDefault="0066522E" w:rsidP="007811C6">
      <w:pPr>
        <w:widowControl/>
        <w:numPr>
          <w:ilvl w:val="1"/>
          <w:numId w:val="150"/>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Inkompatibilnosti</w:t>
      </w:r>
    </w:p>
    <w:p w14:paraId="23AD08C6" w14:textId="77777777" w:rsidR="0066522E" w:rsidRDefault="0066522E" w:rsidP="0066522E">
      <w:pPr>
        <w:spacing w:line="240" w:lineRule="exact"/>
        <w:rPr>
          <w:sz w:val="24"/>
          <w:szCs w:val="24"/>
          <w:lang w:val="sl-SI"/>
        </w:rPr>
      </w:pPr>
    </w:p>
    <w:p w14:paraId="40364A67" w14:textId="77777777" w:rsidR="0066522E" w:rsidRDefault="0066522E" w:rsidP="0066522E">
      <w:pPr>
        <w:pStyle w:val="a3"/>
        <w:rPr>
          <w:lang w:val="sl-SI"/>
        </w:rPr>
      </w:pPr>
      <w:r>
        <w:rPr>
          <w:rFonts w:eastAsia="Times New Roman"/>
          <w:lang w:val="sl-SI"/>
        </w:rPr>
        <w:t>V primeru pomanjkanja študij kompatibilnosti zdravila ne smemo mešati z drugimi zdravili.</w:t>
      </w:r>
    </w:p>
    <w:p w14:paraId="7DD12D47" w14:textId="77777777" w:rsidR="0066522E" w:rsidRDefault="0066522E" w:rsidP="0066522E">
      <w:pPr>
        <w:spacing w:line="240" w:lineRule="exact"/>
        <w:rPr>
          <w:sz w:val="24"/>
          <w:szCs w:val="24"/>
          <w:lang w:val="sl-SI"/>
        </w:rPr>
      </w:pPr>
    </w:p>
    <w:p w14:paraId="5CC2F128" w14:textId="77777777" w:rsidR="0066522E" w:rsidRDefault="0066522E" w:rsidP="007811C6">
      <w:pPr>
        <w:widowControl/>
        <w:numPr>
          <w:ilvl w:val="1"/>
          <w:numId w:val="150"/>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lastRenderedPageBreak/>
        <w:t>Rok uporabnosti</w:t>
      </w:r>
    </w:p>
    <w:p w14:paraId="3DAA68D1" w14:textId="77777777" w:rsidR="0066522E" w:rsidRDefault="0066522E" w:rsidP="0066522E">
      <w:pPr>
        <w:spacing w:line="240" w:lineRule="exact"/>
        <w:rPr>
          <w:sz w:val="24"/>
          <w:szCs w:val="24"/>
          <w:lang w:val="sl-SI"/>
        </w:rPr>
      </w:pPr>
    </w:p>
    <w:p w14:paraId="4D83F93C" w14:textId="0910BEED" w:rsidR="0066522E" w:rsidRDefault="009D16C9" w:rsidP="0066522E">
      <w:pPr>
        <w:pStyle w:val="a3"/>
        <w:rPr>
          <w:lang w:val="sl-SI"/>
        </w:rPr>
      </w:pPr>
      <w:r w:rsidRPr="009D16C9">
        <w:rPr>
          <w:rFonts w:eastAsia="Times New Roman"/>
          <w:lang w:val="sl-SI"/>
        </w:rPr>
        <w:t>3 leti</w:t>
      </w:r>
    </w:p>
    <w:p w14:paraId="5AFD4E6F" w14:textId="77777777" w:rsidR="0066522E" w:rsidRDefault="0066522E" w:rsidP="0066522E">
      <w:pPr>
        <w:spacing w:line="240" w:lineRule="exact"/>
        <w:rPr>
          <w:sz w:val="24"/>
          <w:szCs w:val="24"/>
          <w:lang w:val="sl-SI"/>
        </w:rPr>
      </w:pPr>
    </w:p>
    <w:p w14:paraId="42B6D7C8" w14:textId="77777777" w:rsidR="0066522E" w:rsidRDefault="0066522E" w:rsidP="007811C6">
      <w:pPr>
        <w:widowControl/>
        <w:numPr>
          <w:ilvl w:val="1"/>
          <w:numId w:val="150"/>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Posebna navodila za shranjevanje</w:t>
      </w:r>
    </w:p>
    <w:p w14:paraId="7B80FD3A" w14:textId="77777777" w:rsidR="0066522E" w:rsidRDefault="0066522E" w:rsidP="0066522E">
      <w:pPr>
        <w:spacing w:line="260" w:lineRule="exact"/>
        <w:rPr>
          <w:sz w:val="26"/>
          <w:szCs w:val="26"/>
          <w:lang w:val="sl-SI"/>
        </w:rPr>
      </w:pPr>
    </w:p>
    <w:p w14:paraId="1E7F97A7" w14:textId="77777777" w:rsidR="0066522E" w:rsidRDefault="0066522E" w:rsidP="0066522E">
      <w:pPr>
        <w:pStyle w:val="a3"/>
        <w:rPr>
          <w:lang w:val="sl-SI"/>
        </w:rPr>
      </w:pPr>
      <w:r>
        <w:rPr>
          <w:rFonts w:eastAsia="Times New Roman"/>
          <w:lang w:val="sl-SI"/>
        </w:rPr>
        <w:t>Shranjujte v hladilniku (2 </w:t>
      </w:r>
      <w:r>
        <w:rPr>
          <w:rFonts w:ascii="Symbol" w:eastAsia="Symbol" w:hAnsi="Symbol" w:cs="Symbol"/>
          <w:lang w:val="sl-SI"/>
        </w:rPr>
        <w:sym w:font="Symbol" w:char="F0B0"/>
      </w:r>
      <w:r>
        <w:rPr>
          <w:rFonts w:eastAsia="Times New Roman"/>
          <w:lang w:val="sl-SI"/>
        </w:rPr>
        <w:t>C do 8 </w:t>
      </w:r>
      <w:r>
        <w:rPr>
          <w:rFonts w:ascii="Symbol" w:eastAsia="Symbol" w:hAnsi="Symbol" w:cs="Symbol"/>
          <w:lang w:val="sl-SI"/>
        </w:rPr>
        <w:sym w:font="Symbol" w:char="F0B0"/>
      </w:r>
      <w:r>
        <w:rPr>
          <w:rFonts w:eastAsia="Times New Roman"/>
          <w:lang w:val="sl-SI"/>
        </w:rPr>
        <w:t xml:space="preserve">C). Ne zamrzujte. </w:t>
      </w:r>
    </w:p>
    <w:p w14:paraId="1FE9A5A1" w14:textId="1990A09D" w:rsidR="0066522E" w:rsidRDefault="0066522E" w:rsidP="0066522E">
      <w:pPr>
        <w:pStyle w:val="a3"/>
        <w:rPr>
          <w:lang w:val="sl-SI"/>
        </w:rPr>
      </w:pPr>
      <w:r>
        <w:rPr>
          <w:rFonts w:eastAsia="Times New Roman"/>
          <w:lang w:val="sl-SI"/>
        </w:rPr>
        <w:t>Napolnjeno injekcijsko brizgo shranjujte v zunanji ovojnini za zagotovitev zaščite pred svetlobo.</w:t>
      </w:r>
    </w:p>
    <w:p w14:paraId="6183E1A9" w14:textId="77777777" w:rsidR="0066522E" w:rsidRDefault="0066522E" w:rsidP="0066522E">
      <w:pPr>
        <w:spacing w:line="240" w:lineRule="exact"/>
        <w:rPr>
          <w:sz w:val="24"/>
          <w:szCs w:val="24"/>
          <w:lang w:val="sl-SI"/>
        </w:rPr>
      </w:pPr>
    </w:p>
    <w:p w14:paraId="1B74F7E0" w14:textId="131FA7E8" w:rsidR="0066522E" w:rsidRDefault="0066522E" w:rsidP="0066522E">
      <w:pPr>
        <w:pStyle w:val="a3"/>
        <w:rPr>
          <w:lang w:val="sl-SI"/>
        </w:rPr>
      </w:pPr>
      <w:r>
        <w:rPr>
          <w:rFonts w:eastAsia="Times New Roman"/>
          <w:lang w:val="sl-SI"/>
        </w:rPr>
        <w:t>Posamezno napolnjena injekcijska brizga zdravila Yuflyma se lahko shranjuje pri temperaturi največ do 25 °C za obdobje do 31 dni. Napolnjena injekcijska brizga morata biti zaščitena pred svetlobo. Če se ne uporabita v 31 dneh, ju je treba zavreči.</w:t>
      </w:r>
    </w:p>
    <w:p w14:paraId="7155F9EE" w14:textId="77777777" w:rsidR="0066522E" w:rsidRDefault="0066522E" w:rsidP="0066522E">
      <w:pPr>
        <w:spacing w:line="240" w:lineRule="exact"/>
        <w:rPr>
          <w:sz w:val="24"/>
          <w:szCs w:val="24"/>
          <w:lang w:val="sl-SI"/>
        </w:rPr>
      </w:pPr>
    </w:p>
    <w:p w14:paraId="0A620A16" w14:textId="77777777" w:rsidR="0066522E" w:rsidRDefault="0066522E" w:rsidP="007811C6">
      <w:pPr>
        <w:widowControl/>
        <w:numPr>
          <w:ilvl w:val="1"/>
          <w:numId w:val="150"/>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Vrsta ovojnine in vsebina</w:t>
      </w:r>
    </w:p>
    <w:p w14:paraId="6E29B3BF" w14:textId="77777777" w:rsidR="0066522E" w:rsidRDefault="0066522E" w:rsidP="0066522E">
      <w:pPr>
        <w:pStyle w:val="a4"/>
        <w:spacing w:line="240" w:lineRule="exact"/>
        <w:rPr>
          <w:sz w:val="24"/>
          <w:szCs w:val="24"/>
          <w:lang w:val="sl-SI"/>
        </w:rPr>
      </w:pPr>
    </w:p>
    <w:p w14:paraId="50E1AAB6" w14:textId="6F0A695A" w:rsidR="0066522E" w:rsidRDefault="0066522E" w:rsidP="0066522E">
      <w:pPr>
        <w:pStyle w:val="a3"/>
        <w:rPr>
          <w:u w:val="single"/>
          <w:lang w:val="sl-SI"/>
        </w:rPr>
      </w:pPr>
      <w:r>
        <w:rPr>
          <w:rFonts w:eastAsia="Times New Roman"/>
          <w:u w:val="single"/>
          <w:lang w:val="sl-SI"/>
        </w:rPr>
        <w:t xml:space="preserve">Zdravilo Yuflyma </w:t>
      </w:r>
      <w:r w:rsidR="00270C6B">
        <w:rPr>
          <w:rFonts w:eastAsia="Times New Roman"/>
          <w:u w:val="single"/>
          <w:lang w:val="sl-SI"/>
        </w:rPr>
        <w:t>20</w:t>
      </w:r>
      <w:r>
        <w:rPr>
          <w:rFonts w:eastAsia="Times New Roman"/>
          <w:u w:val="single"/>
          <w:lang w:val="sl-SI"/>
        </w:rPr>
        <w:t> mg raztopina za injiciranje v napolnjeni injekcijski brizgi</w:t>
      </w:r>
    </w:p>
    <w:p w14:paraId="7C5ED990" w14:textId="77777777" w:rsidR="0066522E" w:rsidRDefault="0066522E" w:rsidP="0066522E">
      <w:pPr>
        <w:pStyle w:val="a3"/>
        <w:rPr>
          <w:u w:val="single"/>
          <w:lang w:val="sl-SI"/>
        </w:rPr>
      </w:pPr>
    </w:p>
    <w:p w14:paraId="5DCD5429" w14:textId="77777777" w:rsidR="0066522E" w:rsidRDefault="0066522E" w:rsidP="0066522E">
      <w:pPr>
        <w:pStyle w:val="a3"/>
        <w:rPr>
          <w:lang w:val="sl-SI"/>
        </w:rPr>
      </w:pPr>
      <w:r>
        <w:rPr>
          <w:rFonts w:eastAsia="Times New Roman"/>
          <w:lang w:val="sl-SI"/>
        </w:rPr>
        <w:t>Raztopina za injiciranje v napolnjeni injekcijski brizgi (steklo tipa I) z batnim zamaškom (bromobutilna guma) in iglo s ščitnikom za iglo (termoplastični elastomer).</w:t>
      </w:r>
    </w:p>
    <w:p w14:paraId="292283A2" w14:textId="77777777" w:rsidR="0066522E" w:rsidRDefault="0066522E" w:rsidP="0066522E">
      <w:pPr>
        <w:spacing w:line="240" w:lineRule="exact"/>
        <w:rPr>
          <w:sz w:val="24"/>
          <w:szCs w:val="24"/>
          <w:lang w:val="sl-SI"/>
        </w:rPr>
      </w:pPr>
    </w:p>
    <w:p w14:paraId="2C20B66B" w14:textId="77777777" w:rsidR="0066522E" w:rsidRDefault="0066522E" w:rsidP="0066522E">
      <w:pPr>
        <w:pStyle w:val="a3"/>
        <w:rPr>
          <w:lang w:val="sl-SI"/>
        </w:rPr>
      </w:pPr>
      <w:r>
        <w:rPr>
          <w:rFonts w:eastAsia="Times New Roman"/>
          <w:lang w:val="sl-SI"/>
        </w:rPr>
        <w:t>Pakiranja:</w:t>
      </w:r>
    </w:p>
    <w:p w14:paraId="426BFF0F" w14:textId="7FE82B34" w:rsidR="00902803" w:rsidRDefault="00902803" w:rsidP="0066522E">
      <w:pPr>
        <w:pStyle w:val="a3"/>
        <w:numPr>
          <w:ilvl w:val="0"/>
          <w:numId w:val="16"/>
        </w:numPr>
        <w:ind w:left="660" w:hanging="660"/>
        <w:rPr>
          <w:lang w:val="sl-SI"/>
        </w:rPr>
      </w:pPr>
      <w:r>
        <w:rPr>
          <w:rFonts w:hint="eastAsia"/>
          <w:lang w:val="sl-SI" w:eastAsia="ko-KR"/>
        </w:rPr>
        <w:t xml:space="preserve">1 </w:t>
      </w:r>
      <w:r>
        <w:rPr>
          <w:rFonts w:eastAsia="Times New Roman"/>
          <w:lang w:val="sl-SI"/>
        </w:rPr>
        <w:t>napolnjena injekcijska brizga (0,</w:t>
      </w:r>
      <w:r w:rsidR="00400BF9">
        <w:rPr>
          <w:rFonts w:hint="eastAsia"/>
          <w:lang w:val="sl-SI" w:eastAsia="ko-KR"/>
        </w:rPr>
        <w:t>2</w:t>
      </w:r>
      <w:r>
        <w:rPr>
          <w:rFonts w:eastAsia="Times New Roman"/>
          <w:lang w:val="sl-SI"/>
        </w:rPr>
        <w:t xml:space="preserve"> ml sterilne raztopine) </w:t>
      </w:r>
      <w:r w:rsidRPr="00337BB0">
        <w:rPr>
          <w:rFonts w:eastAsia="Times New Roman"/>
          <w:lang w:val="sl-SI"/>
        </w:rPr>
        <w:t>z 2 alkohnima zložencema.</w:t>
      </w:r>
    </w:p>
    <w:p w14:paraId="52846BB4" w14:textId="407939E9" w:rsidR="0066522E" w:rsidRPr="00337BB0" w:rsidRDefault="0066522E" w:rsidP="0066522E">
      <w:pPr>
        <w:pStyle w:val="a3"/>
        <w:numPr>
          <w:ilvl w:val="0"/>
          <w:numId w:val="16"/>
        </w:numPr>
        <w:ind w:left="660" w:hanging="660"/>
        <w:rPr>
          <w:lang w:val="sl-SI"/>
        </w:rPr>
      </w:pPr>
      <w:r w:rsidRPr="00337BB0">
        <w:rPr>
          <w:rFonts w:eastAsia="Times New Roman"/>
          <w:lang w:val="sl-SI"/>
        </w:rPr>
        <w:t>2 napolnjeni injekcijski brizgi (0,</w:t>
      </w:r>
      <w:r w:rsidR="00270C6B">
        <w:rPr>
          <w:rFonts w:eastAsia="Times New Roman"/>
          <w:lang w:val="sl-SI"/>
        </w:rPr>
        <w:t>2</w:t>
      </w:r>
      <w:r w:rsidRPr="00337BB0">
        <w:rPr>
          <w:rFonts w:eastAsia="Times New Roman"/>
          <w:lang w:val="sl-SI"/>
        </w:rPr>
        <w:t xml:space="preserve"> ml sterilne raztopine), </w:t>
      </w:r>
      <w:r w:rsidR="003138FB">
        <w:rPr>
          <w:rFonts w:eastAsia="Times New Roman"/>
          <w:lang w:val="sl-SI"/>
        </w:rPr>
        <w:t xml:space="preserve">z </w:t>
      </w:r>
      <w:r w:rsidR="003138FB" w:rsidRPr="00D14272">
        <w:rPr>
          <w:rFonts w:eastAsia="Times New Roman"/>
          <w:lang w:val="sl-SI"/>
        </w:rPr>
        <w:t>2 alkoholnima zložencema</w:t>
      </w:r>
      <w:r w:rsidRPr="00337BB0">
        <w:rPr>
          <w:rFonts w:eastAsia="Times New Roman"/>
          <w:lang w:val="sl-SI"/>
        </w:rPr>
        <w:t>.</w:t>
      </w:r>
    </w:p>
    <w:p w14:paraId="75D9DA38" w14:textId="77777777" w:rsidR="00902803" w:rsidRPr="00902803" w:rsidRDefault="00902803" w:rsidP="00902803">
      <w:pPr>
        <w:spacing w:before="10" w:line="240" w:lineRule="exact"/>
        <w:rPr>
          <w:sz w:val="24"/>
          <w:szCs w:val="24"/>
          <w:lang w:val="sl-SI"/>
        </w:rPr>
      </w:pPr>
    </w:p>
    <w:p w14:paraId="41959CB1" w14:textId="77777777" w:rsidR="00902803" w:rsidRDefault="00902803" w:rsidP="00A37F89">
      <w:pPr>
        <w:pStyle w:val="a3"/>
        <w:rPr>
          <w:lang w:val="sl-SI"/>
        </w:rPr>
      </w:pPr>
      <w:r w:rsidRPr="00D14272">
        <w:rPr>
          <w:rFonts w:eastAsia="Times New Roman"/>
          <w:lang w:val="sl-SI"/>
        </w:rPr>
        <w:t>Na trgu morda ni vseh navedenih pakiranj.</w:t>
      </w:r>
    </w:p>
    <w:p w14:paraId="1C7E14A7" w14:textId="77777777" w:rsidR="0066522E" w:rsidRDefault="0066522E" w:rsidP="0066522E">
      <w:pPr>
        <w:widowControl/>
        <w:tabs>
          <w:tab w:val="left" w:pos="567"/>
        </w:tabs>
        <w:spacing w:line="260" w:lineRule="exact"/>
        <w:rPr>
          <w:rFonts w:ascii="Times New Roman" w:eastAsia="Times New Roman" w:hAnsi="Times New Roman" w:cs="Times New Roman"/>
          <w:b/>
          <w:noProof/>
          <w:lang w:val="sl-SI"/>
        </w:rPr>
      </w:pPr>
    </w:p>
    <w:p w14:paraId="2BEB0C3B" w14:textId="77777777" w:rsidR="0066522E" w:rsidRDefault="0066522E" w:rsidP="007811C6">
      <w:pPr>
        <w:widowControl/>
        <w:numPr>
          <w:ilvl w:val="1"/>
          <w:numId w:val="150"/>
        </w:numPr>
        <w:tabs>
          <w:tab w:val="left" w:pos="567"/>
        </w:tabs>
        <w:spacing w:line="260" w:lineRule="exact"/>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Posebni varnostni ukrepi za odstranjevanje</w:t>
      </w:r>
    </w:p>
    <w:p w14:paraId="73410ACC" w14:textId="77777777" w:rsidR="0066522E" w:rsidRDefault="0066522E" w:rsidP="0066522E">
      <w:pPr>
        <w:tabs>
          <w:tab w:val="left" w:pos="2267"/>
        </w:tabs>
        <w:spacing w:before="12" w:line="240" w:lineRule="exact"/>
        <w:rPr>
          <w:sz w:val="24"/>
          <w:szCs w:val="24"/>
          <w:lang w:val="sl-SI"/>
        </w:rPr>
      </w:pPr>
      <w:r>
        <w:rPr>
          <w:sz w:val="24"/>
          <w:szCs w:val="24"/>
          <w:lang w:val="sl-SI"/>
        </w:rPr>
        <w:tab/>
      </w:r>
    </w:p>
    <w:p w14:paraId="21482C5F" w14:textId="77777777" w:rsidR="0066522E" w:rsidRDefault="0066522E" w:rsidP="0066522E">
      <w:pPr>
        <w:pStyle w:val="a3"/>
        <w:rPr>
          <w:lang w:val="sl-SI"/>
        </w:rPr>
      </w:pPr>
      <w:r>
        <w:rPr>
          <w:rFonts w:eastAsia="Times New Roman"/>
          <w:lang w:val="sl-SI"/>
        </w:rPr>
        <w:t xml:space="preserve">Neuporabljeno zdravilo ali odpadni material zavrzite v skladu z lokalnimi predpisi. </w:t>
      </w:r>
    </w:p>
    <w:p w14:paraId="68DB0084" w14:textId="77777777" w:rsidR="0066522E" w:rsidRDefault="0066522E" w:rsidP="007811C6">
      <w:pPr>
        <w:widowControl/>
        <w:tabs>
          <w:tab w:val="left" w:pos="567"/>
        </w:tabs>
        <w:spacing w:line="260" w:lineRule="exact"/>
        <w:rPr>
          <w:sz w:val="20"/>
          <w:szCs w:val="20"/>
          <w:lang w:val="sl-SI"/>
        </w:rPr>
      </w:pPr>
    </w:p>
    <w:p w14:paraId="34AFB726" w14:textId="77777777" w:rsidR="0066522E" w:rsidRDefault="0066522E" w:rsidP="0066522E">
      <w:pPr>
        <w:widowControl/>
        <w:tabs>
          <w:tab w:val="left" w:pos="567"/>
        </w:tabs>
        <w:spacing w:line="260" w:lineRule="exact"/>
        <w:rPr>
          <w:rFonts w:ascii="Times New Roman" w:eastAsia="Times New Roman" w:hAnsi="Times New Roman" w:cs="Times New Roman"/>
          <w:b/>
          <w:noProof/>
          <w:lang w:val="sl-SI"/>
        </w:rPr>
      </w:pPr>
    </w:p>
    <w:p w14:paraId="5411F58F" w14:textId="77777777" w:rsidR="0066522E" w:rsidRDefault="0066522E" w:rsidP="007811C6">
      <w:pPr>
        <w:widowControl/>
        <w:numPr>
          <w:ilvl w:val="0"/>
          <w:numId w:val="145"/>
        </w:numPr>
        <w:tabs>
          <w:tab w:val="left" w:pos="567"/>
        </w:tabs>
        <w:spacing w:line="260" w:lineRule="exact"/>
        <w:ind w:left="0"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IMETNIK DOVOLJENJA ZA PROMET Z ZDRAVILOM</w:t>
      </w:r>
    </w:p>
    <w:p w14:paraId="50065719" w14:textId="77777777" w:rsidR="0066522E" w:rsidRDefault="0066522E" w:rsidP="0066522E">
      <w:pPr>
        <w:spacing w:before="12" w:line="240" w:lineRule="exact"/>
        <w:rPr>
          <w:sz w:val="24"/>
          <w:szCs w:val="24"/>
          <w:lang w:val="sl-SI"/>
        </w:rPr>
      </w:pPr>
    </w:p>
    <w:p w14:paraId="1E48465B" w14:textId="77777777" w:rsidR="0066522E" w:rsidRDefault="0066522E" w:rsidP="0066522E">
      <w:pPr>
        <w:pStyle w:val="a3"/>
        <w:rPr>
          <w:lang w:val="sl-SI"/>
        </w:rPr>
      </w:pPr>
      <w:r>
        <w:rPr>
          <w:lang w:val="sl-SI"/>
        </w:rPr>
        <w:t xml:space="preserve">Celltrion Healthcare Hungary Kft. </w:t>
      </w:r>
    </w:p>
    <w:p w14:paraId="55BFD697" w14:textId="77777777" w:rsidR="0066522E" w:rsidRDefault="0066522E" w:rsidP="0066522E">
      <w:pPr>
        <w:pStyle w:val="a3"/>
        <w:rPr>
          <w:lang w:val="sl-SI"/>
        </w:rPr>
      </w:pPr>
      <w:r>
        <w:rPr>
          <w:lang w:val="sl-SI"/>
        </w:rPr>
        <w:t>1062 Budapest</w:t>
      </w:r>
    </w:p>
    <w:p w14:paraId="3B984E46" w14:textId="77777777" w:rsidR="0066522E" w:rsidRDefault="0066522E" w:rsidP="0066522E">
      <w:pPr>
        <w:pStyle w:val="a3"/>
        <w:rPr>
          <w:lang w:val="sl-SI"/>
        </w:rPr>
      </w:pPr>
      <w:r>
        <w:rPr>
          <w:lang w:val="sl-SI"/>
        </w:rPr>
        <w:t>Váci út 1-3. WestEnd Office Building B torony</w:t>
      </w:r>
    </w:p>
    <w:p w14:paraId="5CFFB117" w14:textId="77777777" w:rsidR="0066522E" w:rsidRDefault="0066522E" w:rsidP="0066522E">
      <w:pPr>
        <w:pStyle w:val="a3"/>
        <w:rPr>
          <w:lang w:val="sl-SI"/>
        </w:rPr>
      </w:pPr>
      <w:r>
        <w:rPr>
          <w:rFonts w:eastAsia="Times New Roman"/>
          <w:lang w:val="sl-SI"/>
        </w:rPr>
        <w:t>Madžarska</w:t>
      </w:r>
    </w:p>
    <w:p w14:paraId="58399B24" w14:textId="77777777" w:rsidR="0066522E" w:rsidRDefault="0066522E" w:rsidP="0066522E">
      <w:pPr>
        <w:spacing w:line="200" w:lineRule="exact"/>
        <w:rPr>
          <w:sz w:val="20"/>
          <w:szCs w:val="20"/>
          <w:lang w:val="sl-SI"/>
        </w:rPr>
      </w:pPr>
    </w:p>
    <w:p w14:paraId="3501A179" w14:textId="77777777" w:rsidR="0066522E" w:rsidRDefault="0066522E" w:rsidP="0066522E">
      <w:pPr>
        <w:spacing w:line="200" w:lineRule="exact"/>
        <w:rPr>
          <w:sz w:val="20"/>
          <w:szCs w:val="20"/>
          <w:lang w:val="sl-SI"/>
        </w:rPr>
      </w:pPr>
    </w:p>
    <w:p w14:paraId="1A9C804B" w14:textId="77777777" w:rsidR="0066522E" w:rsidRDefault="0066522E" w:rsidP="007811C6">
      <w:pPr>
        <w:widowControl/>
        <w:numPr>
          <w:ilvl w:val="0"/>
          <w:numId w:val="145"/>
        </w:numPr>
        <w:tabs>
          <w:tab w:val="left" w:pos="567"/>
        </w:tabs>
        <w:spacing w:line="260" w:lineRule="exact"/>
        <w:ind w:left="0"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ŠTEVILKA (ŠTEVILKE) DOVOLJENJA (DOVOLJENJ) ZA PROMET Z ZDRAVILOM</w:t>
      </w:r>
    </w:p>
    <w:p w14:paraId="00F26EDA" w14:textId="77777777" w:rsidR="0066522E" w:rsidRDefault="0066522E" w:rsidP="0066522E">
      <w:pPr>
        <w:spacing w:before="9" w:line="240" w:lineRule="exact"/>
        <w:rPr>
          <w:sz w:val="24"/>
          <w:szCs w:val="24"/>
          <w:lang w:val="sl-SI"/>
        </w:rPr>
      </w:pPr>
    </w:p>
    <w:p w14:paraId="6F935E1C" w14:textId="76301F4D" w:rsidR="0066522E" w:rsidRDefault="0066522E" w:rsidP="0066522E">
      <w:pPr>
        <w:pStyle w:val="a3"/>
        <w:rPr>
          <w:u w:val="single"/>
          <w:lang w:val="sl-SI"/>
        </w:rPr>
      </w:pPr>
      <w:r>
        <w:rPr>
          <w:rFonts w:eastAsia="Times New Roman"/>
          <w:u w:val="single" w:color="000000"/>
          <w:lang w:val="sl-SI"/>
        </w:rPr>
        <w:t xml:space="preserve">Yuflyma </w:t>
      </w:r>
      <w:r w:rsidR="00270C6B">
        <w:rPr>
          <w:rFonts w:eastAsia="Times New Roman"/>
          <w:u w:val="single" w:color="000000"/>
          <w:lang w:val="sl-SI"/>
        </w:rPr>
        <w:t>20</w:t>
      </w:r>
      <w:r>
        <w:rPr>
          <w:rFonts w:eastAsia="Times New Roman"/>
          <w:u w:val="single" w:color="000000"/>
          <w:lang w:val="sl-SI"/>
        </w:rPr>
        <w:t> mg raztopina za injiciranje v napolnjeni injekcijski brizgi</w:t>
      </w:r>
    </w:p>
    <w:p w14:paraId="038E4BDE" w14:textId="77777777" w:rsidR="0066522E" w:rsidRDefault="0066522E" w:rsidP="0066522E">
      <w:pPr>
        <w:pStyle w:val="a3"/>
        <w:rPr>
          <w:lang w:val="sl-SI"/>
        </w:rPr>
      </w:pPr>
    </w:p>
    <w:p w14:paraId="05012DB0" w14:textId="3CABE3C3" w:rsidR="0066522E" w:rsidRPr="00E9267A" w:rsidRDefault="0066522E" w:rsidP="0066522E">
      <w:pPr>
        <w:pStyle w:val="a3"/>
        <w:rPr>
          <w:lang w:val="sl-SI"/>
        </w:rPr>
      </w:pPr>
      <w:r>
        <w:rPr>
          <w:rFonts w:eastAsia="Times New Roman"/>
          <w:lang w:val="sl-SI"/>
        </w:rPr>
        <w:t>EU/</w:t>
      </w:r>
      <w:r>
        <w:rPr>
          <w:rFonts w:eastAsia="Times New Roman" w:cs="Verdana"/>
          <w:color w:val="000000"/>
          <w:lang w:val="sl-SI"/>
        </w:rPr>
        <w:t>1/20/1513/0</w:t>
      </w:r>
      <w:r w:rsidR="00270C6B">
        <w:rPr>
          <w:rFonts w:eastAsia="Times New Roman" w:cs="Verdana"/>
          <w:color w:val="000000"/>
          <w:lang w:val="sl-SI"/>
        </w:rPr>
        <w:t>17</w:t>
      </w:r>
    </w:p>
    <w:p w14:paraId="02F12159" w14:textId="34D76398" w:rsidR="001E2AF0" w:rsidRPr="00AD4814" w:rsidRDefault="001E2AF0" w:rsidP="0066522E">
      <w:pPr>
        <w:pStyle w:val="a3"/>
        <w:rPr>
          <w:lang w:val="sl-SI" w:eastAsia="ko-KR"/>
        </w:rPr>
      </w:pPr>
      <w:r>
        <w:rPr>
          <w:rFonts w:cs="Verdana" w:hint="eastAsia"/>
          <w:color w:val="000000"/>
          <w:lang w:val="sl-SI" w:eastAsia="ko-KR"/>
        </w:rPr>
        <w:t>EU/1/20/1513/018</w:t>
      </w:r>
    </w:p>
    <w:p w14:paraId="3FB40476" w14:textId="77777777" w:rsidR="0066522E" w:rsidRDefault="0066522E" w:rsidP="0066522E">
      <w:pPr>
        <w:pStyle w:val="a3"/>
        <w:rPr>
          <w:lang w:val="sl-SI"/>
        </w:rPr>
      </w:pPr>
    </w:p>
    <w:p w14:paraId="781C016C" w14:textId="77777777" w:rsidR="0066522E" w:rsidRDefault="0066522E" w:rsidP="0066522E">
      <w:pPr>
        <w:spacing w:line="200" w:lineRule="exact"/>
        <w:rPr>
          <w:sz w:val="20"/>
          <w:szCs w:val="20"/>
          <w:lang w:val="sl-SI"/>
        </w:rPr>
      </w:pPr>
    </w:p>
    <w:p w14:paraId="656F9547" w14:textId="77777777" w:rsidR="0066522E" w:rsidRDefault="0066522E" w:rsidP="007811C6">
      <w:pPr>
        <w:widowControl/>
        <w:numPr>
          <w:ilvl w:val="0"/>
          <w:numId w:val="145"/>
        </w:numPr>
        <w:tabs>
          <w:tab w:val="left" w:pos="567"/>
        </w:tabs>
        <w:spacing w:line="260" w:lineRule="exact"/>
        <w:ind w:left="0"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DATUM PRIDOBITVE/PODALJŠANJA DOVOLJENJA ZA PROMET Z ZDRAVILOM</w:t>
      </w:r>
    </w:p>
    <w:p w14:paraId="04BEA72E" w14:textId="77777777" w:rsidR="0066522E" w:rsidRDefault="0066522E" w:rsidP="0066522E">
      <w:pPr>
        <w:widowControl/>
        <w:tabs>
          <w:tab w:val="left" w:pos="567"/>
        </w:tabs>
        <w:spacing w:line="260" w:lineRule="exact"/>
        <w:rPr>
          <w:rFonts w:ascii="Times New Roman" w:eastAsia="Times New Roman" w:hAnsi="Times New Roman" w:cs="Times New Roman"/>
          <w:b/>
          <w:noProof/>
          <w:lang w:val="sl-SI"/>
        </w:rPr>
      </w:pPr>
    </w:p>
    <w:p w14:paraId="21202FC8" w14:textId="77777777" w:rsidR="0066522E" w:rsidRDefault="0066522E" w:rsidP="0066522E">
      <w:pPr>
        <w:widowControl/>
        <w:tabs>
          <w:tab w:val="left" w:pos="567"/>
        </w:tabs>
        <w:spacing w:line="260" w:lineRule="exact"/>
        <w:rPr>
          <w:rFonts w:ascii="Times New Roman" w:eastAsia="Times New Roman" w:hAnsi="Times New Roman" w:cs="Times New Roman"/>
          <w:bCs/>
          <w:noProof/>
          <w:lang w:val="sl-SI"/>
        </w:rPr>
      </w:pPr>
      <w:r>
        <w:rPr>
          <w:rFonts w:ascii="Times New Roman" w:eastAsia="Times New Roman" w:hAnsi="Times New Roman" w:cs="Times New Roman"/>
          <w:bCs/>
          <w:noProof/>
          <w:lang w:val="sl-SI"/>
        </w:rPr>
        <w:t xml:space="preserve">Datum prve odobritve: </w:t>
      </w:r>
      <w:r w:rsidRPr="00907360">
        <w:rPr>
          <w:rFonts w:ascii="Times New Roman" w:eastAsia="Times New Roman" w:hAnsi="Times New Roman" w:cs="Times New Roman"/>
          <w:bCs/>
          <w:noProof/>
          <w:lang w:val="sl-SI"/>
        </w:rPr>
        <w:t>11. februarja 2021</w:t>
      </w:r>
    </w:p>
    <w:p w14:paraId="6AD5DB9A" w14:textId="77777777" w:rsidR="0066522E" w:rsidRDefault="0066522E" w:rsidP="0066522E">
      <w:pPr>
        <w:widowControl/>
        <w:tabs>
          <w:tab w:val="left" w:pos="567"/>
        </w:tabs>
        <w:spacing w:line="260" w:lineRule="exact"/>
        <w:rPr>
          <w:rFonts w:ascii="Times New Roman" w:eastAsia="Times New Roman" w:hAnsi="Times New Roman" w:cs="Times New Roman"/>
          <w:b/>
          <w:noProof/>
          <w:lang w:val="sl-SI"/>
        </w:rPr>
      </w:pPr>
    </w:p>
    <w:p w14:paraId="29569BE2" w14:textId="77777777" w:rsidR="0066522E" w:rsidRDefault="0066522E" w:rsidP="0066522E">
      <w:pPr>
        <w:widowControl/>
        <w:tabs>
          <w:tab w:val="left" w:pos="567"/>
        </w:tabs>
        <w:spacing w:line="260" w:lineRule="exact"/>
        <w:rPr>
          <w:rFonts w:ascii="Times New Roman" w:eastAsia="Times New Roman" w:hAnsi="Times New Roman" w:cs="Times New Roman"/>
          <w:b/>
          <w:noProof/>
          <w:lang w:val="sl-SI"/>
        </w:rPr>
      </w:pPr>
    </w:p>
    <w:p w14:paraId="7AA6E72B" w14:textId="77777777" w:rsidR="0066522E" w:rsidRDefault="0066522E" w:rsidP="007811C6">
      <w:pPr>
        <w:widowControl/>
        <w:numPr>
          <w:ilvl w:val="0"/>
          <w:numId w:val="145"/>
        </w:numPr>
        <w:tabs>
          <w:tab w:val="left" w:pos="567"/>
        </w:tabs>
        <w:spacing w:line="260" w:lineRule="exact"/>
        <w:ind w:left="0" w:firstLine="0"/>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DATUM ZADNJE REVIZIJE BESEDILA</w:t>
      </w:r>
    </w:p>
    <w:p w14:paraId="6FFF540E" w14:textId="77777777" w:rsidR="0066522E" w:rsidRDefault="0066522E" w:rsidP="0066522E">
      <w:pPr>
        <w:spacing w:before="12" w:line="240" w:lineRule="exact"/>
        <w:rPr>
          <w:sz w:val="24"/>
          <w:szCs w:val="24"/>
          <w:lang w:val="sl-SI"/>
        </w:rPr>
      </w:pPr>
    </w:p>
    <w:p w14:paraId="31488B9B" w14:textId="731B9176" w:rsidR="00270C6B" w:rsidRDefault="0066522E" w:rsidP="007811C6">
      <w:pPr>
        <w:pStyle w:val="a3"/>
        <w:rPr>
          <w:rFonts w:eastAsia="Times New Roman"/>
          <w:color w:val="0000FF"/>
          <w:u w:val="single"/>
          <w:lang w:val="sl-SI"/>
        </w:rPr>
      </w:pPr>
      <w:r>
        <w:rPr>
          <w:rFonts w:eastAsia="Times New Roman"/>
          <w:lang w:val="sl-SI"/>
        </w:rPr>
        <w:t xml:space="preserve">Podrobne informacije o zdravilu so objavljene na spletni strani Evropske agencije za zdravila </w:t>
      </w:r>
      <w:hyperlink r:id="rId28" w:history="1">
        <w:r>
          <w:rPr>
            <w:rFonts w:eastAsia="Times New Roman"/>
            <w:color w:val="0000FF"/>
            <w:u w:val="single"/>
            <w:lang w:val="sl-SI"/>
          </w:rPr>
          <w:t>http://www.ema.europa.eu</w:t>
        </w:r>
      </w:hyperlink>
    </w:p>
    <w:p w14:paraId="1C2C4CCA" w14:textId="77777777" w:rsidR="00E04C8A" w:rsidRDefault="00E04C8A">
      <w:pPr>
        <w:spacing w:line="200" w:lineRule="exact"/>
        <w:rPr>
          <w:sz w:val="20"/>
          <w:szCs w:val="20"/>
          <w:lang w:val="sl-SI"/>
        </w:rPr>
      </w:pPr>
    </w:p>
    <w:p w14:paraId="6A8A9F92" w14:textId="77777777" w:rsidR="00E04C8A" w:rsidRDefault="00E04C8A">
      <w:pPr>
        <w:spacing w:line="200" w:lineRule="exact"/>
        <w:rPr>
          <w:sz w:val="20"/>
          <w:szCs w:val="20"/>
          <w:lang w:val="sl-SI"/>
        </w:rPr>
      </w:pPr>
    </w:p>
    <w:p w14:paraId="63189B19" w14:textId="77777777" w:rsidR="00E04C8A" w:rsidRDefault="00E04C8A">
      <w:pPr>
        <w:spacing w:line="200" w:lineRule="exact"/>
        <w:rPr>
          <w:sz w:val="20"/>
          <w:szCs w:val="20"/>
          <w:lang w:val="sl-SI"/>
        </w:rPr>
      </w:pPr>
    </w:p>
    <w:p w14:paraId="4202FFF9" w14:textId="77777777" w:rsidR="00E04C8A" w:rsidRDefault="00E04C8A">
      <w:pPr>
        <w:spacing w:line="200" w:lineRule="exact"/>
        <w:rPr>
          <w:sz w:val="20"/>
          <w:szCs w:val="20"/>
          <w:lang w:val="sl-SI"/>
        </w:rPr>
      </w:pPr>
    </w:p>
    <w:p w14:paraId="0822D0E5" w14:textId="77777777" w:rsidR="00E04C8A" w:rsidRDefault="00E04C8A">
      <w:pPr>
        <w:spacing w:line="200" w:lineRule="exact"/>
        <w:rPr>
          <w:sz w:val="20"/>
          <w:szCs w:val="20"/>
          <w:lang w:val="sl-SI"/>
        </w:rPr>
      </w:pPr>
    </w:p>
    <w:p w14:paraId="3AB4A813" w14:textId="77777777" w:rsidR="00E04C8A" w:rsidRDefault="00E04C8A">
      <w:pPr>
        <w:spacing w:line="200" w:lineRule="exact"/>
        <w:rPr>
          <w:sz w:val="20"/>
          <w:szCs w:val="20"/>
          <w:lang w:val="sl-SI"/>
        </w:rPr>
      </w:pPr>
    </w:p>
    <w:p w14:paraId="3FA0B44C" w14:textId="77777777" w:rsidR="00E04C8A" w:rsidRDefault="00E04C8A">
      <w:pPr>
        <w:spacing w:line="200" w:lineRule="exact"/>
        <w:rPr>
          <w:sz w:val="20"/>
          <w:szCs w:val="20"/>
          <w:lang w:val="sl-SI"/>
        </w:rPr>
      </w:pPr>
    </w:p>
    <w:p w14:paraId="1331A7D2" w14:textId="77777777" w:rsidR="00E04C8A" w:rsidRDefault="00E04C8A">
      <w:pPr>
        <w:spacing w:line="200" w:lineRule="exact"/>
        <w:rPr>
          <w:sz w:val="20"/>
          <w:szCs w:val="20"/>
          <w:lang w:val="sl-SI"/>
        </w:rPr>
      </w:pPr>
    </w:p>
    <w:p w14:paraId="72FFDF74" w14:textId="77777777" w:rsidR="00E04C8A" w:rsidRDefault="00E04C8A">
      <w:pPr>
        <w:spacing w:line="200" w:lineRule="exact"/>
        <w:rPr>
          <w:sz w:val="20"/>
          <w:szCs w:val="20"/>
          <w:lang w:val="sl-SI"/>
        </w:rPr>
      </w:pPr>
    </w:p>
    <w:p w14:paraId="5D2C5FDF" w14:textId="77777777" w:rsidR="00E04C8A" w:rsidRDefault="00E04C8A">
      <w:pPr>
        <w:spacing w:line="200" w:lineRule="exact"/>
        <w:rPr>
          <w:sz w:val="20"/>
          <w:szCs w:val="20"/>
          <w:lang w:val="sl-SI"/>
        </w:rPr>
      </w:pPr>
    </w:p>
    <w:p w14:paraId="0A66DC3C" w14:textId="77777777" w:rsidR="00E04C8A" w:rsidRDefault="00E04C8A">
      <w:pPr>
        <w:spacing w:line="200" w:lineRule="exact"/>
        <w:rPr>
          <w:sz w:val="20"/>
          <w:szCs w:val="20"/>
          <w:lang w:val="sl-SI"/>
        </w:rPr>
      </w:pPr>
    </w:p>
    <w:p w14:paraId="271BA4B1" w14:textId="77777777" w:rsidR="00E04C8A" w:rsidRDefault="00E04C8A">
      <w:pPr>
        <w:spacing w:line="200" w:lineRule="exact"/>
        <w:rPr>
          <w:sz w:val="20"/>
          <w:szCs w:val="20"/>
          <w:lang w:val="sl-SI"/>
        </w:rPr>
      </w:pPr>
    </w:p>
    <w:p w14:paraId="6A89EB4C" w14:textId="77777777" w:rsidR="00E04C8A" w:rsidRDefault="00E04C8A">
      <w:pPr>
        <w:spacing w:line="200" w:lineRule="exact"/>
        <w:rPr>
          <w:sz w:val="20"/>
          <w:szCs w:val="20"/>
          <w:lang w:val="sl-SI"/>
        </w:rPr>
      </w:pPr>
    </w:p>
    <w:p w14:paraId="4814AA03" w14:textId="77777777" w:rsidR="00E04C8A" w:rsidRDefault="00E04C8A">
      <w:pPr>
        <w:spacing w:line="200" w:lineRule="exact"/>
        <w:rPr>
          <w:sz w:val="20"/>
          <w:szCs w:val="20"/>
          <w:lang w:val="sl-SI"/>
        </w:rPr>
      </w:pPr>
    </w:p>
    <w:p w14:paraId="5BCB020A" w14:textId="77777777" w:rsidR="00E04C8A" w:rsidRDefault="00E04C8A">
      <w:pPr>
        <w:spacing w:line="200" w:lineRule="exact"/>
        <w:rPr>
          <w:sz w:val="20"/>
          <w:szCs w:val="20"/>
          <w:lang w:val="sl-SI"/>
        </w:rPr>
      </w:pPr>
    </w:p>
    <w:p w14:paraId="161A2861" w14:textId="77777777" w:rsidR="00E04C8A" w:rsidRDefault="00E04C8A">
      <w:pPr>
        <w:spacing w:line="200" w:lineRule="exact"/>
        <w:rPr>
          <w:sz w:val="20"/>
          <w:szCs w:val="20"/>
          <w:lang w:val="sl-SI"/>
        </w:rPr>
      </w:pPr>
    </w:p>
    <w:p w14:paraId="048BD68D" w14:textId="77777777" w:rsidR="00E04C8A" w:rsidRDefault="00E04C8A">
      <w:pPr>
        <w:spacing w:line="200" w:lineRule="exact"/>
        <w:rPr>
          <w:sz w:val="20"/>
          <w:szCs w:val="20"/>
          <w:lang w:val="sl-SI"/>
        </w:rPr>
      </w:pPr>
    </w:p>
    <w:p w14:paraId="03B29360" w14:textId="77777777" w:rsidR="00E04C8A" w:rsidRDefault="00E04C8A">
      <w:pPr>
        <w:spacing w:line="200" w:lineRule="exact"/>
        <w:rPr>
          <w:sz w:val="20"/>
          <w:szCs w:val="20"/>
          <w:lang w:val="sl-SI"/>
        </w:rPr>
      </w:pPr>
    </w:p>
    <w:p w14:paraId="74CC8D88" w14:textId="77777777" w:rsidR="00E04C8A" w:rsidRDefault="00E04C8A">
      <w:pPr>
        <w:spacing w:line="200" w:lineRule="exact"/>
        <w:rPr>
          <w:sz w:val="20"/>
          <w:szCs w:val="20"/>
          <w:lang w:val="sl-SI"/>
        </w:rPr>
      </w:pPr>
    </w:p>
    <w:p w14:paraId="665E9B6E" w14:textId="77777777" w:rsidR="00E04C8A" w:rsidRDefault="00E04C8A">
      <w:pPr>
        <w:spacing w:line="200" w:lineRule="exact"/>
        <w:rPr>
          <w:sz w:val="20"/>
          <w:szCs w:val="20"/>
          <w:lang w:val="sl-SI"/>
        </w:rPr>
      </w:pPr>
    </w:p>
    <w:p w14:paraId="567DC312" w14:textId="77777777" w:rsidR="00E04C8A" w:rsidRDefault="00E04C8A">
      <w:pPr>
        <w:spacing w:line="200" w:lineRule="exact"/>
        <w:rPr>
          <w:sz w:val="20"/>
          <w:szCs w:val="20"/>
          <w:lang w:val="sl-SI"/>
        </w:rPr>
      </w:pPr>
    </w:p>
    <w:p w14:paraId="31B169E6" w14:textId="77777777" w:rsidR="00E04C8A" w:rsidRDefault="00E04C8A">
      <w:pPr>
        <w:spacing w:line="200" w:lineRule="exact"/>
        <w:rPr>
          <w:sz w:val="20"/>
          <w:szCs w:val="20"/>
          <w:lang w:val="sl-SI"/>
        </w:rPr>
      </w:pPr>
    </w:p>
    <w:p w14:paraId="7E3866A8" w14:textId="77777777" w:rsidR="00E04C8A" w:rsidRDefault="00E04C8A">
      <w:pPr>
        <w:spacing w:line="200" w:lineRule="exact"/>
        <w:rPr>
          <w:sz w:val="20"/>
          <w:szCs w:val="20"/>
          <w:lang w:val="sl-SI"/>
        </w:rPr>
      </w:pPr>
    </w:p>
    <w:p w14:paraId="54C72D85" w14:textId="77777777" w:rsidR="00E04C8A" w:rsidRDefault="00E04C8A">
      <w:pPr>
        <w:spacing w:line="200" w:lineRule="exact"/>
        <w:rPr>
          <w:sz w:val="20"/>
          <w:szCs w:val="20"/>
          <w:lang w:val="sl-SI"/>
        </w:rPr>
      </w:pPr>
    </w:p>
    <w:p w14:paraId="782A3622" w14:textId="77777777" w:rsidR="00E04C8A" w:rsidRDefault="00E04C8A">
      <w:pPr>
        <w:spacing w:before="4" w:line="200" w:lineRule="exact"/>
        <w:rPr>
          <w:sz w:val="20"/>
          <w:szCs w:val="20"/>
          <w:lang w:val="sl-SI"/>
        </w:rPr>
      </w:pPr>
    </w:p>
    <w:p w14:paraId="066BA8FF" w14:textId="77777777" w:rsidR="00E04C8A" w:rsidRDefault="008E1817">
      <w:pPr>
        <w:pStyle w:val="TableParagraph"/>
        <w:tabs>
          <w:tab w:val="left" w:pos="4171"/>
          <w:tab w:val="center" w:pos="4800"/>
        </w:tabs>
        <w:rPr>
          <w:rFonts w:ascii="Times New Roman" w:hAnsi="Times New Roman" w:cs="Times New Roman"/>
          <w:b/>
          <w:lang w:val="sl-SI"/>
        </w:rPr>
      </w:pPr>
      <w:r>
        <w:rPr>
          <w:rFonts w:ascii="Times New Roman" w:eastAsia="Times New Roman" w:hAnsi="Times New Roman" w:cs="Times New Roman"/>
          <w:b/>
          <w:bCs/>
          <w:lang w:val="sl-SI"/>
        </w:rPr>
        <w:tab/>
      </w:r>
      <w:r>
        <w:rPr>
          <w:rFonts w:ascii="Times New Roman" w:eastAsia="Times New Roman" w:hAnsi="Times New Roman" w:cs="Times New Roman"/>
          <w:b/>
          <w:bCs/>
          <w:lang w:val="sl-SI"/>
        </w:rPr>
        <w:tab/>
        <w:t>PRILOGA II</w:t>
      </w:r>
    </w:p>
    <w:p w14:paraId="6B3EEED0" w14:textId="77777777" w:rsidR="00E04C8A" w:rsidRDefault="00E04C8A">
      <w:pPr>
        <w:pStyle w:val="TableParagraph"/>
        <w:jc w:val="center"/>
        <w:rPr>
          <w:rFonts w:ascii="Times New Roman" w:hAnsi="Times New Roman" w:cs="Times New Roman"/>
          <w:b/>
          <w:lang w:val="sl-SI"/>
        </w:rPr>
      </w:pPr>
    </w:p>
    <w:p w14:paraId="685C99E5" w14:textId="77777777" w:rsidR="00E04C8A" w:rsidRDefault="008E1817">
      <w:pPr>
        <w:pStyle w:val="TableParagraph"/>
        <w:numPr>
          <w:ilvl w:val="0"/>
          <w:numId w:val="32"/>
        </w:numPr>
        <w:ind w:left="1701" w:right="1701"/>
        <w:rPr>
          <w:rFonts w:ascii="Times New Roman" w:hAnsi="Times New Roman" w:cs="Times New Roman"/>
          <w:b/>
          <w:lang w:val="sl-SI"/>
        </w:rPr>
      </w:pPr>
      <w:r>
        <w:rPr>
          <w:rFonts w:ascii="Times New Roman" w:eastAsia="Times New Roman" w:hAnsi="Times New Roman" w:cs="Times New Roman"/>
          <w:b/>
          <w:bCs/>
          <w:lang w:val="sl-SI"/>
        </w:rPr>
        <w:t>PROIZVAJALCI BIOLOŠKE UČINKOVINE IN PROIZVAJALCI, ODGOVORNI ZA SPROŠČANJE SERIJ</w:t>
      </w:r>
    </w:p>
    <w:p w14:paraId="4388DB9B" w14:textId="77777777" w:rsidR="00E04C8A" w:rsidRDefault="00E04C8A">
      <w:pPr>
        <w:pStyle w:val="TableParagraph"/>
        <w:ind w:left="1701" w:right="1701"/>
        <w:rPr>
          <w:rFonts w:ascii="Times New Roman" w:hAnsi="Times New Roman" w:cs="Times New Roman"/>
          <w:b/>
          <w:lang w:val="sl-SI"/>
        </w:rPr>
      </w:pPr>
    </w:p>
    <w:p w14:paraId="745D94FC" w14:textId="77777777" w:rsidR="00E04C8A" w:rsidRDefault="008E1817">
      <w:pPr>
        <w:pStyle w:val="TableParagraph"/>
        <w:numPr>
          <w:ilvl w:val="0"/>
          <w:numId w:val="32"/>
        </w:numPr>
        <w:ind w:left="1701" w:right="1701"/>
        <w:rPr>
          <w:rFonts w:ascii="Times New Roman" w:hAnsi="Times New Roman" w:cs="Times New Roman"/>
          <w:b/>
          <w:lang w:val="sl-SI"/>
        </w:rPr>
      </w:pPr>
      <w:r>
        <w:rPr>
          <w:rFonts w:ascii="Times New Roman" w:eastAsia="Times New Roman" w:hAnsi="Times New Roman" w:cs="Times New Roman"/>
          <w:b/>
          <w:bCs/>
          <w:lang w:val="sl-SI"/>
        </w:rPr>
        <w:t>POGOJI ALI OMEJITVE GLEDE OSKRBE IN UPORABE</w:t>
      </w:r>
    </w:p>
    <w:p w14:paraId="452972EB" w14:textId="77777777" w:rsidR="00E04C8A" w:rsidRDefault="00E04C8A">
      <w:pPr>
        <w:pStyle w:val="TableParagraph"/>
        <w:ind w:left="1701" w:right="1701"/>
        <w:rPr>
          <w:rFonts w:ascii="Times New Roman" w:hAnsi="Times New Roman" w:cs="Times New Roman"/>
          <w:b/>
          <w:lang w:val="sl-SI"/>
        </w:rPr>
      </w:pPr>
    </w:p>
    <w:p w14:paraId="622A8673" w14:textId="77777777" w:rsidR="00E04C8A" w:rsidRDefault="008E1817">
      <w:pPr>
        <w:pStyle w:val="TableParagraph"/>
        <w:numPr>
          <w:ilvl w:val="0"/>
          <w:numId w:val="32"/>
        </w:numPr>
        <w:ind w:left="1701" w:right="1701"/>
        <w:rPr>
          <w:rFonts w:ascii="Times New Roman" w:hAnsi="Times New Roman" w:cs="Times New Roman"/>
          <w:b/>
          <w:lang w:val="sl-SI"/>
        </w:rPr>
      </w:pPr>
      <w:r>
        <w:rPr>
          <w:rFonts w:ascii="Times New Roman" w:eastAsia="Times New Roman" w:hAnsi="Times New Roman" w:cs="Times New Roman"/>
          <w:b/>
          <w:bCs/>
          <w:lang w:val="sl-SI"/>
        </w:rPr>
        <w:t>DRUGI POGOJI IN ZAHTEVE DOVOLJENJA ZA PROMET Z ZDRAVILOM</w:t>
      </w:r>
    </w:p>
    <w:p w14:paraId="1474C4E5" w14:textId="77777777" w:rsidR="00E04C8A" w:rsidRDefault="00E04C8A">
      <w:pPr>
        <w:pStyle w:val="TableParagraph"/>
        <w:ind w:left="1701" w:right="1701"/>
        <w:rPr>
          <w:rFonts w:ascii="Times New Roman" w:hAnsi="Times New Roman" w:cs="Times New Roman"/>
          <w:b/>
          <w:lang w:val="sl-SI"/>
        </w:rPr>
      </w:pPr>
    </w:p>
    <w:p w14:paraId="5EB233DF" w14:textId="77777777" w:rsidR="00E04C8A" w:rsidRDefault="008E1817">
      <w:pPr>
        <w:pStyle w:val="TableParagraph"/>
        <w:numPr>
          <w:ilvl w:val="0"/>
          <w:numId w:val="32"/>
        </w:numPr>
        <w:ind w:left="1701" w:right="1701"/>
        <w:rPr>
          <w:rFonts w:ascii="Times New Roman" w:hAnsi="Times New Roman" w:cs="Times New Roman"/>
          <w:b/>
          <w:lang w:val="sl-SI"/>
        </w:rPr>
      </w:pPr>
      <w:r>
        <w:rPr>
          <w:rFonts w:ascii="Times New Roman" w:eastAsia="Times New Roman" w:hAnsi="Times New Roman" w:cs="Times New Roman"/>
          <w:b/>
          <w:bCs/>
          <w:lang w:val="sl-SI"/>
        </w:rPr>
        <w:t>POGOJI ALI OMEJITVE V ZVEZI Z VARNO IN UČINKOVITO UPORABO ZDRAVILA</w:t>
      </w:r>
    </w:p>
    <w:p w14:paraId="757CD211" w14:textId="77777777" w:rsidR="00E04C8A" w:rsidRDefault="008E1817">
      <w:pPr>
        <w:pStyle w:val="TableParagraph"/>
        <w:numPr>
          <w:ilvl w:val="0"/>
          <w:numId w:val="32"/>
        </w:numPr>
        <w:ind w:left="1701" w:right="1701"/>
        <w:rPr>
          <w:rFonts w:ascii="Times New Roman" w:hAnsi="Times New Roman" w:cs="Times New Roman"/>
          <w:b/>
          <w:lang w:val="sl-SI"/>
        </w:rPr>
      </w:pPr>
      <w:r>
        <w:rPr>
          <w:rFonts w:ascii="Times New Roman" w:hAnsi="Times New Roman" w:cs="Times New Roman"/>
          <w:b/>
          <w:lang w:val="sl-SI"/>
        </w:rPr>
        <w:br w:type="page"/>
      </w:r>
    </w:p>
    <w:p w14:paraId="5093D122" w14:textId="77777777" w:rsidR="00E04C8A" w:rsidRDefault="008E1817">
      <w:pPr>
        <w:pStyle w:val="1"/>
        <w:numPr>
          <w:ilvl w:val="0"/>
          <w:numId w:val="34"/>
        </w:numPr>
        <w:ind w:left="360"/>
        <w:rPr>
          <w:lang w:val="sl-SI"/>
        </w:rPr>
      </w:pPr>
      <w:bookmarkStart w:id="9" w:name="A._MANUFACTURERS_OF_THE_BIOLOGICAL_ACTIV"/>
      <w:bookmarkEnd w:id="9"/>
      <w:r>
        <w:rPr>
          <w:rFonts w:cs="Arial"/>
          <w:lang w:val="sl-SI"/>
        </w:rPr>
        <w:lastRenderedPageBreak/>
        <w:t>PROIZVAJALCI BIOLOŠKE UČINKOVINE IN PROIZVAJALCI, ODGOVORNI ZA SPROŠČANJE SERIJ</w:t>
      </w:r>
    </w:p>
    <w:p w14:paraId="51CAE209" w14:textId="77777777" w:rsidR="00E04C8A" w:rsidRDefault="00E04C8A">
      <w:pPr>
        <w:spacing w:before="5" w:line="240" w:lineRule="exact"/>
        <w:rPr>
          <w:sz w:val="24"/>
          <w:szCs w:val="24"/>
          <w:lang w:val="sl-SI"/>
        </w:rPr>
      </w:pPr>
    </w:p>
    <w:p w14:paraId="6F4E678E" w14:textId="77777777" w:rsidR="00E04C8A" w:rsidRDefault="008E1817">
      <w:pPr>
        <w:pStyle w:val="a3"/>
        <w:rPr>
          <w:u w:val="single"/>
          <w:lang w:val="sl-SI"/>
        </w:rPr>
      </w:pPr>
      <w:r>
        <w:rPr>
          <w:rFonts w:eastAsia="Times New Roman"/>
          <w:u w:val="single" w:color="000000"/>
          <w:lang w:val="sl-SI"/>
        </w:rPr>
        <w:t>Ime in naslov proizvajalca (proizvajalcev) biološke učinkovine (učinkovin)</w:t>
      </w:r>
    </w:p>
    <w:p w14:paraId="2DE7AF31" w14:textId="77777777" w:rsidR="00E04C8A" w:rsidRDefault="00E04C8A">
      <w:pPr>
        <w:spacing w:before="1" w:line="180" w:lineRule="exact"/>
        <w:rPr>
          <w:sz w:val="18"/>
          <w:szCs w:val="18"/>
          <w:lang w:val="sl-SI"/>
        </w:rPr>
      </w:pPr>
    </w:p>
    <w:p w14:paraId="2C38C757" w14:textId="3E3552D2" w:rsidR="00E04C8A" w:rsidRDefault="008E1817">
      <w:pPr>
        <w:pStyle w:val="a3"/>
        <w:rPr>
          <w:lang w:val="sl-SI"/>
        </w:rPr>
      </w:pPr>
      <w:r>
        <w:rPr>
          <w:rFonts w:eastAsia="Times New Roman"/>
          <w:lang w:val="sl-SI"/>
        </w:rPr>
        <w:t>CELLTRION INC.</w:t>
      </w:r>
      <w:r>
        <w:rPr>
          <w:rFonts w:eastAsia="Times New Roman"/>
          <w:lang w:val="sl-SI"/>
        </w:rPr>
        <w:br/>
        <w:t>20 Academy-ro 51 beon-gil</w:t>
      </w:r>
      <w:r>
        <w:rPr>
          <w:rFonts w:eastAsia="Times New Roman"/>
          <w:lang w:val="sl-SI"/>
        </w:rPr>
        <w:br/>
        <w:t>Yeonsu-gu</w:t>
      </w:r>
      <w:r>
        <w:rPr>
          <w:rFonts w:eastAsia="Times New Roman"/>
          <w:lang w:val="sl-SI"/>
        </w:rPr>
        <w:br/>
        <w:t>22014 Incheon</w:t>
      </w:r>
      <w:r>
        <w:rPr>
          <w:rFonts w:eastAsia="Times New Roman"/>
          <w:lang w:val="sl-SI"/>
        </w:rPr>
        <w:br/>
      </w:r>
      <w:r w:rsidR="001452D7">
        <w:rPr>
          <w:lang w:val="sl-SI"/>
        </w:rPr>
        <w:t>Republika Koreja</w:t>
      </w:r>
      <w:r w:rsidR="001452D7" w:rsidDel="001452D7">
        <w:rPr>
          <w:rFonts w:eastAsia="Times New Roman"/>
          <w:lang w:val="sl-SI"/>
        </w:rPr>
        <w:t xml:space="preserve"> </w:t>
      </w:r>
    </w:p>
    <w:p w14:paraId="19441499" w14:textId="77777777" w:rsidR="00E04C8A" w:rsidRDefault="00E04C8A">
      <w:pPr>
        <w:spacing w:before="13" w:line="240" w:lineRule="exact"/>
        <w:rPr>
          <w:sz w:val="24"/>
          <w:szCs w:val="24"/>
          <w:u w:val="single"/>
          <w:lang w:val="sl-SI"/>
        </w:rPr>
      </w:pPr>
    </w:p>
    <w:p w14:paraId="63D6E9B4" w14:textId="77777777" w:rsidR="00E04C8A" w:rsidRDefault="008E1817">
      <w:pPr>
        <w:pStyle w:val="a3"/>
        <w:rPr>
          <w:u w:val="single"/>
          <w:lang w:val="sl-SI"/>
        </w:rPr>
      </w:pPr>
      <w:r>
        <w:rPr>
          <w:rFonts w:eastAsia="Times New Roman"/>
          <w:u w:val="single" w:color="000000"/>
          <w:lang w:val="sl-SI"/>
        </w:rPr>
        <w:t>Ime in naslov proizvajalca (proizvajalcev), odgovornega (odgovornih) za sproščanje serij</w:t>
      </w:r>
    </w:p>
    <w:p w14:paraId="46D07A1A" w14:textId="77777777" w:rsidR="00E04C8A" w:rsidRDefault="00E04C8A">
      <w:pPr>
        <w:spacing w:before="1" w:line="180" w:lineRule="exact"/>
        <w:rPr>
          <w:sz w:val="18"/>
          <w:szCs w:val="18"/>
          <w:lang w:val="sl-SI"/>
        </w:rPr>
      </w:pPr>
    </w:p>
    <w:p w14:paraId="46E91DDF" w14:textId="7F0DFB50" w:rsidR="00E04C8A" w:rsidDel="001B02C1" w:rsidRDefault="008E1817">
      <w:pPr>
        <w:pStyle w:val="a3"/>
        <w:rPr>
          <w:del w:id="10" w:author="만든 이"/>
          <w:lang w:val="sl-SI"/>
        </w:rPr>
      </w:pPr>
      <w:del w:id="11" w:author="만든 이">
        <w:r w:rsidDel="001B02C1">
          <w:rPr>
            <w:lang w:val="sl-SI"/>
          </w:rPr>
          <w:delText>Millmount Healthcare Ltd.</w:delText>
        </w:r>
      </w:del>
    </w:p>
    <w:p w14:paraId="782BD976" w14:textId="016F64FA" w:rsidR="00E04C8A" w:rsidDel="001B02C1" w:rsidRDefault="008E1817">
      <w:pPr>
        <w:pStyle w:val="a3"/>
        <w:rPr>
          <w:del w:id="12" w:author="만든 이"/>
          <w:lang w:val="sl-SI"/>
        </w:rPr>
      </w:pPr>
      <w:del w:id="13" w:author="만든 이">
        <w:r w:rsidDel="001B02C1">
          <w:rPr>
            <w:lang w:val="sl-SI"/>
          </w:rPr>
          <w:delText>Block 7</w:delText>
        </w:r>
      </w:del>
    </w:p>
    <w:p w14:paraId="454281D2" w14:textId="64C63E96" w:rsidR="00E04C8A" w:rsidDel="001B02C1" w:rsidRDefault="008E1817">
      <w:pPr>
        <w:pStyle w:val="a3"/>
        <w:rPr>
          <w:del w:id="14" w:author="만든 이"/>
          <w:lang w:val="sl-SI"/>
        </w:rPr>
      </w:pPr>
      <w:del w:id="15" w:author="만든 이">
        <w:r w:rsidDel="001B02C1">
          <w:rPr>
            <w:lang w:val="sl-SI"/>
          </w:rPr>
          <w:delText xml:space="preserve">City North Business Campus </w:delText>
        </w:r>
      </w:del>
    </w:p>
    <w:p w14:paraId="237B3C2B" w14:textId="765BC7D6" w:rsidR="00E04C8A" w:rsidDel="001B02C1" w:rsidRDefault="008E1817">
      <w:pPr>
        <w:pStyle w:val="a3"/>
        <w:rPr>
          <w:del w:id="16" w:author="만든 이"/>
          <w:lang w:val="sl-SI"/>
        </w:rPr>
      </w:pPr>
      <w:del w:id="17" w:author="만든 이">
        <w:r w:rsidDel="001B02C1">
          <w:rPr>
            <w:lang w:val="sl-SI"/>
          </w:rPr>
          <w:delText>Stamullen, Co. Meath K32 YD60</w:delText>
        </w:r>
      </w:del>
    </w:p>
    <w:p w14:paraId="49C00028" w14:textId="143F0E6A" w:rsidR="00E04C8A" w:rsidDel="001B02C1" w:rsidRDefault="001452D7">
      <w:pPr>
        <w:pStyle w:val="a3"/>
        <w:rPr>
          <w:del w:id="18" w:author="만든 이"/>
          <w:lang w:val="sl-SI"/>
        </w:rPr>
      </w:pPr>
      <w:del w:id="19" w:author="만든 이">
        <w:r w:rsidDel="001B02C1">
          <w:rPr>
            <w:color w:val="000000"/>
            <w:lang w:val="sl-SI"/>
          </w:rPr>
          <w:delText>Irska</w:delText>
        </w:r>
        <w:r w:rsidDel="001B02C1">
          <w:rPr>
            <w:rFonts w:eastAsia="Times New Roman"/>
            <w:lang w:val="sl-SI"/>
          </w:rPr>
          <w:delText xml:space="preserve"> </w:delText>
        </w:r>
      </w:del>
    </w:p>
    <w:p w14:paraId="65D2E3C2" w14:textId="5218B1FA" w:rsidR="00E04C8A" w:rsidDel="001B02C1" w:rsidRDefault="00E04C8A">
      <w:pPr>
        <w:pStyle w:val="a3"/>
        <w:rPr>
          <w:del w:id="20" w:author="만든 이"/>
          <w:lang w:val="sl-SI"/>
        </w:rPr>
      </w:pPr>
    </w:p>
    <w:p w14:paraId="50FE5D29" w14:textId="77777777" w:rsidR="002153A2" w:rsidRPr="00C34E42" w:rsidRDefault="002153A2" w:rsidP="002153A2">
      <w:pPr>
        <w:pStyle w:val="a3"/>
        <w:rPr>
          <w:moveTo w:id="21" w:author="만든 이" w16du:dateUtc="2025-09-09T06:34:00Z"/>
          <w:color w:val="000000"/>
          <w:lang w:val="sl-SI"/>
        </w:rPr>
      </w:pPr>
      <w:moveToRangeStart w:id="22" w:author="만든 이" w:name="move208324461"/>
      <w:moveTo w:id="23" w:author="만든 이" w16du:dateUtc="2025-09-09T06:34:00Z">
        <w:r w:rsidRPr="00C34E42">
          <w:rPr>
            <w:color w:val="000000"/>
            <w:lang w:val="sl-SI"/>
          </w:rPr>
          <w:t>Nuvisan France SARL</w:t>
        </w:r>
      </w:moveTo>
    </w:p>
    <w:p w14:paraId="4948BFB7" w14:textId="77777777" w:rsidR="002153A2" w:rsidRPr="00C34E42" w:rsidRDefault="002153A2" w:rsidP="002153A2">
      <w:pPr>
        <w:pStyle w:val="a3"/>
        <w:rPr>
          <w:moveTo w:id="24" w:author="만든 이" w16du:dateUtc="2025-09-09T06:34:00Z"/>
          <w:color w:val="000000"/>
          <w:lang w:val="sl-SI"/>
        </w:rPr>
      </w:pPr>
      <w:moveTo w:id="25" w:author="만든 이" w16du:dateUtc="2025-09-09T06:34:00Z">
        <w:r w:rsidRPr="00C34E42">
          <w:rPr>
            <w:color w:val="000000"/>
            <w:lang w:val="sl-SI"/>
          </w:rPr>
          <w:t xml:space="preserve">2400, Route des Colles </w:t>
        </w:r>
      </w:moveTo>
    </w:p>
    <w:p w14:paraId="06EFB6CF" w14:textId="77777777" w:rsidR="002153A2" w:rsidRPr="00C34E42" w:rsidRDefault="002153A2" w:rsidP="002153A2">
      <w:pPr>
        <w:pStyle w:val="a3"/>
        <w:rPr>
          <w:moveTo w:id="26" w:author="만든 이" w16du:dateUtc="2025-09-09T06:34:00Z"/>
          <w:color w:val="000000"/>
          <w:lang w:val="sl-SI"/>
        </w:rPr>
      </w:pPr>
      <w:moveTo w:id="27" w:author="만든 이" w16du:dateUtc="2025-09-09T06:34:00Z">
        <w:r w:rsidRPr="00C34E42">
          <w:rPr>
            <w:color w:val="000000"/>
            <w:lang w:val="sl-SI"/>
          </w:rPr>
          <w:t xml:space="preserve">06410, Biot </w:t>
        </w:r>
      </w:moveTo>
    </w:p>
    <w:p w14:paraId="3544E92F" w14:textId="77777777" w:rsidR="002153A2" w:rsidRPr="00C34E42" w:rsidRDefault="002153A2" w:rsidP="002153A2">
      <w:pPr>
        <w:pStyle w:val="a3"/>
        <w:rPr>
          <w:moveTo w:id="28" w:author="만든 이" w16du:dateUtc="2025-09-09T06:34:00Z"/>
          <w:color w:val="000000"/>
          <w:lang w:val="sl-SI"/>
        </w:rPr>
      </w:pPr>
      <w:moveTo w:id="29" w:author="만든 이" w16du:dateUtc="2025-09-09T06:34:00Z">
        <w:r w:rsidRPr="00C34E42">
          <w:rPr>
            <w:color w:val="000000"/>
            <w:lang w:val="sl-SI"/>
          </w:rPr>
          <w:t>Francija</w:t>
        </w:r>
      </w:moveTo>
    </w:p>
    <w:p w14:paraId="2FB27C94" w14:textId="77777777" w:rsidR="002153A2" w:rsidRPr="001B02C1" w:rsidRDefault="002153A2" w:rsidP="002153A2">
      <w:pPr>
        <w:pStyle w:val="a3"/>
        <w:rPr>
          <w:moveTo w:id="30" w:author="만든 이" w16du:dateUtc="2025-09-09T06:34:00Z"/>
          <w:color w:val="000000"/>
          <w:lang w:val="sl-SI"/>
        </w:rPr>
      </w:pPr>
    </w:p>
    <w:moveToRangeEnd w:id="22"/>
    <w:p w14:paraId="377C7E65" w14:textId="77777777" w:rsidR="001452D7" w:rsidRPr="00C34E42" w:rsidRDefault="001452D7" w:rsidP="00FA6851">
      <w:pPr>
        <w:pStyle w:val="a3"/>
        <w:rPr>
          <w:color w:val="000000"/>
          <w:lang w:val="sl-SI"/>
        </w:rPr>
      </w:pPr>
      <w:r w:rsidRPr="00C34E42">
        <w:rPr>
          <w:color w:val="000000"/>
          <w:lang w:val="sl-SI"/>
        </w:rPr>
        <w:t>Nuvisan GmbH</w:t>
      </w:r>
    </w:p>
    <w:p w14:paraId="3E09B74B" w14:textId="6CF05BAE" w:rsidR="001452D7" w:rsidRPr="00C34E42" w:rsidRDefault="001452D7" w:rsidP="00FA6851">
      <w:pPr>
        <w:pStyle w:val="a3"/>
        <w:rPr>
          <w:color w:val="000000"/>
          <w:lang w:val="sl-SI"/>
        </w:rPr>
      </w:pPr>
      <w:r w:rsidRPr="00C34E42">
        <w:rPr>
          <w:color w:val="000000"/>
          <w:lang w:val="sl-SI"/>
        </w:rPr>
        <w:t>Wegenerstraße 13</w:t>
      </w:r>
    </w:p>
    <w:p w14:paraId="15C9807B" w14:textId="35C3F630" w:rsidR="001452D7" w:rsidRPr="00C34E42" w:rsidRDefault="001452D7" w:rsidP="00FA6851">
      <w:pPr>
        <w:pStyle w:val="a3"/>
        <w:rPr>
          <w:color w:val="000000"/>
          <w:lang w:val="sl-SI"/>
        </w:rPr>
      </w:pPr>
      <w:r w:rsidRPr="00C34E42">
        <w:rPr>
          <w:color w:val="000000"/>
          <w:lang w:val="sl-SI"/>
        </w:rPr>
        <w:t>89231 Neu</w:t>
      </w:r>
      <w:r w:rsidR="002D182A">
        <w:rPr>
          <w:rFonts w:hint="eastAsia"/>
          <w:color w:val="000000"/>
          <w:lang w:val="sl-SI" w:eastAsia="ko-KR"/>
        </w:rPr>
        <w:t>-</w:t>
      </w:r>
      <w:r w:rsidRPr="00C34E42">
        <w:rPr>
          <w:color w:val="000000"/>
          <w:lang w:val="sl-SI"/>
        </w:rPr>
        <w:t>Ulm</w:t>
      </w:r>
    </w:p>
    <w:p w14:paraId="6E52A60E" w14:textId="77777777" w:rsidR="001452D7" w:rsidRPr="00C34E42" w:rsidRDefault="001452D7" w:rsidP="00FA6851">
      <w:pPr>
        <w:pStyle w:val="a3"/>
        <w:rPr>
          <w:color w:val="000000"/>
          <w:lang w:val="sl-SI"/>
        </w:rPr>
      </w:pPr>
      <w:r w:rsidRPr="00C34E42">
        <w:rPr>
          <w:color w:val="000000"/>
          <w:lang w:val="sl-SI"/>
        </w:rPr>
        <w:t>Nemčija</w:t>
      </w:r>
    </w:p>
    <w:p w14:paraId="73B949D7" w14:textId="77777777" w:rsidR="001452D7" w:rsidRPr="00C34E42" w:rsidRDefault="001452D7" w:rsidP="00FA6851">
      <w:pPr>
        <w:pStyle w:val="a3"/>
        <w:rPr>
          <w:color w:val="000000"/>
          <w:lang w:val="sl-SI"/>
        </w:rPr>
      </w:pPr>
    </w:p>
    <w:p w14:paraId="2652A688" w14:textId="1FF962C9" w:rsidR="001452D7" w:rsidRPr="00C34E42" w:rsidDel="002153A2" w:rsidRDefault="001452D7" w:rsidP="00FA6851">
      <w:pPr>
        <w:pStyle w:val="a3"/>
        <w:rPr>
          <w:moveFrom w:id="31" w:author="만든 이" w16du:dateUtc="2025-09-09T06:34:00Z"/>
          <w:color w:val="000000"/>
          <w:lang w:val="sl-SI"/>
        </w:rPr>
      </w:pPr>
      <w:moveFromRangeStart w:id="32" w:author="만든 이" w:name="move208324461"/>
      <w:moveFrom w:id="33" w:author="만든 이" w16du:dateUtc="2025-09-09T06:34:00Z">
        <w:r w:rsidRPr="00C34E42" w:rsidDel="002153A2">
          <w:rPr>
            <w:color w:val="000000"/>
            <w:lang w:val="sl-SI"/>
          </w:rPr>
          <w:t>Nuvisan France SARL</w:t>
        </w:r>
      </w:moveFrom>
    </w:p>
    <w:p w14:paraId="4BCB78C3" w14:textId="2FD05E75" w:rsidR="001452D7" w:rsidRPr="00C34E42" w:rsidDel="002153A2" w:rsidRDefault="001452D7" w:rsidP="00FA6851">
      <w:pPr>
        <w:pStyle w:val="a3"/>
        <w:rPr>
          <w:moveFrom w:id="34" w:author="만든 이" w16du:dateUtc="2025-09-09T06:34:00Z"/>
          <w:color w:val="000000"/>
          <w:lang w:val="sl-SI"/>
        </w:rPr>
      </w:pPr>
      <w:moveFrom w:id="35" w:author="만든 이" w16du:dateUtc="2025-09-09T06:34:00Z">
        <w:r w:rsidRPr="00C34E42" w:rsidDel="002153A2">
          <w:rPr>
            <w:color w:val="000000"/>
            <w:lang w:val="sl-SI"/>
          </w:rPr>
          <w:t xml:space="preserve">2400, Route des Colles </w:t>
        </w:r>
      </w:moveFrom>
    </w:p>
    <w:p w14:paraId="57E4A402" w14:textId="79C0A8DD" w:rsidR="001452D7" w:rsidRPr="00C34E42" w:rsidDel="002153A2" w:rsidRDefault="001452D7" w:rsidP="00FA6851">
      <w:pPr>
        <w:pStyle w:val="a3"/>
        <w:rPr>
          <w:moveFrom w:id="36" w:author="만든 이" w16du:dateUtc="2025-09-09T06:34:00Z"/>
          <w:color w:val="000000"/>
          <w:lang w:val="sl-SI"/>
        </w:rPr>
      </w:pPr>
      <w:moveFrom w:id="37" w:author="만든 이" w16du:dateUtc="2025-09-09T06:34:00Z">
        <w:r w:rsidRPr="00C34E42" w:rsidDel="002153A2">
          <w:rPr>
            <w:color w:val="000000"/>
            <w:lang w:val="sl-SI"/>
          </w:rPr>
          <w:t xml:space="preserve">06410, Biot </w:t>
        </w:r>
      </w:moveFrom>
    </w:p>
    <w:p w14:paraId="7974D264" w14:textId="7BDA869B" w:rsidR="001452D7" w:rsidRPr="00C34E42" w:rsidDel="002153A2" w:rsidRDefault="001452D7" w:rsidP="00FA6851">
      <w:pPr>
        <w:pStyle w:val="a3"/>
        <w:rPr>
          <w:moveFrom w:id="38" w:author="만든 이" w16du:dateUtc="2025-09-09T06:34:00Z"/>
          <w:color w:val="000000"/>
          <w:lang w:val="sl-SI"/>
        </w:rPr>
      </w:pPr>
      <w:moveFrom w:id="39" w:author="만든 이" w16du:dateUtc="2025-09-09T06:34:00Z">
        <w:r w:rsidRPr="00C34E42" w:rsidDel="002153A2">
          <w:rPr>
            <w:color w:val="000000"/>
            <w:lang w:val="sl-SI"/>
          </w:rPr>
          <w:t>Francija</w:t>
        </w:r>
      </w:moveFrom>
    </w:p>
    <w:p w14:paraId="718F5815" w14:textId="096AF2B4" w:rsidR="002F4B1E" w:rsidRPr="00C34E42" w:rsidDel="002153A2" w:rsidRDefault="002F4B1E" w:rsidP="002F4B1E">
      <w:pPr>
        <w:pStyle w:val="a3"/>
        <w:rPr>
          <w:moveFrom w:id="40" w:author="만든 이" w16du:dateUtc="2025-09-09T06:34:00Z"/>
          <w:color w:val="000000"/>
          <w:lang w:val="es-ES_tradnl"/>
        </w:rPr>
      </w:pPr>
    </w:p>
    <w:moveFromRangeEnd w:id="32"/>
    <w:p w14:paraId="233323D4" w14:textId="77777777" w:rsidR="002F4B1E" w:rsidRPr="001B02C1" w:rsidRDefault="002F4B1E" w:rsidP="002F4B1E">
      <w:pPr>
        <w:pStyle w:val="a3"/>
        <w:rPr>
          <w:color w:val="000000"/>
          <w:lang w:val="es-ES_tradnl"/>
        </w:rPr>
      </w:pPr>
      <w:r w:rsidRPr="001B02C1">
        <w:rPr>
          <w:color w:val="000000"/>
          <w:lang w:val="es-ES_tradnl"/>
        </w:rPr>
        <w:t>Midas Pharma GmbH</w:t>
      </w:r>
    </w:p>
    <w:p w14:paraId="7BF23BC7" w14:textId="21617EE6" w:rsidR="002F4B1E" w:rsidRPr="001B02C1" w:rsidRDefault="002F4B1E" w:rsidP="002F4B1E">
      <w:pPr>
        <w:pStyle w:val="a3"/>
        <w:rPr>
          <w:color w:val="000000"/>
          <w:lang w:val="es-ES_tradnl"/>
        </w:rPr>
      </w:pPr>
      <w:r w:rsidRPr="001B02C1">
        <w:rPr>
          <w:color w:val="000000"/>
          <w:lang w:val="es-ES_tradnl"/>
        </w:rPr>
        <w:t xml:space="preserve">Rheinstr. 49 </w:t>
      </w:r>
    </w:p>
    <w:p w14:paraId="16EC313D" w14:textId="43AC9C7C" w:rsidR="002F4B1E" w:rsidRPr="001B02C1" w:rsidRDefault="002F4B1E" w:rsidP="002F4B1E">
      <w:pPr>
        <w:pStyle w:val="a3"/>
        <w:rPr>
          <w:color w:val="000000"/>
          <w:lang w:val="es-ES_tradnl"/>
        </w:rPr>
      </w:pPr>
      <w:r w:rsidRPr="001B02C1">
        <w:rPr>
          <w:color w:val="000000"/>
          <w:lang w:val="es-ES_tradnl"/>
        </w:rPr>
        <w:t>55218 Ingelheim</w:t>
      </w:r>
    </w:p>
    <w:p w14:paraId="7E29B305" w14:textId="7A05BB00" w:rsidR="002F4B1E" w:rsidRPr="00C34E42" w:rsidRDefault="002F4B1E" w:rsidP="002F4B1E">
      <w:pPr>
        <w:pStyle w:val="a3"/>
        <w:rPr>
          <w:color w:val="000000"/>
          <w:lang w:val="de-CH"/>
        </w:rPr>
      </w:pPr>
      <w:r w:rsidRPr="00C34E42">
        <w:rPr>
          <w:color w:val="000000"/>
          <w:lang w:val="de-CH"/>
        </w:rPr>
        <w:t>Nemčija</w:t>
      </w:r>
    </w:p>
    <w:p w14:paraId="20C5BA0F" w14:textId="77777777" w:rsidR="002F4B1E" w:rsidRPr="001B02C1" w:rsidRDefault="002F4B1E" w:rsidP="002F4B1E">
      <w:pPr>
        <w:pStyle w:val="a3"/>
        <w:rPr>
          <w:color w:val="000000"/>
          <w:lang w:val="es-ES_tradnl"/>
        </w:rPr>
      </w:pPr>
    </w:p>
    <w:p w14:paraId="5C7F9303" w14:textId="77777777" w:rsidR="002F4B1E" w:rsidRPr="00C34E42" w:rsidRDefault="002F4B1E" w:rsidP="002F4B1E">
      <w:pPr>
        <w:pStyle w:val="a3"/>
        <w:rPr>
          <w:color w:val="000000"/>
          <w:lang w:val="fr-FR"/>
        </w:rPr>
      </w:pPr>
      <w:r w:rsidRPr="00C34E42">
        <w:rPr>
          <w:color w:val="000000"/>
          <w:lang w:val="fr-FR"/>
        </w:rPr>
        <w:t xml:space="preserve">KYMOS S.L. </w:t>
      </w:r>
    </w:p>
    <w:p w14:paraId="2537B175" w14:textId="77777777" w:rsidR="002F4B1E" w:rsidRPr="00C34E42" w:rsidRDefault="002F4B1E" w:rsidP="002F4B1E">
      <w:pPr>
        <w:pStyle w:val="a3"/>
        <w:rPr>
          <w:color w:val="000000"/>
          <w:lang w:val="fr-FR"/>
        </w:rPr>
      </w:pPr>
      <w:r w:rsidRPr="00C34E42">
        <w:rPr>
          <w:color w:val="000000"/>
          <w:lang w:val="fr-FR"/>
        </w:rPr>
        <w:t xml:space="preserve">Ronda Can Fatjó, 7B. </w:t>
      </w:r>
    </w:p>
    <w:p w14:paraId="649FA766" w14:textId="14788C04" w:rsidR="002F4B1E" w:rsidRPr="00C34E42" w:rsidRDefault="002F4B1E" w:rsidP="002F4B1E">
      <w:pPr>
        <w:pStyle w:val="a3"/>
        <w:rPr>
          <w:color w:val="000000"/>
          <w:lang w:val="fr-FR"/>
        </w:rPr>
      </w:pPr>
      <w:r w:rsidRPr="00C34E42">
        <w:rPr>
          <w:color w:val="000000"/>
          <w:lang w:val="fr-FR"/>
        </w:rPr>
        <w:t xml:space="preserve">08290 Cerdanyola del Vallès </w:t>
      </w:r>
    </w:p>
    <w:p w14:paraId="5BE5E259" w14:textId="69FE6929" w:rsidR="002F4B1E" w:rsidRPr="00C34E42" w:rsidRDefault="002F4B1E" w:rsidP="002F4B1E">
      <w:pPr>
        <w:pStyle w:val="a3"/>
        <w:rPr>
          <w:color w:val="000000"/>
          <w:lang w:val="fr-FR"/>
        </w:rPr>
      </w:pPr>
      <w:r w:rsidRPr="00C34E42">
        <w:rPr>
          <w:color w:val="000000"/>
          <w:lang w:val="fr-FR"/>
        </w:rPr>
        <w:t xml:space="preserve">Barcelona </w:t>
      </w:r>
    </w:p>
    <w:p w14:paraId="1D29588F" w14:textId="44A0E830" w:rsidR="002F4B1E" w:rsidRPr="002F4B1E" w:rsidRDefault="002F4B1E" w:rsidP="002F4B1E">
      <w:pPr>
        <w:pStyle w:val="a3"/>
        <w:rPr>
          <w:color w:val="000000"/>
          <w:lang w:val="fr-FR"/>
        </w:rPr>
      </w:pPr>
      <w:r w:rsidRPr="00C34E42">
        <w:rPr>
          <w:color w:val="000000"/>
          <w:lang w:val="fr-FR"/>
        </w:rPr>
        <w:t>Španija</w:t>
      </w:r>
    </w:p>
    <w:p w14:paraId="11B8353A" w14:textId="77777777" w:rsidR="001452D7" w:rsidRDefault="001452D7" w:rsidP="00FA6851">
      <w:pPr>
        <w:pStyle w:val="a3"/>
        <w:rPr>
          <w:color w:val="000000"/>
          <w:lang w:val="sl-SI"/>
        </w:rPr>
      </w:pPr>
    </w:p>
    <w:p w14:paraId="62DE9EF3" w14:textId="77777777" w:rsidR="001452D7" w:rsidRPr="00FA6851" w:rsidRDefault="001452D7" w:rsidP="00FA6851">
      <w:pPr>
        <w:pStyle w:val="a3"/>
        <w:rPr>
          <w:color w:val="000000"/>
          <w:lang w:val="sl-SI"/>
        </w:rPr>
      </w:pPr>
      <w:r w:rsidRPr="00FA6851">
        <w:rPr>
          <w:color w:val="000000"/>
          <w:lang w:val="sl-SI"/>
        </w:rPr>
        <w:t>V natisnjenem navodilu za uporabo zdravila morata biti navedena ime in naslov proizvajalca, odgovornega za sprostitev zadevne serije.</w:t>
      </w:r>
    </w:p>
    <w:p w14:paraId="4BE115BB" w14:textId="77777777" w:rsidR="001452D7" w:rsidRPr="001452D7" w:rsidRDefault="001452D7">
      <w:pPr>
        <w:pStyle w:val="a3"/>
        <w:rPr>
          <w:lang w:val="sl-SI"/>
        </w:rPr>
      </w:pPr>
    </w:p>
    <w:p w14:paraId="66787286" w14:textId="77777777" w:rsidR="00E04C8A" w:rsidRDefault="00E04C8A">
      <w:pPr>
        <w:pStyle w:val="a3"/>
        <w:rPr>
          <w:lang w:val="sl-SI"/>
        </w:rPr>
      </w:pPr>
    </w:p>
    <w:p w14:paraId="35CE71D8" w14:textId="77777777" w:rsidR="00E04C8A" w:rsidRDefault="008E1817">
      <w:pPr>
        <w:pStyle w:val="1"/>
        <w:numPr>
          <w:ilvl w:val="0"/>
          <w:numId w:val="34"/>
        </w:numPr>
        <w:ind w:left="360"/>
        <w:rPr>
          <w:lang w:val="sl-SI"/>
        </w:rPr>
      </w:pPr>
      <w:bookmarkStart w:id="41" w:name="B._CONDITIONS_OR_RESTRICTIONS_REGARDING_"/>
      <w:bookmarkEnd w:id="41"/>
      <w:r>
        <w:rPr>
          <w:rFonts w:cs="Arial"/>
          <w:lang w:val="sl-SI"/>
        </w:rPr>
        <w:t>POGOJI ALI OMEJITVE GLEDE OSKRBE IN UPORABE</w:t>
      </w:r>
    </w:p>
    <w:p w14:paraId="4BF24C47" w14:textId="77777777" w:rsidR="00E04C8A" w:rsidRDefault="00E04C8A">
      <w:pPr>
        <w:spacing w:before="12" w:line="240" w:lineRule="exact"/>
        <w:rPr>
          <w:sz w:val="24"/>
          <w:szCs w:val="24"/>
          <w:lang w:val="sl-SI"/>
        </w:rPr>
      </w:pPr>
    </w:p>
    <w:p w14:paraId="29650D58" w14:textId="77777777" w:rsidR="00E04C8A" w:rsidRDefault="008E1817">
      <w:pPr>
        <w:pStyle w:val="a3"/>
        <w:rPr>
          <w:lang w:val="sl-SI"/>
        </w:rPr>
      </w:pPr>
      <w:r>
        <w:rPr>
          <w:rFonts w:eastAsia="Times New Roman"/>
          <w:lang w:val="sl-SI"/>
        </w:rPr>
        <w:t>Predpisovanje in izdaja zdravila je le na recept s posebnim režimom (glejte Prilogo I: Povzetek glavnih značilnosti zdravila, poglavje 4.2).</w:t>
      </w:r>
    </w:p>
    <w:p w14:paraId="24BDC2BC" w14:textId="77777777" w:rsidR="00E04C8A" w:rsidRDefault="00E04C8A">
      <w:pPr>
        <w:spacing w:before="7" w:line="100" w:lineRule="exact"/>
        <w:rPr>
          <w:sz w:val="10"/>
          <w:szCs w:val="10"/>
          <w:lang w:val="sl-SI"/>
        </w:rPr>
      </w:pPr>
    </w:p>
    <w:p w14:paraId="1EE47101" w14:textId="77777777" w:rsidR="00E04C8A" w:rsidRDefault="00E04C8A">
      <w:pPr>
        <w:spacing w:line="200" w:lineRule="exact"/>
        <w:rPr>
          <w:sz w:val="20"/>
          <w:szCs w:val="20"/>
          <w:lang w:val="sl-SI"/>
        </w:rPr>
      </w:pPr>
    </w:p>
    <w:p w14:paraId="3CCFEA83" w14:textId="77777777" w:rsidR="00E04C8A" w:rsidRDefault="00E04C8A">
      <w:pPr>
        <w:pStyle w:val="a3"/>
        <w:rPr>
          <w:lang w:val="sl-SI"/>
        </w:rPr>
      </w:pPr>
    </w:p>
    <w:p w14:paraId="0F647172" w14:textId="77777777" w:rsidR="00E04C8A" w:rsidRDefault="008E1817">
      <w:pPr>
        <w:pStyle w:val="1"/>
        <w:numPr>
          <w:ilvl w:val="0"/>
          <w:numId w:val="34"/>
        </w:numPr>
        <w:ind w:left="360"/>
        <w:rPr>
          <w:lang w:val="sl-SI"/>
        </w:rPr>
      </w:pPr>
      <w:bookmarkStart w:id="42" w:name="C.__OTHER_CONDITIONS_AND_REQUIREMENTS_OF"/>
      <w:bookmarkEnd w:id="42"/>
      <w:r>
        <w:rPr>
          <w:rFonts w:cs="Arial"/>
          <w:lang w:val="sl-SI"/>
        </w:rPr>
        <w:t>DRUGI POGOJI IN ZAHTEVE DOVOLJENJA ZA PROMET Z ZDRAVILOM</w:t>
      </w:r>
    </w:p>
    <w:p w14:paraId="1B60CB54" w14:textId="77777777" w:rsidR="00E04C8A" w:rsidRDefault="00E04C8A">
      <w:pPr>
        <w:spacing w:before="13" w:line="240" w:lineRule="exact"/>
        <w:rPr>
          <w:sz w:val="24"/>
          <w:szCs w:val="24"/>
          <w:lang w:val="sl-SI"/>
        </w:rPr>
      </w:pPr>
    </w:p>
    <w:p w14:paraId="6B650FBC" w14:textId="77777777" w:rsidR="00E04C8A" w:rsidRDefault="008E1817">
      <w:pPr>
        <w:numPr>
          <w:ilvl w:val="1"/>
          <w:numId w:val="8"/>
        </w:numPr>
        <w:tabs>
          <w:tab w:val="left" w:pos="831"/>
        </w:tabs>
        <w:ind w:left="831"/>
        <w:rPr>
          <w:rFonts w:ascii="Times New Roman" w:eastAsia="Times New Roman" w:hAnsi="Times New Roman" w:cs="Times New Roman"/>
          <w:lang w:val="sl-SI"/>
        </w:rPr>
      </w:pPr>
      <w:r>
        <w:rPr>
          <w:rFonts w:ascii="Times New Roman" w:eastAsia="Times New Roman" w:hAnsi="Times New Roman" w:cs="Times New Roman"/>
          <w:b/>
          <w:bCs/>
          <w:spacing w:val="-1"/>
          <w:lang w:val="sl-SI"/>
        </w:rPr>
        <w:t>Redno posodobljena poročila o varnosti zdravila (PSUR)</w:t>
      </w:r>
    </w:p>
    <w:p w14:paraId="1F197E4F" w14:textId="77777777" w:rsidR="00E04C8A" w:rsidRDefault="00E04C8A">
      <w:pPr>
        <w:tabs>
          <w:tab w:val="left" w:pos="831"/>
        </w:tabs>
        <w:rPr>
          <w:rFonts w:ascii="Times New Roman" w:eastAsia="Times New Roman" w:hAnsi="Times New Roman" w:cs="Times New Roman"/>
          <w:lang w:val="sl-SI"/>
        </w:rPr>
      </w:pPr>
    </w:p>
    <w:p w14:paraId="300F5C77" w14:textId="77777777" w:rsidR="00E04C8A" w:rsidRDefault="008E1817">
      <w:pPr>
        <w:pStyle w:val="a3"/>
        <w:rPr>
          <w:lang w:val="sl-SI"/>
        </w:rPr>
      </w:pPr>
      <w:r>
        <w:rPr>
          <w:rFonts w:eastAsia="Times New Roman"/>
          <w:lang w:val="sl-SI"/>
        </w:rPr>
        <w:t>Zahteve glede predložitve PSUR za to zdravilo so določene v seznamu referenčnih datumov EU (seznamu EURD), opredeljenem v členu 107c(7) Direktive 2001/83/ES, in vseh kasnejših posodobitvah, objavljenih na evropskem spletnem portalu o zdravilih.</w:t>
      </w:r>
    </w:p>
    <w:p w14:paraId="585B0ACF" w14:textId="77777777" w:rsidR="00E04C8A" w:rsidRDefault="00E04C8A">
      <w:pPr>
        <w:spacing w:line="200" w:lineRule="exact"/>
        <w:rPr>
          <w:sz w:val="20"/>
          <w:szCs w:val="20"/>
          <w:lang w:val="sl-SI"/>
        </w:rPr>
      </w:pPr>
    </w:p>
    <w:p w14:paraId="37BA8F47" w14:textId="77777777" w:rsidR="00E04C8A" w:rsidRDefault="00E04C8A">
      <w:pPr>
        <w:pStyle w:val="a3"/>
        <w:rPr>
          <w:lang w:val="sl-SI"/>
        </w:rPr>
      </w:pPr>
    </w:p>
    <w:p w14:paraId="0B1755BC" w14:textId="77777777" w:rsidR="00E04C8A" w:rsidRDefault="008E1817">
      <w:pPr>
        <w:pStyle w:val="1"/>
        <w:numPr>
          <w:ilvl w:val="0"/>
          <w:numId w:val="34"/>
        </w:numPr>
        <w:ind w:left="360"/>
        <w:rPr>
          <w:lang w:val="sl-SI"/>
        </w:rPr>
      </w:pPr>
      <w:bookmarkStart w:id="43" w:name="D._CONDITIONS_OR_RESTRICTIONS_WITH_REGAR"/>
      <w:bookmarkEnd w:id="43"/>
      <w:r>
        <w:rPr>
          <w:rFonts w:cs="Arial"/>
          <w:lang w:val="sl-SI"/>
        </w:rPr>
        <w:t>POGOJI ALI OMEJITVE V ZVEZI Z VARNO IN UČINKOVITO UPORABO ZDRAVILA</w:t>
      </w:r>
    </w:p>
    <w:p w14:paraId="1940D6F4" w14:textId="77777777" w:rsidR="00E04C8A" w:rsidRDefault="00E04C8A">
      <w:pPr>
        <w:spacing w:before="20" w:line="220" w:lineRule="exact"/>
        <w:rPr>
          <w:lang w:val="sl-SI"/>
        </w:rPr>
      </w:pPr>
    </w:p>
    <w:p w14:paraId="67831752" w14:textId="77777777" w:rsidR="00E04C8A" w:rsidRDefault="008E1817">
      <w:pPr>
        <w:numPr>
          <w:ilvl w:val="0"/>
          <w:numId w:val="16"/>
        </w:numPr>
        <w:tabs>
          <w:tab w:val="left" w:pos="660"/>
        </w:tabs>
        <w:ind w:left="660" w:hanging="550"/>
        <w:rPr>
          <w:rFonts w:ascii="Times New Roman" w:eastAsia="Times New Roman" w:hAnsi="Times New Roman" w:cs="Times New Roman"/>
          <w:lang w:val="sl-SI"/>
        </w:rPr>
      </w:pPr>
      <w:r>
        <w:rPr>
          <w:rFonts w:ascii="Times New Roman" w:eastAsia="Times New Roman" w:hAnsi="Times New Roman" w:cs="Times New Roman"/>
          <w:b/>
          <w:bCs/>
          <w:spacing w:val="-1"/>
          <w:lang w:val="sl-SI"/>
        </w:rPr>
        <w:lastRenderedPageBreak/>
        <w:t>Načrt za obvladovanje tveganj (RMP)</w:t>
      </w:r>
    </w:p>
    <w:p w14:paraId="2B2285F9" w14:textId="77777777" w:rsidR="00E04C8A" w:rsidRDefault="00E04C8A">
      <w:pPr>
        <w:spacing w:before="1" w:line="260" w:lineRule="exact"/>
        <w:rPr>
          <w:sz w:val="26"/>
          <w:szCs w:val="26"/>
          <w:lang w:val="sl-SI"/>
        </w:rPr>
      </w:pPr>
    </w:p>
    <w:p w14:paraId="667A6B7C" w14:textId="77777777" w:rsidR="00E04C8A" w:rsidRDefault="008E1817">
      <w:pPr>
        <w:pStyle w:val="a3"/>
        <w:rPr>
          <w:lang w:val="sl-SI"/>
        </w:rPr>
      </w:pPr>
      <w:r>
        <w:rPr>
          <w:rFonts w:eastAsia="Times New Roman"/>
          <w:lang w:val="sl-SI"/>
        </w:rPr>
        <w:t>Imetnik dovoljenja za promet z zdravilom bo izvedel zahtevane farmakovigilančne aktivnosti in ukrepe, podrobno opisane v sprejetem RMP, predloženem v modulu 1.8.2 dovoljenja za promet z zdravilom, in vseh nadaljnjih sprejetih posodobitvah RMP.</w:t>
      </w:r>
    </w:p>
    <w:p w14:paraId="017A5F93" w14:textId="77777777" w:rsidR="00E04C8A" w:rsidRDefault="00E04C8A">
      <w:pPr>
        <w:spacing w:before="11" w:line="240" w:lineRule="exact"/>
        <w:rPr>
          <w:sz w:val="24"/>
          <w:szCs w:val="24"/>
          <w:lang w:val="sl-SI"/>
        </w:rPr>
      </w:pPr>
    </w:p>
    <w:p w14:paraId="4EB1309D" w14:textId="77777777" w:rsidR="00E04C8A" w:rsidRDefault="008E1817">
      <w:pPr>
        <w:pStyle w:val="a3"/>
        <w:rPr>
          <w:lang w:val="sl-SI"/>
        </w:rPr>
      </w:pPr>
      <w:r>
        <w:rPr>
          <w:rFonts w:eastAsia="Times New Roman"/>
          <w:lang w:val="sl-SI"/>
        </w:rPr>
        <w:t>Posodobljen RMP je treba predložiti:</w:t>
      </w:r>
    </w:p>
    <w:p w14:paraId="7EA2E94C" w14:textId="77777777" w:rsidR="00E04C8A" w:rsidRDefault="008E1817">
      <w:pPr>
        <w:pStyle w:val="a3"/>
        <w:numPr>
          <w:ilvl w:val="1"/>
          <w:numId w:val="16"/>
        </w:numPr>
        <w:ind w:left="660" w:hanging="660"/>
        <w:rPr>
          <w:lang w:val="sl-SI"/>
        </w:rPr>
      </w:pPr>
      <w:r>
        <w:rPr>
          <w:rFonts w:eastAsia="Times New Roman"/>
          <w:lang w:val="sl-SI"/>
        </w:rPr>
        <w:t>na zahtevo Evropske agencije za zdravila;</w:t>
      </w:r>
    </w:p>
    <w:p w14:paraId="4ADD145A" w14:textId="77777777" w:rsidR="00E04C8A" w:rsidRDefault="008E1817">
      <w:pPr>
        <w:pStyle w:val="a3"/>
        <w:numPr>
          <w:ilvl w:val="1"/>
          <w:numId w:val="16"/>
        </w:numPr>
        <w:ind w:left="660" w:hanging="660"/>
        <w:rPr>
          <w:lang w:val="sl-SI"/>
        </w:rPr>
      </w:pPr>
      <w:r>
        <w:rPr>
          <w:rFonts w:eastAsia="Times New Roman"/>
          <w:lang w:val="sl-SI"/>
        </w:rPr>
        <w:t>ob vsakršni spremembi sistema za obvladovanje tveganj, zlasti kadar je tovrstna sprememba posledica prejema novih informacij, ki lahko privedejo do znatne spremembe razmerja med koristmi in tveganji, ali kadar je ta sprememba posledica tega, da je bil dosežen pomemben mejnik (farmakovigilančni ali povezan z zmanjševanjem tveganja).</w:t>
      </w:r>
    </w:p>
    <w:p w14:paraId="1E629165" w14:textId="77777777" w:rsidR="00E04C8A" w:rsidRDefault="00E04C8A">
      <w:pPr>
        <w:spacing w:before="2" w:line="240" w:lineRule="exact"/>
        <w:rPr>
          <w:sz w:val="24"/>
          <w:szCs w:val="24"/>
          <w:lang w:val="sl-SI"/>
        </w:rPr>
      </w:pPr>
    </w:p>
    <w:p w14:paraId="46709B38" w14:textId="77777777" w:rsidR="00E04C8A" w:rsidRDefault="008E1817">
      <w:pPr>
        <w:numPr>
          <w:ilvl w:val="0"/>
          <w:numId w:val="16"/>
        </w:numPr>
        <w:tabs>
          <w:tab w:val="left" w:pos="660"/>
        </w:tabs>
        <w:ind w:left="660" w:hanging="550"/>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Dodatni ukrepi za zmanjševanje tveganj</w:t>
      </w:r>
    </w:p>
    <w:p w14:paraId="68FF90C7" w14:textId="77777777" w:rsidR="00E04C8A" w:rsidRDefault="00E04C8A">
      <w:pPr>
        <w:spacing w:before="17" w:line="240" w:lineRule="exact"/>
        <w:rPr>
          <w:rFonts w:ascii="Times New Roman" w:hAnsi="Times New Roman" w:cs="Times New Roman"/>
          <w:lang w:val="sl-SI"/>
        </w:rPr>
      </w:pPr>
    </w:p>
    <w:p w14:paraId="2F620F8A" w14:textId="77777777" w:rsidR="00E04C8A" w:rsidRDefault="008E1817">
      <w:pPr>
        <w:spacing w:before="17" w:line="240" w:lineRule="exact"/>
        <w:rPr>
          <w:rFonts w:ascii="Times New Roman" w:hAnsi="Times New Roman" w:cs="Times New Roman"/>
          <w:lang w:val="sl-SI"/>
        </w:rPr>
      </w:pPr>
      <w:r>
        <w:rPr>
          <w:rFonts w:ascii="Times New Roman" w:eastAsia="Times New Roman" w:hAnsi="Times New Roman" w:cs="Times New Roman"/>
          <w:lang w:val="sl-SI"/>
        </w:rPr>
        <w:t>Pred prihodom zdravila Yuflyma na trg v posamezni državi članici se mora imetnik dovoljenja za promet z zdravilom s pristojnim nacionalnim organom dogovoriti o vsebini in obliki izobraževalnega programa, vključno s sredstvi obveščanja, načini razdeljevanja in morebitnimi drugimi vidiki programa. Izobraževalni program je sestavljen iz opozorilne kartice za bolnika.</w:t>
      </w:r>
    </w:p>
    <w:p w14:paraId="5FFAF487" w14:textId="77777777" w:rsidR="00E04C8A" w:rsidRDefault="00E04C8A">
      <w:pPr>
        <w:spacing w:before="17" w:line="240" w:lineRule="exact"/>
        <w:rPr>
          <w:rFonts w:ascii="Times New Roman" w:hAnsi="Times New Roman" w:cs="Times New Roman"/>
          <w:lang w:val="sl-SI"/>
        </w:rPr>
      </w:pPr>
    </w:p>
    <w:p w14:paraId="3983BF40" w14:textId="6956382D" w:rsidR="00E04C8A" w:rsidRDefault="008E1817">
      <w:pPr>
        <w:pStyle w:val="a3"/>
        <w:rPr>
          <w:lang w:val="sl-SI"/>
        </w:rPr>
      </w:pPr>
      <w:r>
        <w:rPr>
          <w:rFonts w:eastAsia="Times New Roman"/>
          <w:lang w:val="sl-SI"/>
        </w:rPr>
        <w:t>Opozorilna kartica za bolnika vsebuje pomembne varnostne informacije, ki jih mora bolnik poznati pred zdravljenjem z zdravilom Yuflyma in med njim. Namen opozorilne kartice je poudariti tveganj</w:t>
      </w:r>
      <w:r w:rsidR="00D945D4">
        <w:rPr>
          <w:rFonts w:eastAsia="Times New Roman"/>
          <w:lang w:val="sl-SI"/>
        </w:rPr>
        <w:t>a</w:t>
      </w:r>
      <w:r>
        <w:rPr>
          <w:rFonts w:eastAsia="Times New Roman"/>
          <w:lang w:val="sl-SI"/>
        </w:rPr>
        <w:t xml:space="preserve"> za resne okužbe, tuberkulozo (TB), malignome, demielinizacijske bolezni (vključno z multiplo sklerozo [MS], Guillain-Barré</w:t>
      </w:r>
      <w:r w:rsidR="00D945D4">
        <w:rPr>
          <w:rFonts w:eastAsia="Times New Roman"/>
          <w:lang w:val="sl-SI"/>
        </w:rPr>
        <w:t>je</w:t>
      </w:r>
      <w:r>
        <w:rPr>
          <w:rFonts w:eastAsia="Times New Roman"/>
          <w:lang w:val="sl-SI"/>
        </w:rPr>
        <w:t xml:space="preserve">vim sindromom [GBS] in optičnim nevritisom [ON]) </w:t>
      </w:r>
      <w:r w:rsidR="00D945D4">
        <w:rPr>
          <w:rFonts w:eastAsia="Times New Roman"/>
          <w:lang w:val="sl-SI"/>
        </w:rPr>
        <w:t xml:space="preserve">ter </w:t>
      </w:r>
      <w:r>
        <w:rPr>
          <w:rFonts w:eastAsia="Times New Roman"/>
          <w:lang w:val="sl-SI"/>
        </w:rPr>
        <w:t xml:space="preserve">bolezen BCG po cepljenju z živim cepivom BCG pri dojenčkih, izpostavljenih zdravilu Yuflyma </w:t>
      </w:r>
      <w:r>
        <w:rPr>
          <w:rFonts w:eastAsia="Times New Roman"/>
          <w:i/>
          <w:iCs/>
          <w:lang w:val="sl-SI"/>
        </w:rPr>
        <w:t>in utero</w:t>
      </w:r>
      <w:r>
        <w:rPr>
          <w:rFonts w:eastAsia="Times New Roman"/>
          <w:lang w:val="sl-SI"/>
        </w:rPr>
        <w:t>.</w:t>
      </w:r>
    </w:p>
    <w:p w14:paraId="0E4CDCC9" w14:textId="77777777" w:rsidR="00E04C8A" w:rsidRDefault="00E04C8A">
      <w:pPr>
        <w:pStyle w:val="a3"/>
        <w:rPr>
          <w:lang w:val="sl-SI"/>
        </w:rPr>
      </w:pPr>
    </w:p>
    <w:p w14:paraId="35BEB907" w14:textId="2BB6137B" w:rsidR="00E04C8A" w:rsidRDefault="008E1817">
      <w:pPr>
        <w:pStyle w:val="a3"/>
        <w:rPr>
          <w:lang w:val="sl-SI"/>
        </w:rPr>
      </w:pPr>
      <w:r>
        <w:rPr>
          <w:rFonts w:eastAsia="Times New Roman"/>
          <w:lang w:val="sl-SI"/>
        </w:rPr>
        <w:t xml:space="preserve">Imetnik dovoljenja za promet z zdravilom mora zagotoviti, da </w:t>
      </w:r>
      <w:r w:rsidR="00D945D4">
        <w:rPr>
          <w:rFonts w:eastAsia="Times New Roman"/>
          <w:lang w:val="sl-SI"/>
        </w:rPr>
        <w:t xml:space="preserve">bodo </w:t>
      </w:r>
      <w:r>
        <w:rPr>
          <w:rFonts w:eastAsia="Times New Roman"/>
          <w:lang w:val="sl-SI"/>
        </w:rPr>
        <w:t>v vsaki državi članici, v kateri bo tržil zdravilo Yuflyma, vsi zdravstveni delavci, ki bodo predvidoma predpisovali in vsi bolniki, ki bodo predvidoma uporabljali adalimumab, prejeli naslednje izobraževalno gradivo oziroma imajo dostop do njega:</w:t>
      </w:r>
    </w:p>
    <w:p w14:paraId="70CD093F" w14:textId="77777777" w:rsidR="00E04C8A" w:rsidRDefault="00E04C8A">
      <w:pPr>
        <w:spacing w:before="17" w:line="240" w:lineRule="exact"/>
        <w:rPr>
          <w:sz w:val="24"/>
          <w:szCs w:val="24"/>
          <w:lang w:val="sl-SI"/>
        </w:rPr>
      </w:pPr>
    </w:p>
    <w:p w14:paraId="04E8AF93" w14:textId="1D1FE980" w:rsidR="00E04C8A" w:rsidRDefault="008E1817">
      <w:pPr>
        <w:pStyle w:val="a3"/>
        <w:rPr>
          <w:lang w:val="sl-SI"/>
        </w:rPr>
      </w:pPr>
      <w:r>
        <w:rPr>
          <w:rFonts w:eastAsia="Times New Roman"/>
          <w:b/>
          <w:bCs/>
          <w:lang w:val="sl-SI"/>
        </w:rPr>
        <w:t>Opozoriln</w:t>
      </w:r>
      <w:r w:rsidR="00C804B0">
        <w:rPr>
          <w:rFonts w:eastAsia="Times New Roman"/>
          <w:b/>
          <w:bCs/>
          <w:lang w:val="sl-SI"/>
        </w:rPr>
        <w:t>a</w:t>
      </w:r>
      <w:r>
        <w:rPr>
          <w:rFonts w:eastAsia="Times New Roman"/>
          <w:b/>
          <w:bCs/>
          <w:lang w:val="sl-SI"/>
        </w:rPr>
        <w:t xml:space="preserve"> kartic</w:t>
      </w:r>
      <w:r w:rsidR="00C804B0">
        <w:rPr>
          <w:rFonts w:eastAsia="Times New Roman"/>
          <w:b/>
          <w:bCs/>
          <w:lang w:val="sl-SI"/>
        </w:rPr>
        <w:t>a</w:t>
      </w:r>
      <w:r>
        <w:rPr>
          <w:rFonts w:eastAsia="Times New Roman"/>
          <w:b/>
          <w:bCs/>
          <w:lang w:val="sl-SI"/>
        </w:rPr>
        <w:t xml:space="preserve"> za bolnika (odrasli in pediatrični bolniki)</w:t>
      </w:r>
      <w:r w:rsidR="00C804B0">
        <w:rPr>
          <w:rFonts w:eastAsia="Times New Roman"/>
          <w:b/>
          <w:bCs/>
          <w:lang w:val="sl-SI"/>
        </w:rPr>
        <w:t>, ki</w:t>
      </w:r>
      <w:r>
        <w:rPr>
          <w:rFonts w:eastAsia="Times New Roman"/>
          <w:lang w:val="sl-SI"/>
        </w:rPr>
        <w:t xml:space="preserve"> vsebuje naslednje ključne elemente:</w:t>
      </w:r>
    </w:p>
    <w:p w14:paraId="6DA44D47" w14:textId="77777777" w:rsidR="00E04C8A" w:rsidRDefault="00E04C8A">
      <w:pPr>
        <w:spacing w:before="13" w:line="240" w:lineRule="exact"/>
        <w:rPr>
          <w:sz w:val="24"/>
          <w:szCs w:val="24"/>
          <w:lang w:val="sl-SI"/>
        </w:rPr>
      </w:pPr>
    </w:p>
    <w:p w14:paraId="53358372" w14:textId="77777777" w:rsidR="00E04C8A" w:rsidRDefault="008E1817">
      <w:pPr>
        <w:pStyle w:val="a3"/>
        <w:numPr>
          <w:ilvl w:val="0"/>
          <w:numId w:val="110"/>
        </w:numPr>
        <w:ind w:left="360"/>
        <w:rPr>
          <w:lang w:val="sl-SI"/>
        </w:rPr>
      </w:pPr>
      <w:r>
        <w:rPr>
          <w:rFonts w:eastAsia="Times New Roman"/>
          <w:lang w:val="sl-SI"/>
        </w:rPr>
        <w:t xml:space="preserve">zdravljenje z zdravilom Yuflyma lahko poveča tveganje za okužbe, vključno s tuberkulozo, </w:t>
      </w:r>
      <w:r w:rsidR="00C804B0">
        <w:rPr>
          <w:rFonts w:eastAsia="Times New Roman"/>
          <w:lang w:val="sl-SI"/>
        </w:rPr>
        <w:t xml:space="preserve">tveganje za </w:t>
      </w:r>
      <w:r>
        <w:rPr>
          <w:rFonts w:eastAsia="Times New Roman"/>
          <w:lang w:val="sl-SI"/>
        </w:rPr>
        <w:t>rak</w:t>
      </w:r>
      <w:r w:rsidR="00C804B0">
        <w:rPr>
          <w:rFonts w:eastAsia="Times New Roman"/>
          <w:lang w:val="sl-SI"/>
        </w:rPr>
        <w:t>a</w:t>
      </w:r>
      <w:r>
        <w:rPr>
          <w:rFonts w:eastAsia="Times New Roman"/>
          <w:lang w:val="sl-SI"/>
        </w:rPr>
        <w:t xml:space="preserve"> in </w:t>
      </w:r>
    </w:p>
    <w:p w14:paraId="4700808F" w14:textId="77777777" w:rsidR="00E04C8A" w:rsidRDefault="008E1817">
      <w:pPr>
        <w:pStyle w:val="a3"/>
        <w:numPr>
          <w:ilvl w:val="0"/>
          <w:numId w:val="110"/>
        </w:numPr>
        <w:ind w:left="360"/>
        <w:rPr>
          <w:lang w:val="sl-SI"/>
        </w:rPr>
      </w:pPr>
      <w:r>
        <w:rPr>
          <w:rFonts w:eastAsia="Times New Roman"/>
          <w:lang w:val="sl-SI"/>
        </w:rPr>
        <w:t>težave z živčevjem;</w:t>
      </w:r>
    </w:p>
    <w:p w14:paraId="7950C71C" w14:textId="6C4D98CE" w:rsidR="00E04C8A" w:rsidRDefault="008E1817">
      <w:pPr>
        <w:pStyle w:val="a3"/>
        <w:numPr>
          <w:ilvl w:val="0"/>
          <w:numId w:val="110"/>
        </w:numPr>
        <w:ind w:left="360"/>
        <w:rPr>
          <w:lang w:val="sl-SI"/>
        </w:rPr>
      </w:pPr>
      <w:r>
        <w:rPr>
          <w:rFonts w:eastAsia="Times New Roman"/>
          <w:lang w:val="sl-SI"/>
        </w:rPr>
        <w:t xml:space="preserve">znake ali simptome teh varnostnih </w:t>
      </w:r>
      <w:r w:rsidR="00C804B0">
        <w:rPr>
          <w:rFonts w:eastAsia="Times New Roman"/>
          <w:lang w:val="sl-SI"/>
        </w:rPr>
        <w:t>tveganj</w:t>
      </w:r>
      <w:r>
        <w:rPr>
          <w:rFonts w:eastAsia="Times New Roman"/>
          <w:lang w:val="sl-SI"/>
        </w:rPr>
        <w:t xml:space="preserve"> in kdaj poiskati pomoč zdravstvenega delavca;</w:t>
      </w:r>
    </w:p>
    <w:p w14:paraId="2AF38338" w14:textId="77777777" w:rsidR="00E04C8A" w:rsidRDefault="008E1817">
      <w:pPr>
        <w:pStyle w:val="a3"/>
        <w:numPr>
          <w:ilvl w:val="0"/>
          <w:numId w:val="110"/>
        </w:numPr>
        <w:ind w:left="360"/>
        <w:rPr>
          <w:lang w:val="sl-SI"/>
        </w:rPr>
      </w:pPr>
      <w:r>
        <w:rPr>
          <w:rFonts w:eastAsia="Times New Roman"/>
          <w:lang w:val="sl-SI"/>
        </w:rPr>
        <w:t>pomembnost tega, da se bolnik ne cepi z živimi cepivi in obveščanje zdravstvenega delavca o nosečnosti bolnice, ki se zdravi;</w:t>
      </w:r>
    </w:p>
    <w:p w14:paraId="5AFDD388" w14:textId="77EC17B6" w:rsidR="00E04C8A" w:rsidRDefault="008E1817">
      <w:pPr>
        <w:pStyle w:val="a3"/>
        <w:numPr>
          <w:ilvl w:val="0"/>
          <w:numId w:val="110"/>
        </w:numPr>
        <w:ind w:left="360"/>
        <w:rPr>
          <w:lang w:val="sl-SI"/>
        </w:rPr>
      </w:pPr>
      <w:r>
        <w:rPr>
          <w:rFonts w:eastAsia="Times New Roman"/>
          <w:lang w:val="sl-SI"/>
        </w:rPr>
        <w:t>navodila za beleženje tr</w:t>
      </w:r>
      <w:r w:rsidR="00C804B0">
        <w:rPr>
          <w:rFonts w:eastAsia="Times New Roman"/>
          <w:lang w:val="sl-SI"/>
        </w:rPr>
        <w:t>žnega</w:t>
      </w:r>
      <w:r>
        <w:rPr>
          <w:rFonts w:eastAsia="Times New Roman"/>
          <w:lang w:val="sl-SI"/>
        </w:rPr>
        <w:t xml:space="preserve"> imena in številke serije zdravila, da se zagotovi sledljivost;</w:t>
      </w:r>
    </w:p>
    <w:p w14:paraId="56A90097" w14:textId="77777777" w:rsidR="00E04C8A" w:rsidRDefault="008E1817">
      <w:pPr>
        <w:pStyle w:val="a3"/>
        <w:numPr>
          <w:ilvl w:val="0"/>
          <w:numId w:val="110"/>
        </w:numPr>
        <w:ind w:left="360"/>
        <w:rPr>
          <w:lang w:val="sl-SI"/>
        </w:rPr>
      </w:pPr>
      <w:r>
        <w:rPr>
          <w:rFonts w:eastAsia="Times New Roman"/>
          <w:lang w:val="sl-SI"/>
        </w:rPr>
        <w:t>kontaktne podatke zdravnika, ki je adalimumab predpisal.</w:t>
      </w:r>
    </w:p>
    <w:p w14:paraId="2C88882F" w14:textId="77777777" w:rsidR="00E04C8A" w:rsidRDefault="008E1817">
      <w:pPr>
        <w:rPr>
          <w:lang w:val="sl-SI"/>
        </w:rPr>
      </w:pPr>
      <w:r>
        <w:rPr>
          <w:lang w:val="sl-SI"/>
        </w:rPr>
        <w:br w:type="page"/>
      </w:r>
    </w:p>
    <w:p w14:paraId="0CDD3910" w14:textId="77777777" w:rsidR="00E04C8A" w:rsidRDefault="00E04C8A">
      <w:pPr>
        <w:spacing w:line="200" w:lineRule="exact"/>
        <w:rPr>
          <w:sz w:val="20"/>
          <w:szCs w:val="20"/>
          <w:lang w:val="sl-SI"/>
        </w:rPr>
      </w:pPr>
    </w:p>
    <w:p w14:paraId="1DE2C0F4" w14:textId="77777777" w:rsidR="00E04C8A" w:rsidRDefault="00E04C8A">
      <w:pPr>
        <w:spacing w:line="200" w:lineRule="exact"/>
        <w:rPr>
          <w:sz w:val="20"/>
          <w:szCs w:val="20"/>
          <w:lang w:val="sl-SI"/>
        </w:rPr>
      </w:pPr>
    </w:p>
    <w:p w14:paraId="1F111594" w14:textId="77777777" w:rsidR="00E04C8A" w:rsidRDefault="00E04C8A">
      <w:pPr>
        <w:spacing w:line="200" w:lineRule="exact"/>
        <w:rPr>
          <w:sz w:val="20"/>
          <w:szCs w:val="20"/>
          <w:lang w:val="sl-SI"/>
        </w:rPr>
      </w:pPr>
    </w:p>
    <w:p w14:paraId="6D75866F" w14:textId="77777777" w:rsidR="00E04C8A" w:rsidRDefault="00E04C8A">
      <w:pPr>
        <w:spacing w:line="200" w:lineRule="exact"/>
        <w:rPr>
          <w:sz w:val="20"/>
          <w:szCs w:val="20"/>
          <w:lang w:val="sl-SI"/>
        </w:rPr>
      </w:pPr>
    </w:p>
    <w:p w14:paraId="50B34EF4" w14:textId="77777777" w:rsidR="00E04C8A" w:rsidRDefault="00E04C8A">
      <w:pPr>
        <w:spacing w:line="200" w:lineRule="exact"/>
        <w:rPr>
          <w:sz w:val="20"/>
          <w:szCs w:val="20"/>
          <w:lang w:val="sl-SI"/>
        </w:rPr>
      </w:pPr>
    </w:p>
    <w:p w14:paraId="09E8BF96" w14:textId="77777777" w:rsidR="00E04C8A" w:rsidRDefault="00E04C8A">
      <w:pPr>
        <w:spacing w:line="200" w:lineRule="exact"/>
        <w:rPr>
          <w:sz w:val="20"/>
          <w:szCs w:val="20"/>
          <w:lang w:val="sl-SI"/>
        </w:rPr>
      </w:pPr>
    </w:p>
    <w:p w14:paraId="410A81E8" w14:textId="77777777" w:rsidR="00E04C8A" w:rsidRDefault="00E04C8A">
      <w:pPr>
        <w:spacing w:line="200" w:lineRule="exact"/>
        <w:rPr>
          <w:sz w:val="20"/>
          <w:szCs w:val="20"/>
          <w:lang w:val="sl-SI"/>
        </w:rPr>
      </w:pPr>
    </w:p>
    <w:p w14:paraId="4B2685C2" w14:textId="77777777" w:rsidR="00E04C8A" w:rsidRDefault="00E04C8A">
      <w:pPr>
        <w:spacing w:line="200" w:lineRule="exact"/>
        <w:rPr>
          <w:sz w:val="20"/>
          <w:szCs w:val="20"/>
          <w:lang w:val="sl-SI"/>
        </w:rPr>
      </w:pPr>
    </w:p>
    <w:p w14:paraId="1FE65392" w14:textId="77777777" w:rsidR="00E04C8A" w:rsidRDefault="00E04C8A">
      <w:pPr>
        <w:spacing w:line="200" w:lineRule="exact"/>
        <w:rPr>
          <w:sz w:val="20"/>
          <w:szCs w:val="20"/>
          <w:lang w:val="sl-SI"/>
        </w:rPr>
      </w:pPr>
    </w:p>
    <w:p w14:paraId="6220D7B0" w14:textId="77777777" w:rsidR="00E04C8A" w:rsidRDefault="00E04C8A">
      <w:pPr>
        <w:spacing w:line="200" w:lineRule="exact"/>
        <w:rPr>
          <w:sz w:val="20"/>
          <w:szCs w:val="20"/>
          <w:lang w:val="sl-SI"/>
        </w:rPr>
      </w:pPr>
    </w:p>
    <w:p w14:paraId="20FF5800" w14:textId="77777777" w:rsidR="00E04C8A" w:rsidRDefault="00E04C8A">
      <w:pPr>
        <w:spacing w:line="200" w:lineRule="exact"/>
        <w:rPr>
          <w:sz w:val="20"/>
          <w:szCs w:val="20"/>
          <w:lang w:val="sl-SI"/>
        </w:rPr>
      </w:pPr>
    </w:p>
    <w:p w14:paraId="7EDFC266" w14:textId="77777777" w:rsidR="00E04C8A" w:rsidRDefault="00E04C8A">
      <w:pPr>
        <w:spacing w:line="200" w:lineRule="exact"/>
        <w:rPr>
          <w:sz w:val="20"/>
          <w:szCs w:val="20"/>
          <w:lang w:val="sl-SI"/>
        </w:rPr>
      </w:pPr>
    </w:p>
    <w:p w14:paraId="6931D16B" w14:textId="77777777" w:rsidR="00E04C8A" w:rsidRDefault="00E04C8A">
      <w:pPr>
        <w:spacing w:line="200" w:lineRule="exact"/>
        <w:rPr>
          <w:sz w:val="20"/>
          <w:szCs w:val="20"/>
          <w:lang w:val="sl-SI"/>
        </w:rPr>
      </w:pPr>
    </w:p>
    <w:p w14:paraId="373BD435" w14:textId="77777777" w:rsidR="00E04C8A" w:rsidRDefault="00E04C8A">
      <w:pPr>
        <w:spacing w:line="200" w:lineRule="exact"/>
        <w:rPr>
          <w:sz w:val="20"/>
          <w:szCs w:val="20"/>
          <w:lang w:val="sl-SI"/>
        </w:rPr>
      </w:pPr>
    </w:p>
    <w:p w14:paraId="0D48C308" w14:textId="77777777" w:rsidR="00E04C8A" w:rsidRDefault="00E04C8A">
      <w:pPr>
        <w:spacing w:line="200" w:lineRule="exact"/>
        <w:rPr>
          <w:sz w:val="20"/>
          <w:szCs w:val="20"/>
          <w:lang w:val="sl-SI"/>
        </w:rPr>
      </w:pPr>
    </w:p>
    <w:p w14:paraId="3B6ED236" w14:textId="77777777" w:rsidR="00E04C8A" w:rsidRDefault="00E04C8A">
      <w:pPr>
        <w:spacing w:line="200" w:lineRule="exact"/>
        <w:rPr>
          <w:sz w:val="20"/>
          <w:szCs w:val="20"/>
          <w:lang w:val="sl-SI"/>
        </w:rPr>
      </w:pPr>
    </w:p>
    <w:p w14:paraId="25834653" w14:textId="77777777" w:rsidR="00E04C8A" w:rsidRDefault="00E04C8A">
      <w:pPr>
        <w:spacing w:line="200" w:lineRule="exact"/>
        <w:rPr>
          <w:sz w:val="20"/>
          <w:szCs w:val="20"/>
          <w:lang w:val="sl-SI"/>
        </w:rPr>
      </w:pPr>
    </w:p>
    <w:p w14:paraId="382D966D" w14:textId="77777777" w:rsidR="00E04C8A" w:rsidRDefault="00E04C8A">
      <w:pPr>
        <w:spacing w:line="200" w:lineRule="exact"/>
        <w:rPr>
          <w:sz w:val="20"/>
          <w:szCs w:val="20"/>
          <w:lang w:val="sl-SI"/>
        </w:rPr>
      </w:pPr>
    </w:p>
    <w:p w14:paraId="47F096E2" w14:textId="77777777" w:rsidR="00E04C8A" w:rsidRDefault="00E04C8A">
      <w:pPr>
        <w:spacing w:line="200" w:lineRule="exact"/>
        <w:rPr>
          <w:sz w:val="20"/>
          <w:szCs w:val="20"/>
          <w:lang w:val="sl-SI"/>
        </w:rPr>
      </w:pPr>
    </w:p>
    <w:p w14:paraId="73D93A49" w14:textId="77777777" w:rsidR="00E04C8A" w:rsidRDefault="00E04C8A">
      <w:pPr>
        <w:spacing w:line="200" w:lineRule="exact"/>
        <w:rPr>
          <w:sz w:val="20"/>
          <w:szCs w:val="20"/>
          <w:lang w:val="sl-SI"/>
        </w:rPr>
      </w:pPr>
    </w:p>
    <w:p w14:paraId="6F9DE8B8" w14:textId="77777777" w:rsidR="00E04C8A" w:rsidRDefault="00E04C8A">
      <w:pPr>
        <w:spacing w:line="200" w:lineRule="exact"/>
        <w:rPr>
          <w:sz w:val="20"/>
          <w:szCs w:val="20"/>
          <w:lang w:val="sl-SI"/>
        </w:rPr>
      </w:pPr>
    </w:p>
    <w:p w14:paraId="17F5D1C2" w14:textId="77777777" w:rsidR="00E04C8A" w:rsidRDefault="00E04C8A">
      <w:pPr>
        <w:spacing w:line="200" w:lineRule="exact"/>
        <w:rPr>
          <w:sz w:val="20"/>
          <w:szCs w:val="20"/>
          <w:lang w:val="sl-SI"/>
        </w:rPr>
      </w:pPr>
    </w:p>
    <w:p w14:paraId="4C7CBD24" w14:textId="77777777" w:rsidR="00E04C8A" w:rsidRDefault="00E04C8A">
      <w:pPr>
        <w:spacing w:line="200" w:lineRule="exact"/>
        <w:rPr>
          <w:sz w:val="20"/>
          <w:szCs w:val="20"/>
          <w:lang w:val="sl-SI"/>
        </w:rPr>
      </w:pPr>
    </w:p>
    <w:p w14:paraId="6870FAB9" w14:textId="77777777" w:rsidR="00E04C8A" w:rsidRDefault="00E04C8A">
      <w:pPr>
        <w:spacing w:line="200" w:lineRule="exact"/>
        <w:rPr>
          <w:sz w:val="20"/>
          <w:szCs w:val="20"/>
          <w:lang w:val="sl-SI"/>
        </w:rPr>
      </w:pPr>
    </w:p>
    <w:p w14:paraId="514F7395" w14:textId="77777777" w:rsidR="00E04C8A" w:rsidRDefault="00E04C8A">
      <w:pPr>
        <w:spacing w:line="200" w:lineRule="exact"/>
        <w:rPr>
          <w:sz w:val="20"/>
          <w:szCs w:val="20"/>
          <w:lang w:val="sl-SI"/>
        </w:rPr>
      </w:pPr>
    </w:p>
    <w:p w14:paraId="7011F5F0" w14:textId="77777777" w:rsidR="00E04C8A" w:rsidRDefault="00E04C8A">
      <w:pPr>
        <w:spacing w:line="200" w:lineRule="exact"/>
        <w:rPr>
          <w:sz w:val="20"/>
          <w:szCs w:val="20"/>
          <w:lang w:val="sl-SI"/>
        </w:rPr>
      </w:pPr>
    </w:p>
    <w:p w14:paraId="7C14FE15" w14:textId="77777777" w:rsidR="00E04C8A" w:rsidRDefault="00E04C8A">
      <w:pPr>
        <w:spacing w:before="4" w:line="200" w:lineRule="exact"/>
        <w:rPr>
          <w:sz w:val="20"/>
          <w:szCs w:val="20"/>
          <w:lang w:val="sl-SI"/>
        </w:rPr>
      </w:pPr>
    </w:p>
    <w:p w14:paraId="4C645C3F" w14:textId="77777777" w:rsidR="00E04C8A" w:rsidRDefault="008E1817">
      <w:pPr>
        <w:pStyle w:val="TableParagraph"/>
        <w:jc w:val="center"/>
        <w:rPr>
          <w:rFonts w:ascii="Times New Roman" w:hAnsi="Times New Roman" w:cs="Times New Roman"/>
          <w:b/>
          <w:lang w:val="sl-SI"/>
        </w:rPr>
      </w:pPr>
      <w:r>
        <w:rPr>
          <w:rFonts w:ascii="Times New Roman" w:eastAsia="Times New Roman" w:hAnsi="Times New Roman" w:cs="Times New Roman"/>
          <w:b/>
          <w:bCs/>
          <w:lang w:val="sl-SI"/>
        </w:rPr>
        <w:t>PRILOGA III</w:t>
      </w:r>
    </w:p>
    <w:p w14:paraId="4133B707" w14:textId="77777777" w:rsidR="00E04C8A" w:rsidRDefault="00E04C8A">
      <w:pPr>
        <w:pStyle w:val="TableParagraph"/>
        <w:jc w:val="center"/>
        <w:rPr>
          <w:rFonts w:ascii="Times New Roman" w:hAnsi="Times New Roman" w:cs="Times New Roman"/>
          <w:b/>
          <w:lang w:val="sl-SI"/>
        </w:rPr>
      </w:pPr>
    </w:p>
    <w:p w14:paraId="78014EB9" w14:textId="77777777" w:rsidR="00E04C8A" w:rsidRDefault="008E1817">
      <w:pPr>
        <w:pStyle w:val="TableParagraph"/>
        <w:jc w:val="center"/>
        <w:rPr>
          <w:rFonts w:ascii="Times New Roman" w:hAnsi="Times New Roman" w:cs="Times New Roman"/>
          <w:b/>
          <w:lang w:val="sl-SI"/>
        </w:rPr>
      </w:pPr>
      <w:r>
        <w:rPr>
          <w:rFonts w:ascii="Times New Roman" w:eastAsia="Times New Roman" w:hAnsi="Times New Roman" w:cs="Times New Roman"/>
          <w:b/>
          <w:bCs/>
          <w:lang w:val="sl-SI"/>
        </w:rPr>
        <w:t>OZNAČEVANJE IN NAVODILO ZA UPORABO</w:t>
      </w:r>
    </w:p>
    <w:p w14:paraId="6535FE79" w14:textId="77777777" w:rsidR="00E04C8A" w:rsidRDefault="008E1817">
      <w:pPr>
        <w:rPr>
          <w:rFonts w:ascii="Times New Roman" w:hAnsi="Times New Roman" w:cs="Times New Roman"/>
          <w:b/>
          <w:lang w:val="sl-SI"/>
        </w:rPr>
      </w:pPr>
      <w:r>
        <w:rPr>
          <w:rFonts w:ascii="Times New Roman" w:hAnsi="Times New Roman" w:cs="Times New Roman"/>
          <w:b/>
          <w:lang w:val="sl-SI"/>
        </w:rPr>
        <w:br w:type="page"/>
      </w:r>
    </w:p>
    <w:p w14:paraId="63705E1E" w14:textId="77777777" w:rsidR="00E04C8A" w:rsidRDefault="00E04C8A">
      <w:pPr>
        <w:spacing w:line="200" w:lineRule="exact"/>
        <w:rPr>
          <w:sz w:val="20"/>
          <w:szCs w:val="20"/>
          <w:lang w:val="sl-SI"/>
        </w:rPr>
      </w:pPr>
    </w:p>
    <w:p w14:paraId="68D78FE5" w14:textId="77777777" w:rsidR="00E04C8A" w:rsidRDefault="00E04C8A">
      <w:pPr>
        <w:spacing w:line="200" w:lineRule="exact"/>
        <w:rPr>
          <w:sz w:val="20"/>
          <w:szCs w:val="20"/>
          <w:lang w:val="sl-SI"/>
        </w:rPr>
      </w:pPr>
    </w:p>
    <w:p w14:paraId="30B82CB8" w14:textId="77777777" w:rsidR="00E04C8A" w:rsidRDefault="00E04C8A">
      <w:pPr>
        <w:spacing w:line="200" w:lineRule="exact"/>
        <w:rPr>
          <w:sz w:val="20"/>
          <w:szCs w:val="20"/>
          <w:lang w:val="sl-SI"/>
        </w:rPr>
      </w:pPr>
    </w:p>
    <w:p w14:paraId="2498513B" w14:textId="77777777" w:rsidR="00E04C8A" w:rsidRDefault="00E04C8A">
      <w:pPr>
        <w:spacing w:line="200" w:lineRule="exact"/>
        <w:rPr>
          <w:sz w:val="20"/>
          <w:szCs w:val="20"/>
          <w:lang w:val="sl-SI"/>
        </w:rPr>
      </w:pPr>
    </w:p>
    <w:p w14:paraId="02711BBB" w14:textId="77777777" w:rsidR="00E04C8A" w:rsidRDefault="00E04C8A">
      <w:pPr>
        <w:spacing w:line="200" w:lineRule="exact"/>
        <w:rPr>
          <w:sz w:val="20"/>
          <w:szCs w:val="20"/>
          <w:lang w:val="sl-SI"/>
        </w:rPr>
      </w:pPr>
    </w:p>
    <w:p w14:paraId="48417980" w14:textId="77777777" w:rsidR="00E04C8A" w:rsidRDefault="00E04C8A">
      <w:pPr>
        <w:spacing w:line="200" w:lineRule="exact"/>
        <w:rPr>
          <w:sz w:val="20"/>
          <w:szCs w:val="20"/>
          <w:lang w:val="sl-SI"/>
        </w:rPr>
      </w:pPr>
    </w:p>
    <w:p w14:paraId="12DEEF8F" w14:textId="77777777" w:rsidR="00E04C8A" w:rsidRDefault="00E04C8A">
      <w:pPr>
        <w:spacing w:line="200" w:lineRule="exact"/>
        <w:rPr>
          <w:sz w:val="20"/>
          <w:szCs w:val="20"/>
          <w:lang w:val="sl-SI"/>
        </w:rPr>
      </w:pPr>
    </w:p>
    <w:p w14:paraId="0D98F314" w14:textId="77777777" w:rsidR="00E04C8A" w:rsidRDefault="00E04C8A">
      <w:pPr>
        <w:spacing w:line="200" w:lineRule="exact"/>
        <w:rPr>
          <w:sz w:val="20"/>
          <w:szCs w:val="20"/>
          <w:lang w:val="sl-SI"/>
        </w:rPr>
      </w:pPr>
    </w:p>
    <w:p w14:paraId="3FB20D99" w14:textId="77777777" w:rsidR="00E04C8A" w:rsidRDefault="00E04C8A">
      <w:pPr>
        <w:spacing w:line="200" w:lineRule="exact"/>
        <w:rPr>
          <w:sz w:val="20"/>
          <w:szCs w:val="20"/>
          <w:lang w:val="sl-SI"/>
        </w:rPr>
      </w:pPr>
    </w:p>
    <w:p w14:paraId="2CC07D6D" w14:textId="77777777" w:rsidR="00E04C8A" w:rsidRDefault="00E04C8A">
      <w:pPr>
        <w:spacing w:line="200" w:lineRule="exact"/>
        <w:rPr>
          <w:sz w:val="20"/>
          <w:szCs w:val="20"/>
          <w:lang w:val="sl-SI"/>
        </w:rPr>
      </w:pPr>
    </w:p>
    <w:p w14:paraId="6F988614" w14:textId="77777777" w:rsidR="00E04C8A" w:rsidRDefault="00E04C8A">
      <w:pPr>
        <w:spacing w:line="200" w:lineRule="exact"/>
        <w:rPr>
          <w:sz w:val="20"/>
          <w:szCs w:val="20"/>
          <w:lang w:val="sl-SI"/>
        </w:rPr>
      </w:pPr>
    </w:p>
    <w:p w14:paraId="495C920B" w14:textId="77777777" w:rsidR="00E04C8A" w:rsidRDefault="00E04C8A">
      <w:pPr>
        <w:spacing w:line="200" w:lineRule="exact"/>
        <w:rPr>
          <w:sz w:val="20"/>
          <w:szCs w:val="20"/>
          <w:lang w:val="sl-SI"/>
        </w:rPr>
      </w:pPr>
    </w:p>
    <w:p w14:paraId="7F5B95AC" w14:textId="77777777" w:rsidR="00E04C8A" w:rsidRDefault="00E04C8A">
      <w:pPr>
        <w:spacing w:line="200" w:lineRule="exact"/>
        <w:rPr>
          <w:sz w:val="20"/>
          <w:szCs w:val="20"/>
          <w:lang w:val="sl-SI"/>
        </w:rPr>
      </w:pPr>
    </w:p>
    <w:p w14:paraId="7789D3FA" w14:textId="77777777" w:rsidR="00E04C8A" w:rsidRDefault="00E04C8A">
      <w:pPr>
        <w:spacing w:line="200" w:lineRule="exact"/>
        <w:rPr>
          <w:sz w:val="20"/>
          <w:szCs w:val="20"/>
          <w:lang w:val="sl-SI"/>
        </w:rPr>
      </w:pPr>
    </w:p>
    <w:p w14:paraId="7D961E9E" w14:textId="77777777" w:rsidR="00E04C8A" w:rsidRDefault="00E04C8A">
      <w:pPr>
        <w:spacing w:line="200" w:lineRule="exact"/>
        <w:rPr>
          <w:sz w:val="20"/>
          <w:szCs w:val="20"/>
          <w:lang w:val="sl-SI"/>
        </w:rPr>
      </w:pPr>
    </w:p>
    <w:p w14:paraId="03219CE5" w14:textId="77777777" w:rsidR="00E04C8A" w:rsidRDefault="00E04C8A">
      <w:pPr>
        <w:spacing w:line="200" w:lineRule="exact"/>
        <w:rPr>
          <w:sz w:val="20"/>
          <w:szCs w:val="20"/>
          <w:lang w:val="sl-SI"/>
        </w:rPr>
      </w:pPr>
    </w:p>
    <w:p w14:paraId="3B8CBCA8" w14:textId="77777777" w:rsidR="00E04C8A" w:rsidRDefault="00E04C8A">
      <w:pPr>
        <w:spacing w:line="200" w:lineRule="exact"/>
        <w:rPr>
          <w:sz w:val="20"/>
          <w:szCs w:val="20"/>
          <w:lang w:val="sl-SI"/>
        </w:rPr>
      </w:pPr>
    </w:p>
    <w:p w14:paraId="212E4D1B" w14:textId="77777777" w:rsidR="00E04C8A" w:rsidRDefault="00E04C8A">
      <w:pPr>
        <w:spacing w:line="200" w:lineRule="exact"/>
        <w:rPr>
          <w:sz w:val="20"/>
          <w:szCs w:val="20"/>
          <w:lang w:val="sl-SI"/>
        </w:rPr>
      </w:pPr>
    </w:p>
    <w:p w14:paraId="0850C7A6" w14:textId="77777777" w:rsidR="00E04C8A" w:rsidRDefault="00E04C8A">
      <w:pPr>
        <w:spacing w:line="200" w:lineRule="exact"/>
        <w:rPr>
          <w:sz w:val="20"/>
          <w:szCs w:val="20"/>
          <w:lang w:val="sl-SI"/>
        </w:rPr>
      </w:pPr>
    </w:p>
    <w:p w14:paraId="1E07DFAF" w14:textId="77777777" w:rsidR="00E04C8A" w:rsidRDefault="00E04C8A">
      <w:pPr>
        <w:spacing w:line="200" w:lineRule="exact"/>
        <w:rPr>
          <w:sz w:val="20"/>
          <w:szCs w:val="20"/>
          <w:lang w:val="sl-SI"/>
        </w:rPr>
      </w:pPr>
    </w:p>
    <w:p w14:paraId="2F1CEEC7" w14:textId="77777777" w:rsidR="00E04C8A" w:rsidRDefault="00E04C8A">
      <w:pPr>
        <w:spacing w:line="200" w:lineRule="exact"/>
        <w:rPr>
          <w:sz w:val="20"/>
          <w:szCs w:val="20"/>
          <w:lang w:val="sl-SI"/>
        </w:rPr>
      </w:pPr>
    </w:p>
    <w:p w14:paraId="04011699" w14:textId="77777777" w:rsidR="00E04C8A" w:rsidRDefault="00E04C8A">
      <w:pPr>
        <w:spacing w:line="200" w:lineRule="exact"/>
        <w:rPr>
          <w:sz w:val="20"/>
          <w:szCs w:val="20"/>
          <w:lang w:val="sl-SI"/>
        </w:rPr>
      </w:pPr>
    </w:p>
    <w:p w14:paraId="38CC97F1" w14:textId="77777777" w:rsidR="00E04C8A" w:rsidRDefault="00E04C8A">
      <w:pPr>
        <w:spacing w:line="200" w:lineRule="exact"/>
        <w:rPr>
          <w:sz w:val="20"/>
          <w:szCs w:val="20"/>
          <w:lang w:val="sl-SI"/>
        </w:rPr>
      </w:pPr>
    </w:p>
    <w:p w14:paraId="1BEDC069" w14:textId="77777777" w:rsidR="00E04C8A" w:rsidRDefault="00E04C8A">
      <w:pPr>
        <w:spacing w:line="200" w:lineRule="exact"/>
        <w:rPr>
          <w:sz w:val="20"/>
          <w:szCs w:val="20"/>
          <w:lang w:val="sl-SI"/>
        </w:rPr>
      </w:pPr>
    </w:p>
    <w:p w14:paraId="0AFB370B" w14:textId="77777777" w:rsidR="00E04C8A" w:rsidRDefault="00E04C8A">
      <w:pPr>
        <w:spacing w:line="200" w:lineRule="exact"/>
        <w:rPr>
          <w:sz w:val="20"/>
          <w:szCs w:val="20"/>
          <w:lang w:val="sl-SI"/>
        </w:rPr>
      </w:pPr>
    </w:p>
    <w:p w14:paraId="627B4BA1" w14:textId="77777777" w:rsidR="00E04C8A" w:rsidRDefault="00E04C8A">
      <w:pPr>
        <w:spacing w:line="200" w:lineRule="exact"/>
        <w:rPr>
          <w:sz w:val="20"/>
          <w:szCs w:val="20"/>
          <w:lang w:val="sl-SI"/>
        </w:rPr>
      </w:pPr>
    </w:p>
    <w:p w14:paraId="2F1146E4" w14:textId="77777777" w:rsidR="00E04C8A" w:rsidRDefault="00E04C8A">
      <w:pPr>
        <w:spacing w:before="4" w:line="200" w:lineRule="exact"/>
        <w:rPr>
          <w:sz w:val="20"/>
          <w:szCs w:val="20"/>
          <w:lang w:val="sl-SI"/>
        </w:rPr>
      </w:pPr>
    </w:p>
    <w:p w14:paraId="44D965C8" w14:textId="77777777" w:rsidR="00E04C8A" w:rsidRDefault="008E1817">
      <w:pPr>
        <w:pStyle w:val="1"/>
        <w:numPr>
          <w:ilvl w:val="0"/>
          <w:numId w:val="35"/>
        </w:numPr>
        <w:jc w:val="center"/>
        <w:rPr>
          <w:lang w:val="sl-SI"/>
        </w:rPr>
      </w:pPr>
      <w:bookmarkStart w:id="44" w:name="A._LABELLING"/>
      <w:bookmarkEnd w:id="44"/>
      <w:r>
        <w:rPr>
          <w:rFonts w:cs="Arial"/>
          <w:noProof/>
          <w:lang w:val="sl-SI"/>
        </w:rPr>
        <w:t>OZNAČEVANJE</w:t>
      </w:r>
    </w:p>
    <w:p w14:paraId="63227209" w14:textId="77777777" w:rsidR="00E04C8A" w:rsidRDefault="008E1817">
      <w:pPr>
        <w:rPr>
          <w:lang w:val="sl-SI"/>
        </w:rPr>
      </w:pPr>
      <w:r>
        <w:rPr>
          <w:lang w:val="sl-SI"/>
        </w:rPr>
        <w:br w:type="page"/>
      </w:r>
    </w:p>
    <w:tbl>
      <w:tblPr>
        <w:tblStyle w:val="ac"/>
        <w:tblW w:w="9666" w:type="dxa"/>
        <w:tblLook w:val="04A0" w:firstRow="1" w:lastRow="0" w:firstColumn="1" w:lastColumn="0" w:noHBand="0" w:noVBand="1"/>
      </w:tblPr>
      <w:tblGrid>
        <w:gridCol w:w="9666"/>
      </w:tblGrid>
      <w:tr w:rsidR="00E04C8A" w:rsidRPr="00652F18" w14:paraId="0165BD69" w14:textId="77777777">
        <w:trPr>
          <w:trHeight w:val="822"/>
        </w:trPr>
        <w:tc>
          <w:tcPr>
            <w:tcW w:w="9666" w:type="dxa"/>
            <w:vAlign w:val="center"/>
          </w:tcPr>
          <w:p w14:paraId="3B7DAEF1" w14:textId="77777777" w:rsidR="00E04C8A" w:rsidRDefault="008E1817">
            <w:pPr>
              <w:jc w:val="both"/>
              <w:rPr>
                <w:rFonts w:ascii="Times New Roman" w:eastAsia="Times New Roman" w:hAnsi="Times New Roman" w:cs="Times New Roman"/>
                <w:lang w:val="sl-SI"/>
              </w:rPr>
            </w:pPr>
            <w:r>
              <w:rPr>
                <w:rFonts w:ascii="Times New Roman" w:eastAsia="Times New Roman" w:hAnsi="Times New Roman" w:cs="Times New Roman"/>
                <w:b/>
                <w:bCs/>
                <w:spacing w:val="-1"/>
                <w:lang w:val="sl-SI"/>
              </w:rPr>
              <w:lastRenderedPageBreak/>
              <w:t>PODATKI NA ZUNANJI OVOJNINI</w:t>
            </w:r>
          </w:p>
          <w:p w14:paraId="5FAD2E10" w14:textId="77777777" w:rsidR="00E04C8A" w:rsidRDefault="00E04C8A">
            <w:pPr>
              <w:spacing w:line="180" w:lineRule="exact"/>
              <w:jc w:val="both"/>
              <w:rPr>
                <w:lang w:val="sl-SI"/>
              </w:rPr>
            </w:pPr>
          </w:p>
          <w:p w14:paraId="11CD05D7" w14:textId="77777777" w:rsidR="00E04C8A" w:rsidRDefault="008E1817">
            <w:pPr>
              <w:jc w:val="both"/>
              <w:rPr>
                <w:rFonts w:ascii="Times New Roman" w:eastAsia="Times New Roman" w:hAnsi="Times New Roman" w:cs="Times New Roman"/>
                <w:lang w:val="sl-SI"/>
              </w:rPr>
            </w:pPr>
            <w:r>
              <w:rPr>
                <w:rFonts w:ascii="Times New Roman" w:eastAsia="Times New Roman" w:hAnsi="Times New Roman" w:cs="Times New Roman"/>
                <w:b/>
                <w:bCs/>
                <w:spacing w:val="-1"/>
                <w:lang w:val="sl-SI"/>
              </w:rPr>
              <w:t>ŠKATLA Z NAPOLNJENO INJEKCIJSKO BRIZGO</w:t>
            </w:r>
          </w:p>
        </w:tc>
      </w:tr>
    </w:tbl>
    <w:p w14:paraId="37201061" w14:textId="77777777" w:rsidR="00E04C8A" w:rsidRDefault="00E04C8A">
      <w:pPr>
        <w:spacing w:line="200" w:lineRule="exact"/>
        <w:rPr>
          <w:lang w:val="sl-SI"/>
        </w:rPr>
      </w:pPr>
    </w:p>
    <w:p w14:paraId="64212BA9" w14:textId="77777777" w:rsidR="00E04C8A" w:rsidRDefault="00E04C8A">
      <w:pPr>
        <w:spacing w:line="200" w:lineRule="exact"/>
        <w:rPr>
          <w:lang w:val="sl-SI"/>
        </w:rPr>
      </w:pPr>
    </w:p>
    <w:tbl>
      <w:tblPr>
        <w:tblStyle w:val="ac"/>
        <w:tblpPr w:leftFromText="142" w:rightFromText="142" w:vertAnchor="text" w:tblpY="55"/>
        <w:tblW w:w="9666" w:type="dxa"/>
        <w:tblLook w:val="04A0" w:firstRow="1" w:lastRow="0" w:firstColumn="1" w:lastColumn="0" w:noHBand="0" w:noVBand="1"/>
      </w:tblPr>
      <w:tblGrid>
        <w:gridCol w:w="9666"/>
      </w:tblGrid>
      <w:tr w:rsidR="00E04C8A" w14:paraId="5304449D" w14:textId="77777777">
        <w:trPr>
          <w:trHeight w:val="317"/>
        </w:trPr>
        <w:tc>
          <w:tcPr>
            <w:tcW w:w="9666" w:type="dxa"/>
            <w:vAlign w:val="center"/>
          </w:tcPr>
          <w:p w14:paraId="6794D034" w14:textId="77777777" w:rsidR="00E04C8A" w:rsidRDefault="008E1817">
            <w:pPr>
              <w:numPr>
                <w:ilvl w:val="0"/>
                <w:numId w:val="6"/>
              </w:numPr>
              <w:tabs>
                <w:tab w:val="left" w:pos="672"/>
              </w:tabs>
              <w:ind w:left="550" w:hanging="550"/>
              <w:jc w:val="both"/>
              <w:rPr>
                <w:rFonts w:ascii="Times New Roman" w:eastAsia="Times New Roman" w:hAnsi="Times New Roman" w:cs="Times New Roman"/>
                <w:lang w:val="sl-SI"/>
              </w:rPr>
            </w:pPr>
            <w:r>
              <w:rPr>
                <w:rFonts w:ascii="Times New Roman" w:eastAsia="Times New Roman" w:hAnsi="Times New Roman" w:cs="Times New Roman"/>
                <w:b/>
                <w:bCs/>
                <w:spacing w:val="-1"/>
                <w:lang w:val="sl-SI"/>
              </w:rPr>
              <w:t>IME ZDRAVILA</w:t>
            </w:r>
          </w:p>
        </w:tc>
      </w:tr>
    </w:tbl>
    <w:p w14:paraId="65C92030" w14:textId="77777777" w:rsidR="00E04C8A" w:rsidRDefault="00E04C8A">
      <w:pPr>
        <w:spacing w:line="200" w:lineRule="exact"/>
        <w:rPr>
          <w:lang w:val="sl-SI"/>
        </w:rPr>
      </w:pPr>
    </w:p>
    <w:p w14:paraId="6FE4B384" w14:textId="77777777" w:rsidR="00E04C8A" w:rsidRDefault="008E1817">
      <w:pPr>
        <w:pStyle w:val="a3"/>
        <w:rPr>
          <w:lang w:val="sl-SI"/>
        </w:rPr>
      </w:pPr>
      <w:r>
        <w:rPr>
          <w:rFonts w:eastAsia="Times New Roman"/>
          <w:lang w:val="sl-SI"/>
        </w:rPr>
        <w:t>Yuflyma 40 mg raztopina za injiciranje v napolnjeni injekcijski brizgi</w:t>
      </w:r>
    </w:p>
    <w:p w14:paraId="33C7C63D" w14:textId="264735CE" w:rsidR="00E04C8A" w:rsidRDefault="00CF427E">
      <w:pPr>
        <w:pStyle w:val="a3"/>
        <w:rPr>
          <w:lang w:val="sl-SI"/>
        </w:rPr>
      </w:pPr>
      <w:r>
        <w:rPr>
          <w:rFonts w:eastAsia="Times New Roman"/>
          <w:lang w:val="sl-SI"/>
        </w:rPr>
        <w:t>a</w:t>
      </w:r>
      <w:r w:rsidR="008E1817">
        <w:rPr>
          <w:rFonts w:eastAsia="Times New Roman"/>
          <w:lang w:val="sl-SI"/>
        </w:rPr>
        <w:t>dalimumab</w:t>
      </w:r>
    </w:p>
    <w:p w14:paraId="120CF299" w14:textId="77777777" w:rsidR="00E04C8A" w:rsidRDefault="00E04C8A">
      <w:pPr>
        <w:pStyle w:val="a3"/>
        <w:rPr>
          <w:lang w:val="sl-SI"/>
        </w:rPr>
      </w:pPr>
    </w:p>
    <w:p w14:paraId="15C3824B" w14:textId="77777777" w:rsidR="00E04C8A" w:rsidRDefault="00E04C8A">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3138FB" w14:paraId="6F096971" w14:textId="77777777">
        <w:trPr>
          <w:trHeight w:val="317"/>
        </w:trPr>
        <w:tc>
          <w:tcPr>
            <w:tcW w:w="9666" w:type="dxa"/>
            <w:vAlign w:val="center"/>
          </w:tcPr>
          <w:p w14:paraId="086A3F42" w14:textId="77777777" w:rsidR="00E04C8A" w:rsidRDefault="008E1817">
            <w:pPr>
              <w:numPr>
                <w:ilvl w:val="0"/>
                <w:numId w:val="6"/>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NAVEDBA ENE ALI VEČ UČINKOVIN</w:t>
            </w:r>
          </w:p>
        </w:tc>
      </w:tr>
    </w:tbl>
    <w:p w14:paraId="571F032B" w14:textId="77777777" w:rsidR="00E04C8A" w:rsidRDefault="00E04C8A">
      <w:pPr>
        <w:spacing w:before="13" w:line="280" w:lineRule="exact"/>
        <w:rPr>
          <w:lang w:val="sl-SI"/>
        </w:rPr>
      </w:pPr>
    </w:p>
    <w:p w14:paraId="5BC970D8" w14:textId="77777777" w:rsidR="00E04C8A" w:rsidRDefault="008E1817">
      <w:pPr>
        <w:pStyle w:val="a3"/>
        <w:rPr>
          <w:lang w:val="sl-SI"/>
        </w:rPr>
      </w:pPr>
      <w:r>
        <w:rPr>
          <w:rFonts w:eastAsia="Times New Roman"/>
          <w:lang w:val="sl-SI"/>
        </w:rPr>
        <w:t>Ena 0,4-mililitrska napolnjena injekcijska brizga vsebuje 40 mg adalimumaba.</w:t>
      </w:r>
    </w:p>
    <w:p w14:paraId="59FB01B5" w14:textId="77777777" w:rsidR="00E04C8A" w:rsidRDefault="00E04C8A">
      <w:pPr>
        <w:spacing w:line="280" w:lineRule="exact"/>
        <w:rPr>
          <w:lang w:val="sl-SI"/>
        </w:rPr>
      </w:pPr>
    </w:p>
    <w:p w14:paraId="0D7D6488" w14:textId="77777777" w:rsidR="00E04C8A" w:rsidRDefault="00E04C8A">
      <w:pPr>
        <w:spacing w:line="280" w:lineRule="exact"/>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3138FB" w14:paraId="28BCB1E2" w14:textId="77777777">
        <w:trPr>
          <w:trHeight w:val="317"/>
        </w:trPr>
        <w:tc>
          <w:tcPr>
            <w:tcW w:w="9666" w:type="dxa"/>
            <w:vAlign w:val="center"/>
          </w:tcPr>
          <w:p w14:paraId="1E867ED7" w14:textId="77777777" w:rsidR="00E04C8A" w:rsidRDefault="008E1817">
            <w:pPr>
              <w:numPr>
                <w:ilvl w:val="0"/>
                <w:numId w:val="6"/>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SEZNAM POMOŽNIH SNOVI</w:t>
            </w:r>
          </w:p>
        </w:tc>
      </w:tr>
    </w:tbl>
    <w:p w14:paraId="6A00F248" w14:textId="77777777" w:rsidR="00E04C8A" w:rsidRDefault="00E04C8A">
      <w:pPr>
        <w:pStyle w:val="a3"/>
        <w:rPr>
          <w:lang w:val="sl-SI"/>
        </w:rPr>
      </w:pPr>
    </w:p>
    <w:p w14:paraId="415BA36D" w14:textId="77777777" w:rsidR="00E04C8A" w:rsidRDefault="008E1817">
      <w:pPr>
        <w:pStyle w:val="a3"/>
        <w:rPr>
          <w:lang w:val="sl-SI"/>
        </w:rPr>
      </w:pPr>
      <w:r>
        <w:rPr>
          <w:rFonts w:eastAsia="Times New Roman"/>
          <w:lang w:val="sl-SI"/>
        </w:rPr>
        <w:t xml:space="preserve">Pomožne snovi: ocetna kislina, natrijev acetat trihidrat, glicin, polisorbat 80, voda za injekcije. </w:t>
      </w:r>
    </w:p>
    <w:p w14:paraId="73995C52" w14:textId="77777777" w:rsidR="00E04C8A" w:rsidRDefault="008E1817">
      <w:pPr>
        <w:pStyle w:val="a3"/>
        <w:rPr>
          <w:lang w:val="sl-SI"/>
        </w:rPr>
      </w:pPr>
      <w:r w:rsidRPr="00797234">
        <w:rPr>
          <w:rFonts w:eastAsia="Times New Roman"/>
          <w:highlight w:val="lightGray"/>
          <w:lang w:val="sl-SI"/>
        </w:rPr>
        <w:t>Za dodatne informacije glejte navodilo za uporabo.</w:t>
      </w:r>
    </w:p>
    <w:p w14:paraId="5D7799D1" w14:textId="77777777" w:rsidR="00E04C8A" w:rsidRDefault="00E04C8A">
      <w:pPr>
        <w:pStyle w:val="a3"/>
        <w:tabs>
          <w:tab w:val="left" w:pos="1386"/>
        </w:tabs>
        <w:rPr>
          <w:lang w:val="sl-SI"/>
        </w:rPr>
      </w:pPr>
    </w:p>
    <w:p w14:paraId="5054D3A5" w14:textId="77777777" w:rsidR="00E04C8A" w:rsidRDefault="00E04C8A">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14:paraId="2E3CD737" w14:textId="77777777">
        <w:trPr>
          <w:trHeight w:val="317"/>
        </w:trPr>
        <w:tc>
          <w:tcPr>
            <w:tcW w:w="9666" w:type="dxa"/>
            <w:vAlign w:val="center"/>
          </w:tcPr>
          <w:p w14:paraId="61485048" w14:textId="77777777" w:rsidR="00E04C8A" w:rsidRDefault="008E1817">
            <w:pPr>
              <w:numPr>
                <w:ilvl w:val="0"/>
                <w:numId w:val="6"/>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FARMACEVTSKA OBLIKA IN VSEBINA</w:t>
            </w:r>
          </w:p>
        </w:tc>
      </w:tr>
    </w:tbl>
    <w:p w14:paraId="6F191286" w14:textId="77777777" w:rsidR="00E04C8A" w:rsidRDefault="00E04C8A">
      <w:pPr>
        <w:pStyle w:val="a3"/>
        <w:rPr>
          <w:lang w:val="sl-SI"/>
        </w:rPr>
      </w:pPr>
    </w:p>
    <w:p w14:paraId="2FE88BB4" w14:textId="77777777" w:rsidR="00E04C8A" w:rsidRDefault="008E1817">
      <w:pPr>
        <w:pStyle w:val="a3"/>
        <w:rPr>
          <w:lang w:val="sl-SI"/>
        </w:rPr>
      </w:pPr>
      <w:r w:rsidRPr="008E1817">
        <w:rPr>
          <w:rFonts w:eastAsia="Times New Roman"/>
          <w:highlight w:val="lightGray"/>
          <w:lang w:val="sl-SI"/>
        </w:rPr>
        <w:t>raztopina za injiciranje</w:t>
      </w:r>
    </w:p>
    <w:p w14:paraId="074436F6" w14:textId="77777777" w:rsidR="00E04C8A" w:rsidRDefault="008E1817">
      <w:pPr>
        <w:autoSpaceDE w:val="0"/>
        <w:autoSpaceDN w:val="0"/>
        <w:adjustRightInd w:val="0"/>
        <w:rPr>
          <w:rFonts w:ascii="Times New Roman" w:hAnsi="Times New Roman" w:cs="Times New Roman"/>
          <w:lang w:val="sl-SI"/>
        </w:rPr>
      </w:pPr>
      <w:r>
        <w:rPr>
          <w:rFonts w:ascii="Times New Roman" w:eastAsia="Times New Roman" w:hAnsi="Times New Roman" w:cs="Times New Roman"/>
          <w:lang w:val="sl-SI"/>
        </w:rPr>
        <w:t>1 napolnjena injekcijska brizga</w:t>
      </w:r>
    </w:p>
    <w:p w14:paraId="5EFD222E" w14:textId="77777777" w:rsidR="00E04C8A" w:rsidRDefault="008E1817">
      <w:pPr>
        <w:autoSpaceDE w:val="0"/>
        <w:autoSpaceDN w:val="0"/>
        <w:adjustRightInd w:val="0"/>
        <w:rPr>
          <w:rFonts w:ascii="Times New Roman" w:hAnsi="Times New Roman" w:cs="Times New Roman"/>
          <w:lang w:val="sl-SI"/>
        </w:rPr>
      </w:pPr>
      <w:r>
        <w:rPr>
          <w:rFonts w:ascii="Times New Roman" w:eastAsia="Times New Roman" w:hAnsi="Times New Roman" w:cs="Times New Roman"/>
          <w:lang w:val="sl-SI"/>
        </w:rPr>
        <w:t>2 alkoholna zloženca</w:t>
      </w:r>
    </w:p>
    <w:p w14:paraId="30151BFF" w14:textId="77777777" w:rsidR="00E04C8A" w:rsidRDefault="00E04C8A">
      <w:pPr>
        <w:autoSpaceDE w:val="0"/>
        <w:autoSpaceDN w:val="0"/>
        <w:adjustRightInd w:val="0"/>
        <w:rPr>
          <w:rFonts w:ascii="Times New Roman" w:hAnsi="Times New Roman" w:cs="Times New Roman"/>
          <w:lang w:val="sl-SI"/>
        </w:rPr>
      </w:pPr>
    </w:p>
    <w:p w14:paraId="34DFE4F2" w14:textId="77777777" w:rsidR="00E04C8A" w:rsidRPr="008E1817" w:rsidRDefault="008E1817">
      <w:pPr>
        <w:autoSpaceDE w:val="0"/>
        <w:autoSpaceDN w:val="0"/>
        <w:adjustRightInd w:val="0"/>
        <w:rPr>
          <w:rFonts w:ascii="Times New Roman" w:hAnsi="Times New Roman" w:cs="Times New Roman"/>
          <w:highlight w:val="lightGray"/>
          <w:lang w:val="sl-SI"/>
        </w:rPr>
      </w:pPr>
      <w:r w:rsidRPr="008E1817">
        <w:rPr>
          <w:rFonts w:ascii="Times New Roman" w:eastAsia="Times New Roman" w:hAnsi="Times New Roman" w:cs="Times New Roman"/>
          <w:highlight w:val="lightGray"/>
          <w:lang w:val="sl-SI"/>
        </w:rPr>
        <w:t>2 napolnjeni injekcijski brizgi</w:t>
      </w:r>
    </w:p>
    <w:p w14:paraId="0C5EF38E" w14:textId="77777777" w:rsidR="00E04C8A" w:rsidRPr="008E1817" w:rsidRDefault="008E1817">
      <w:pPr>
        <w:autoSpaceDE w:val="0"/>
        <w:autoSpaceDN w:val="0"/>
        <w:adjustRightInd w:val="0"/>
        <w:rPr>
          <w:rFonts w:ascii="Times New Roman" w:hAnsi="Times New Roman" w:cs="Times New Roman"/>
          <w:highlight w:val="lightGray"/>
          <w:lang w:val="sl-SI"/>
        </w:rPr>
      </w:pPr>
      <w:r w:rsidRPr="008E1817">
        <w:rPr>
          <w:rFonts w:ascii="Times New Roman" w:eastAsia="Times New Roman" w:hAnsi="Times New Roman" w:cs="Times New Roman"/>
          <w:highlight w:val="lightGray"/>
          <w:lang w:val="sl-SI"/>
        </w:rPr>
        <w:t>2 alkoholna zloženca</w:t>
      </w:r>
    </w:p>
    <w:p w14:paraId="31B247AF" w14:textId="77777777" w:rsidR="00E04C8A" w:rsidRPr="008E1817" w:rsidRDefault="00E04C8A">
      <w:pPr>
        <w:autoSpaceDE w:val="0"/>
        <w:autoSpaceDN w:val="0"/>
        <w:adjustRightInd w:val="0"/>
        <w:rPr>
          <w:rFonts w:ascii="Times New Roman" w:hAnsi="Times New Roman" w:cs="Times New Roman"/>
          <w:highlight w:val="lightGray"/>
          <w:lang w:val="sl-SI"/>
        </w:rPr>
      </w:pPr>
    </w:p>
    <w:p w14:paraId="1F74C7CA" w14:textId="77777777" w:rsidR="00E04C8A" w:rsidRPr="008E1817" w:rsidRDefault="008E1817">
      <w:pPr>
        <w:autoSpaceDE w:val="0"/>
        <w:autoSpaceDN w:val="0"/>
        <w:adjustRightInd w:val="0"/>
        <w:rPr>
          <w:rFonts w:ascii="Times New Roman" w:hAnsi="Times New Roman" w:cs="Times New Roman"/>
          <w:highlight w:val="lightGray"/>
          <w:lang w:val="sl-SI"/>
        </w:rPr>
      </w:pPr>
      <w:r w:rsidRPr="008E1817">
        <w:rPr>
          <w:rFonts w:ascii="Times New Roman" w:eastAsia="Times New Roman" w:hAnsi="Times New Roman" w:cs="Times New Roman"/>
          <w:highlight w:val="lightGray"/>
          <w:lang w:val="sl-SI"/>
        </w:rPr>
        <w:t>4 napolnjene injekcijske brizge</w:t>
      </w:r>
    </w:p>
    <w:p w14:paraId="5E21413C" w14:textId="77777777" w:rsidR="00E04C8A" w:rsidRPr="008E1817" w:rsidRDefault="008E1817">
      <w:pPr>
        <w:autoSpaceDE w:val="0"/>
        <w:autoSpaceDN w:val="0"/>
        <w:adjustRightInd w:val="0"/>
        <w:rPr>
          <w:rFonts w:ascii="Times New Roman" w:hAnsi="Times New Roman" w:cs="Times New Roman"/>
          <w:highlight w:val="lightGray"/>
          <w:lang w:val="sl-SI"/>
        </w:rPr>
      </w:pPr>
      <w:r w:rsidRPr="008E1817">
        <w:rPr>
          <w:rFonts w:ascii="Times New Roman" w:eastAsia="Times New Roman" w:hAnsi="Times New Roman" w:cs="Times New Roman"/>
          <w:highlight w:val="lightGray"/>
          <w:lang w:val="sl-SI"/>
        </w:rPr>
        <w:t>4 alkoholni zloženci</w:t>
      </w:r>
    </w:p>
    <w:p w14:paraId="3CD0851F" w14:textId="77777777" w:rsidR="00E04C8A" w:rsidRPr="008E1817" w:rsidRDefault="00E04C8A">
      <w:pPr>
        <w:autoSpaceDE w:val="0"/>
        <w:autoSpaceDN w:val="0"/>
        <w:adjustRightInd w:val="0"/>
        <w:rPr>
          <w:rFonts w:ascii="Times New Roman" w:hAnsi="Times New Roman" w:cs="Times New Roman"/>
          <w:highlight w:val="lightGray"/>
          <w:lang w:val="sl-SI"/>
        </w:rPr>
      </w:pPr>
    </w:p>
    <w:p w14:paraId="268FC670" w14:textId="77777777" w:rsidR="00E04C8A" w:rsidRPr="008E1817" w:rsidRDefault="008E1817">
      <w:pPr>
        <w:autoSpaceDE w:val="0"/>
        <w:autoSpaceDN w:val="0"/>
        <w:adjustRightInd w:val="0"/>
        <w:rPr>
          <w:rFonts w:ascii="Times New Roman" w:hAnsi="Times New Roman" w:cs="Times New Roman"/>
          <w:highlight w:val="lightGray"/>
          <w:lang w:val="sl-SI"/>
        </w:rPr>
      </w:pPr>
      <w:r w:rsidRPr="008E1817">
        <w:rPr>
          <w:rFonts w:ascii="Times New Roman" w:eastAsia="Times New Roman" w:hAnsi="Times New Roman" w:cs="Times New Roman"/>
          <w:highlight w:val="lightGray"/>
          <w:lang w:val="sl-SI"/>
        </w:rPr>
        <w:t>6 napolnjenih injekcijskih brizg</w:t>
      </w:r>
    </w:p>
    <w:p w14:paraId="74BC77CC" w14:textId="77777777" w:rsidR="00E04C8A" w:rsidRPr="008E1817" w:rsidRDefault="008E1817">
      <w:pPr>
        <w:autoSpaceDE w:val="0"/>
        <w:autoSpaceDN w:val="0"/>
        <w:adjustRightInd w:val="0"/>
        <w:rPr>
          <w:rFonts w:ascii="Times New Roman" w:hAnsi="Times New Roman" w:cs="Times New Roman"/>
          <w:highlight w:val="lightGray"/>
          <w:lang w:val="sl-SI"/>
        </w:rPr>
      </w:pPr>
      <w:r w:rsidRPr="008E1817">
        <w:rPr>
          <w:rFonts w:ascii="Times New Roman" w:eastAsia="Times New Roman" w:hAnsi="Times New Roman" w:cs="Times New Roman"/>
          <w:highlight w:val="lightGray"/>
          <w:lang w:val="sl-SI"/>
        </w:rPr>
        <w:t>6 alkoholnih zložencev</w:t>
      </w:r>
    </w:p>
    <w:p w14:paraId="7D4CC764" w14:textId="77777777" w:rsidR="00E04C8A" w:rsidRPr="008E1817" w:rsidRDefault="00E04C8A">
      <w:pPr>
        <w:autoSpaceDE w:val="0"/>
        <w:autoSpaceDN w:val="0"/>
        <w:adjustRightInd w:val="0"/>
        <w:rPr>
          <w:rFonts w:ascii="Times New Roman" w:hAnsi="Times New Roman" w:cs="Times New Roman"/>
          <w:highlight w:val="lightGray"/>
          <w:lang w:val="sl-SI"/>
        </w:rPr>
      </w:pPr>
    </w:p>
    <w:p w14:paraId="058A31F4" w14:textId="32B9307E" w:rsidR="00E04C8A" w:rsidRPr="008E1817" w:rsidRDefault="008E1817">
      <w:pPr>
        <w:autoSpaceDE w:val="0"/>
        <w:autoSpaceDN w:val="0"/>
        <w:adjustRightInd w:val="0"/>
        <w:rPr>
          <w:rFonts w:ascii="Times New Roman" w:hAnsi="Times New Roman" w:cs="Times New Roman"/>
          <w:highlight w:val="lightGray"/>
          <w:lang w:val="sl-SI"/>
        </w:rPr>
      </w:pPr>
      <w:r w:rsidRPr="008E1817">
        <w:rPr>
          <w:rFonts w:ascii="Times New Roman" w:eastAsia="Times New Roman" w:hAnsi="Times New Roman" w:cs="Times New Roman"/>
          <w:highlight w:val="lightGray"/>
          <w:lang w:val="sl-SI"/>
        </w:rPr>
        <w:t>1 napolnjena injekcijska briz</w:t>
      </w:r>
      <w:r w:rsidRPr="00D14272">
        <w:rPr>
          <w:rFonts w:ascii="Times New Roman" w:eastAsia="Times New Roman" w:hAnsi="Times New Roman" w:cs="Times New Roman"/>
          <w:highlight w:val="lightGray"/>
          <w:lang w:val="sl-SI"/>
        </w:rPr>
        <w:t xml:space="preserve">ga </w:t>
      </w:r>
      <w:r w:rsidR="000F107A" w:rsidRPr="00D14272">
        <w:rPr>
          <w:rFonts w:ascii="Times New Roman" w:eastAsia="Times New Roman" w:hAnsi="Times New Roman" w:cs="Times New Roman"/>
          <w:highlight w:val="lightGray"/>
          <w:lang w:val="sl-SI"/>
        </w:rPr>
        <w:t>s ščitnikom za iglo</w:t>
      </w:r>
    </w:p>
    <w:p w14:paraId="21AB2367" w14:textId="77777777" w:rsidR="00E04C8A" w:rsidRPr="008E1817" w:rsidRDefault="008E1817">
      <w:pPr>
        <w:autoSpaceDE w:val="0"/>
        <w:autoSpaceDN w:val="0"/>
        <w:adjustRightInd w:val="0"/>
        <w:rPr>
          <w:rFonts w:ascii="Times New Roman" w:hAnsi="Times New Roman" w:cs="Times New Roman"/>
          <w:highlight w:val="lightGray"/>
          <w:lang w:val="sl-SI"/>
        </w:rPr>
      </w:pPr>
      <w:r w:rsidRPr="008E1817">
        <w:rPr>
          <w:rFonts w:ascii="Times New Roman" w:eastAsia="Times New Roman" w:hAnsi="Times New Roman" w:cs="Times New Roman"/>
          <w:highlight w:val="lightGray"/>
          <w:lang w:val="sl-SI"/>
        </w:rPr>
        <w:t>2 alkoholna zloženca</w:t>
      </w:r>
    </w:p>
    <w:p w14:paraId="3D79DE04" w14:textId="77777777" w:rsidR="00E04C8A" w:rsidRPr="008E1817" w:rsidRDefault="00E04C8A">
      <w:pPr>
        <w:autoSpaceDE w:val="0"/>
        <w:autoSpaceDN w:val="0"/>
        <w:adjustRightInd w:val="0"/>
        <w:rPr>
          <w:rFonts w:ascii="Times New Roman" w:hAnsi="Times New Roman" w:cs="Times New Roman"/>
          <w:highlight w:val="lightGray"/>
          <w:lang w:val="sl-SI"/>
        </w:rPr>
      </w:pPr>
    </w:p>
    <w:p w14:paraId="074710C1" w14:textId="05862014" w:rsidR="00E04C8A" w:rsidRPr="008E1817" w:rsidRDefault="008E1817">
      <w:pPr>
        <w:autoSpaceDE w:val="0"/>
        <w:autoSpaceDN w:val="0"/>
        <w:adjustRightInd w:val="0"/>
        <w:rPr>
          <w:rFonts w:ascii="Times New Roman" w:hAnsi="Times New Roman" w:cs="Times New Roman"/>
          <w:highlight w:val="lightGray"/>
          <w:lang w:val="sl-SI"/>
        </w:rPr>
      </w:pPr>
      <w:r w:rsidRPr="008E1817">
        <w:rPr>
          <w:rFonts w:ascii="Times New Roman" w:eastAsia="Times New Roman" w:hAnsi="Times New Roman" w:cs="Times New Roman"/>
          <w:highlight w:val="lightGray"/>
          <w:lang w:val="sl-SI"/>
        </w:rPr>
        <w:t xml:space="preserve">2 napolnjeni injekcijski brizgi </w:t>
      </w:r>
      <w:r w:rsidR="00E07158">
        <w:rPr>
          <w:rFonts w:ascii="Times New Roman" w:eastAsia="Times New Roman" w:hAnsi="Times New Roman" w:cs="Times New Roman"/>
          <w:highlight w:val="lightGray"/>
          <w:lang w:val="sl-SI"/>
        </w:rPr>
        <w:t>s ščitnikom za iglo</w:t>
      </w:r>
    </w:p>
    <w:p w14:paraId="4C5A72A9" w14:textId="77777777" w:rsidR="00E04C8A" w:rsidRPr="008E1817" w:rsidRDefault="008E1817">
      <w:pPr>
        <w:autoSpaceDE w:val="0"/>
        <w:autoSpaceDN w:val="0"/>
        <w:adjustRightInd w:val="0"/>
        <w:rPr>
          <w:rFonts w:ascii="Times New Roman" w:hAnsi="Times New Roman" w:cs="Times New Roman"/>
          <w:highlight w:val="lightGray"/>
          <w:lang w:val="sl-SI"/>
        </w:rPr>
      </w:pPr>
      <w:r w:rsidRPr="008E1817">
        <w:rPr>
          <w:rFonts w:ascii="Times New Roman" w:eastAsia="Times New Roman" w:hAnsi="Times New Roman" w:cs="Times New Roman"/>
          <w:highlight w:val="lightGray"/>
          <w:lang w:val="sl-SI"/>
        </w:rPr>
        <w:t>2 alkoholna zloženca</w:t>
      </w:r>
    </w:p>
    <w:p w14:paraId="44EDA03A" w14:textId="77777777" w:rsidR="00E04C8A" w:rsidRPr="008E1817" w:rsidRDefault="00E04C8A">
      <w:pPr>
        <w:autoSpaceDE w:val="0"/>
        <w:autoSpaceDN w:val="0"/>
        <w:adjustRightInd w:val="0"/>
        <w:rPr>
          <w:rFonts w:ascii="Times New Roman" w:hAnsi="Times New Roman" w:cs="Times New Roman"/>
          <w:highlight w:val="lightGray"/>
          <w:lang w:val="sl-SI"/>
        </w:rPr>
      </w:pPr>
    </w:p>
    <w:p w14:paraId="6B289AF3" w14:textId="7F2700FA" w:rsidR="00E04C8A" w:rsidRPr="008E1817" w:rsidRDefault="008E1817">
      <w:pPr>
        <w:autoSpaceDE w:val="0"/>
        <w:autoSpaceDN w:val="0"/>
        <w:adjustRightInd w:val="0"/>
        <w:rPr>
          <w:rFonts w:ascii="Times New Roman" w:hAnsi="Times New Roman" w:cs="Times New Roman"/>
          <w:highlight w:val="lightGray"/>
          <w:lang w:val="sl-SI"/>
        </w:rPr>
      </w:pPr>
      <w:r w:rsidRPr="008E1817">
        <w:rPr>
          <w:rFonts w:ascii="Times New Roman" w:eastAsia="Times New Roman" w:hAnsi="Times New Roman" w:cs="Times New Roman"/>
          <w:highlight w:val="lightGray"/>
          <w:lang w:val="sl-SI"/>
        </w:rPr>
        <w:t xml:space="preserve">4 napolnjene injekcijske brizge </w:t>
      </w:r>
      <w:r w:rsidR="00E07158">
        <w:rPr>
          <w:rFonts w:ascii="Times New Roman" w:eastAsia="Times New Roman" w:hAnsi="Times New Roman" w:cs="Times New Roman"/>
          <w:highlight w:val="lightGray"/>
          <w:lang w:val="sl-SI"/>
        </w:rPr>
        <w:t>s ščitnikom za iglo</w:t>
      </w:r>
    </w:p>
    <w:p w14:paraId="0FCD39DE" w14:textId="77777777" w:rsidR="00E04C8A" w:rsidRPr="008E1817" w:rsidRDefault="008E1817">
      <w:pPr>
        <w:autoSpaceDE w:val="0"/>
        <w:autoSpaceDN w:val="0"/>
        <w:adjustRightInd w:val="0"/>
        <w:rPr>
          <w:rFonts w:ascii="Times New Roman" w:hAnsi="Times New Roman" w:cs="Times New Roman"/>
          <w:highlight w:val="lightGray"/>
          <w:lang w:val="sl-SI"/>
        </w:rPr>
      </w:pPr>
      <w:r w:rsidRPr="008E1817">
        <w:rPr>
          <w:rFonts w:ascii="Times New Roman" w:eastAsia="Times New Roman" w:hAnsi="Times New Roman" w:cs="Times New Roman"/>
          <w:highlight w:val="lightGray"/>
          <w:lang w:val="sl-SI"/>
        </w:rPr>
        <w:t>4 alkoholni zloženci</w:t>
      </w:r>
    </w:p>
    <w:p w14:paraId="4F31A82E" w14:textId="77777777" w:rsidR="00E04C8A" w:rsidRPr="008E1817" w:rsidRDefault="00E04C8A">
      <w:pPr>
        <w:autoSpaceDE w:val="0"/>
        <w:autoSpaceDN w:val="0"/>
        <w:adjustRightInd w:val="0"/>
        <w:rPr>
          <w:rFonts w:ascii="Times New Roman" w:hAnsi="Times New Roman" w:cs="Times New Roman"/>
          <w:highlight w:val="lightGray"/>
          <w:lang w:val="sl-SI"/>
        </w:rPr>
      </w:pPr>
    </w:p>
    <w:p w14:paraId="3F0DBED5" w14:textId="165D7E72" w:rsidR="00E04C8A" w:rsidRPr="008E1817" w:rsidRDefault="008E1817">
      <w:pPr>
        <w:spacing w:line="200" w:lineRule="exact"/>
        <w:rPr>
          <w:rFonts w:ascii="Times New Roman" w:hAnsi="Times New Roman" w:cs="Times New Roman"/>
          <w:highlight w:val="lightGray"/>
          <w:lang w:val="sl-SI"/>
        </w:rPr>
      </w:pPr>
      <w:r w:rsidRPr="008E1817">
        <w:rPr>
          <w:rFonts w:ascii="Times New Roman" w:eastAsia="Times New Roman" w:hAnsi="Times New Roman" w:cs="Times New Roman"/>
          <w:highlight w:val="lightGray"/>
          <w:lang w:val="sl-SI"/>
        </w:rPr>
        <w:t xml:space="preserve">6 napolnjenih injekcijskih brizg </w:t>
      </w:r>
      <w:r w:rsidR="00E07158">
        <w:rPr>
          <w:rFonts w:ascii="Times New Roman" w:eastAsia="Times New Roman" w:hAnsi="Times New Roman" w:cs="Times New Roman"/>
          <w:highlight w:val="lightGray"/>
          <w:lang w:val="sl-SI"/>
        </w:rPr>
        <w:t>s ščitnikom za iglo</w:t>
      </w:r>
    </w:p>
    <w:p w14:paraId="0D5ECE38" w14:textId="77777777" w:rsidR="00E04C8A" w:rsidRDefault="008E1817">
      <w:pPr>
        <w:spacing w:line="200" w:lineRule="exact"/>
        <w:rPr>
          <w:rFonts w:ascii="Times New Roman" w:hAnsi="Times New Roman" w:cs="Times New Roman"/>
          <w:lang w:val="sl-SI"/>
        </w:rPr>
      </w:pPr>
      <w:r w:rsidRPr="008E1817">
        <w:rPr>
          <w:rFonts w:ascii="Times New Roman" w:eastAsia="Times New Roman" w:hAnsi="Times New Roman" w:cs="Times New Roman"/>
          <w:highlight w:val="lightGray"/>
          <w:lang w:val="sl-SI"/>
        </w:rPr>
        <w:t>6 alkoholnih zložencev</w:t>
      </w:r>
    </w:p>
    <w:p w14:paraId="0919EFD9" w14:textId="77777777" w:rsidR="00E04C8A" w:rsidRDefault="00E04C8A">
      <w:pPr>
        <w:spacing w:line="200" w:lineRule="exact"/>
        <w:rPr>
          <w:lang w:val="sl-SI"/>
        </w:rPr>
      </w:pPr>
    </w:p>
    <w:p w14:paraId="4312FF78" w14:textId="77777777" w:rsidR="00E04C8A" w:rsidRDefault="00E04C8A">
      <w:pPr>
        <w:spacing w:line="200" w:lineRule="exact"/>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14:paraId="7A9D662C" w14:textId="77777777">
        <w:trPr>
          <w:trHeight w:val="317"/>
        </w:trPr>
        <w:tc>
          <w:tcPr>
            <w:tcW w:w="9666" w:type="dxa"/>
            <w:vAlign w:val="center"/>
          </w:tcPr>
          <w:p w14:paraId="4ADF7BCE" w14:textId="77777777" w:rsidR="00E04C8A" w:rsidRDefault="008E1817">
            <w:pPr>
              <w:numPr>
                <w:ilvl w:val="0"/>
                <w:numId w:val="6"/>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lastRenderedPageBreak/>
              <w:t>POSTOPEK IN POT(I) UPORABE ZDRAVILA</w:t>
            </w:r>
          </w:p>
        </w:tc>
      </w:tr>
    </w:tbl>
    <w:p w14:paraId="0365AC1C" w14:textId="77777777" w:rsidR="00E04C8A" w:rsidRDefault="00E04C8A">
      <w:pPr>
        <w:spacing w:line="200" w:lineRule="exact"/>
        <w:rPr>
          <w:lang w:val="sl-SI"/>
        </w:rPr>
      </w:pPr>
    </w:p>
    <w:p w14:paraId="6E88670A" w14:textId="77777777" w:rsidR="00E04C8A" w:rsidRDefault="008E1817">
      <w:pPr>
        <w:pStyle w:val="a3"/>
        <w:rPr>
          <w:lang w:val="sl-SI"/>
        </w:rPr>
      </w:pPr>
      <w:r>
        <w:rPr>
          <w:rFonts w:eastAsia="Times New Roman"/>
          <w:lang w:val="sl-SI"/>
        </w:rPr>
        <w:t>subkutana uporaba</w:t>
      </w:r>
    </w:p>
    <w:p w14:paraId="01E5E5AB" w14:textId="77777777" w:rsidR="00E04C8A" w:rsidRDefault="00E04C8A">
      <w:pPr>
        <w:pStyle w:val="a3"/>
        <w:rPr>
          <w:lang w:val="sl-SI"/>
        </w:rPr>
      </w:pPr>
    </w:p>
    <w:p w14:paraId="6BA88E7C" w14:textId="77777777" w:rsidR="00E04C8A" w:rsidRDefault="008E1817">
      <w:pPr>
        <w:pStyle w:val="a3"/>
        <w:rPr>
          <w:lang w:val="sl-SI"/>
        </w:rPr>
      </w:pPr>
      <w:r>
        <w:rPr>
          <w:rFonts w:eastAsia="Times New Roman"/>
          <w:lang w:val="sl-SI"/>
        </w:rPr>
        <w:t>Pred uporabo preberite priloženo navodilo!</w:t>
      </w:r>
    </w:p>
    <w:p w14:paraId="3C6F2230" w14:textId="77777777" w:rsidR="00E04C8A" w:rsidRDefault="00E04C8A">
      <w:pPr>
        <w:pStyle w:val="a3"/>
        <w:rPr>
          <w:lang w:val="sl-SI"/>
        </w:rPr>
      </w:pPr>
    </w:p>
    <w:p w14:paraId="0E7F4EA7" w14:textId="77777777" w:rsidR="00E04C8A" w:rsidRDefault="008E1817">
      <w:pPr>
        <w:pStyle w:val="a3"/>
        <w:rPr>
          <w:lang w:val="sl-SI"/>
        </w:rPr>
      </w:pPr>
      <w:r>
        <w:rPr>
          <w:rFonts w:eastAsia="Times New Roman"/>
          <w:lang w:val="sl-SI"/>
        </w:rPr>
        <w:t>Samo za enkratno uporabo.</w:t>
      </w:r>
    </w:p>
    <w:p w14:paraId="44F90D85" w14:textId="77777777" w:rsidR="00E04C8A" w:rsidRDefault="00E04C8A">
      <w:pPr>
        <w:pStyle w:val="a3"/>
        <w:rPr>
          <w:lang w:val="sl-SI"/>
        </w:rPr>
      </w:pPr>
    </w:p>
    <w:p w14:paraId="218891A4" w14:textId="77777777" w:rsidR="00E04C8A" w:rsidRDefault="00E04C8A">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652F18" w14:paraId="5AB77D3A" w14:textId="77777777">
        <w:trPr>
          <w:trHeight w:val="317"/>
        </w:trPr>
        <w:tc>
          <w:tcPr>
            <w:tcW w:w="9666" w:type="dxa"/>
            <w:vAlign w:val="center"/>
          </w:tcPr>
          <w:p w14:paraId="0F4810C1" w14:textId="77777777" w:rsidR="00E04C8A" w:rsidRDefault="008E1817">
            <w:pPr>
              <w:numPr>
                <w:ilvl w:val="0"/>
                <w:numId w:val="6"/>
              </w:numPr>
              <w:tabs>
                <w:tab w:val="left" w:pos="672"/>
              </w:tabs>
              <w:ind w:left="550" w:hanging="550"/>
              <w:jc w:val="both"/>
              <w:rPr>
                <w:rFonts w:ascii="Times New Roman" w:eastAsia="Times New Roman" w:hAnsi="Times New Roman"/>
                <w:lang w:val="sl-SI"/>
              </w:rPr>
            </w:pPr>
            <w:r>
              <w:rPr>
                <w:rFonts w:ascii="Times New Roman" w:eastAsia="Times New Roman" w:hAnsi="Times New Roman" w:cs="Times New Roman"/>
                <w:b/>
                <w:bCs/>
                <w:spacing w:val="-1"/>
                <w:lang w:val="sl-SI"/>
              </w:rPr>
              <w:t>POSEBNO OPOZORILO O SHRANJEVANJU ZDRAVILA ZUNAJ DOSEGA IN POGLEDA OTROK</w:t>
            </w:r>
          </w:p>
        </w:tc>
      </w:tr>
    </w:tbl>
    <w:p w14:paraId="4C4BEDFD" w14:textId="77777777" w:rsidR="00E04C8A" w:rsidRDefault="00E04C8A">
      <w:pPr>
        <w:spacing w:before="1" w:line="200" w:lineRule="exact"/>
        <w:rPr>
          <w:lang w:val="sl-SI"/>
        </w:rPr>
      </w:pPr>
    </w:p>
    <w:p w14:paraId="17F5ED89" w14:textId="77777777" w:rsidR="00E04C8A" w:rsidRDefault="008E1817">
      <w:pPr>
        <w:pStyle w:val="a3"/>
        <w:rPr>
          <w:lang w:val="sl-SI"/>
        </w:rPr>
      </w:pPr>
      <w:r>
        <w:rPr>
          <w:rFonts w:eastAsia="Times New Roman"/>
          <w:lang w:val="sl-SI"/>
        </w:rPr>
        <w:t>Zdravilo shranjujte nedosegljivo otrokom!</w:t>
      </w:r>
    </w:p>
    <w:p w14:paraId="50A66674" w14:textId="77777777" w:rsidR="00E04C8A" w:rsidRDefault="00E04C8A">
      <w:pPr>
        <w:pStyle w:val="a3"/>
        <w:rPr>
          <w:lang w:val="sl-SI"/>
        </w:rPr>
      </w:pPr>
    </w:p>
    <w:p w14:paraId="1AB54723" w14:textId="77777777" w:rsidR="00E04C8A" w:rsidRDefault="00E04C8A">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3138FB" w14:paraId="609B3A1A" w14:textId="77777777">
        <w:trPr>
          <w:trHeight w:val="317"/>
        </w:trPr>
        <w:tc>
          <w:tcPr>
            <w:tcW w:w="9666" w:type="dxa"/>
            <w:vAlign w:val="center"/>
          </w:tcPr>
          <w:p w14:paraId="3776B8C5" w14:textId="77777777" w:rsidR="00E04C8A" w:rsidRDefault="008E1817">
            <w:pPr>
              <w:numPr>
                <w:ilvl w:val="0"/>
                <w:numId w:val="6"/>
              </w:numPr>
              <w:tabs>
                <w:tab w:val="left" w:pos="672"/>
              </w:tabs>
              <w:ind w:left="550" w:hanging="550"/>
              <w:jc w:val="both"/>
              <w:rPr>
                <w:rFonts w:ascii="Times New Roman" w:eastAsia="Times New Roman" w:hAnsi="Times New Roman"/>
                <w:lang w:val="sl-SI"/>
              </w:rPr>
            </w:pPr>
            <w:r>
              <w:rPr>
                <w:rFonts w:ascii="Times New Roman" w:eastAsia="Times New Roman" w:hAnsi="Times New Roman" w:cs="Times New Roman"/>
                <w:b/>
                <w:bCs/>
                <w:spacing w:val="-1"/>
                <w:lang w:val="sl-SI"/>
              </w:rPr>
              <w:t>DRUGA POSEBNA OPOZORILA, ČE SO POTREBNA</w:t>
            </w:r>
          </w:p>
        </w:tc>
      </w:tr>
    </w:tbl>
    <w:p w14:paraId="3E10DDCC" w14:textId="77777777" w:rsidR="00E04C8A" w:rsidRDefault="00E04C8A">
      <w:pPr>
        <w:rPr>
          <w:lang w:val="sl-SI"/>
        </w:rPr>
      </w:pPr>
    </w:p>
    <w:p w14:paraId="2819B999" w14:textId="77777777" w:rsidR="00E04C8A" w:rsidRDefault="00E04C8A">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3138FB" w14:paraId="41F5ABE3" w14:textId="77777777">
        <w:trPr>
          <w:trHeight w:val="317"/>
        </w:trPr>
        <w:tc>
          <w:tcPr>
            <w:tcW w:w="9666" w:type="dxa"/>
            <w:vAlign w:val="center"/>
          </w:tcPr>
          <w:p w14:paraId="7DF1D7ED" w14:textId="77777777" w:rsidR="00E04C8A" w:rsidRDefault="008E1817">
            <w:pPr>
              <w:numPr>
                <w:ilvl w:val="0"/>
                <w:numId w:val="6"/>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DATUM IZTEKA ROKA UPORABNOSTI ZDRAVILA</w:t>
            </w:r>
          </w:p>
        </w:tc>
      </w:tr>
    </w:tbl>
    <w:p w14:paraId="08D008FF" w14:textId="77777777" w:rsidR="00E04C8A" w:rsidRDefault="00E04C8A">
      <w:pPr>
        <w:rPr>
          <w:lang w:val="sl-SI"/>
        </w:rPr>
      </w:pPr>
    </w:p>
    <w:p w14:paraId="2FF5D6D6" w14:textId="77777777" w:rsidR="00E04C8A" w:rsidRDefault="008E1817">
      <w:pPr>
        <w:pStyle w:val="a3"/>
        <w:rPr>
          <w:lang w:val="sl-SI"/>
        </w:rPr>
      </w:pPr>
      <w:r>
        <w:rPr>
          <w:rFonts w:eastAsia="Times New Roman"/>
          <w:lang w:val="sl-SI"/>
        </w:rPr>
        <w:t>EXP</w:t>
      </w:r>
    </w:p>
    <w:p w14:paraId="053F8C10" w14:textId="77777777" w:rsidR="00E04C8A" w:rsidRDefault="00E04C8A">
      <w:pPr>
        <w:rPr>
          <w:lang w:val="sl-SI"/>
        </w:rPr>
      </w:pPr>
    </w:p>
    <w:p w14:paraId="71ECFDC1" w14:textId="77777777" w:rsidR="00E04C8A" w:rsidRDefault="00E04C8A">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14:paraId="5B4383B2" w14:textId="77777777">
        <w:trPr>
          <w:trHeight w:val="317"/>
        </w:trPr>
        <w:tc>
          <w:tcPr>
            <w:tcW w:w="9666" w:type="dxa"/>
            <w:vAlign w:val="center"/>
          </w:tcPr>
          <w:p w14:paraId="2BCFBAF1" w14:textId="77777777" w:rsidR="00E04C8A" w:rsidRDefault="008E1817">
            <w:pPr>
              <w:numPr>
                <w:ilvl w:val="0"/>
                <w:numId w:val="6"/>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POSEBNA NAVODILA ZA SHRANJEVANJE</w:t>
            </w:r>
          </w:p>
        </w:tc>
      </w:tr>
    </w:tbl>
    <w:p w14:paraId="48201CD4" w14:textId="77777777" w:rsidR="00E04C8A" w:rsidRDefault="00E04C8A">
      <w:pPr>
        <w:rPr>
          <w:lang w:val="sl-SI"/>
        </w:rPr>
      </w:pPr>
    </w:p>
    <w:p w14:paraId="12FED0B4" w14:textId="77777777" w:rsidR="00E04C8A" w:rsidRDefault="008E1817">
      <w:pPr>
        <w:pStyle w:val="a3"/>
        <w:rPr>
          <w:lang w:val="sl-SI"/>
        </w:rPr>
      </w:pPr>
      <w:r>
        <w:rPr>
          <w:rFonts w:eastAsia="Times New Roman"/>
          <w:lang w:val="sl-SI"/>
        </w:rPr>
        <w:t>Shranjujte v hladilniku. Ne zamrzujte.</w:t>
      </w:r>
    </w:p>
    <w:p w14:paraId="54993B24" w14:textId="77777777" w:rsidR="00E04C8A" w:rsidRDefault="008E1817">
      <w:pPr>
        <w:pStyle w:val="a3"/>
        <w:rPr>
          <w:lang w:val="sl-SI"/>
        </w:rPr>
      </w:pPr>
      <w:r>
        <w:rPr>
          <w:rFonts w:eastAsia="Times New Roman"/>
          <w:lang w:val="sl-SI"/>
        </w:rPr>
        <w:t>Napolnjeno injekcijsko brizgo shranjujte v zunanji ovojnini za zagotovitev zaščite pred svetlobo.</w:t>
      </w:r>
    </w:p>
    <w:p w14:paraId="157EC54C" w14:textId="77777777" w:rsidR="00E04C8A" w:rsidRDefault="008E1817">
      <w:pPr>
        <w:pStyle w:val="a3"/>
        <w:rPr>
          <w:lang w:val="sl-SI"/>
        </w:rPr>
      </w:pPr>
      <w:r w:rsidRPr="008E1817">
        <w:rPr>
          <w:rFonts w:eastAsia="Times New Roman"/>
          <w:highlight w:val="lightGray"/>
          <w:lang w:val="sl-SI"/>
        </w:rPr>
        <w:t>Napolnjene injekcijske brizge shranjujte v zunanji ovojnini za zagotovitev zaščite pred svetlobo.</w:t>
      </w:r>
    </w:p>
    <w:p w14:paraId="3B63B9B2" w14:textId="77777777" w:rsidR="00E04C8A" w:rsidRDefault="008E1817">
      <w:pPr>
        <w:pStyle w:val="a3"/>
        <w:rPr>
          <w:lang w:val="sl-SI"/>
        </w:rPr>
      </w:pPr>
      <w:r>
        <w:rPr>
          <w:rFonts w:eastAsia="Times New Roman"/>
          <w:lang w:val="sl-SI"/>
        </w:rPr>
        <w:t>Za podrobnosti o drugačnem shranjevanju glejte navodilo za uporabo.</w:t>
      </w:r>
    </w:p>
    <w:p w14:paraId="7BD7A745" w14:textId="77777777" w:rsidR="00E04C8A" w:rsidRDefault="00E04C8A">
      <w:pPr>
        <w:rPr>
          <w:lang w:val="sl-SI"/>
        </w:rPr>
      </w:pPr>
    </w:p>
    <w:p w14:paraId="1B38F875" w14:textId="77777777" w:rsidR="00E04C8A" w:rsidRDefault="00E04C8A">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652F18" w14:paraId="68B7165F" w14:textId="77777777">
        <w:trPr>
          <w:trHeight w:val="317"/>
        </w:trPr>
        <w:tc>
          <w:tcPr>
            <w:tcW w:w="9666" w:type="dxa"/>
            <w:vAlign w:val="center"/>
          </w:tcPr>
          <w:p w14:paraId="73A053AD" w14:textId="77777777" w:rsidR="00E04C8A" w:rsidRDefault="008E1817">
            <w:pPr>
              <w:numPr>
                <w:ilvl w:val="0"/>
                <w:numId w:val="6"/>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POSEBNI VARNOSTNI UKREPI ZA ODSTRANJEVANJE NEUPORABLJENIH ZDRAVIL ALI IZ NJIH NASTALIH ODPADNIH SNOVI, KADAR SO POTREBNI</w:t>
            </w:r>
          </w:p>
        </w:tc>
      </w:tr>
    </w:tbl>
    <w:p w14:paraId="52E22489" w14:textId="77777777" w:rsidR="00E04C8A" w:rsidRDefault="00E04C8A">
      <w:pPr>
        <w:rPr>
          <w:lang w:val="sl-SI"/>
        </w:rPr>
      </w:pPr>
    </w:p>
    <w:p w14:paraId="48A0766F" w14:textId="77777777" w:rsidR="00E04C8A" w:rsidRDefault="00E04C8A">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14:paraId="5B0F9D27" w14:textId="77777777">
        <w:trPr>
          <w:trHeight w:val="317"/>
        </w:trPr>
        <w:tc>
          <w:tcPr>
            <w:tcW w:w="9666" w:type="dxa"/>
            <w:vAlign w:val="center"/>
          </w:tcPr>
          <w:p w14:paraId="4EEC51EC" w14:textId="77777777" w:rsidR="00E04C8A" w:rsidRDefault="008E1817">
            <w:pPr>
              <w:numPr>
                <w:ilvl w:val="0"/>
                <w:numId w:val="6"/>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IME IN NASLOV IMETNIKA DOVOLJENJA ZA PROMET Z ZDRAVILOM</w:t>
            </w:r>
          </w:p>
        </w:tc>
      </w:tr>
    </w:tbl>
    <w:p w14:paraId="010CD9E2" w14:textId="77777777" w:rsidR="00E04C8A" w:rsidRDefault="00E04C8A">
      <w:pPr>
        <w:spacing w:before="5" w:line="200" w:lineRule="exact"/>
        <w:rPr>
          <w:lang w:val="sl-SI"/>
        </w:rPr>
      </w:pPr>
    </w:p>
    <w:p w14:paraId="650F581D" w14:textId="77777777" w:rsidR="00E04C8A" w:rsidRDefault="008E1817">
      <w:pPr>
        <w:pStyle w:val="a3"/>
        <w:rPr>
          <w:lang w:val="sl-SI"/>
        </w:rPr>
      </w:pPr>
      <w:r>
        <w:rPr>
          <w:lang w:val="sl-SI"/>
        </w:rPr>
        <w:t xml:space="preserve">Celltrion Healthcare Hungary Kft. </w:t>
      </w:r>
    </w:p>
    <w:p w14:paraId="18B44667" w14:textId="77777777" w:rsidR="00E04C8A" w:rsidRDefault="008E1817">
      <w:pPr>
        <w:pStyle w:val="a3"/>
        <w:rPr>
          <w:lang w:val="sl-SI"/>
        </w:rPr>
      </w:pPr>
      <w:r>
        <w:rPr>
          <w:lang w:val="sl-SI"/>
        </w:rPr>
        <w:t>1062 Budapest</w:t>
      </w:r>
    </w:p>
    <w:p w14:paraId="56FD91A4" w14:textId="77777777" w:rsidR="00E04C8A" w:rsidRDefault="008E1817">
      <w:pPr>
        <w:pStyle w:val="a3"/>
        <w:rPr>
          <w:lang w:val="sl-SI"/>
        </w:rPr>
      </w:pPr>
      <w:r>
        <w:rPr>
          <w:lang w:val="sl-SI"/>
        </w:rPr>
        <w:t>Váci út 1-3. WestEnd Office Building B torony</w:t>
      </w:r>
    </w:p>
    <w:p w14:paraId="58C93192" w14:textId="77777777" w:rsidR="00E04C8A" w:rsidRDefault="008E1817">
      <w:pPr>
        <w:pStyle w:val="a3"/>
        <w:rPr>
          <w:lang w:val="sl-SI"/>
        </w:rPr>
      </w:pPr>
      <w:r>
        <w:rPr>
          <w:rFonts w:eastAsia="Times New Roman"/>
          <w:lang w:val="sl-SI"/>
        </w:rPr>
        <w:t>Madžarska</w:t>
      </w:r>
    </w:p>
    <w:p w14:paraId="397F8495" w14:textId="77777777" w:rsidR="00E04C8A" w:rsidRDefault="00E04C8A">
      <w:pPr>
        <w:rPr>
          <w:lang w:val="sl-SI"/>
        </w:rPr>
      </w:pPr>
    </w:p>
    <w:p w14:paraId="6C0E1A19" w14:textId="77777777" w:rsidR="00E04C8A" w:rsidRDefault="00E04C8A">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652F18" w14:paraId="1127E227" w14:textId="77777777">
        <w:trPr>
          <w:trHeight w:val="317"/>
        </w:trPr>
        <w:tc>
          <w:tcPr>
            <w:tcW w:w="9666" w:type="dxa"/>
            <w:vAlign w:val="center"/>
          </w:tcPr>
          <w:p w14:paraId="740C2658" w14:textId="77777777" w:rsidR="00E04C8A" w:rsidRDefault="008E1817">
            <w:pPr>
              <w:numPr>
                <w:ilvl w:val="0"/>
                <w:numId w:val="6"/>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ŠTEVILKA(E) DOVOLJENJA (DOVOLJENJ) ZA PROMET</w:t>
            </w:r>
          </w:p>
        </w:tc>
      </w:tr>
    </w:tbl>
    <w:p w14:paraId="421BA019" w14:textId="77777777" w:rsidR="00E04C8A" w:rsidRDefault="00E04C8A">
      <w:pPr>
        <w:rPr>
          <w:lang w:val="sl-SI"/>
        </w:rPr>
      </w:pPr>
    </w:p>
    <w:p w14:paraId="38D9C62F" w14:textId="77777777" w:rsidR="00E04C8A" w:rsidRPr="008E1817" w:rsidRDefault="008E1817">
      <w:pPr>
        <w:pStyle w:val="a3"/>
        <w:rPr>
          <w:highlight w:val="lightGray"/>
          <w:lang w:val="sl-SI"/>
        </w:rPr>
      </w:pPr>
      <w:r>
        <w:rPr>
          <w:rFonts w:eastAsia="Times New Roman"/>
          <w:lang w:val="sl-SI"/>
        </w:rPr>
        <w:t>EU/</w:t>
      </w:r>
      <w:r>
        <w:rPr>
          <w:rFonts w:eastAsia="Times New Roman" w:cs="Verdana"/>
          <w:color w:val="000000"/>
          <w:lang w:val="sl-SI"/>
        </w:rPr>
        <w:t>1/20/1513/001</w:t>
      </w:r>
      <w:r>
        <w:rPr>
          <w:rFonts w:eastAsia="Times New Roman"/>
          <w:lang w:val="sl-SI"/>
        </w:rPr>
        <w:t xml:space="preserve"> </w:t>
      </w:r>
      <w:r w:rsidRPr="008E1817">
        <w:rPr>
          <w:rFonts w:eastAsia="Times New Roman"/>
          <w:highlight w:val="lightGray"/>
          <w:lang w:val="sl-SI"/>
        </w:rPr>
        <w:t>1 napolnjena injekcijska brizga</w:t>
      </w:r>
    </w:p>
    <w:p w14:paraId="1594D085" w14:textId="77777777" w:rsidR="00E04C8A" w:rsidRPr="008E1817" w:rsidRDefault="008E1817">
      <w:pPr>
        <w:pStyle w:val="a3"/>
        <w:rPr>
          <w:highlight w:val="lightGray"/>
          <w:lang w:val="sl-SI"/>
        </w:rPr>
      </w:pPr>
      <w:r w:rsidRPr="008E1817">
        <w:rPr>
          <w:rFonts w:eastAsia="Times New Roman"/>
          <w:highlight w:val="lightGray"/>
          <w:lang w:val="sl-SI"/>
        </w:rPr>
        <w:lastRenderedPageBreak/>
        <w:t>EU/</w:t>
      </w:r>
      <w:r w:rsidRPr="008E1817">
        <w:rPr>
          <w:rFonts w:eastAsia="Times New Roman" w:cs="Verdana"/>
          <w:color w:val="000000"/>
          <w:highlight w:val="lightGray"/>
          <w:lang w:val="sl-SI"/>
        </w:rPr>
        <w:t>1/20/1513/002</w:t>
      </w:r>
      <w:r w:rsidRPr="008E1817">
        <w:rPr>
          <w:rFonts w:eastAsia="Times New Roman"/>
          <w:highlight w:val="lightGray"/>
          <w:lang w:val="sl-SI"/>
        </w:rPr>
        <w:t xml:space="preserve"> 2 napolnjeni injekcijski brizgi </w:t>
      </w:r>
    </w:p>
    <w:p w14:paraId="091030D2" w14:textId="77777777" w:rsidR="00E04C8A" w:rsidRPr="008E1817" w:rsidRDefault="008E1817">
      <w:pPr>
        <w:pStyle w:val="a3"/>
        <w:rPr>
          <w:highlight w:val="lightGray"/>
          <w:lang w:val="sl-SI"/>
        </w:rPr>
      </w:pPr>
      <w:r w:rsidRPr="008E1817">
        <w:rPr>
          <w:rFonts w:eastAsia="Times New Roman"/>
          <w:highlight w:val="lightGray"/>
          <w:lang w:val="sl-SI"/>
        </w:rPr>
        <w:t>EU/</w:t>
      </w:r>
      <w:r w:rsidRPr="008E1817">
        <w:rPr>
          <w:rFonts w:eastAsia="Times New Roman" w:cs="Verdana"/>
          <w:color w:val="000000"/>
          <w:highlight w:val="lightGray"/>
          <w:lang w:val="sl-SI"/>
        </w:rPr>
        <w:t>1/20/1513/003</w:t>
      </w:r>
      <w:r w:rsidRPr="008E1817">
        <w:rPr>
          <w:rFonts w:eastAsia="Times New Roman"/>
          <w:highlight w:val="lightGray"/>
          <w:lang w:val="sl-SI"/>
        </w:rPr>
        <w:t xml:space="preserve"> 4 napolnjene injekcijske brizge </w:t>
      </w:r>
    </w:p>
    <w:p w14:paraId="4D2DAC19" w14:textId="77777777" w:rsidR="00E04C8A" w:rsidRPr="008E1817" w:rsidRDefault="008E1817">
      <w:pPr>
        <w:pStyle w:val="a3"/>
        <w:rPr>
          <w:highlight w:val="lightGray"/>
          <w:lang w:val="sl-SI"/>
        </w:rPr>
      </w:pPr>
      <w:r w:rsidRPr="008E1817">
        <w:rPr>
          <w:rFonts w:eastAsia="Times New Roman"/>
          <w:highlight w:val="lightGray"/>
          <w:lang w:val="sl-SI"/>
        </w:rPr>
        <w:t>EU/</w:t>
      </w:r>
      <w:r w:rsidRPr="008E1817">
        <w:rPr>
          <w:rFonts w:eastAsia="Times New Roman" w:cs="Verdana"/>
          <w:color w:val="000000"/>
          <w:highlight w:val="lightGray"/>
          <w:lang w:val="sl-SI"/>
        </w:rPr>
        <w:t>1/20/1513/004</w:t>
      </w:r>
      <w:r w:rsidRPr="008E1817">
        <w:rPr>
          <w:rFonts w:eastAsia="Times New Roman"/>
          <w:highlight w:val="lightGray"/>
          <w:lang w:val="sl-SI"/>
        </w:rPr>
        <w:t xml:space="preserve"> 6 napolnjenih injekcijskih brizg </w:t>
      </w:r>
    </w:p>
    <w:p w14:paraId="6C3023AE" w14:textId="1BC88633" w:rsidR="00E04C8A" w:rsidRPr="008E1817" w:rsidRDefault="008E1817">
      <w:pPr>
        <w:pStyle w:val="a3"/>
        <w:rPr>
          <w:highlight w:val="lightGray"/>
          <w:lang w:val="sl-SI"/>
        </w:rPr>
      </w:pPr>
      <w:r w:rsidRPr="008E1817">
        <w:rPr>
          <w:rFonts w:eastAsia="Times New Roman"/>
          <w:highlight w:val="lightGray"/>
          <w:lang w:val="sl-SI"/>
        </w:rPr>
        <w:t>EU/</w:t>
      </w:r>
      <w:r w:rsidRPr="008E1817">
        <w:rPr>
          <w:rFonts w:eastAsia="Times New Roman" w:cs="Verdana"/>
          <w:color w:val="000000"/>
          <w:highlight w:val="lightGray"/>
          <w:lang w:val="sl-SI"/>
        </w:rPr>
        <w:t>1/20/1513/005</w:t>
      </w:r>
      <w:r w:rsidRPr="008E1817">
        <w:rPr>
          <w:rFonts w:eastAsia="Times New Roman"/>
          <w:highlight w:val="lightGray"/>
          <w:lang w:val="sl-SI"/>
        </w:rPr>
        <w:t xml:space="preserve"> 1 napolnjena injekcijska brizga </w:t>
      </w:r>
      <w:r w:rsidR="00E07158">
        <w:rPr>
          <w:rFonts w:eastAsia="Times New Roman"/>
          <w:highlight w:val="lightGray"/>
          <w:lang w:val="sl-SI"/>
        </w:rPr>
        <w:t>s ščitnikom za iglo</w:t>
      </w:r>
    </w:p>
    <w:p w14:paraId="0DD5B9EF" w14:textId="76D12180" w:rsidR="00E04C8A" w:rsidRPr="008E1817" w:rsidRDefault="008E1817">
      <w:pPr>
        <w:pStyle w:val="a3"/>
        <w:rPr>
          <w:highlight w:val="lightGray"/>
          <w:lang w:val="sl-SI"/>
        </w:rPr>
      </w:pPr>
      <w:r w:rsidRPr="008E1817">
        <w:rPr>
          <w:rFonts w:eastAsia="Times New Roman"/>
          <w:highlight w:val="lightGray"/>
          <w:lang w:val="sl-SI"/>
        </w:rPr>
        <w:t>EU/</w:t>
      </w:r>
      <w:r w:rsidRPr="008E1817">
        <w:rPr>
          <w:rFonts w:eastAsia="Times New Roman" w:cs="Verdana"/>
          <w:color w:val="000000"/>
          <w:highlight w:val="lightGray"/>
          <w:lang w:val="sl-SI"/>
        </w:rPr>
        <w:t>1/20/1513/006</w:t>
      </w:r>
      <w:r w:rsidRPr="008E1817">
        <w:rPr>
          <w:rFonts w:eastAsia="Times New Roman"/>
          <w:highlight w:val="lightGray"/>
          <w:lang w:val="sl-SI"/>
        </w:rPr>
        <w:t xml:space="preserve"> 2 napolnjeni injekcijski brizgi </w:t>
      </w:r>
      <w:r w:rsidR="00E07158">
        <w:rPr>
          <w:rFonts w:eastAsia="Times New Roman"/>
          <w:highlight w:val="lightGray"/>
          <w:lang w:val="sl-SI"/>
        </w:rPr>
        <w:t>s ščitnikom za iglo</w:t>
      </w:r>
    </w:p>
    <w:p w14:paraId="5B4AB2B4" w14:textId="4FFF1692" w:rsidR="00E04C8A" w:rsidRPr="008E1817" w:rsidRDefault="008E1817">
      <w:pPr>
        <w:pStyle w:val="a3"/>
        <w:rPr>
          <w:highlight w:val="lightGray"/>
          <w:lang w:val="sl-SI"/>
        </w:rPr>
      </w:pPr>
      <w:r w:rsidRPr="008E1817">
        <w:rPr>
          <w:rFonts w:eastAsia="Times New Roman"/>
          <w:highlight w:val="lightGray"/>
          <w:lang w:val="sl-SI"/>
        </w:rPr>
        <w:t>EU/</w:t>
      </w:r>
      <w:r w:rsidRPr="008E1817">
        <w:rPr>
          <w:rFonts w:eastAsia="Times New Roman" w:cs="Verdana"/>
          <w:color w:val="000000"/>
          <w:highlight w:val="lightGray"/>
          <w:lang w:val="sl-SI"/>
        </w:rPr>
        <w:t>1/20/1513/007</w:t>
      </w:r>
      <w:r w:rsidRPr="008E1817">
        <w:rPr>
          <w:rFonts w:eastAsia="Times New Roman"/>
          <w:highlight w:val="lightGray"/>
          <w:lang w:val="sl-SI"/>
        </w:rPr>
        <w:t xml:space="preserve"> 4 napolnjene injekcijske brizge </w:t>
      </w:r>
      <w:r w:rsidR="00E07158">
        <w:rPr>
          <w:rFonts w:eastAsia="Times New Roman"/>
          <w:highlight w:val="lightGray"/>
          <w:lang w:val="sl-SI"/>
        </w:rPr>
        <w:t>s ščitnikom za iglo</w:t>
      </w:r>
    </w:p>
    <w:p w14:paraId="5BB69C06" w14:textId="0811CE9C" w:rsidR="00E04C8A" w:rsidRDefault="008E1817">
      <w:pPr>
        <w:pStyle w:val="a3"/>
        <w:rPr>
          <w:lang w:val="sl-SI"/>
        </w:rPr>
      </w:pPr>
      <w:r w:rsidRPr="008E1817">
        <w:rPr>
          <w:rFonts w:eastAsia="Times New Roman"/>
          <w:highlight w:val="lightGray"/>
          <w:lang w:val="sl-SI"/>
        </w:rPr>
        <w:t>EU/</w:t>
      </w:r>
      <w:r w:rsidRPr="008E1817">
        <w:rPr>
          <w:rFonts w:eastAsia="Times New Roman" w:cs="Verdana"/>
          <w:color w:val="000000"/>
          <w:highlight w:val="lightGray"/>
          <w:lang w:val="sl-SI"/>
        </w:rPr>
        <w:t>1/20/1513/008</w:t>
      </w:r>
      <w:r w:rsidRPr="008E1817">
        <w:rPr>
          <w:rFonts w:eastAsia="Times New Roman"/>
          <w:highlight w:val="lightGray"/>
          <w:lang w:val="sl-SI"/>
        </w:rPr>
        <w:t xml:space="preserve"> 6 napolnjenih injekcijskih brizg </w:t>
      </w:r>
      <w:r w:rsidR="00E07158">
        <w:rPr>
          <w:rFonts w:eastAsia="Times New Roman"/>
          <w:highlight w:val="lightGray"/>
          <w:lang w:val="sl-SI"/>
        </w:rPr>
        <w:t>s ščitnikom za iglo</w:t>
      </w:r>
    </w:p>
    <w:p w14:paraId="078C7CF5" w14:textId="77777777" w:rsidR="00E04C8A" w:rsidRDefault="00E04C8A">
      <w:pPr>
        <w:rPr>
          <w:lang w:val="sl-SI"/>
        </w:rPr>
      </w:pPr>
    </w:p>
    <w:p w14:paraId="33A27043" w14:textId="77777777" w:rsidR="00E04C8A" w:rsidRDefault="00E04C8A">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14:paraId="5DCD0D86" w14:textId="77777777">
        <w:trPr>
          <w:trHeight w:val="317"/>
        </w:trPr>
        <w:tc>
          <w:tcPr>
            <w:tcW w:w="9666" w:type="dxa"/>
            <w:vAlign w:val="center"/>
          </w:tcPr>
          <w:p w14:paraId="79B98916" w14:textId="77777777" w:rsidR="00E04C8A" w:rsidRDefault="008E1817">
            <w:pPr>
              <w:numPr>
                <w:ilvl w:val="0"/>
                <w:numId w:val="6"/>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ŠTEVILKA SERIJE</w:t>
            </w:r>
          </w:p>
        </w:tc>
      </w:tr>
    </w:tbl>
    <w:p w14:paraId="1E8CA353" w14:textId="77777777" w:rsidR="00E04C8A" w:rsidRDefault="00E04C8A">
      <w:pPr>
        <w:rPr>
          <w:lang w:val="sl-SI"/>
        </w:rPr>
      </w:pPr>
    </w:p>
    <w:p w14:paraId="1462723C" w14:textId="77777777" w:rsidR="00E04C8A" w:rsidRDefault="008E1817">
      <w:pPr>
        <w:pStyle w:val="a3"/>
        <w:rPr>
          <w:lang w:val="sl-SI"/>
        </w:rPr>
      </w:pPr>
      <w:r>
        <w:rPr>
          <w:rFonts w:eastAsia="Times New Roman"/>
          <w:lang w:val="sl-SI"/>
        </w:rPr>
        <w:t xml:space="preserve">Lot </w:t>
      </w:r>
    </w:p>
    <w:p w14:paraId="1FC51B6D" w14:textId="77777777" w:rsidR="00E04C8A" w:rsidRDefault="00E04C8A">
      <w:pPr>
        <w:pStyle w:val="a3"/>
        <w:rPr>
          <w:lang w:val="sl-SI"/>
        </w:rPr>
      </w:pPr>
    </w:p>
    <w:p w14:paraId="67B9DDD7" w14:textId="77777777" w:rsidR="00E04C8A" w:rsidRDefault="00E04C8A">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652F18" w14:paraId="3BA01460" w14:textId="77777777">
        <w:trPr>
          <w:trHeight w:val="317"/>
        </w:trPr>
        <w:tc>
          <w:tcPr>
            <w:tcW w:w="9666" w:type="dxa"/>
            <w:vAlign w:val="center"/>
          </w:tcPr>
          <w:p w14:paraId="6080789D" w14:textId="77777777" w:rsidR="00E04C8A" w:rsidRDefault="008E1817">
            <w:pPr>
              <w:numPr>
                <w:ilvl w:val="0"/>
                <w:numId w:val="6"/>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NAČIN IZDAJANJA ZDRAVILA</w:t>
            </w:r>
          </w:p>
        </w:tc>
      </w:tr>
    </w:tbl>
    <w:p w14:paraId="073A6B97" w14:textId="77777777" w:rsidR="00E04C8A" w:rsidRDefault="00E04C8A">
      <w:pPr>
        <w:jc w:val="both"/>
        <w:rPr>
          <w:lang w:val="sl-SI"/>
        </w:rPr>
      </w:pPr>
    </w:p>
    <w:p w14:paraId="673E229F" w14:textId="77777777" w:rsidR="00E04C8A" w:rsidRDefault="00E04C8A">
      <w:pPr>
        <w:jc w:val="both"/>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14:paraId="37A55DFF" w14:textId="77777777">
        <w:trPr>
          <w:trHeight w:val="317"/>
        </w:trPr>
        <w:tc>
          <w:tcPr>
            <w:tcW w:w="9666" w:type="dxa"/>
            <w:vAlign w:val="center"/>
          </w:tcPr>
          <w:p w14:paraId="55C31264" w14:textId="77777777" w:rsidR="00E04C8A" w:rsidRDefault="008E1817">
            <w:pPr>
              <w:numPr>
                <w:ilvl w:val="0"/>
                <w:numId w:val="6"/>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NAVODILA ZA UPORABO</w:t>
            </w:r>
          </w:p>
        </w:tc>
      </w:tr>
    </w:tbl>
    <w:p w14:paraId="5E13C70B" w14:textId="77777777" w:rsidR="00E04C8A" w:rsidRDefault="00E04C8A">
      <w:pPr>
        <w:jc w:val="both"/>
        <w:rPr>
          <w:lang w:val="sl-SI"/>
        </w:rPr>
      </w:pPr>
    </w:p>
    <w:p w14:paraId="37C7CECF" w14:textId="77777777" w:rsidR="00E04C8A" w:rsidRDefault="00E04C8A">
      <w:pPr>
        <w:jc w:val="both"/>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14:paraId="7AB0B919" w14:textId="77777777">
        <w:trPr>
          <w:trHeight w:val="317"/>
        </w:trPr>
        <w:tc>
          <w:tcPr>
            <w:tcW w:w="9666" w:type="dxa"/>
            <w:vAlign w:val="center"/>
          </w:tcPr>
          <w:p w14:paraId="07559E90" w14:textId="77777777" w:rsidR="00E04C8A" w:rsidRDefault="008E1817">
            <w:pPr>
              <w:numPr>
                <w:ilvl w:val="0"/>
                <w:numId w:val="6"/>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PODATKI V BRAILLOVI PISAVI</w:t>
            </w:r>
          </w:p>
        </w:tc>
      </w:tr>
    </w:tbl>
    <w:p w14:paraId="68B9FC86" w14:textId="77777777" w:rsidR="00E04C8A" w:rsidRDefault="00E04C8A">
      <w:pPr>
        <w:jc w:val="both"/>
        <w:rPr>
          <w:lang w:val="sl-SI"/>
        </w:rPr>
      </w:pPr>
    </w:p>
    <w:p w14:paraId="4219980A" w14:textId="77777777" w:rsidR="00E04C8A" w:rsidRDefault="008E1817">
      <w:pPr>
        <w:pStyle w:val="a3"/>
        <w:rPr>
          <w:lang w:val="sl-SI"/>
        </w:rPr>
      </w:pPr>
      <w:r>
        <w:rPr>
          <w:rFonts w:eastAsia="Times New Roman"/>
          <w:lang w:val="sl-SI"/>
        </w:rPr>
        <w:t>Yuflyma 40 mg</w:t>
      </w:r>
    </w:p>
    <w:p w14:paraId="6AEA9F08" w14:textId="77777777" w:rsidR="00E04C8A" w:rsidRDefault="00E04C8A">
      <w:pPr>
        <w:jc w:val="both"/>
        <w:rPr>
          <w:lang w:val="sl-SI"/>
        </w:rPr>
      </w:pPr>
    </w:p>
    <w:p w14:paraId="45E3E939" w14:textId="77777777" w:rsidR="00E04C8A" w:rsidRDefault="00E04C8A">
      <w:pPr>
        <w:jc w:val="both"/>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652F18" w14:paraId="161B2F8A" w14:textId="77777777">
        <w:trPr>
          <w:trHeight w:val="317"/>
        </w:trPr>
        <w:tc>
          <w:tcPr>
            <w:tcW w:w="9666" w:type="dxa"/>
            <w:vAlign w:val="center"/>
          </w:tcPr>
          <w:p w14:paraId="5376F829" w14:textId="77777777" w:rsidR="00E04C8A" w:rsidRDefault="008E1817">
            <w:pPr>
              <w:numPr>
                <w:ilvl w:val="0"/>
                <w:numId w:val="6"/>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EDINSTVENA OZNAKA – DVODIMENZIONALNA ČRTNA KODA</w:t>
            </w:r>
          </w:p>
        </w:tc>
      </w:tr>
    </w:tbl>
    <w:p w14:paraId="2BFB712A" w14:textId="77777777" w:rsidR="00E04C8A" w:rsidRDefault="00E04C8A">
      <w:pPr>
        <w:jc w:val="both"/>
        <w:rPr>
          <w:lang w:val="sl-SI"/>
        </w:rPr>
      </w:pPr>
    </w:p>
    <w:p w14:paraId="68311C4A" w14:textId="77777777" w:rsidR="00E04C8A" w:rsidRDefault="008E1817">
      <w:pPr>
        <w:pStyle w:val="a3"/>
        <w:rPr>
          <w:lang w:val="sl-SI"/>
        </w:rPr>
      </w:pPr>
      <w:r w:rsidRPr="008E1817">
        <w:rPr>
          <w:rFonts w:eastAsia="Times New Roman"/>
          <w:highlight w:val="lightGray"/>
          <w:lang w:val="sl-SI"/>
        </w:rPr>
        <w:t>Vsebuje dvodimenzionalno črtno kodo z edinstveno oznako.</w:t>
      </w:r>
    </w:p>
    <w:p w14:paraId="3F174063" w14:textId="77777777" w:rsidR="00E04C8A" w:rsidRDefault="00E04C8A">
      <w:pPr>
        <w:jc w:val="both"/>
        <w:rPr>
          <w:lang w:val="sl-SI"/>
        </w:rPr>
      </w:pPr>
    </w:p>
    <w:p w14:paraId="7A0DF951" w14:textId="77777777" w:rsidR="00E04C8A" w:rsidRDefault="00E04C8A">
      <w:pPr>
        <w:jc w:val="both"/>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AC7013" w14:paraId="1A7173CF" w14:textId="77777777">
        <w:trPr>
          <w:trHeight w:val="317"/>
        </w:trPr>
        <w:tc>
          <w:tcPr>
            <w:tcW w:w="9666" w:type="dxa"/>
            <w:vAlign w:val="center"/>
          </w:tcPr>
          <w:p w14:paraId="05229316" w14:textId="77777777" w:rsidR="00E04C8A" w:rsidRDefault="008E1817">
            <w:pPr>
              <w:numPr>
                <w:ilvl w:val="0"/>
                <w:numId w:val="6"/>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EDINSTVENA OZNAKA – V BERLJIVI OBLIKI</w:t>
            </w:r>
          </w:p>
        </w:tc>
      </w:tr>
    </w:tbl>
    <w:p w14:paraId="0D748440" w14:textId="77777777" w:rsidR="00E04C8A" w:rsidRDefault="00E04C8A">
      <w:pPr>
        <w:jc w:val="both"/>
        <w:rPr>
          <w:lang w:val="sl-SI"/>
        </w:rPr>
      </w:pPr>
    </w:p>
    <w:p w14:paraId="4A0239A1" w14:textId="77777777" w:rsidR="00E04C8A" w:rsidRDefault="008E1817">
      <w:pPr>
        <w:pStyle w:val="a3"/>
        <w:rPr>
          <w:lang w:val="sl-SI"/>
        </w:rPr>
      </w:pPr>
      <w:r>
        <w:rPr>
          <w:rFonts w:eastAsia="Times New Roman"/>
          <w:lang w:val="sl-SI"/>
        </w:rPr>
        <w:t>PC</w:t>
      </w:r>
    </w:p>
    <w:p w14:paraId="5269C009" w14:textId="77777777" w:rsidR="00E04C8A" w:rsidRDefault="008E1817">
      <w:pPr>
        <w:pStyle w:val="a3"/>
        <w:rPr>
          <w:lang w:val="sl-SI"/>
        </w:rPr>
      </w:pPr>
      <w:r>
        <w:rPr>
          <w:rFonts w:eastAsia="Times New Roman"/>
          <w:lang w:val="sl-SI"/>
        </w:rPr>
        <w:t>SN</w:t>
      </w:r>
    </w:p>
    <w:p w14:paraId="3DF8FE59" w14:textId="77777777" w:rsidR="00E04C8A" w:rsidRDefault="008E1817">
      <w:pPr>
        <w:pStyle w:val="a3"/>
        <w:rPr>
          <w:lang w:val="sl-SI"/>
        </w:rPr>
      </w:pPr>
      <w:r>
        <w:rPr>
          <w:rFonts w:eastAsia="Times New Roman"/>
          <w:spacing w:val="-2"/>
          <w:lang w:val="sl-SI"/>
        </w:rPr>
        <w:t>NN</w:t>
      </w:r>
    </w:p>
    <w:p w14:paraId="14427773" w14:textId="77777777" w:rsidR="00E04C8A" w:rsidRDefault="008E1817">
      <w:pPr>
        <w:rPr>
          <w:lang w:val="sl-SI"/>
        </w:rPr>
      </w:pPr>
      <w:r>
        <w:rPr>
          <w:lang w:val="sl-SI"/>
        </w:rPr>
        <w:br w:type="page"/>
      </w:r>
    </w:p>
    <w:tbl>
      <w:tblPr>
        <w:tblStyle w:val="ac"/>
        <w:tblW w:w="9666" w:type="dxa"/>
        <w:tblLook w:val="04A0" w:firstRow="1" w:lastRow="0" w:firstColumn="1" w:lastColumn="0" w:noHBand="0" w:noVBand="1"/>
      </w:tblPr>
      <w:tblGrid>
        <w:gridCol w:w="9666"/>
      </w:tblGrid>
      <w:tr w:rsidR="00E04C8A" w:rsidRPr="00652F18" w14:paraId="5450C9E4" w14:textId="77777777">
        <w:trPr>
          <w:trHeight w:val="822"/>
        </w:trPr>
        <w:tc>
          <w:tcPr>
            <w:tcW w:w="9666" w:type="dxa"/>
            <w:vAlign w:val="center"/>
          </w:tcPr>
          <w:p w14:paraId="54ED2575" w14:textId="77777777" w:rsidR="00E04C8A" w:rsidRDefault="008E1817">
            <w:pPr>
              <w:tabs>
                <w:tab w:val="left" w:pos="672"/>
              </w:tabs>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lastRenderedPageBreak/>
              <w:t xml:space="preserve">PODATKI, KI MORAJO BITI NAJMANJ NAVEDENI NA MANJŠIH STIČNIH OVOJNINAH </w:t>
            </w:r>
          </w:p>
          <w:p w14:paraId="28C2D990" w14:textId="77777777" w:rsidR="00E04C8A" w:rsidRDefault="00E04C8A">
            <w:pPr>
              <w:tabs>
                <w:tab w:val="left" w:pos="672"/>
              </w:tabs>
              <w:jc w:val="both"/>
              <w:rPr>
                <w:rFonts w:ascii="Times New Roman" w:eastAsia="Times New Roman" w:hAnsi="Times New Roman" w:cs="Times New Roman"/>
                <w:b/>
                <w:bCs/>
                <w:spacing w:val="-1"/>
                <w:lang w:val="sl-SI"/>
              </w:rPr>
            </w:pPr>
          </w:p>
          <w:p w14:paraId="56213DE8" w14:textId="77777777" w:rsidR="00E04C8A" w:rsidRDefault="008E1817">
            <w:pPr>
              <w:tabs>
                <w:tab w:val="left" w:pos="672"/>
              </w:tabs>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OZNAKA ZA NAPOLNJENO INJEKCIJSKO BRIZGO</w:t>
            </w:r>
          </w:p>
        </w:tc>
      </w:tr>
    </w:tbl>
    <w:p w14:paraId="3A5E1D26" w14:textId="77777777" w:rsidR="00E04C8A" w:rsidRDefault="00E04C8A">
      <w:pPr>
        <w:spacing w:line="200" w:lineRule="exact"/>
        <w:rPr>
          <w:lang w:val="sl-SI"/>
        </w:rPr>
      </w:pPr>
    </w:p>
    <w:p w14:paraId="4791152B" w14:textId="77777777" w:rsidR="00E04C8A" w:rsidRDefault="00E04C8A">
      <w:pPr>
        <w:spacing w:line="200" w:lineRule="exact"/>
        <w:rPr>
          <w:lang w:val="sl-SI"/>
        </w:rPr>
      </w:pPr>
    </w:p>
    <w:tbl>
      <w:tblPr>
        <w:tblStyle w:val="ac"/>
        <w:tblpPr w:leftFromText="142" w:rightFromText="142" w:vertAnchor="text" w:tblpY="55"/>
        <w:tblW w:w="9666" w:type="dxa"/>
        <w:tblLook w:val="04A0" w:firstRow="1" w:lastRow="0" w:firstColumn="1" w:lastColumn="0" w:noHBand="0" w:noVBand="1"/>
      </w:tblPr>
      <w:tblGrid>
        <w:gridCol w:w="9666"/>
      </w:tblGrid>
      <w:tr w:rsidR="00E04C8A" w14:paraId="470378A9" w14:textId="77777777">
        <w:trPr>
          <w:trHeight w:val="317"/>
        </w:trPr>
        <w:tc>
          <w:tcPr>
            <w:tcW w:w="9666" w:type="dxa"/>
            <w:vAlign w:val="center"/>
          </w:tcPr>
          <w:p w14:paraId="23E5EEB6" w14:textId="77777777" w:rsidR="00E04C8A" w:rsidRDefault="008E1817">
            <w:pPr>
              <w:numPr>
                <w:ilvl w:val="0"/>
                <w:numId w:val="27"/>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IME ZDRAVILA IN POT(I) UPORABE ZDRAVILA</w:t>
            </w:r>
          </w:p>
        </w:tc>
      </w:tr>
    </w:tbl>
    <w:p w14:paraId="6B38BC3D" w14:textId="77777777" w:rsidR="00E04C8A" w:rsidRDefault="00E04C8A">
      <w:pPr>
        <w:spacing w:line="200" w:lineRule="exact"/>
        <w:rPr>
          <w:lang w:val="sl-SI"/>
        </w:rPr>
      </w:pPr>
    </w:p>
    <w:p w14:paraId="7A9A6FFC" w14:textId="77777777" w:rsidR="00E04C8A" w:rsidRDefault="008E1817">
      <w:pPr>
        <w:pStyle w:val="a3"/>
        <w:rPr>
          <w:lang w:val="sl-SI"/>
        </w:rPr>
      </w:pPr>
      <w:r>
        <w:rPr>
          <w:rFonts w:eastAsia="Times New Roman"/>
          <w:lang w:val="sl-SI"/>
        </w:rPr>
        <w:t>Yuflyma 40 mg injekcija</w:t>
      </w:r>
    </w:p>
    <w:p w14:paraId="11C71242" w14:textId="77777777" w:rsidR="00E04C8A" w:rsidRDefault="008E1817">
      <w:pPr>
        <w:pStyle w:val="a3"/>
        <w:rPr>
          <w:lang w:val="sl-SI"/>
        </w:rPr>
      </w:pPr>
      <w:r>
        <w:rPr>
          <w:rFonts w:eastAsia="Times New Roman"/>
          <w:lang w:val="sl-SI"/>
        </w:rPr>
        <w:t>adalimumab</w:t>
      </w:r>
    </w:p>
    <w:p w14:paraId="1D141D42" w14:textId="77777777" w:rsidR="00E04C8A" w:rsidRDefault="008E1817">
      <w:pPr>
        <w:pStyle w:val="a3"/>
        <w:rPr>
          <w:lang w:val="sl-SI"/>
        </w:rPr>
      </w:pPr>
      <w:r>
        <w:rPr>
          <w:rFonts w:eastAsia="Times New Roman"/>
          <w:lang w:val="sl-SI"/>
        </w:rPr>
        <w:t xml:space="preserve">s.c. </w:t>
      </w:r>
    </w:p>
    <w:p w14:paraId="27B3380E" w14:textId="77777777" w:rsidR="00E04C8A" w:rsidRDefault="00E04C8A">
      <w:pPr>
        <w:pStyle w:val="a3"/>
        <w:rPr>
          <w:lang w:val="sl-SI"/>
        </w:rPr>
      </w:pPr>
    </w:p>
    <w:p w14:paraId="217A4B14" w14:textId="77777777" w:rsidR="00E04C8A" w:rsidRDefault="00E04C8A">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14:paraId="4C8A2DBD" w14:textId="77777777">
        <w:trPr>
          <w:trHeight w:val="317"/>
        </w:trPr>
        <w:tc>
          <w:tcPr>
            <w:tcW w:w="9666" w:type="dxa"/>
            <w:vAlign w:val="center"/>
          </w:tcPr>
          <w:p w14:paraId="6B9EF782" w14:textId="77777777" w:rsidR="00E04C8A" w:rsidRDefault="008E1817">
            <w:pPr>
              <w:numPr>
                <w:ilvl w:val="0"/>
                <w:numId w:val="27"/>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POSTOPEK UPORABE</w:t>
            </w:r>
          </w:p>
        </w:tc>
      </w:tr>
    </w:tbl>
    <w:p w14:paraId="6C097AB5" w14:textId="77777777" w:rsidR="00E04C8A" w:rsidRDefault="00E04C8A">
      <w:pPr>
        <w:spacing w:before="13" w:line="280" w:lineRule="exact"/>
        <w:rPr>
          <w:lang w:val="sl-SI"/>
        </w:rPr>
      </w:pPr>
    </w:p>
    <w:p w14:paraId="42B563CC" w14:textId="77777777" w:rsidR="00E04C8A" w:rsidRDefault="00E04C8A">
      <w:pPr>
        <w:spacing w:before="13" w:line="280" w:lineRule="exact"/>
        <w:rPr>
          <w:lang w:val="sl-SI"/>
        </w:rPr>
      </w:pPr>
    </w:p>
    <w:p w14:paraId="43C24E45" w14:textId="77777777" w:rsidR="00E04C8A" w:rsidRDefault="00E04C8A">
      <w:pPr>
        <w:spacing w:before="13" w:line="280" w:lineRule="exact"/>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3138FB" w14:paraId="3AE47AD8" w14:textId="77777777">
        <w:trPr>
          <w:trHeight w:val="317"/>
        </w:trPr>
        <w:tc>
          <w:tcPr>
            <w:tcW w:w="9666" w:type="dxa"/>
            <w:vAlign w:val="center"/>
          </w:tcPr>
          <w:p w14:paraId="104179A5" w14:textId="77777777" w:rsidR="00E04C8A" w:rsidRDefault="008E1817">
            <w:pPr>
              <w:numPr>
                <w:ilvl w:val="0"/>
                <w:numId w:val="27"/>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DATUM IZTEKA ROKA UPORABNOSTI ZDRAVILA</w:t>
            </w:r>
          </w:p>
        </w:tc>
      </w:tr>
    </w:tbl>
    <w:p w14:paraId="6A498A61" w14:textId="77777777" w:rsidR="00E04C8A" w:rsidRDefault="00E04C8A">
      <w:pPr>
        <w:pStyle w:val="a3"/>
        <w:rPr>
          <w:lang w:val="sl-SI"/>
        </w:rPr>
      </w:pPr>
    </w:p>
    <w:p w14:paraId="224EAA3E" w14:textId="77777777" w:rsidR="00E04C8A" w:rsidRDefault="008E1817">
      <w:pPr>
        <w:pStyle w:val="a3"/>
        <w:rPr>
          <w:lang w:val="sl-SI"/>
        </w:rPr>
      </w:pPr>
      <w:r>
        <w:rPr>
          <w:rFonts w:eastAsia="Times New Roman"/>
          <w:lang w:val="sl-SI"/>
        </w:rPr>
        <w:t>EXP</w:t>
      </w:r>
    </w:p>
    <w:p w14:paraId="3EE5E1CB" w14:textId="77777777" w:rsidR="00E04C8A" w:rsidRDefault="00E04C8A">
      <w:pPr>
        <w:pStyle w:val="a3"/>
        <w:rPr>
          <w:lang w:val="sl-SI"/>
        </w:rPr>
      </w:pPr>
    </w:p>
    <w:p w14:paraId="1413F759" w14:textId="77777777" w:rsidR="00E04C8A" w:rsidRDefault="00E04C8A">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14:paraId="1E1B470D" w14:textId="77777777">
        <w:trPr>
          <w:trHeight w:val="317"/>
        </w:trPr>
        <w:tc>
          <w:tcPr>
            <w:tcW w:w="9666" w:type="dxa"/>
            <w:vAlign w:val="center"/>
          </w:tcPr>
          <w:p w14:paraId="5D04D990" w14:textId="77777777" w:rsidR="00E04C8A" w:rsidRDefault="008E1817">
            <w:pPr>
              <w:numPr>
                <w:ilvl w:val="0"/>
                <w:numId w:val="27"/>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ŠTEVILKA SERIJE</w:t>
            </w:r>
          </w:p>
        </w:tc>
      </w:tr>
    </w:tbl>
    <w:p w14:paraId="17817A1E" w14:textId="77777777" w:rsidR="00E04C8A" w:rsidRDefault="00E04C8A">
      <w:pPr>
        <w:pStyle w:val="a3"/>
        <w:rPr>
          <w:lang w:val="sl-SI"/>
        </w:rPr>
      </w:pPr>
    </w:p>
    <w:p w14:paraId="5D3693CF" w14:textId="77777777" w:rsidR="00E04C8A" w:rsidRDefault="008E1817">
      <w:pPr>
        <w:pStyle w:val="a3"/>
        <w:rPr>
          <w:lang w:val="sl-SI"/>
        </w:rPr>
      </w:pPr>
      <w:r>
        <w:rPr>
          <w:rFonts w:eastAsia="Times New Roman"/>
          <w:lang w:val="sl-SI"/>
        </w:rPr>
        <w:t>Lot</w:t>
      </w:r>
    </w:p>
    <w:p w14:paraId="11D14DE9" w14:textId="77777777" w:rsidR="00E04C8A" w:rsidRDefault="00E04C8A">
      <w:pPr>
        <w:pStyle w:val="a3"/>
        <w:rPr>
          <w:lang w:val="sl-SI"/>
        </w:rPr>
      </w:pPr>
    </w:p>
    <w:p w14:paraId="25A691BA" w14:textId="77777777" w:rsidR="00E04C8A" w:rsidRDefault="00E04C8A">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3138FB" w14:paraId="3A864F16" w14:textId="77777777">
        <w:trPr>
          <w:trHeight w:val="317"/>
        </w:trPr>
        <w:tc>
          <w:tcPr>
            <w:tcW w:w="9666" w:type="dxa"/>
            <w:vAlign w:val="center"/>
          </w:tcPr>
          <w:p w14:paraId="02315B40" w14:textId="77777777" w:rsidR="00E04C8A" w:rsidRDefault="008E1817">
            <w:pPr>
              <w:numPr>
                <w:ilvl w:val="0"/>
                <w:numId w:val="27"/>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VSEBINA, IZRAŽENA Z MASO, PROSTORNINO ALI ŠTEVILOM ENOT</w:t>
            </w:r>
          </w:p>
        </w:tc>
      </w:tr>
    </w:tbl>
    <w:p w14:paraId="4D94D89C" w14:textId="77777777" w:rsidR="00E04C8A" w:rsidRDefault="00E04C8A">
      <w:pPr>
        <w:spacing w:before="13" w:line="280" w:lineRule="exact"/>
        <w:rPr>
          <w:lang w:val="sl-SI"/>
        </w:rPr>
      </w:pPr>
    </w:p>
    <w:p w14:paraId="6246AC71" w14:textId="77777777" w:rsidR="00E04C8A" w:rsidRDefault="008E1817">
      <w:pPr>
        <w:pStyle w:val="a3"/>
        <w:rPr>
          <w:lang w:val="sl-SI"/>
        </w:rPr>
      </w:pPr>
      <w:r>
        <w:rPr>
          <w:rFonts w:eastAsia="Times New Roman"/>
          <w:spacing w:val="-4"/>
          <w:lang w:val="sl-SI"/>
        </w:rPr>
        <w:t>40 </w:t>
      </w:r>
      <w:r w:rsidRPr="00C33A0D">
        <w:rPr>
          <w:rFonts w:eastAsia="Times New Roman"/>
          <w:spacing w:val="-4"/>
          <w:lang w:val="sl-SI"/>
        </w:rPr>
        <w:t>mg</w:t>
      </w:r>
      <w:r w:rsidRPr="00CC6ABA">
        <w:rPr>
          <w:rFonts w:eastAsia="Times New Roman"/>
          <w:spacing w:val="-4"/>
          <w:lang w:val="sl-SI"/>
        </w:rPr>
        <w:t>/0,4 ml</w:t>
      </w:r>
    </w:p>
    <w:p w14:paraId="4C5247BD" w14:textId="77777777" w:rsidR="00E04C8A" w:rsidRDefault="00E04C8A">
      <w:pPr>
        <w:spacing w:before="13" w:line="280" w:lineRule="exact"/>
        <w:rPr>
          <w:lang w:val="sl-SI"/>
        </w:rPr>
      </w:pPr>
    </w:p>
    <w:p w14:paraId="0B96EB97" w14:textId="77777777" w:rsidR="00E04C8A" w:rsidRDefault="00E04C8A">
      <w:pPr>
        <w:spacing w:before="13" w:line="280" w:lineRule="exact"/>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14:paraId="0EDA9BC3" w14:textId="77777777">
        <w:trPr>
          <w:trHeight w:val="317"/>
        </w:trPr>
        <w:tc>
          <w:tcPr>
            <w:tcW w:w="9666" w:type="dxa"/>
            <w:vAlign w:val="center"/>
          </w:tcPr>
          <w:p w14:paraId="37D8AFBC" w14:textId="77777777" w:rsidR="00E04C8A" w:rsidRDefault="008E1817">
            <w:pPr>
              <w:numPr>
                <w:ilvl w:val="0"/>
                <w:numId w:val="27"/>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DRUGI PODATKI</w:t>
            </w:r>
          </w:p>
        </w:tc>
      </w:tr>
    </w:tbl>
    <w:p w14:paraId="739640DC" w14:textId="77777777" w:rsidR="00E04C8A" w:rsidRDefault="00E04C8A">
      <w:pPr>
        <w:pStyle w:val="a3"/>
        <w:rPr>
          <w:lang w:val="sl-SI"/>
        </w:rPr>
      </w:pPr>
    </w:p>
    <w:p w14:paraId="66431A87" w14:textId="77777777" w:rsidR="00E04C8A" w:rsidRDefault="00E04C8A">
      <w:pPr>
        <w:rPr>
          <w:lang w:val="sl-SI"/>
        </w:rPr>
      </w:pPr>
    </w:p>
    <w:p w14:paraId="375D8862" w14:textId="77777777" w:rsidR="00E04C8A" w:rsidRDefault="00E04C8A">
      <w:pPr>
        <w:rPr>
          <w:lang w:val="sl-SI"/>
        </w:rPr>
      </w:pPr>
    </w:p>
    <w:p w14:paraId="1A45DB31" w14:textId="77777777" w:rsidR="00E04C8A" w:rsidRDefault="008E1817">
      <w:pPr>
        <w:rPr>
          <w:lang w:val="sl-SI"/>
        </w:rPr>
      </w:pPr>
      <w:r>
        <w:rPr>
          <w:lang w:val="sl-SI"/>
        </w:rPr>
        <w:br w:type="page"/>
      </w:r>
    </w:p>
    <w:p w14:paraId="04F69423" w14:textId="77777777" w:rsidR="00E04C8A" w:rsidRDefault="00E04C8A">
      <w:pPr>
        <w:rPr>
          <w:rFonts w:ascii="Times New Roman" w:eastAsia="Times New Roman" w:hAnsi="Times New Roman"/>
          <w:b/>
          <w:bCs/>
          <w:spacing w:val="-1"/>
          <w:lang w:val="sl-SI"/>
        </w:rPr>
      </w:pPr>
    </w:p>
    <w:tbl>
      <w:tblPr>
        <w:tblStyle w:val="ac"/>
        <w:tblW w:w="9666" w:type="dxa"/>
        <w:tblLook w:val="04A0" w:firstRow="1" w:lastRow="0" w:firstColumn="1" w:lastColumn="0" w:noHBand="0" w:noVBand="1"/>
      </w:tblPr>
      <w:tblGrid>
        <w:gridCol w:w="9666"/>
      </w:tblGrid>
      <w:tr w:rsidR="00E04C8A" w:rsidRPr="00652F18" w14:paraId="5A95EE7B" w14:textId="77777777">
        <w:trPr>
          <w:trHeight w:val="822"/>
        </w:trPr>
        <w:tc>
          <w:tcPr>
            <w:tcW w:w="9666" w:type="dxa"/>
            <w:vAlign w:val="center"/>
          </w:tcPr>
          <w:p w14:paraId="029DB213" w14:textId="77777777" w:rsidR="00E04C8A" w:rsidRDefault="008E1817">
            <w:pPr>
              <w:jc w:val="both"/>
              <w:rPr>
                <w:rFonts w:ascii="Times New Roman" w:eastAsia="Times New Roman" w:hAnsi="Times New Roman" w:cs="Times New Roman"/>
                <w:lang w:val="sl-SI"/>
              </w:rPr>
            </w:pPr>
            <w:r>
              <w:rPr>
                <w:rFonts w:ascii="Times New Roman" w:eastAsia="Times New Roman" w:hAnsi="Times New Roman" w:cs="Times New Roman"/>
                <w:b/>
                <w:bCs/>
                <w:spacing w:val="-1"/>
                <w:lang w:val="sl-SI"/>
              </w:rPr>
              <w:t>PODATKI NA ZUNANJI OVOJNINI</w:t>
            </w:r>
          </w:p>
          <w:p w14:paraId="76C52E95" w14:textId="77777777" w:rsidR="00E04C8A" w:rsidRDefault="00E04C8A">
            <w:pPr>
              <w:spacing w:line="180" w:lineRule="exact"/>
              <w:jc w:val="both"/>
              <w:rPr>
                <w:sz w:val="18"/>
                <w:szCs w:val="18"/>
                <w:lang w:val="sl-SI"/>
              </w:rPr>
            </w:pPr>
          </w:p>
          <w:p w14:paraId="0599065E" w14:textId="77777777" w:rsidR="00E04C8A" w:rsidRDefault="008E1817">
            <w:pPr>
              <w:jc w:val="both"/>
              <w:rPr>
                <w:rFonts w:ascii="Times New Roman" w:eastAsia="Times New Roman" w:hAnsi="Times New Roman" w:cs="Times New Roman"/>
                <w:lang w:val="sl-SI"/>
              </w:rPr>
            </w:pPr>
            <w:r>
              <w:rPr>
                <w:rFonts w:ascii="Times New Roman" w:eastAsia="Times New Roman" w:hAnsi="Times New Roman" w:cs="Times New Roman"/>
                <w:b/>
                <w:bCs/>
                <w:spacing w:val="-1"/>
                <w:lang w:val="sl-SI"/>
              </w:rPr>
              <w:t>ŠKATLA ZA NAPOLNJEN INJEKCIJSKI PERESNIK</w:t>
            </w:r>
          </w:p>
        </w:tc>
      </w:tr>
    </w:tbl>
    <w:p w14:paraId="44EAD693" w14:textId="77777777" w:rsidR="00E04C8A" w:rsidRDefault="00E04C8A">
      <w:pPr>
        <w:spacing w:line="200" w:lineRule="exact"/>
        <w:rPr>
          <w:sz w:val="20"/>
          <w:szCs w:val="20"/>
          <w:lang w:val="sl-SI"/>
        </w:rPr>
      </w:pPr>
    </w:p>
    <w:p w14:paraId="0036A2D8" w14:textId="77777777" w:rsidR="00E04C8A" w:rsidRDefault="00E04C8A">
      <w:pPr>
        <w:spacing w:line="200" w:lineRule="exact"/>
        <w:rPr>
          <w:sz w:val="20"/>
          <w:szCs w:val="20"/>
          <w:lang w:val="sl-SI"/>
        </w:rPr>
      </w:pPr>
    </w:p>
    <w:tbl>
      <w:tblPr>
        <w:tblStyle w:val="ac"/>
        <w:tblpPr w:leftFromText="142" w:rightFromText="142" w:vertAnchor="text" w:tblpY="55"/>
        <w:tblW w:w="9666" w:type="dxa"/>
        <w:tblLook w:val="04A0" w:firstRow="1" w:lastRow="0" w:firstColumn="1" w:lastColumn="0" w:noHBand="0" w:noVBand="1"/>
      </w:tblPr>
      <w:tblGrid>
        <w:gridCol w:w="9666"/>
      </w:tblGrid>
      <w:tr w:rsidR="00E04C8A" w14:paraId="06BE3550" w14:textId="77777777">
        <w:trPr>
          <w:trHeight w:val="317"/>
        </w:trPr>
        <w:tc>
          <w:tcPr>
            <w:tcW w:w="9666" w:type="dxa"/>
            <w:vAlign w:val="center"/>
          </w:tcPr>
          <w:p w14:paraId="4B11D8FD" w14:textId="77777777" w:rsidR="00E04C8A" w:rsidRDefault="008E1817">
            <w:pPr>
              <w:numPr>
                <w:ilvl w:val="0"/>
                <w:numId w:val="28"/>
              </w:numPr>
              <w:tabs>
                <w:tab w:val="left" w:pos="672"/>
              </w:tabs>
              <w:ind w:left="550"/>
              <w:jc w:val="both"/>
              <w:rPr>
                <w:rFonts w:ascii="Times New Roman" w:eastAsia="Times New Roman" w:hAnsi="Times New Roman" w:cs="Times New Roman"/>
                <w:lang w:val="sl-SI"/>
              </w:rPr>
            </w:pPr>
            <w:r>
              <w:rPr>
                <w:rFonts w:ascii="Times New Roman" w:eastAsia="Times New Roman" w:hAnsi="Times New Roman" w:cs="Times New Roman"/>
                <w:b/>
                <w:bCs/>
                <w:spacing w:val="-1"/>
                <w:lang w:val="sl-SI"/>
              </w:rPr>
              <w:t>IME ZDRAVILA</w:t>
            </w:r>
          </w:p>
        </w:tc>
      </w:tr>
    </w:tbl>
    <w:p w14:paraId="4A0FDFEE" w14:textId="77777777" w:rsidR="00E04C8A" w:rsidRDefault="00E04C8A">
      <w:pPr>
        <w:spacing w:line="200" w:lineRule="exact"/>
        <w:rPr>
          <w:sz w:val="20"/>
          <w:szCs w:val="20"/>
          <w:lang w:val="sl-SI"/>
        </w:rPr>
      </w:pPr>
    </w:p>
    <w:p w14:paraId="5E0E8B32" w14:textId="77777777" w:rsidR="00E04C8A" w:rsidRDefault="008E1817">
      <w:pPr>
        <w:pStyle w:val="a3"/>
        <w:rPr>
          <w:lang w:val="sl-SI"/>
        </w:rPr>
      </w:pPr>
      <w:r>
        <w:rPr>
          <w:rFonts w:eastAsia="Times New Roman"/>
          <w:lang w:val="sl-SI"/>
        </w:rPr>
        <w:t>Yuflyma 40 mg raztopina za injiciranje v napolnjenem injekcijskem peresniku</w:t>
      </w:r>
    </w:p>
    <w:p w14:paraId="6EFEDFEB" w14:textId="77777777" w:rsidR="00E04C8A" w:rsidRDefault="008E1817">
      <w:pPr>
        <w:pStyle w:val="a3"/>
        <w:rPr>
          <w:lang w:val="sl-SI"/>
        </w:rPr>
      </w:pPr>
      <w:r>
        <w:rPr>
          <w:rFonts w:eastAsia="Times New Roman"/>
          <w:lang w:val="sl-SI"/>
        </w:rPr>
        <w:t>adalimumab</w:t>
      </w:r>
    </w:p>
    <w:p w14:paraId="42E123A5" w14:textId="77777777" w:rsidR="00E04C8A" w:rsidRDefault="00E04C8A">
      <w:pPr>
        <w:pStyle w:val="a3"/>
        <w:rPr>
          <w:lang w:val="sl-SI"/>
        </w:rPr>
      </w:pPr>
    </w:p>
    <w:p w14:paraId="522152B9" w14:textId="77777777" w:rsidR="00E04C8A" w:rsidRDefault="00E04C8A">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3138FB" w14:paraId="428DC451" w14:textId="77777777">
        <w:trPr>
          <w:trHeight w:val="317"/>
        </w:trPr>
        <w:tc>
          <w:tcPr>
            <w:tcW w:w="9666" w:type="dxa"/>
            <w:vAlign w:val="center"/>
          </w:tcPr>
          <w:p w14:paraId="636F5E9E" w14:textId="77777777" w:rsidR="00E04C8A" w:rsidRDefault="008E1817">
            <w:pPr>
              <w:numPr>
                <w:ilvl w:val="0"/>
                <w:numId w:val="28"/>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NAVEDBA ENE ALI VEČ UČINKOVIN</w:t>
            </w:r>
          </w:p>
        </w:tc>
      </w:tr>
    </w:tbl>
    <w:p w14:paraId="53B12700" w14:textId="77777777" w:rsidR="00E04C8A" w:rsidRDefault="00E04C8A">
      <w:pPr>
        <w:spacing w:before="13" w:line="280" w:lineRule="exact"/>
        <w:rPr>
          <w:sz w:val="28"/>
          <w:szCs w:val="28"/>
          <w:lang w:val="sl-SI"/>
        </w:rPr>
      </w:pPr>
    </w:p>
    <w:p w14:paraId="4E320118" w14:textId="77777777" w:rsidR="00E04C8A" w:rsidRDefault="008E1817">
      <w:pPr>
        <w:pStyle w:val="a3"/>
        <w:rPr>
          <w:lang w:val="sl-SI"/>
        </w:rPr>
      </w:pPr>
      <w:r>
        <w:rPr>
          <w:rFonts w:eastAsia="Times New Roman"/>
          <w:lang w:val="sl-SI"/>
        </w:rPr>
        <w:t>En 0,4-mililitrski napolnjen injekcijski peresnik vsebuje 40 mg adalimumaba.</w:t>
      </w:r>
    </w:p>
    <w:p w14:paraId="6F60C43E" w14:textId="77777777" w:rsidR="00E04C8A" w:rsidRDefault="00E04C8A">
      <w:pPr>
        <w:spacing w:before="13" w:line="280" w:lineRule="exact"/>
        <w:rPr>
          <w:sz w:val="28"/>
          <w:szCs w:val="28"/>
          <w:lang w:val="sl-SI"/>
        </w:rPr>
      </w:pPr>
    </w:p>
    <w:p w14:paraId="6E556626" w14:textId="77777777" w:rsidR="00E04C8A" w:rsidRDefault="00E04C8A">
      <w:pPr>
        <w:spacing w:before="13" w:line="280" w:lineRule="exact"/>
        <w:rPr>
          <w:sz w:val="28"/>
          <w:szCs w:val="28"/>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3138FB" w14:paraId="7A1592B8" w14:textId="77777777">
        <w:trPr>
          <w:trHeight w:val="317"/>
        </w:trPr>
        <w:tc>
          <w:tcPr>
            <w:tcW w:w="9666" w:type="dxa"/>
            <w:vAlign w:val="center"/>
          </w:tcPr>
          <w:p w14:paraId="5D3CA1BC" w14:textId="77777777" w:rsidR="00E04C8A" w:rsidRDefault="008E1817">
            <w:pPr>
              <w:numPr>
                <w:ilvl w:val="0"/>
                <w:numId w:val="28"/>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SEZNAM POMOŽNIH SNOVI</w:t>
            </w:r>
          </w:p>
        </w:tc>
      </w:tr>
    </w:tbl>
    <w:p w14:paraId="28AA8C7D" w14:textId="77777777" w:rsidR="00E04C8A" w:rsidRDefault="00E04C8A">
      <w:pPr>
        <w:pStyle w:val="a3"/>
        <w:rPr>
          <w:lang w:val="sl-SI"/>
        </w:rPr>
      </w:pPr>
    </w:p>
    <w:p w14:paraId="24CBCA94" w14:textId="77777777" w:rsidR="00F95D6D" w:rsidRDefault="008E1817">
      <w:pPr>
        <w:pStyle w:val="a3"/>
        <w:rPr>
          <w:rFonts w:eastAsia="Times New Roman"/>
          <w:lang w:val="sl-SI"/>
        </w:rPr>
      </w:pPr>
      <w:r>
        <w:rPr>
          <w:rFonts w:eastAsia="Times New Roman"/>
          <w:lang w:val="sl-SI"/>
        </w:rPr>
        <w:t xml:space="preserve">Pomožne snovi: ocetna kislina, natrijev acetat trihidrat, glicin, polisorbat 80, voda za injekcije. </w:t>
      </w:r>
    </w:p>
    <w:p w14:paraId="31DC63C3" w14:textId="1BBC606C" w:rsidR="00E04C8A" w:rsidRDefault="008E1817">
      <w:pPr>
        <w:pStyle w:val="a3"/>
        <w:rPr>
          <w:noProof/>
          <w:lang w:val="sl-SI" w:eastAsia="ko-KR"/>
        </w:rPr>
      </w:pPr>
      <w:r w:rsidRPr="00797234">
        <w:rPr>
          <w:rFonts w:eastAsia="Times New Roman"/>
          <w:highlight w:val="lightGray"/>
          <w:lang w:val="sl-SI"/>
        </w:rPr>
        <w:t>Za dodatne informacije glejte navodilo za uporabo.</w:t>
      </w:r>
    </w:p>
    <w:p w14:paraId="6EEC0D33" w14:textId="77777777" w:rsidR="00E04C8A" w:rsidRDefault="00E04C8A">
      <w:pPr>
        <w:pStyle w:val="a3"/>
        <w:rPr>
          <w:lang w:val="sl-SI"/>
        </w:rPr>
      </w:pPr>
    </w:p>
    <w:p w14:paraId="70C343CD" w14:textId="77777777" w:rsidR="00E04C8A" w:rsidRDefault="00E04C8A">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14:paraId="25C8F57A" w14:textId="77777777">
        <w:trPr>
          <w:trHeight w:val="317"/>
        </w:trPr>
        <w:tc>
          <w:tcPr>
            <w:tcW w:w="9666" w:type="dxa"/>
            <w:vAlign w:val="center"/>
          </w:tcPr>
          <w:p w14:paraId="0E0D0D6E" w14:textId="77777777" w:rsidR="00E04C8A" w:rsidRDefault="008E1817">
            <w:pPr>
              <w:numPr>
                <w:ilvl w:val="0"/>
                <w:numId w:val="28"/>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FARMACEVTSKA OBLIKA IN VSEBINA</w:t>
            </w:r>
          </w:p>
        </w:tc>
      </w:tr>
    </w:tbl>
    <w:p w14:paraId="297E0BDC" w14:textId="77777777" w:rsidR="00E04C8A" w:rsidRDefault="00E04C8A">
      <w:pPr>
        <w:pStyle w:val="a3"/>
        <w:rPr>
          <w:lang w:val="sl-SI"/>
        </w:rPr>
      </w:pPr>
    </w:p>
    <w:p w14:paraId="6399B5C9" w14:textId="77777777" w:rsidR="00E04C8A" w:rsidRDefault="008E1817">
      <w:pPr>
        <w:pStyle w:val="a3"/>
        <w:rPr>
          <w:lang w:val="sl-SI"/>
        </w:rPr>
      </w:pPr>
      <w:r w:rsidRPr="008E1817">
        <w:rPr>
          <w:rFonts w:eastAsia="Times New Roman"/>
          <w:highlight w:val="lightGray"/>
          <w:lang w:val="sl-SI"/>
        </w:rPr>
        <w:t>raztopina za injiciranje</w:t>
      </w:r>
    </w:p>
    <w:p w14:paraId="1ADFC912" w14:textId="77777777" w:rsidR="00E04C8A" w:rsidRDefault="008E1817">
      <w:pPr>
        <w:pStyle w:val="a3"/>
        <w:rPr>
          <w:lang w:val="sl-SI"/>
        </w:rPr>
      </w:pPr>
      <w:r>
        <w:rPr>
          <w:rFonts w:eastAsia="Times New Roman"/>
          <w:lang w:val="sl-SI"/>
        </w:rPr>
        <w:t>1 napolnjen injekcijski peresnik</w:t>
      </w:r>
    </w:p>
    <w:p w14:paraId="16318458" w14:textId="77777777" w:rsidR="00E04C8A" w:rsidRDefault="008E1817">
      <w:pPr>
        <w:pStyle w:val="a3"/>
        <w:rPr>
          <w:lang w:val="sl-SI"/>
        </w:rPr>
      </w:pPr>
      <w:r>
        <w:rPr>
          <w:rFonts w:eastAsia="Times New Roman"/>
          <w:lang w:val="sl-SI"/>
        </w:rPr>
        <w:t>2 alkoholna zloženca</w:t>
      </w:r>
    </w:p>
    <w:p w14:paraId="04AEDE6B" w14:textId="77777777" w:rsidR="00E04C8A" w:rsidRDefault="00E04C8A">
      <w:pPr>
        <w:spacing w:line="180" w:lineRule="exact"/>
        <w:rPr>
          <w:sz w:val="18"/>
          <w:szCs w:val="18"/>
          <w:lang w:val="sl-SI"/>
        </w:rPr>
      </w:pPr>
    </w:p>
    <w:p w14:paraId="4397560F" w14:textId="77777777" w:rsidR="00E04C8A" w:rsidRPr="008E1817" w:rsidRDefault="008E1817">
      <w:pPr>
        <w:pStyle w:val="a3"/>
        <w:rPr>
          <w:highlight w:val="lightGray"/>
          <w:lang w:val="sl-SI"/>
        </w:rPr>
      </w:pPr>
      <w:r w:rsidRPr="008E1817">
        <w:rPr>
          <w:rFonts w:eastAsia="Times New Roman"/>
          <w:highlight w:val="lightGray"/>
          <w:lang w:val="sl-SI"/>
        </w:rPr>
        <w:t>2 napolnjena injekcijska peresnika</w:t>
      </w:r>
    </w:p>
    <w:p w14:paraId="1FCD5737" w14:textId="77777777" w:rsidR="00E04C8A" w:rsidRPr="008E1817" w:rsidRDefault="008E1817">
      <w:pPr>
        <w:pStyle w:val="a3"/>
        <w:rPr>
          <w:highlight w:val="lightGray"/>
          <w:lang w:val="sl-SI"/>
        </w:rPr>
      </w:pPr>
      <w:r w:rsidRPr="008E1817">
        <w:rPr>
          <w:rFonts w:eastAsia="Times New Roman"/>
          <w:highlight w:val="lightGray"/>
          <w:lang w:val="sl-SI"/>
        </w:rPr>
        <w:t>2 alkoholna zloženca</w:t>
      </w:r>
    </w:p>
    <w:p w14:paraId="2397A3B0" w14:textId="77777777" w:rsidR="00E04C8A" w:rsidRPr="008E1817" w:rsidRDefault="00E04C8A">
      <w:pPr>
        <w:spacing w:line="170" w:lineRule="exact"/>
        <w:rPr>
          <w:sz w:val="17"/>
          <w:szCs w:val="17"/>
          <w:highlight w:val="lightGray"/>
          <w:lang w:val="sl-SI"/>
        </w:rPr>
      </w:pPr>
    </w:p>
    <w:p w14:paraId="0B6F4E17" w14:textId="77777777" w:rsidR="00E04C8A" w:rsidRPr="008E1817" w:rsidRDefault="008E1817">
      <w:pPr>
        <w:pStyle w:val="a3"/>
        <w:rPr>
          <w:highlight w:val="lightGray"/>
          <w:lang w:val="sl-SI"/>
        </w:rPr>
      </w:pPr>
      <w:r w:rsidRPr="008E1817">
        <w:rPr>
          <w:rFonts w:eastAsia="Times New Roman"/>
          <w:highlight w:val="lightGray"/>
          <w:lang w:val="sl-SI"/>
        </w:rPr>
        <w:t>4 napolnjeni injekcijski peresniki</w:t>
      </w:r>
    </w:p>
    <w:p w14:paraId="48136FD8" w14:textId="77777777" w:rsidR="00E04C8A" w:rsidRPr="008E1817" w:rsidRDefault="008E1817">
      <w:pPr>
        <w:pStyle w:val="a3"/>
        <w:rPr>
          <w:highlight w:val="lightGray"/>
          <w:lang w:val="sl-SI"/>
        </w:rPr>
      </w:pPr>
      <w:r w:rsidRPr="008E1817">
        <w:rPr>
          <w:rFonts w:eastAsia="Times New Roman"/>
          <w:highlight w:val="lightGray"/>
          <w:lang w:val="sl-SI"/>
        </w:rPr>
        <w:t>4 alkoholni zloženci</w:t>
      </w:r>
    </w:p>
    <w:p w14:paraId="2CB680BF" w14:textId="77777777" w:rsidR="00E04C8A" w:rsidRPr="008E1817" w:rsidRDefault="00E04C8A">
      <w:pPr>
        <w:pStyle w:val="a3"/>
        <w:rPr>
          <w:highlight w:val="lightGray"/>
          <w:lang w:val="sl-SI"/>
        </w:rPr>
      </w:pPr>
    </w:p>
    <w:p w14:paraId="7075D99A" w14:textId="77777777" w:rsidR="00E04C8A" w:rsidRPr="008E1817" w:rsidRDefault="008E1817">
      <w:pPr>
        <w:pStyle w:val="a3"/>
        <w:rPr>
          <w:highlight w:val="lightGray"/>
          <w:lang w:val="sl-SI"/>
        </w:rPr>
      </w:pPr>
      <w:r w:rsidRPr="008E1817">
        <w:rPr>
          <w:rFonts w:eastAsia="Times New Roman"/>
          <w:highlight w:val="lightGray"/>
          <w:lang w:val="sl-SI"/>
        </w:rPr>
        <w:t>6 napolnjenih injekcijskih peresnikov</w:t>
      </w:r>
    </w:p>
    <w:p w14:paraId="7429EE51" w14:textId="77777777" w:rsidR="00E04C8A" w:rsidRDefault="008E1817">
      <w:pPr>
        <w:pStyle w:val="a3"/>
        <w:rPr>
          <w:lang w:val="sl-SI"/>
        </w:rPr>
      </w:pPr>
      <w:r w:rsidRPr="008E1817">
        <w:rPr>
          <w:rFonts w:eastAsia="Times New Roman"/>
          <w:highlight w:val="lightGray"/>
          <w:lang w:val="sl-SI"/>
        </w:rPr>
        <w:t>6 alkoholnih zložencev</w:t>
      </w:r>
    </w:p>
    <w:p w14:paraId="07A87F8F" w14:textId="77777777" w:rsidR="00E04C8A" w:rsidRDefault="00E04C8A">
      <w:pPr>
        <w:spacing w:line="200" w:lineRule="exact"/>
        <w:rPr>
          <w:sz w:val="20"/>
          <w:szCs w:val="20"/>
          <w:lang w:val="sl-SI"/>
        </w:rPr>
      </w:pPr>
    </w:p>
    <w:p w14:paraId="6632343D" w14:textId="77777777" w:rsidR="00E04C8A" w:rsidRDefault="00E04C8A">
      <w:pPr>
        <w:spacing w:line="200" w:lineRule="exact"/>
        <w:rPr>
          <w:sz w:val="20"/>
          <w:szCs w:val="20"/>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14:paraId="52BA6712" w14:textId="77777777">
        <w:trPr>
          <w:trHeight w:val="317"/>
        </w:trPr>
        <w:tc>
          <w:tcPr>
            <w:tcW w:w="9666" w:type="dxa"/>
            <w:vAlign w:val="center"/>
          </w:tcPr>
          <w:p w14:paraId="2F0AF735" w14:textId="77777777" w:rsidR="00E04C8A" w:rsidRDefault="008E1817">
            <w:pPr>
              <w:numPr>
                <w:ilvl w:val="0"/>
                <w:numId w:val="28"/>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POSTOPEK IN POT(I) UPORABE ZDRAVILA</w:t>
            </w:r>
          </w:p>
        </w:tc>
      </w:tr>
    </w:tbl>
    <w:p w14:paraId="54110DEE" w14:textId="77777777" w:rsidR="00E04C8A" w:rsidRDefault="00E04C8A">
      <w:pPr>
        <w:spacing w:line="200" w:lineRule="exact"/>
        <w:rPr>
          <w:sz w:val="20"/>
          <w:szCs w:val="20"/>
          <w:lang w:val="sl-SI"/>
        </w:rPr>
      </w:pPr>
    </w:p>
    <w:p w14:paraId="2D504EFC" w14:textId="77777777" w:rsidR="00E04C8A" w:rsidRDefault="008E1817">
      <w:pPr>
        <w:pStyle w:val="a3"/>
        <w:rPr>
          <w:lang w:val="sl-SI"/>
        </w:rPr>
      </w:pPr>
      <w:r>
        <w:rPr>
          <w:rFonts w:eastAsia="Times New Roman"/>
          <w:lang w:val="sl-SI"/>
        </w:rPr>
        <w:t>subkutana uporaba</w:t>
      </w:r>
    </w:p>
    <w:p w14:paraId="7CF2E61F" w14:textId="77777777" w:rsidR="00E04C8A" w:rsidRDefault="00E04C8A">
      <w:pPr>
        <w:pStyle w:val="a3"/>
        <w:rPr>
          <w:lang w:val="sl-SI"/>
        </w:rPr>
      </w:pPr>
    </w:p>
    <w:p w14:paraId="0D732588" w14:textId="77777777" w:rsidR="00E04C8A" w:rsidRDefault="008E1817">
      <w:pPr>
        <w:pStyle w:val="a3"/>
        <w:rPr>
          <w:lang w:val="sl-SI"/>
        </w:rPr>
      </w:pPr>
      <w:r>
        <w:rPr>
          <w:rFonts w:eastAsia="Times New Roman"/>
          <w:lang w:val="sl-SI"/>
        </w:rPr>
        <w:t>Pred uporabo preberite priloženo navodilo!</w:t>
      </w:r>
    </w:p>
    <w:p w14:paraId="15738609" w14:textId="77777777" w:rsidR="00E04C8A" w:rsidRDefault="00E04C8A">
      <w:pPr>
        <w:pStyle w:val="a3"/>
        <w:rPr>
          <w:lang w:val="sl-SI"/>
        </w:rPr>
      </w:pPr>
    </w:p>
    <w:p w14:paraId="0BE9C085" w14:textId="77777777" w:rsidR="00E04C8A" w:rsidRDefault="008E1817">
      <w:pPr>
        <w:pStyle w:val="a3"/>
        <w:rPr>
          <w:lang w:val="sl-SI"/>
        </w:rPr>
      </w:pPr>
      <w:r>
        <w:rPr>
          <w:rFonts w:eastAsia="Times New Roman"/>
          <w:lang w:val="sl-SI"/>
        </w:rPr>
        <w:t>Samo za enkratno uporabo.</w:t>
      </w:r>
    </w:p>
    <w:p w14:paraId="218B591A" w14:textId="77777777" w:rsidR="00E04C8A" w:rsidRDefault="00E04C8A">
      <w:pPr>
        <w:pStyle w:val="a3"/>
        <w:rPr>
          <w:lang w:val="sl-SI"/>
        </w:rPr>
      </w:pPr>
    </w:p>
    <w:p w14:paraId="79E6096B" w14:textId="77777777" w:rsidR="00E04C8A" w:rsidRDefault="00E04C8A">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652F18" w14:paraId="02096520" w14:textId="77777777">
        <w:trPr>
          <w:trHeight w:val="317"/>
        </w:trPr>
        <w:tc>
          <w:tcPr>
            <w:tcW w:w="9666" w:type="dxa"/>
            <w:vAlign w:val="center"/>
          </w:tcPr>
          <w:p w14:paraId="090438F3" w14:textId="77777777" w:rsidR="00E04C8A" w:rsidRDefault="008E1817">
            <w:pPr>
              <w:numPr>
                <w:ilvl w:val="0"/>
                <w:numId w:val="28"/>
              </w:numPr>
              <w:tabs>
                <w:tab w:val="left" w:pos="672"/>
              </w:tabs>
              <w:ind w:left="550" w:hanging="550"/>
              <w:jc w:val="both"/>
              <w:rPr>
                <w:rFonts w:ascii="Times New Roman" w:eastAsia="Times New Roman" w:hAnsi="Times New Roman"/>
                <w:lang w:val="sl-SI"/>
              </w:rPr>
            </w:pPr>
            <w:r>
              <w:rPr>
                <w:rFonts w:ascii="Times New Roman" w:eastAsia="Times New Roman" w:hAnsi="Times New Roman" w:cs="Times New Roman"/>
                <w:b/>
                <w:bCs/>
                <w:spacing w:val="-1"/>
                <w:lang w:val="sl-SI"/>
              </w:rPr>
              <w:t>POSEBNO OPOZORILO O SHRANJEVANJU ZDRAVILA ZUNAJ DOSEGA IN POGLEDA OTROK</w:t>
            </w:r>
          </w:p>
        </w:tc>
      </w:tr>
    </w:tbl>
    <w:p w14:paraId="3D791B7F" w14:textId="77777777" w:rsidR="00E04C8A" w:rsidRDefault="00E04C8A">
      <w:pPr>
        <w:spacing w:before="1" w:line="200" w:lineRule="exact"/>
        <w:rPr>
          <w:sz w:val="20"/>
          <w:szCs w:val="20"/>
          <w:lang w:val="sl-SI"/>
        </w:rPr>
      </w:pPr>
    </w:p>
    <w:p w14:paraId="6A20AAAF" w14:textId="77777777" w:rsidR="00E04C8A" w:rsidRDefault="008E1817">
      <w:pPr>
        <w:pStyle w:val="a3"/>
        <w:rPr>
          <w:lang w:val="sl-SI"/>
        </w:rPr>
      </w:pPr>
      <w:r>
        <w:rPr>
          <w:rFonts w:eastAsia="Times New Roman"/>
          <w:lang w:val="sl-SI"/>
        </w:rPr>
        <w:t>Zdravilo shranjujte nedosegljivo otrokom!</w:t>
      </w:r>
    </w:p>
    <w:p w14:paraId="0240DA5D" w14:textId="77777777" w:rsidR="00E04C8A" w:rsidRDefault="00E04C8A">
      <w:pPr>
        <w:rPr>
          <w:lang w:val="sl-SI"/>
        </w:rPr>
      </w:pPr>
    </w:p>
    <w:p w14:paraId="0D05CCA6" w14:textId="77777777" w:rsidR="00E04C8A" w:rsidRDefault="00E04C8A">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3138FB" w14:paraId="4036FB0C" w14:textId="77777777">
        <w:trPr>
          <w:trHeight w:val="317"/>
        </w:trPr>
        <w:tc>
          <w:tcPr>
            <w:tcW w:w="9666" w:type="dxa"/>
            <w:vAlign w:val="center"/>
          </w:tcPr>
          <w:p w14:paraId="3288ABE3" w14:textId="77777777" w:rsidR="00E04C8A" w:rsidRDefault="008E1817">
            <w:pPr>
              <w:numPr>
                <w:ilvl w:val="0"/>
                <w:numId w:val="28"/>
              </w:numPr>
              <w:tabs>
                <w:tab w:val="left" w:pos="672"/>
              </w:tabs>
              <w:ind w:left="550" w:hanging="550"/>
              <w:jc w:val="both"/>
              <w:rPr>
                <w:rFonts w:ascii="Times New Roman" w:eastAsia="Times New Roman" w:hAnsi="Times New Roman"/>
                <w:lang w:val="sl-SI"/>
              </w:rPr>
            </w:pPr>
            <w:r>
              <w:rPr>
                <w:rFonts w:ascii="Times New Roman" w:eastAsia="Times New Roman" w:hAnsi="Times New Roman" w:cs="Times New Roman"/>
                <w:b/>
                <w:bCs/>
                <w:spacing w:val="-1"/>
                <w:lang w:val="sl-SI"/>
              </w:rPr>
              <w:t>DRUGA POSEBNA OPOZORILA, ČE SO POTREBNA</w:t>
            </w:r>
          </w:p>
        </w:tc>
      </w:tr>
    </w:tbl>
    <w:p w14:paraId="1849D2EA" w14:textId="77777777" w:rsidR="00E04C8A" w:rsidRDefault="00E04C8A">
      <w:pPr>
        <w:rPr>
          <w:lang w:val="sl-SI"/>
        </w:rPr>
      </w:pPr>
    </w:p>
    <w:p w14:paraId="632D2B2E" w14:textId="77777777" w:rsidR="00E04C8A" w:rsidRDefault="00E04C8A">
      <w:pPr>
        <w:rPr>
          <w:lang w:val="sl-SI"/>
        </w:rPr>
      </w:pPr>
    </w:p>
    <w:p w14:paraId="56DE6B30" w14:textId="77777777" w:rsidR="00E04C8A" w:rsidRDefault="00E04C8A">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3138FB" w14:paraId="28BF61AF" w14:textId="77777777">
        <w:trPr>
          <w:trHeight w:val="317"/>
        </w:trPr>
        <w:tc>
          <w:tcPr>
            <w:tcW w:w="9666" w:type="dxa"/>
            <w:vAlign w:val="center"/>
          </w:tcPr>
          <w:p w14:paraId="2DC2E45C" w14:textId="77777777" w:rsidR="00E04C8A" w:rsidRDefault="008E1817">
            <w:pPr>
              <w:numPr>
                <w:ilvl w:val="0"/>
                <w:numId w:val="28"/>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DATUM IZTEKA ROKA UPORABNOSTI ZDRAVILA</w:t>
            </w:r>
          </w:p>
        </w:tc>
      </w:tr>
    </w:tbl>
    <w:p w14:paraId="51133C42" w14:textId="77777777" w:rsidR="00E04C8A" w:rsidRDefault="00E04C8A">
      <w:pPr>
        <w:rPr>
          <w:lang w:val="sl-SI"/>
        </w:rPr>
      </w:pPr>
    </w:p>
    <w:p w14:paraId="69FB86F7" w14:textId="77777777" w:rsidR="00E04C8A" w:rsidRDefault="008E1817">
      <w:pPr>
        <w:pStyle w:val="a3"/>
        <w:rPr>
          <w:lang w:val="sl-SI"/>
        </w:rPr>
      </w:pPr>
      <w:r>
        <w:rPr>
          <w:rFonts w:eastAsia="Times New Roman"/>
          <w:lang w:val="sl-SI"/>
        </w:rPr>
        <w:t>EXP</w:t>
      </w:r>
    </w:p>
    <w:p w14:paraId="7175AD82" w14:textId="77777777" w:rsidR="00E04C8A" w:rsidRDefault="00E04C8A">
      <w:pPr>
        <w:rPr>
          <w:lang w:val="sl-SI"/>
        </w:rPr>
      </w:pPr>
    </w:p>
    <w:p w14:paraId="4A8E5720" w14:textId="77777777" w:rsidR="00E04C8A" w:rsidRDefault="00E04C8A">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14:paraId="19E5D12E" w14:textId="77777777">
        <w:trPr>
          <w:trHeight w:val="317"/>
        </w:trPr>
        <w:tc>
          <w:tcPr>
            <w:tcW w:w="9666" w:type="dxa"/>
            <w:vAlign w:val="center"/>
          </w:tcPr>
          <w:p w14:paraId="51B14D0D" w14:textId="77777777" w:rsidR="00E04C8A" w:rsidRDefault="008E1817">
            <w:pPr>
              <w:numPr>
                <w:ilvl w:val="0"/>
                <w:numId w:val="28"/>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POSEBNA NAVODILA ZA SHRANJEVANJE</w:t>
            </w:r>
          </w:p>
        </w:tc>
      </w:tr>
    </w:tbl>
    <w:p w14:paraId="209682F1" w14:textId="77777777" w:rsidR="00E04C8A" w:rsidRDefault="00E04C8A">
      <w:pPr>
        <w:rPr>
          <w:lang w:val="sl-SI"/>
        </w:rPr>
      </w:pPr>
    </w:p>
    <w:p w14:paraId="492A17FD" w14:textId="77777777" w:rsidR="00E04C8A" w:rsidRDefault="008E1817">
      <w:pPr>
        <w:pStyle w:val="a3"/>
        <w:rPr>
          <w:lang w:val="sl-SI"/>
        </w:rPr>
      </w:pPr>
      <w:r>
        <w:rPr>
          <w:rFonts w:eastAsia="Times New Roman"/>
          <w:lang w:val="sl-SI"/>
        </w:rPr>
        <w:t>Shranjujte v hladilniku. Ne zamrzujte.</w:t>
      </w:r>
    </w:p>
    <w:p w14:paraId="6EE726D7" w14:textId="77777777" w:rsidR="00E04C8A" w:rsidRDefault="008E1817">
      <w:pPr>
        <w:pStyle w:val="a3"/>
        <w:rPr>
          <w:lang w:val="sl-SI"/>
        </w:rPr>
      </w:pPr>
      <w:r>
        <w:rPr>
          <w:rFonts w:eastAsia="Times New Roman"/>
          <w:lang w:val="sl-SI"/>
        </w:rPr>
        <w:t>Za podrobnosti o drugačnem shranjevanju glejte navodilo za uporabo.</w:t>
      </w:r>
    </w:p>
    <w:p w14:paraId="34C9EF75" w14:textId="77777777" w:rsidR="00E04C8A" w:rsidRDefault="008E1817">
      <w:pPr>
        <w:pStyle w:val="a3"/>
        <w:rPr>
          <w:lang w:val="sl-SI"/>
        </w:rPr>
      </w:pPr>
      <w:r>
        <w:rPr>
          <w:rFonts w:eastAsia="Times New Roman"/>
          <w:lang w:val="sl-SI"/>
        </w:rPr>
        <w:t>Napolnjen injekcijski peresnik shranjujte v zunanji ovojnini za zagotovitev zaščite pred svetlobo.</w:t>
      </w:r>
    </w:p>
    <w:p w14:paraId="6CE073A7" w14:textId="6F47B2DF" w:rsidR="00F95D6D" w:rsidRDefault="00F95D6D" w:rsidP="00F95D6D">
      <w:pPr>
        <w:pStyle w:val="a3"/>
        <w:rPr>
          <w:lang w:val="sl-SI"/>
        </w:rPr>
      </w:pPr>
      <w:r>
        <w:rPr>
          <w:rFonts w:eastAsia="Times New Roman"/>
          <w:highlight w:val="lightGray"/>
          <w:lang w:val="sl-SI"/>
        </w:rPr>
        <w:t>N</w:t>
      </w:r>
      <w:r w:rsidRPr="008E1817">
        <w:rPr>
          <w:rFonts w:eastAsia="Times New Roman"/>
          <w:highlight w:val="lightGray"/>
          <w:lang w:val="sl-SI"/>
        </w:rPr>
        <w:t>apolnjena injekcijska peresnika</w:t>
      </w:r>
      <w:r w:rsidRPr="00797234">
        <w:rPr>
          <w:rFonts w:eastAsia="Times New Roman"/>
          <w:highlight w:val="lightGray"/>
          <w:lang w:val="sl-SI"/>
        </w:rPr>
        <w:t xml:space="preserve"> shranjujte v zunanji ovojnini za zagotovitev zaščite pred svetlobo.</w:t>
      </w:r>
    </w:p>
    <w:p w14:paraId="41F41DF7" w14:textId="77777777" w:rsidR="00E04C8A" w:rsidRPr="00F95D6D" w:rsidRDefault="00E04C8A">
      <w:pPr>
        <w:rPr>
          <w:lang w:val="sl-SI"/>
        </w:rPr>
      </w:pPr>
    </w:p>
    <w:p w14:paraId="4D2E6AFD" w14:textId="77777777" w:rsidR="00E04C8A" w:rsidRDefault="00E04C8A">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652F18" w14:paraId="7C25470D" w14:textId="77777777">
        <w:trPr>
          <w:trHeight w:val="317"/>
        </w:trPr>
        <w:tc>
          <w:tcPr>
            <w:tcW w:w="9666" w:type="dxa"/>
            <w:vAlign w:val="center"/>
          </w:tcPr>
          <w:p w14:paraId="08CB5916" w14:textId="77777777" w:rsidR="00E04C8A" w:rsidRDefault="008E1817">
            <w:pPr>
              <w:numPr>
                <w:ilvl w:val="0"/>
                <w:numId w:val="28"/>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POSEBNI VARNOSTNI UKREPI ZA ODSTRANJEVANJE NEUPORABLJENIH ZDRAVIL ALI IZ NJIH NASTALIH ODPADNIH SNOVI, KADAR SO POTREBNI</w:t>
            </w:r>
          </w:p>
        </w:tc>
      </w:tr>
    </w:tbl>
    <w:p w14:paraId="3D23C86A" w14:textId="77777777" w:rsidR="00E04C8A" w:rsidRDefault="00E04C8A">
      <w:pPr>
        <w:rPr>
          <w:lang w:val="sl-SI"/>
        </w:rPr>
      </w:pPr>
    </w:p>
    <w:p w14:paraId="20CC6CBE" w14:textId="77777777" w:rsidR="00E04C8A" w:rsidRDefault="00E04C8A">
      <w:pPr>
        <w:rPr>
          <w:lang w:val="sl-SI"/>
        </w:rPr>
      </w:pPr>
    </w:p>
    <w:p w14:paraId="5D746D85" w14:textId="77777777" w:rsidR="00E04C8A" w:rsidRDefault="00E04C8A">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14:paraId="7B4ED00C" w14:textId="77777777">
        <w:trPr>
          <w:trHeight w:val="317"/>
        </w:trPr>
        <w:tc>
          <w:tcPr>
            <w:tcW w:w="9666" w:type="dxa"/>
            <w:vAlign w:val="center"/>
          </w:tcPr>
          <w:p w14:paraId="569A5F82" w14:textId="77777777" w:rsidR="00E04C8A" w:rsidRDefault="008E1817">
            <w:pPr>
              <w:numPr>
                <w:ilvl w:val="0"/>
                <w:numId w:val="28"/>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IME IN NASLOV IMETNIKA DOVOLJENJA ZA PROMET Z ZDRAVILOM</w:t>
            </w:r>
          </w:p>
        </w:tc>
      </w:tr>
    </w:tbl>
    <w:p w14:paraId="199043B0" w14:textId="77777777" w:rsidR="00E04C8A" w:rsidRDefault="00E04C8A">
      <w:pPr>
        <w:spacing w:before="5" w:line="200" w:lineRule="exact"/>
        <w:rPr>
          <w:sz w:val="20"/>
          <w:szCs w:val="20"/>
          <w:lang w:val="sl-SI"/>
        </w:rPr>
      </w:pPr>
    </w:p>
    <w:p w14:paraId="4E817CFF" w14:textId="77777777" w:rsidR="00E04C8A" w:rsidRDefault="008E1817">
      <w:pPr>
        <w:pStyle w:val="a3"/>
        <w:rPr>
          <w:lang w:val="sl-SI"/>
        </w:rPr>
      </w:pPr>
      <w:r>
        <w:rPr>
          <w:lang w:val="sl-SI"/>
        </w:rPr>
        <w:t xml:space="preserve">Celltrion Healthcare Hungary Kft. </w:t>
      </w:r>
    </w:p>
    <w:p w14:paraId="58A5161B" w14:textId="77777777" w:rsidR="00E04C8A" w:rsidRDefault="008E1817">
      <w:pPr>
        <w:pStyle w:val="a3"/>
        <w:rPr>
          <w:lang w:val="sl-SI"/>
        </w:rPr>
      </w:pPr>
      <w:r>
        <w:rPr>
          <w:lang w:val="sl-SI"/>
        </w:rPr>
        <w:t>1062 Budapest</w:t>
      </w:r>
    </w:p>
    <w:p w14:paraId="504DF0FC" w14:textId="77777777" w:rsidR="00E04C8A" w:rsidRDefault="008E1817">
      <w:pPr>
        <w:pStyle w:val="a3"/>
        <w:rPr>
          <w:lang w:val="sl-SI"/>
        </w:rPr>
      </w:pPr>
      <w:r>
        <w:rPr>
          <w:lang w:val="sl-SI"/>
        </w:rPr>
        <w:t>Váci út 1-3. WestEnd Office Building B torony</w:t>
      </w:r>
    </w:p>
    <w:p w14:paraId="5922D1F5" w14:textId="77777777" w:rsidR="00E04C8A" w:rsidRDefault="008E1817">
      <w:pPr>
        <w:pStyle w:val="a3"/>
        <w:rPr>
          <w:lang w:val="sl-SI"/>
        </w:rPr>
      </w:pPr>
      <w:r>
        <w:rPr>
          <w:rFonts w:eastAsia="Times New Roman"/>
          <w:lang w:val="sl-SI"/>
        </w:rPr>
        <w:t>Madžarska</w:t>
      </w:r>
    </w:p>
    <w:p w14:paraId="27DD78C0" w14:textId="77777777" w:rsidR="00E04C8A" w:rsidRDefault="00E04C8A">
      <w:pPr>
        <w:rPr>
          <w:lang w:val="sl-SI"/>
        </w:rPr>
      </w:pPr>
    </w:p>
    <w:p w14:paraId="766E21EF" w14:textId="77777777" w:rsidR="00E04C8A" w:rsidRDefault="00E04C8A">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652F18" w14:paraId="2094231C" w14:textId="77777777">
        <w:trPr>
          <w:trHeight w:val="317"/>
        </w:trPr>
        <w:tc>
          <w:tcPr>
            <w:tcW w:w="9666" w:type="dxa"/>
            <w:vAlign w:val="center"/>
          </w:tcPr>
          <w:p w14:paraId="7A18B2E6" w14:textId="77777777" w:rsidR="00E04C8A" w:rsidRDefault="008E1817">
            <w:pPr>
              <w:numPr>
                <w:ilvl w:val="0"/>
                <w:numId w:val="28"/>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ŠTEVILKA(E) DOVOLJENJA(DOVOLJENJ) ZA PROMET</w:t>
            </w:r>
          </w:p>
        </w:tc>
      </w:tr>
    </w:tbl>
    <w:p w14:paraId="6E139EE5" w14:textId="77777777" w:rsidR="00E04C8A" w:rsidRDefault="00E04C8A">
      <w:pPr>
        <w:rPr>
          <w:lang w:val="sl-SI"/>
        </w:rPr>
      </w:pPr>
    </w:p>
    <w:p w14:paraId="01C39A1A" w14:textId="77777777" w:rsidR="00E04C8A" w:rsidRPr="008E1817" w:rsidRDefault="008E1817">
      <w:pPr>
        <w:pStyle w:val="a3"/>
        <w:rPr>
          <w:highlight w:val="lightGray"/>
          <w:lang w:val="sl-SI"/>
        </w:rPr>
      </w:pPr>
      <w:r>
        <w:rPr>
          <w:rFonts w:eastAsia="Times New Roman"/>
          <w:lang w:val="sl-SI"/>
        </w:rPr>
        <w:t>EU/</w:t>
      </w:r>
      <w:r>
        <w:rPr>
          <w:rFonts w:eastAsia="Times New Roman" w:cs="Verdana"/>
          <w:color w:val="000000"/>
          <w:lang w:val="sl-SI"/>
        </w:rPr>
        <w:t xml:space="preserve">1/20/1513/009 </w:t>
      </w:r>
      <w:r w:rsidRPr="008E1817">
        <w:rPr>
          <w:rFonts w:eastAsia="Times New Roman" w:cs="Verdana"/>
          <w:color w:val="000000"/>
          <w:highlight w:val="lightGray"/>
          <w:lang w:val="sl-SI"/>
        </w:rPr>
        <w:t>1 napolnjen injekcijski peresnik</w:t>
      </w:r>
    </w:p>
    <w:p w14:paraId="47FB81EE" w14:textId="77777777" w:rsidR="00E04C8A" w:rsidRPr="008E1817" w:rsidRDefault="008E1817">
      <w:pPr>
        <w:pStyle w:val="a3"/>
        <w:rPr>
          <w:highlight w:val="lightGray"/>
          <w:lang w:val="sl-SI" w:eastAsia="ko-KR"/>
        </w:rPr>
      </w:pPr>
      <w:r w:rsidRPr="008E1817">
        <w:rPr>
          <w:rFonts w:eastAsia="Times New Roman"/>
          <w:highlight w:val="lightGray"/>
          <w:lang w:val="sl-SI"/>
        </w:rPr>
        <w:t>EU/</w:t>
      </w:r>
      <w:r w:rsidRPr="008E1817">
        <w:rPr>
          <w:rFonts w:eastAsia="Times New Roman" w:cs="Verdana"/>
          <w:color w:val="000000"/>
          <w:highlight w:val="lightGray"/>
          <w:lang w:val="sl-SI"/>
        </w:rPr>
        <w:t>1/20/1513/010 2 napolnjena injekcijska peresnika</w:t>
      </w:r>
    </w:p>
    <w:p w14:paraId="16B460EE" w14:textId="77777777" w:rsidR="00E04C8A" w:rsidRPr="008E1817" w:rsidRDefault="008E1817">
      <w:pPr>
        <w:pStyle w:val="a3"/>
        <w:rPr>
          <w:highlight w:val="lightGray"/>
          <w:lang w:val="sl-SI"/>
        </w:rPr>
      </w:pPr>
      <w:r w:rsidRPr="008E1817">
        <w:rPr>
          <w:rFonts w:eastAsia="Times New Roman"/>
          <w:highlight w:val="lightGray"/>
          <w:lang w:val="sl-SI"/>
        </w:rPr>
        <w:t>EU/</w:t>
      </w:r>
      <w:r w:rsidRPr="008E1817">
        <w:rPr>
          <w:rFonts w:eastAsia="Times New Roman" w:cs="Verdana"/>
          <w:color w:val="000000"/>
          <w:highlight w:val="lightGray"/>
          <w:lang w:val="sl-SI"/>
        </w:rPr>
        <w:t xml:space="preserve">1/20/1513/011 4 napolnjeni injekcijski peresniki </w:t>
      </w:r>
    </w:p>
    <w:p w14:paraId="20F7504C" w14:textId="77777777" w:rsidR="00E04C8A" w:rsidRDefault="008E1817">
      <w:pPr>
        <w:pStyle w:val="a3"/>
        <w:rPr>
          <w:lang w:val="sl-SI"/>
        </w:rPr>
      </w:pPr>
      <w:r w:rsidRPr="008E1817">
        <w:rPr>
          <w:rFonts w:eastAsia="Times New Roman"/>
          <w:highlight w:val="lightGray"/>
          <w:lang w:val="sl-SI"/>
        </w:rPr>
        <w:t>EU/</w:t>
      </w:r>
      <w:r w:rsidRPr="008E1817">
        <w:rPr>
          <w:rFonts w:eastAsia="Times New Roman" w:cs="Verdana"/>
          <w:color w:val="000000"/>
          <w:highlight w:val="lightGray"/>
          <w:lang w:val="sl-SI"/>
        </w:rPr>
        <w:t>1/20/1513/012 6 napolnjenih injekcijskih peresnikov</w:t>
      </w:r>
      <w:r>
        <w:rPr>
          <w:rFonts w:eastAsia="Times New Roman" w:cs="Verdana"/>
          <w:color w:val="000000"/>
          <w:lang w:val="sl-SI"/>
        </w:rPr>
        <w:t xml:space="preserve"> </w:t>
      </w:r>
    </w:p>
    <w:p w14:paraId="4AD0322D" w14:textId="77777777" w:rsidR="00E04C8A" w:rsidRDefault="00E04C8A">
      <w:pPr>
        <w:rPr>
          <w:lang w:val="sl-SI"/>
        </w:rPr>
      </w:pPr>
    </w:p>
    <w:p w14:paraId="3021B586" w14:textId="77777777" w:rsidR="00E04C8A" w:rsidRDefault="00E04C8A">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14:paraId="12078D0B" w14:textId="77777777">
        <w:trPr>
          <w:trHeight w:val="317"/>
        </w:trPr>
        <w:tc>
          <w:tcPr>
            <w:tcW w:w="9666" w:type="dxa"/>
            <w:vAlign w:val="center"/>
          </w:tcPr>
          <w:p w14:paraId="183DB2F8" w14:textId="77777777" w:rsidR="00E04C8A" w:rsidRDefault="008E1817">
            <w:pPr>
              <w:numPr>
                <w:ilvl w:val="0"/>
                <w:numId w:val="28"/>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ŠTEVILKA SERIJE</w:t>
            </w:r>
          </w:p>
        </w:tc>
      </w:tr>
    </w:tbl>
    <w:p w14:paraId="46BA9445" w14:textId="77777777" w:rsidR="00E04C8A" w:rsidRDefault="00E04C8A">
      <w:pPr>
        <w:rPr>
          <w:lang w:val="sl-SI"/>
        </w:rPr>
      </w:pPr>
    </w:p>
    <w:p w14:paraId="7ED6FA86" w14:textId="77777777" w:rsidR="00E04C8A" w:rsidRDefault="008E1817">
      <w:pPr>
        <w:pStyle w:val="a3"/>
        <w:rPr>
          <w:lang w:val="sl-SI"/>
        </w:rPr>
      </w:pPr>
      <w:r>
        <w:rPr>
          <w:rFonts w:eastAsia="Times New Roman"/>
          <w:lang w:val="sl-SI"/>
        </w:rPr>
        <w:t>Lot</w:t>
      </w:r>
    </w:p>
    <w:p w14:paraId="1855D042" w14:textId="77777777" w:rsidR="00E04C8A" w:rsidRDefault="00E04C8A">
      <w:pPr>
        <w:pStyle w:val="a3"/>
        <w:rPr>
          <w:lang w:val="sl-SI"/>
        </w:rPr>
      </w:pPr>
    </w:p>
    <w:p w14:paraId="2F2324E8" w14:textId="77777777" w:rsidR="00E04C8A" w:rsidRDefault="00E04C8A">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652F18" w14:paraId="5AC11AAB" w14:textId="77777777">
        <w:trPr>
          <w:trHeight w:val="317"/>
        </w:trPr>
        <w:tc>
          <w:tcPr>
            <w:tcW w:w="9666" w:type="dxa"/>
            <w:vAlign w:val="center"/>
          </w:tcPr>
          <w:p w14:paraId="724BA335" w14:textId="77777777" w:rsidR="00E04C8A" w:rsidRDefault="008E1817">
            <w:pPr>
              <w:numPr>
                <w:ilvl w:val="0"/>
                <w:numId w:val="28"/>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NAČIN IZDAJANJA ZDRAVILA</w:t>
            </w:r>
          </w:p>
        </w:tc>
      </w:tr>
    </w:tbl>
    <w:p w14:paraId="3D28FA0C" w14:textId="77777777" w:rsidR="00E04C8A" w:rsidRDefault="00E04C8A">
      <w:pPr>
        <w:jc w:val="both"/>
        <w:rPr>
          <w:lang w:val="sl-SI"/>
        </w:rPr>
      </w:pPr>
    </w:p>
    <w:p w14:paraId="680D75B9" w14:textId="77777777" w:rsidR="00E04C8A" w:rsidRDefault="00E04C8A">
      <w:pPr>
        <w:jc w:val="both"/>
        <w:rPr>
          <w:lang w:val="sl-SI"/>
        </w:rPr>
      </w:pPr>
    </w:p>
    <w:p w14:paraId="676A3277" w14:textId="77777777" w:rsidR="00E04C8A" w:rsidRDefault="00E04C8A">
      <w:pPr>
        <w:jc w:val="both"/>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14:paraId="6D8B15E7" w14:textId="77777777">
        <w:trPr>
          <w:trHeight w:val="317"/>
        </w:trPr>
        <w:tc>
          <w:tcPr>
            <w:tcW w:w="9666" w:type="dxa"/>
            <w:vAlign w:val="center"/>
          </w:tcPr>
          <w:p w14:paraId="701EED86" w14:textId="77777777" w:rsidR="00E04C8A" w:rsidRDefault="008E1817">
            <w:pPr>
              <w:numPr>
                <w:ilvl w:val="0"/>
                <w:numId w:val="28"/>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NAVODILA ZA UPORABO</w:t>
            </w:r>
          </w:p>
        </w:tc>
      </w:tr>
    </w:tbl>
    <w:p w14:paraId="0BD4323C" w14:textId="77777777" w:rsidR="00E04C8A" w:rsidRDefault="00E04C8A">
      <w:pPr>
        <w:jc w:val="both"/>
        <w:rPr>
          <w:lang w:val="sl-SI"/>
        </w:rPr>
      </w:pPr>
    </w:p>
    <w:p w14:paraId="6697F040" w14:textId="77777777" w:rsidR="00E04C8A" w:rsidRDefault="00E04C8A">
      <w:pPr>
        <w:jc w:val="both"/>
        <w:rPr>
          <w:lang w:val="sl-SI"/>
        </w:rPr>
      </w:pPr>
    </w:p>
    <w:p w14:paraId="6DE8B9E3" w14:textId="77777777" w:rsidR="00E04C8A" w:rsidRDefault="00E04C8A">
      <w:pPr>
        <w:jc w:val="both"/>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14:paraId="189CECD2" w14:textId="77777777">
        <w:trPr>
          <w:trHeight w:val="317"/>
        </w:trPr>
        <w:tc>
          <w:tcPr>
            <w:tcW w:w="9666" w:type="dxa"/>
            <w:vAlign w:val="center"/>
          </w:tcPr>
          <w:p w14:paraId="14303639" w14:textId="77777777" w:rsidR="00E04C8A" w:rsidRDefault="008E1817">
            <w:pPr>
              <w:numPr>
                <w:ilvl w:val="0"/>
                <w:numId w:val="28"/>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PODATKI V BRAILLOVI PISAVI</w:t>
            </w:r>
          </w:p>
        </w:tc>
      </w:tr>
    </w:tbl>
    <w:p w14:paraId="5735EC09" w14:textId="77777777" w:rsidR="00E04C8A" w:rsidRDefault="00E04C8A">
      <w:pPr>
        <w:jc w:val="both"/>
        <w:rPr>
          <w:lang w:val="sl-SI"/>
        </w:rPr>
      </w:pPr>
    </w:p>
    <w:p w14:paraId="4AACF481" w14:textId="77777777" w:rsidR="00E04C8A" w:rsidRDefault="008E1817">
      <w:pPr>
        <w:pStyle w:val="a3"/>
        <w:rPr>
          <w:lang w:val="sl-SI"/>
        </w:rPr>
      </w:pPr>
      <w:r>
        <w:rPr>
          <w:rFonts w:eastAsia="Times New Roman"/>
          <w:lang w:val="sl-SI"/>
        </w:rPr>
        <w:t>Yuflyma 40 mg</w:t>
      </w:r>
    </w:p>
    <w:p w14:paraId="682CCD88" w14:textId="77777777" w:rsidR="00E04C8A" w:rsidRDefault="00E04C8A">
      <w:pPr>
        <w:jc w:val="both"/>
        <w:rPr>
          <w:lang w:val="sl-SI"/>
        </w:rPr>
      </w:pPr>
    </w:p>
    <w:p w14:paraId="19D5BDFD" w14:textId="77777777" w:rsidR="00E04C8A" w:rsidRDefault="00E04C8A">
      <w:pPr>
        <w:jc w:val="both"/>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652F18" w14:paraId="1A745B21" w14:textId="77777777">
        <w:trPr>
          <w:trHeight w:val="317"/>
        </w:trPr>
        <w:tc>
          <w:tcPr>
            <w:tcW w:w="9666" w:type="dxa"/>
            <w:vAlign w:val="center"/>
          </w:tcPr>
          <w:p w14:paraId="37E655BF" w14:textId="77777777" w:rsidR="00E04C8A" w:rsidRDefault="008E1817">
            <w:pPr>
              <w:numPr>
                <w:ilvl w:val="0"/>
                <w:numId w:val="28"/>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EDINSTVENA OZNAKA – DVODIMENZIONALNA ČRTNA KODA</w:t>
            </w:r>
          </w:p>
        </w:tc>
      </w:tr>
    </w:tbl>
    <w:p w14:paraId="7CD8B330" w14:textId="77777777" w:rsidR="00E04C8A" w:rsidRDefault="00E04C8A">
      <w:pPr>
        <w:jc w:val="both"/>
        <w:rPr>
          <w:lang w:val="sl-SI"/>
        </w:rPr>
      </w:pPr>
    </w:p>
    <w:p w14:paraId="205F2D1A" w14:textId="77777777" w:rsidR="00E04C8A" w:rsidRDefault="008E1817">
      <w:pPr>
        <w:pStyle w:val="a3"/>
        <w:rPr>
          <w:lang w:val="sl-SI"/>
        </w:rPr>
      </w:pPr>
      <w:r w:rsidRPr="008E1817">
        <w:rPr>
          <w:rFonts w:eastAsia="Times New Roman"/>
          <w:highlight w:val="lightGray"/>
          <w:lang w:val="sl-SI"/>
        </w:rPr>
        <w:t>Vsebuje dvodimenzionalno črtno kodo z edinstveno oznako.</w:t>
      </w:r>
    </w:p>
    <w:p w14:paraId="7E52113D" w14:textId="77777777" w:rsidR="00E04C8A" w:rsidRDefault="00E04C8A">
      <w:pPr>
        <w:jc w:val="both"/>
        <w:rPr>
          <w:lang w:val="sl-SI"/>
        </w:rPr>
      </w:pPr>
    </w:p>
    <w:p w14:paraId="2D6C4659" w14:textId="77777777" w:rsidR="00E04C8A" w:rsidRDefault="00E04C8A">
      <w:pPr>
        <w:jc w:val="both"/>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AC7013" w14:paraId="2AE649F8" w14:textId="77777777">
        <w:trPr>
          <w:trHeight w:val="317"/>
        </w:trPr>
        <w:tc>
          <w:tcPr>
            <w:tcW w:w="9666" w:type="dxa"/>
            <w:vAlign w:val="center"/>
          </w:tcPr>
          <w:p w14:paraId="2DD3A178" w14:textId="77777777" w:rsidR="00E04C8A" w:rsidRDefault="008E1817">
            <w:pPr>
              <w:numPr>
                <w:ilvl w:val="0"/>
                <w:numId w:val="28"/>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EDINSTVENA OZNAKA – V BERLJIVI OBLIKI</w:t>
            </w:r>
          </w:p>
        </w:tc>
      </w:tr>
    </w:tbl>
    <w:p w14:paraId="5FB06C9C" w14:textId="77777777" w:rsidR="00E04C8A" w:rsidRDefault="00E04C8A">
      <w:pPr>
        <w:jc w:val="both"/>
        <w:rPr>
          <w:lang w:val="sl-SI"/>
        </w:rPr>
      </w:pPr>
    </w:p>
    <w:p w14:paraId="0E437B62" w14:textId="77777777" w:rsidR="00E04C8A" w:rsidRDefault="008E1817">
      <w:pPr>
        <w:pStyle w:val="a3"/>
        <w:rPr>
          <w:lang w:val="sl-SI"/>
        </w:rPr>
      </w:pPr>
      <w:r>
        <w:rPr>
          <w:rFonts w:eastAsia="Times New Roman"/>
          <w:lang w:val="sl-SI"/>
        </w:rPr>
        <w:t xml:space="preserve">PC </w:t>
      </w:r>
    </w:p>
    <w:p w14:paraId="4DE128DB" w14:textId="77777777" w:rsidR="00E04C8A" w:rsidRDefault="008E1817">
      <w:pPr>
        <w:pStyle w:val="a3"/>
        <w:rPr>
          <w:lang w:val="sl-SI"/>
        </w:rPr>
      </w:pPr>
      <w:r>
        <w:rPr>
          <w:rFonts w:eastAsia="Times New Roman"/>
          <w:lang w:val="sl-SI"/>
        </w:rPr>
        <w:t>SN</w:t>
      </w:r>
    </w:p>
    <w:p w14:paraId="51E9339F" w14:textId="77777777" w:rsidR="00E04C8A" w:rsidRDefault="008E1817">
      <w:pPr>
        <w:pStyle w:val="a3"/>
        <w:rPr>
          <w:spacing w:val="-2"/>
          <w:lang w:val="sl-SI"/>
        </w:rPr>
      </w:pPr>
      <w:r>
        <w:rPr>
          <w:rFonts w:eastAsia="Times New Roman"/>
          <w:spacing w:val="-2"/>
          <w:lang w:val="sl-SI"/>
        </w:rPr>
        <w:t>NN</w:t>
      </w:r>
    </w:p>
    <w:p w14:paraId="7A6E4156" w14:textId="77777777" w:rsidR="00E04C8A" w:rsidRDefault="00E04C8A">
      <w:pPr>
        <w:pStyle w:val="a3"/>
        <w:rPr>
          <w:spacing w:val="-2"/>
          <w:lang w:val="sl-SI"/>
        </w:rPr>
      </w:pPr>
    </w:p>
    <w:p w14:paraId="72CD73A1" w14:textId="77777777" w:rsidR="00E04C8A" w:rsidRDefault="008E1817">
      <w:pPr>
        <w:rPr>
          <w:rFonts w:ascii="Times New Roman" w:eastAsia="Times New Roman" w:hAnsi="Times New Roman"/>
          <w:spacing w:val="-2"/>
          <w:lang w:val="sl-SI"/>
        </w:rPr>
      </w:pPr>
      <w:r>
        <w:rPr>
          <w:spacing w:val="-2"/>
          <w:lang w:val="sl-SI"/>
        </w:rPr>
        <w:br w:type="page"/>
      </w:r>
    </w:p>
    <w:tbl>
      <w:tblPr>
        <w:tblStyle w:val="ac"/>
        <w:tblW w:w="9666" w:type="dxa"/>
        <w:tblLook w:val="04A0" w:firstRow="1" w:lastRow="0" w:firstColumn="1" w:lastColumn="0" w:noHBand="0" w:noVBand="1"/>
      </w:tblPr>
      <w:tblGrid>
        <w:gridCol w:w="9666"/>
      </w:tblGrid>
      <w:tr w:rsidR="00E04C8A" w:rsidRPr="003138FB" w14:paraId="00DE9791" w14:textId="77777777">
        <w:trPr>
          <w:trHeight w:val="822"/>
        </w:trPr>
        <w:tc>
          <w:tcPr>
            <w:tcW w:w="9666" w:type="dxa"/>
            <w:vAlign w:val="center"/>
          </w:tcPr>
          <w:p w14:paraId="4ED9DD33" w14:textId="77777777" w:rsidR="00E04C8A" w:rsidRDefault="008E1817">
            <w:pPr>
              <w:tabs>
                <w:tab w:val="left" w:pos="672"/>
              </w:tabs>
              <w:jc w:val="both"/>
              <w:rPr>
                <w:rFonts w:ascii="Times New Roman" w:eastAsia="Times New Roman" w:hAnsi="Times New Roman" w:cs="Times New Roman"/>
                <w:b/>
                <w:bCs/>
                <w:spacing w:val="-1"/>
                <w:lang w:val="sl-SI"/>
              </w:rPr>
            </w:pPr>
            <w:r>
              <w:rPr>
                <w:rFonts w:ascii="Times New Roman" w:eastAsia="Times New Roman" w:hAnsi="Times New Roman" w:cs="Times New Roman"/>
                <w:bCs/>
                <w:spacing w:val="-1"/>
                <w:lang w:val="sl-SI"/>
              </w:rPr>
              <w:lastRenderedPageBreak/>
              <w:br w:type="page"/>
            </w:r>
            <w:r>
              <w:rPr>
                <w:rFonts w:ascii="Times New Roman" w:eastAsia="Times New Roman" w:hAnsi="Times New Roman" w:cs="Times New Roman"/>
                <w:b/>
                <w:bCs/>
                <w:spacing w:val="-1"/>
                <w:lang w:val="sl-SI"/>
              </w:rPr>
              <w:t xml:space="preserve">PODATKI, KI MORAJO BITI NAJMANJ NAVEDENI NA MANJŠIH STIČNIH OVOJNINAH </w:t>
            </w:r>
          </w:p>
          <w:p w14:paraId="1707D528" w14:textId="77777777" w:rsidR="00E04C8A" w:rsidRDefault="00E04C8A">
            <w:pPr>
              <w:tabs>
                <w:tab w:val="left" w:pos="672"/>
              </w:tabs>
              <w:jc w:val="both"/>
              <w:rPr>
                <w:rFonts w:ascii="Times New Roman" w:eastAsia="Times New Roman" w:hAnsi="Times New Roman" w:cs="Times New Roman"/>
                <w:b/>
                <w:bCs/>
                <w:spacing w:val="-1"/>
                <w:lang w:val="sl-SI"/>
              </w:rPr>
            </w:pPr>
          </w:p>
          <w:p w14:paraId="22891B07" w14:textId="77777777" w:rsidR="00E04C8A" w:rsidRDefault="008E1817">
            <w:pPr>
              <w:tabs>
                <w:tab w:val="left" w:pos="672"/>
              </w:tabs>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OZNAKA NA NAPOLNJENEM INJEKCIJSKEM PERESNIKU</w:t>
            </w:r>
          </w:p>
        </w:tc>
      </w:tr>
    </w:tbl>
    <w:p w14:paraId="766935BE" w14:textId="77777777" w:rsidR="00E04C8A" w:rsidRDefault="00E04C8A">
      <w:pPr>
        <w:spacing w:line="200" w:lineRule="exact"/>
        <w:rPr>
          <w:sz w:val="20"/>
          <w:szCs w:val="20"/>
          <w:lang w:val="sl-SI"/>
        </w:rPr>
      </w:pPr>
    </w:p>
    <w:p w14:paraId="3D3FB056" w14:textId="77777777" w:rsidR="00E04C8A" w:rsidRDefault="00E04C8A">
      <w:pPr>
        <w:spacing w:line="200" w:lineRule="exact"/>
        <w:rPr>
          <w:sz w:val="20"/>
          <w:szCs w:val="20"/>
          <w:lang w:val="sl-SI"/>
        </w:rPr>
      </w:pPr>
    </w:p>
    <w:tbl>
      <w:tblPr>
        <w:tblStyle w:val="ac"/>
        <w:tblpPr w:leftFromText="142" w:rightFromText="142" w:vertAnchor="text" w:tblpY="55"/>
        <w:tblW w:w="9666" w:type="dxa"/>
        <w:tblLook w:val="04A0" w:firstRow="1" w:lastRow="0" w:firstColumn="1" w:lastColumn="0" w:noHBand="0" w:noVBand="1"/>
      </w:tblPr>
      <w:tblGrid>
        <w:gridCol w:w="9666"/>
      </w:tblGrid>
      <w:tr w:rsidR="00E04C8A" w14:paraId="320F88CD" w14:textId="77777777">
        <w:trPr>
          <w:trHeight w:val="317"/>
        </w:trPr>
        <w:tc>
          <w:tcPr>
            <w:tcW w:w="9666" w:type="dxa"/>
            <w:vAlign w:val="center"/>
          </w:tcPr>
          <w:p w14:paraId="4F5CB16D" w14:textId="77777777" w:rsidR="00E04C8A" w:rsidRDefault="008E1817">
            <w:pPr>
              <w:numPr>
                <w:ilvl w:val="0"/>
                <w:numId w:val="29"/>
              </w:numPr>
              <w:tabs>
                <w:tab w:val="left" w:pos="672"/>
              </w:tabs>
              <w:ind w:left="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IME ZDRAVILA IN POT(I) UPORABE ZDRAVILA</w:t>
            </w:r>
          </w:p>
        </w:tc>
      </w:tr>
    </w:tbl>
    <w:p w14:paraId="18FFF106" w14:textId="77777777" w:rsidR="00E04C8A" w:rsidRDefault="00E04C8A">
      <w:pPr>
        <w:spacing w:line="200" w:lineRule="exact"/>
        <w:rPr>
          <w:sz w:val="20"/>
          <w:szCs w:val="20"/>
          <w:lang w:val="sl-SI"/>
        </w:rPr>
      </w:pPr>
    </w:p>
    <w:p w14:paraId="2DCE30C6" w14:textId="77777777" w:rsidR="00E04C8A" w:rsidRDefault="008E1817">
      <w:pPr>
        <w:pStyle w:val="a3"/>
        <w:rPr>
          <w:lang w:val="sl-SI"/>
        </w:rPr>
      </w:pPr>
      <w:r>
        <w:rPr>
          <w:rFonts w:eastAsia="Times New Roman"/>
          <w:lang w:val="sl-SI"/>
        </w:rPr>
        <w:t>Yuflyma 40 mg injekcija</w:t>
      </w:r>
    </w:p>
    <w:p w14:paraId="5A31DB3E" w14:textId="77777777" w:rsidR="00E04C8A" w:rsidRDefault="008E1817">
      <w:pPr>
        <w:pStyle w:val="a3"/>
        <w:rPr>
          <w:lang w:val="sl-SI"/>
        </w:rPr>
      </w:pPr>
      <w:r>
        <w:rPr>
          <w:rFonts w:eastAsia="Times New Roman"/>
          <w:lang w:val="sl-SI"/>
        </w:rPr>
        <w:t>adalimumab</w:t>
      </w:r>
    </w:p>
    <w:p w14:paraId="45B4C605" w14:textId="77777777" w:rsidR="00E04C8A" w:rsidRDefault="008E1817">
      <w:pPr>
        <w:pStyle w:val="a3"/>
        <w:rPr>
          <w:lang w:val="sl-SI"/>
        </w:rPr>
      </w:pPr>
      <w:r>
        <w:rPr>
          <w:rFonts w:eastAsia="Times New Roman"/>
          <w:lang w:val="sl-SI"/>
        </w:rPr>
        <w:t>subkutana uporaba</w:t>
      </w:r>
    </w:p>
    <w:p w14:paraId="431D8841" w14:textId="77777777" w:rsidR="00E04C8A" w:rsidRDefault="00E04C8A">
      <w:pPr>
        <w:pStyle w:val="a3"/>
        <w:rPr>
          <w:lang w:val="sl-SI"/>
        </w:rPr>
      </w:pPr>
    </w:p>
    <w:p w14:paraId="5F0108AB" w14:textId="77777777" w:rsidR="00E04C8A" w:rsidRDefault="00E04C8A">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14:paraId="0196A382" w14:textId="77777777">
        <w:trPr>
          <w:trHeight w:val="317"/>
        </w:trPr>
        <w:tc>
          <w:tcPr>
            <w:tcW w:w="9666" w:type="dxa"/>
            <w:vAlign w:val="center"/>
          </w:tcPr>
          <w:p w14:paraId="45B666E8" w14:textId="77777777" w:rsidR="00E04C8A" w:rsidRDefault="008E1817">
            <w:pPr>
              <w:numPr>
                <w:ilvl w:val="0"/>
                <w:numId w:val="29"/>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POSTOPEK UPORABE</w:t>
            </w:r>
          </w:p>
        </w:tc>
      </w:tr>
    </w:tbl>
    <w:p w14:paraId="0B0B61CF" w14:textId="77777777" w:rsidR="00E04C8A" w:rsidRDefault="00E04C8A">
      <w:pPr>
        <w:spacing w:before="13" w:line="280" w:lineRule="exact"/>
        <w:rPr>
          <w:sz w:val="28"/>
          <w:szCs w:val="28"/>
          <w:lang w:val="sl-SI"/>
        </w:rPr>
      </w:pPr>
    </w:p>
    <w:p w14:paraId="4EB402CA" w14:textId="77777777" w:rsidR="00E04C8A" w:rsidRDefault="00E04C8A">
      <w:pPr>
        <w:spacing w:before="13" w:line="280" w:lineRule="exact"/>
        <w:rPr>
          <w:sz w:val="28"/>
          <w:szCs w:val="28"/>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3138FB" w14:paraId="0E6FC9C3" w14:textId="77777777">
        <w:trPr>
          <w:trHeight w:val="317"/>
        </w:trPr>
        <w:tc>
          <w:tcPr>
            <w:tcW w:w="9666" w:type="dxa"/>
            <w:vAlign w:val="center"/>
          </w:tcPr>
          <w:p w14:paraId="6ADBD463" w14:textId="77777777" w:rsidR="00E04C8A" w:rsidRDefault="008E1817">
            <w:pPr>
              <w:numPr>
                <w:ilvl w:val="0"/>
                <w:numId w:val="29"/>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DATUM IZTEKA ROKA UPORABNOSTI ZDRAVILA</w:t>
            </w:r>
          </w:p>
        </w:tc>
      </w:tr>
    </w:tbl>
    <w:p w14:paraId="719BF19D" w14:textId="77777777" w:rsidR="00E04C8A" w:rsidRDefault="00E04C8A">
      <w:pPr>
        <w:pStyle w:val="a3"/>
        <w:rPr>
          <w:lang w:val="sl-SI"/>
        </w:rPr>
      </w:pPr>
    </w:p>
    <w:p w14:paraId="06910196" w14:textId="77777777" w:rsidR="00E04C8A" w:rsidRDefault="008E1817">
      <w:pPr>
        <w:pStyle w:val="a3"/>
        <w:rPr>
          <w:lang w:val="sl-SI"/>
        </w:rPr>
      </w:pPr>
      <w:r>
        <w:rPr>
          <w:rFonts w:eastAsia="Times New Roman"/>
          <w:lang w:val="sl-SI"/>
        </w:rPr>
        <w:t>EXP</w:t>
      </w:r>
    </w:p>
    <w:p w14:paraId="03F67A30" w14:textId="77777777" w:rsidR="00E04C8A" w:rsidRDefault="00E04C8A">
      <w:pPr>
        <w:pStyle w:val="a3"/>
        <w:rPr>
          <w:lang w:val="sl-SI"/>
        </w:rPr>
      </w:pPr>
    </w:p>
    <w:p w14:paraId="21BA3ABD" w14:textId="77777777" w:rsidR="00E04C8A" w:rsidRDefault="00E04C8A">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14:paraId="4E318506" w14:textId="77777777">
        <w:trPr>
          <w:trHeight w:val="317"/>
        </w:trPr>
        <w:tc>
          <w:tcPr>
            <w:tcW w:w="9666" w:type="dxa"/>
            <w:vAlign w:val="center"/>
          </w:tcPr>
          <w:p w14:paraId="006C1A17" w14:textId="77777777" w:rsidR="00E04C8A" w:rsidRDefault="008E1817">
            <w:pPr>
              <w:numPr>
                <w:ilvl w:val="0"/>
                <w:numId w:val="29"/>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ŠTEVILKA SERIJE</w:t>
            </w:r>
          </w:p>
        </w:tc>
      </w:tr>
    </w:tbl>
    <w:p w14:paraId="5CC91883" w14:textId="77777777" w:rsidR="00E04C8A" w:rsidRDefault="00E04C8A">
      <w:pPr>
        <w:pStyle w:val="a3"/>
        <w:rPr>
          <w:lang w:val="sl-SI"/>
        </w:rPr>
      </w:pPr>
    </w:p>
    <w:p w14:paraId="29BE3D05" w14:textId="77777777" w:rsidR="00E04C8A" w:rsidRDefault="008E1817">
      <w:pPr>
        <w:pStyle w:val="a3"/>
        <w:rPr>
          <w:lang w:val="sl-SI"/>
        </w:rPr>
      </w:pPr>
      <w:r>
        <w:rPr>
          <w:rFonts w:eastAsia="Times New Roman"/>
          <w:lang w:val="sl-SI"/>
        </w:rPr>
        <w:t>Lot</w:t>
      </w:r>
    </w:p>
    <w:p w14:paraId="0237C415" w14:textId="77777777" w:rsidR="00E04C8A" w:rsidRDefault="00E04C8A">
      <w:pPr>
        <w:pStyle w:val="a3"/>
        <w:rPr>
          <w:lang w:val="sl-SI"/>
        </w:rPr>
      </w:pPr>
    </w:p>
    <w:p w14:paraId="306A163F" w14:textId="77777777" w:rsidR="00E04C8A" w:rsidRDefault="00E04C8A">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rsidRPr="003138FB" w14:paraId="007953BE" w14:textId="77777777">
        <w:trPr>
          <w:trHeight w:val="317"/>
        </w:trPr>
        <w:tc>
          <w:tcPr>
            <w:tcW w:w="9666" w:type="dxa"/>
            <w:vAlign w:val="center"/>
          </w:tcPr>
          <w:p w14:paraId="70E446B4" w14:textId="77777777" w:rsidR="00E04C8A" w:rsidRDefault="008E1817">
            <w:pPr>
              <w:numPr>
                <w:ilvl w:val="0"/>
                <w:numId w:val="29"/>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VSEBINA, IZRAŽENA Z MASO, PROSTORNINO ALI ŠTEVILOM ENOT</w:t>
            </w:r>
          </w:p>
        </w:tc>
      </w:tr>
    </w:tbl>
    <w:p w14:paraId="498E4650" w14:textId="77777777" w:rsidR="00E04C8A" w:rsidRDefault="00E04C8A">
      <w:pPr>
        <w:spacing w:before="13" w:line="280" w:lineRule="exact"/>
        <w:rPr>
          <w:sz w:val="28"/>
          <w:szCs w:val="28"/>
          <w:lang w:val="sl-SI"/>
        </w:rPr>
      </w:pPr>
    </w:p>
    <w:p w14:paraId="722C3DEE" w14:textId="77777777" w:rsidR="00E04C8A" w:rsidRDefault="008E1817">
      <w:pPr>
        <w:pStyle w:val="a3"/>
        <w:rPr>
          <w:lang w:val="sl-SI"/>
        </w:rPr>
      </w:pPr>
      <w:r>
        <w:rPr>
          <w:rFonts w:eastAsia="Times New Roman"/>
          <w:lang w:val="sl-SI"/>
        </w:rPr>
        <w:t>40 </w:t>
      </w:r>
      <w:r w:rsidRPr="00C33A0D">
        <w:rPr>
          <w:rFonts w:eastAsia="Times New Roman"/>
          <w:lang w:val="sl-SI"/>
        </w:rPr>
        <w:t>mg</w:t>
      </w:r>
      <w:r w:rsidRPr="00CC6ABA">
        <w:rPr>
          <w:rFonts w:eastAsia="Times New Roman"/>
          <w:lang w:val="sl-SI"/>
        </w:rPr>
        <w:t>/0,4 ml</w:t>
      </w:r>
    </w:p>
    <w:p w14:paraId="2650DB15" w14:textId="77777777" w:rsidR="00E04C8A" w:rsidRDefault="00E04C8A">
      <w:pPr>
        <w:spacing w:before="13" w:line="280" w:lineRule="exact"/>
        <w:rPr>
          <w:sz w:val="28"/>
          <w:szCs w:val="28"/>
          <w:lang w:val="sl-SI"/>
        </w:rPr>
      </w:pPr>
    </w:p>
    <w:p w14:paraId="06F185C8" w14:textId="77777777" w:rsidR="00E04C8A" w:rsidRDefault="00E04C8A">
      <w:pPr>
        <w:spacing w:before="13" w:line="280" w:lineRule="exact"/>
        <w:rPr>
          <w:sz w:val="28"/>
          <w:szCs w:val="28"/>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E04C8A" w14:paraId="4B4C05C6" w14:textId="77777777" w:rsidTr="009D4E53">
        <w:trPr>
          <w:trHeight w:val="317"/>
        </w:trPr>
        <w:tc>
          <w:tcPr>
            <w:tcW w:w="9666" w:type="dxa"/>
            <w:tcBorders>
              <w:bottom w:val="single" w:sz="4" w:space="0" w:color="auto"/>
            </w:tcBorders>
            <w:vAlign w:val="center"/>
          </w:tcPr>
          <w:p w14:paraId="7AA5F244" w14:textId="77777777" w:rsidR="00E04C8A" w:rsidRDefault="008E1817">
            <w:pPr>
              <w:numPr>
                <w:ilvl w:val="0"/>
                <w:numId w:val="29"/>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DRUGI PODATKI</w:t>
            </w:r>
          </w:p>
        </w:tc>
      </w:tr>
    </w:tbl>
    <w:p w14:paraId="3E866C80" w14:textId="77777777" w:rsidR="00E04C8A" w:rsidRDefault="00E04C8A">
      <w:pPr>
        <w:pStyle w:val="a3"/>
        <w:rPr>
          <w:lang w:val="sl-SI"/>
        </w:rPr>
      </w:pPr>
    </w:p>
    <w:p w14:paraId="45FD2FBC" w14:textId="77777777" w:rsidR="00E04C8A" w:rsidRDefault="00E04C8A">
      <w:pPr>
        <w:rPr>
          <w:lang w:val="sl-SI"/>
        </w:rPr>
      </w:pPr>
    </w:p>
    <w:p w14:paraId="1D1D12D8" w14:textId="2543CE5F" w:rsidR="00581A5E" w:rsidRDefault="008E1817">
      <w:pPr>
        <w:rPr>
          <w:lang w:val="sl-SI"/>
        </w:rPr>
      </w:pPr>
      <w:r>
        <w:rPr>
          <w:lang w:val="sl-SI"/>
        </w:rPr>
        <w:br w:type="page"/>
      </w:r>
    </w:p>
    <w:tbl>
      <w:tblPr>
        <w:tblStyle w:val="ac"/>
        <w:tblW w:w="9666" w:type="dxa"/>
        <w:tblLook w:val="04A0" w:firstRow="1" w:lastRow="0" w:firstColumn="1" w:lastColumn="0" w:noHBand="0" w:noVBand="1"/>
      </w:tblPr>
      <w:tblGrid>
        <w:gridCol w:w="9666"/>
      </w:tblGrid>
      <w:tr w:rsidR="00581A5E" w:rsidRPr="00652F18" w14:paraId="69AB7E57" w14:textId="77777777" w:rsidTr="00646E14">
        <w:trPr>
          <w:trHeight w:val="822"/>
        </w:trPr>
        <w:tc>
          <w:tcPr>
            <w:tcW w:w="9666" w:type="dxa"/>
            <w:vAlign w:val="center"/>
          </w:tcPr>
          <w:p w14:paraId="579FCA90" w14:textId="77777777" w:rsidR="00581A5E" w:rsidRDefault="00581A5E" w:rsidP="00646E14">
            <w:pPr>
              <w:jc w:val="both"/>
              <w:rPr>
                <w:rFonts w:ascii="Times New Roman" w:eastAsia="Times New Roman" w:hAnsi="Times New Roman" w:cs="Times New Roman"/>
                <w:lang w:val="sl-SI"/>
              </w:rPr>
            </w:pPr>
            <w:r>
              <w:rPr>
                <w:rFonts w:ascii="Times New Roman" w:eastAsia="Times New Roman" w:hAnsi="Times New Roman" w:cs="Times New Roman"/>
                <w:b/>
                <w:bCs/>
                <w:spacing w:val="-1"/>
                <w:lang w:val="sl-SI"/>
              </w:rPr>
              <w:lastRenderedPageBreak/>
              <w:t>PODATKI NA ZUNANJI OVOJNINI</w:t>
            </w:r>
          </w:p>
          <w:p w14:paraId="282AD300" w14:textId="77777777" w:rsidR="00581A5E" w:rsidRDefault="00581A5E" w:rsidP="00646E14">
            <w:pPr>
              <w:spacing w:line="180" w:lineRule="exact"/>
              <w:jc w:val="both"/>
              <w:rPr>
                <w:lang w:val="sl-SI"/>
              </w:rPr>
            </w:pPr>
          </w:p>
          <w:p w14:paraId="0DED74EE" w14:textId="77777777" w:rsidR="00581A5E" w:rsidRDefault="00581A5E" w:rsidP="00646E14">
            <w:pPr>
              <w:jc w:val="both"/>
              <w:rPr>
                <w:rFonts w:ascii="Times New Roman" w:eastAsia="Times New Roman" w:hAnsi="Times New Roman" w:cs="Times New Roman"/>
                <w:lang w:val="sl-SI"/>
              </w:rPr>
            </w:pPr>
            <w:r>
              <w:rPr>
                <w:rFonts w:ascii="Times New Roman" w:eastAsia="Times New Roman" w:hAnsi="Times New Roman" w:cs="Times New Roman"/>
                <w:b/>
                <w:bCs/>
                <w:spacing w:val="-1"/>
                <w:lang w:val="sl-SI"/>
              </w:rPr>
              <w:t>ŠKATLA Z NAPOLNJENO INJEKCIJSKO BRIZGO</w:t>
            </w:r>
          </w:p>
        </w:tc>
      </w:tr>
    </w:tbl>
    <w:p w14:paraId="731AAC10" w14:textId="77777777" w:rsidR="00581A5E" w:rsidRDefault="00581A5E" w:rsidP="00581A5E">
      <w:pPr>
        <w:spacing w:line="200" w:lineRule="exact"/>
        <w:rPr>
          <w:lang w:val="sl-SI"/>
        </w:rPr>
      </w:pPr>
    </w:p>
    <w:p w14:paraId="6147E78F" w14:textId="77777777" w:rsidR="00581A5E" w:rsidRDefault="00581A5E" w:rsidP="00581A5E">
      <w:pPr>
        <w:spacing w:line="200" w:lineRule="exact"/>
        <w:rPr>
          <w:lang w:val="sl-SI"/>
        </w:rPr>
      </w:pPr>
    </w:p>
    <w:tbl>
      <w:tblPr>
        <w:tblStyle w:val="ac"/>
        <w:tblpPr w:leftFromText="142" w:rightFromText="142" w:vertAnchor="text" w:tblpY="55"/>
        <w:tblW w:w="9666" w:type="dxa"/>
        <w:tblLook w:val="04A0" w:firstRow="1" w:lastRow="0" w:firstColumn="1" w:lastColumn="0" w:noHBand="0" w:noVBand="1"/>
      </w:tblPr>
      <w:tblGrid>
        <w:gridCol w:w="9666"/>
      </w:tblGrid>
      <w:tr w:rsidR="00581A5E" w14:paraId="5E7B71CB" w14:textId="77777777" w:rsidTr="00646E14">
        <w:trPr>
          <w:trHeight w:val="317"/>
        </w:trPr>
        <w:tc>
          <w:tcPr>
            <w:tcW w:w="9666" w:type="dxa"/>
            <w:vAlign w:val="center"/>
          </w:tcPr>
          <w:p w14:paraId="1E8B3BA2" w14:textId="77777777" w:rsidR="00581A5E" w:rsidRDefault="00581A5E" w:rsidP="0030421B">
            <w:pPr>
              <w:numPr>
                <w:ilvl w:val="0"/>
                <w:numId w:val="122"/>
              </w:numPr>
              <w:tabs>
                <w:tab w:val="left" w:pos="672"/>
              </w:tabs>
              <w:ind w:left="550"/>
              <w:jc w:val="both"/>
              <w:rPr>
                <w:rFonts w:ascii="Times New Roman" w:eastAsia="Times New Roman" w:hAnsi="Times New Roman" w:cs="Times New Roman"/>
                <w:lang w:val="sl-SI"/>
              </w:rPr>
            </w:pPr>
            <w:r>
              <w:rPr>
                <w:rFonts w:ascii="Times New Roman" w:eastAsia="Times New Roman" w:hAnsi="Times New Roman" w:cs="Times New Roman"/>
                <w:b/>
                <w:bCs/>
                <w:spacing w:val="-1"/>
                <w:lang w:val="sl-SI"/>
              </w:rPr>
              <w:t>IME ZDRAVILA</w:t>
            </w:r>
          </w:p>
        </w:tc>
      </w:tr>
    </w:tbl>
    <w:p w14:paraId="40C95E93" w14:textId="77777777" w:rsidR="00581A5E" w:rsidRDefault="00581A5E" w:rsidP="00581A5E">
      <w:pPr>
        <w:spacing w:line="200" w:lineRule="exact"/>
        <w:rPr>
          <w:lang w:val="sl-SI"/>
        </w:rPr>
      </w:pPr>
    </w:p>
    <w:p w14:paraId="083E017A" w14:textId="47552487" w:rsidR="00581A5E" w:rsidRDefault="00581A5E" w:rsidP="00581A5E">
      <w:pPr>
        <w:pStyle w:val="a3"/>
        <w:rPr>
          <w:lang w:val="sl-SI"/>
        </w:rPr>
      </w:pPr>
      <w:r>
        <w:rPr>
          <w:rFonts w:eastAsia="Times New Roman"/>
          <w:lang w:val="sl-SI"/>
        </w:rPr>
        <w:t>Yuflyma 80 mg raztopina za injiciranje v napolnjeni injekcijski brizgi</w:t>
      </w:r>
    </w:p>
    <w:p w14:paraId="4DCB5127" w14:textId="77777777" w:rsidR="00581A5E" w:rsidRDefault="00581A5E" w:rsidP="00581A5E">
      <w:pPr>
        <w:pStyle w:val="a3"/>
        <w:rPr>
          <w:lang w:val="sl-SI"/>
        </w:rPr>
      </w:pPr>
      <w:r>
        <w:rPr>
          <w:rFonts w:eastAsia="Times New Roman"/>
          <w:lang w:val="sl-SI"/>
        </w:rPr>
        <w:t>adalimumab</w:t>
      </w:r>
    </w:p>
    <w:p w14:paraId="0BF528FA" w14:textId="77777777" w:rsidR="00581A5E" w:rsidRDefault="00581A5E" w:rsidP="00581A5E">
      <w:pPr>
        <w:pStyle w:val="a3"/>
        <w:rPr>
          <w:lang w:val="sl-SI"/>
        </w:rPr>
      </w:pPr>
    </w:p>
    <w:p w14:paraId="5731B032" w14:textId="77777777" w:rsidR="00581A5E" w:rsidRDefault="00581A5E" w:rsidP="00581A5E">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3138FB" w14:paraId="6F7C119B" w14:textId="77777777" w:rsidTr="00646E14">
        <w:trPr>
          <w:trHeight w:val="317"/>
        </w:trPr>
        <w:tc>
          <w:tcPr>
            <w:tcW w:w="9666" w:type="dxa"/>
            <w:vAlign w:val="center"/>
          </w:tcPr>
          <w:p w14:paraId="284162E7" w14:textId="77777777" w:rsidR="00581A5E" w:rsidRDefault="00581A5E" w:rsidP="0030421B">
            <w:pPr>
              <w:numPr>
                <w:ilvl w:val="0"/>
                <w:numId w:val="122"/>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NAVEDBA ENE ALI VEČ UČINKOVIN</w:t>
            </w:r>
          </w:p>
        </w:tc>
      </w:tr>
    </w:tbl>
    <w:p w14:paraId="05BC5169" w14:textId="77777777" w:rsidR="00581A5E" w:rsidRDefault="00581A5E" w:rsidP="00581A5E">
      <w:pPr>
        <w:spacing w:before="13" w:line="280" w:lineRule="exact"/>
        <w:rPr>
          <w:lang w:val="sl-SI"/>
        </w:rPr>
      </w:pPr>
    </w:p>
    <w:p w14:paraId="248BE46A" w14:textId="72FF3E26" w:rsidR="00581A5E" w:rsidRDefault="00581A5E" w:rsidP="00581A5E">
      <w:pPr>
        <w:pStyle w:val="a3"/>
        <w:rPr>
          <w:lang w:val="sl-SI"/>
        </w:rPr>
      </w:pPr>
      <w:r>
        <w:rPr>
          <w:rFonts w:eastAsia="Times New Roman"/>
          <w:lang w:val="sl-SI"/>
        </w:rPr>
        <w:t>Ena 0,8-mililitrska napolnjena injekcijska brizga vsebuje 80 mg adalimumaba.</w:t>
      </w:r>
    </w:p>
    <w:p w14:paraId="25C683FC" w14:textId="77777777" w:rsidR="00581A5E" w:rsidRDefault="00581A5E" w:rsidP="00581A5E">
      <w:pPr>
        <w:spacing w:line="280" w:lineRule="exact"/>
        <w:rPr>
          <w:lang w:val="sl-SI"/>
        </w:rPr>
      </w:pPr>
    </w:p>
    <w:p w14:paraId="4BC22D58" w14:textId="77777777" w:rsidR="00581A5E" w:rsidRDefault="00581A5E" w:rsidP="00581A5E">
      <w:pPr>
        <w:spacing w:line="280" w:lineRule="exact"/>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3138FB" w14:paraId="38FEE3E2" w14:textId="77777777" w:rsidTr="00646E14">
        <w:trPr>
          <w:trHeight w:val="317"/>
        </w:trPr>
        <w:tc>
          <w:tcPr>
            <w:tcW w:w="9666" w:type="dxa"/>
            <w:vAlign w:val="center"/>
          </w:tcPr>
          <w:p w14:paraId="735257CA" w14:textId="77777777" w:rsidR="00581A5E" w:rsidRDefault="00581A5E" w:rsidP="0030421B">
            <w:pPr>
              <w:numPr>
                <w:ilvl w:val="0"/>
                <w:numId w:val="122"/>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SEZNAM POMOŽNIH SNOVI</w:t>
            </w:r>
          </w:p>
        </w:tc>
      </w:tr>
    </w:tbl>
    <w:p w14:paraId="2579268D" w14:textId="77777777" w:rsidR="00581A5E" w:rsidRDefault="00581A5E" w:rsidP="00581A5E">
      <w:pPr>
        <w:pStyle w:val="a3"/>
        <w:rPr>
          <w:lang w:val="sl-SI"/>
        </w:rPr>
      </w:pPr>
    </w:p>
    <w:p w14:paraId="33C8B3B5" w14:textId="77777777" w:rsidR="00581A5E" w:rsidRDefault="00581A5E" w:rsidP="00581A5E">
      <w:pPr>
        <w:pStyle w:val="a3"/>
        <w:rPr>
          <w:lang w:val="sl-SI"/>
        </w:rPr>
      </w:pPr>
      <w:r>
        <w:rPr>
          <w:rFonts w:eastAsia="Times New Roman"/>
          <w:lang w:val="sl-SI"/>
        </w:rPr>
        <w:t xml:space="preserve">Pomožne snovi: ocetna kislina, natrijev acetat trihidrat, glicin, polisorbat 80, voda za injekcije. </w:t>
      </w:r>
    </w:p>
    <w:p w14:paraId="35A30158" w14:textId="77777777" w:rsidR="00581A5E" w:rsidRDefault="00581A5E" w:rsidP="00581A5E">
      <w:pPr>
        <w:pStyle w:val="a3"/>
        <w:rPr>
          <w:lang w:val="sl-SI"/>
        </w:rPr>
      </w:pPr>
      <w:r w:rsidRPr="00797234">
        <w:rPr>
          <w:rFonts w:eastAsia="Times New Roman"/>
          <w:highlight w:val="lightGray"/>
          <w:lang w:val="sl-SI"/>
        </w:rPr>
        <w:t>Za dodatne informacije glejte navodilo za uporabo.</w:t>
      </w:r>
    </w:p>
    <w:p w14:paraId="49775799" w14:textId="77777777" w:rsidR="00581A5E" w:rsidRDefault="00581A5E" w:rsidP="00581A5E">
      <w:pPr>
        <w:pStyle w:val="a3"/>
        <w:tabs>
          <w:tab w:val="left" w:pos="1386"/>
        </w:tabs>
        <w:rPr>
          <w:lang w:val="sl-SI"/>
        </w:rPr>
      </w:pPr>
    </w:p>
    <w:p w14:paraId="02685F21" w14:textId="77777777" w:rsidR="00581A5E" w:rsidRDefault="00581A5E" w:rsidP="00581A5E">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14:paraId="60ED5C7B" w14:textId="77777777" w:rsidTr="00646E14">
        <w:trPr>
          <w:trHeight w:val="317"/>
        </w:trPr>
        <w:tc>
          <w:tcPr>
            <w:tcW w:w="9666" w:type="dxa"/>
            <w:vAlign w:val="center"/>
          </w:tcPr>
          <w:p w14:paraId="79162098" w14:textId="77777777" w:rsidR="00581A5E" w:rsidRDefault="00581A5E" w:rsidP="0030421B">
            <w:pPr>
              <w:numPr>
                <w:ilvl w:val="0"/>
                <w:numId w:val="122"/>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FARMACEVTSKA OBLIKA IN VSEBINA</w:t>
            </w:r>
          </w:p>
        </w:tc>
      </w:tr>
    </w:tbl>
    <w:p w14:paraId="0D01D5CB" w14:textId="77777777" w:rsidR="00581A5E" w:rsidRDefault="00581A5E" w:rsidP="00581A5E">
      <w:pPr>
        <w:pStyle w:val="a3"/>
        <w:rPr>
          <w:lang w:val="sl-SI"/>
        </w:rPr>
      </w:pPr>
    </w:p>
    <w:p w14:paraId="1A7390EF" w14:textId="77777777" w:rsidR="00581A5E" w:rsidRDefault="00581A5E" w:rsidP="00581A5E">
      <w:pPr>
        <w:pStyle w:val="a3"/>
        <w:rPr>
          <w:lang w:val="sl-SI"/>
        </w:rPr>
      </w:pPr>
      <w:r w:rsidRPr="008E1817">
        <w:rPr>
          <w:rFonts w:eastAsia="Times New Roman"/>
          <w:highlight w:val="lightGray"/>
          <w:lang w:val="sl-SI"/>
        </w:rPr>
        <w:t>raztopina za injiciranje</w:t>
      </w:r>
    </w:p>
    <w:p w14:paraId="5E8BDF8A" w14:textId="77777777" w:rsidR="00581A5E" w:rsidRDefault="00581A5E" w:rsidP="00581A5E">
      <w:pPr>
        <w:autoSpaceDE w:val="0"/>
        <w:autoSpaceDN w:val="0"/>
        <w:adjustRightInd w:val="0"/>
        <w:rPr>
          <w:rFonts w:ascii="Times New Roman" w:hAnsi="Times New Roman" w:cs="Times New Roman"/>
          <w:lang w:val="sl-SI"/>
        </w:rPr>
      </w:pPr>
      <w:r>
        <w:rPr>
          <w:rFonts w:ascii="Times New Roman" w:eastAsia="Times New Roman" w:hAnsi="Times New Roman" w:cs="Times New Roman"/>
          <w:lang w:val="sl-SI"/>
        </w:rPr>
        <w:t>1 napolnjena injekcijska brizga</w:t>
      </w:r>
    </w:p>
    <w:p w14:paraId="37B6DF3F" w14:textId="56427209" w:rsidR="00581A5E" w:rsidRPr="0030421B" w:rsidRDefault="00581A5E" w:rsidP="00581A5E">
      <w:pPr>
        <w:autoSpaceDE w:val="0"/>
        <w:autoSpaceDN w:val="0"/>
        <w:adjustRightInd w:val="0"/>
        <w:rPr>
          <w:rFonts w:ascii="Times New Roman" w:hAnsi="Times New Roman" w:cs="Times New Roman"/>
          <w:lang w:val="sl-SI"/>
        </w:rPr>
      </w:pPr>
      <w:r>
        <w:rPr>
          <w:rFonts w:ascii="Times New Roman" w:eastAsia="Times New Roman" w:hAnsi="Times New Roman" w:cs="Times New Roman"/>
          <w:lang w:val="sl-SI"/>
        </w:rPr>
        <w:t>2 alkoholna zloženca</w:t>
      </w:r>
    </w:p>
    <w:p w14:paraId="7D9F4F39" w14:textId="77777777" w:rsidR="00581A5E" w:rsidRPr="008E1817" w:rsidRDefault="00581A5E" w:rsidP="00581A5E">
      <w:pPr>
        <w:autoSpaceDE w:val="0"/>
        <w:autoSpaceDN w:val="0"/>
        <w:adjustRightInd w:val="0"/>
        <w:rPr>
          <w:rFonts w:ascii="Times New Roman" w:hAnsi="Times New Roman" w:cs="Times New Roman"/>
          <w:highlight w:val="lightGray"/>
          <w:lang w:val="sl-SI"/>
        </w:rPr>
      </w:pPr>
    </w:p>
    <w:p w14:paraId="63AF27A7" w14:textId="77777777" w:rsidR="00581A5E" w:rsidRPr="008E1817" w:rsidRDefault="00581A5E" w:rsidP="00581A5E">
      <w:pPr>
        <w:autoSpaceDE w:val="0"/>
        <w:autoSpaceDN w:val="0"/>
        <w:adjustRightInd w:val="0"/>
        <w:rPr>
          <w:rFonts w:ascii="Times New Roman" w:hAnsi="Times New Roman" w:cs="Times New Roman"/>
          <w:highlight w:val="lightGray"/>
          <w:lang w:val="sl-SI"/>
        </w:rPr>
      </w:pPr>
      <w:r w:rsidRPr="008E1817">
        <w:rPr>
          <w:rFonts w:ascii="Times New Roman" w:eastAsia="Times New Roman" w:hAnsi="Times New Roman" w:cs="Times New Roman"/>
          <w:highlight w:val="lightGray"/>
          <w:lang w:val="sl-SI"/>
        </w:rPr>
        <w:t>1 napolnjena injekcijska briz</w:t>
      </w:r>
      <w:r w:rsidRPr="00D14272">
        <w:rPr>
          <w:rFonts w:ascii="Times New Roman" w:eastAsia="Times New Roman" w:hAnsi="Times New Roman" w:cs="Times New Roman"/>
          <w:highlight w:val="lightGray"/>
          <w:lang w:val="sl-SI"/>
        </w:rPr>
        <w:t>ga s ščitnikom za iglo</w:t>
      </w:r>
    </w:p>
    <w:p w14:paraId="35C53088" w14:textId="4EA7C7FF" w:rsidR="00581A5E" w:rsidRPr="0030421B" w:rsidRDefault="00581A5E" w:rsidP="0030421B">
      <w:pPr>
        <w:autoSpaceDE w:val="0"/>
        <w:autoSpaceDN w:val="0"/>
        <w:adjustRightInd w:val="0"/>
        <w:rPr>
          <w:rFonts w:ascii="Times New Roman" w:hAnsi="Times New Roman" w:cs="Times New Roman"/>
          <w:highlight w:val="lightGray"/>
          <w:lang w:val="sl-SI"/>
        </w:rPr>
      </w:pPr>
      <w:r w:rsidRPr="008E1817">
        <w:rPr>
          <w:rFonts w:ascii="Times New Roman" w:eastAsia="Times New Roman" w:hAnsi="Times New Roman" w:cs="Times New Roman"/>
          <w:highlight w:val="lightGray"/>
          <w:lang w:val="sl-SI"/>
        </w:rPr>
        <w:t>2 alkoholna zloženca</w:t>
      </w:r>
    </w:p>
    <w:p w14:paraId="68E39BF5" w14:textId="77777777" w:rsidR="00581A5E" w:rsidRDefault="00581A5E" w:rsidP="00581A5E">
      <w:pPr>
        <w:spacing w:line="200" w:lineRule="exact"/>
        <w:rPr>
          <w:lang w:val="sl-SI"/>
        </w:rPr>
      </w:pPr>
    </w:p>
    <w:p w14:paraId="7EE2FBF0" w14:textId="77777777" w:rsidR="00581A5E" w:rsidRDefault="00581A5E" w:rsidP="00581A5E">
      <w:pPr>
        <w:spacing w:line="200" w:lineRule="exact"/>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14:paraId="3885E28B" w14:textId="77777777" w:rsidTr="00646E14">
        <w:trPr>
          <w:trHeight w:val="317"/>
        </w:trPr>
        <w:tc>
          <w:tcPr>
            <w:tcW w:w="9666" w:type="dxa"/>
            <w:vAlign w:val="center"/>
          </w:tcPr>
          <w:p w14:paraId="64E822A4" w14:textId="77777777" w:rsidR="00581A5E" w:rsidRDefault="00581A5E" w:rsidP="0030421B">
            <w:pPr>
              <w:numPr>
                <w:ilvl w:val="0"/>
                <w:numId w:val="122"/>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POSTOPEK IN POT(I) UPORABE ZDRAVILA</w:t>
            </w:r>
          </w:p>
        </w:tc>
      </w:tr>
    </w:tbl>
    <w:p w14:paraId="0350B6BB" w14:textId="77777777" w:rsidR="00581A5E" w:rsidRDefault="00581A5E" w:rsidP="00581A5E">
      <w:pPr>
        <w:spacing w:line="200" w:lineRule="exact"/>
        <w:rPr>
          <w:lang w:val="sl-SI"/>
        </w:rPr>
      </w:pPr>
    </w:p>
    <w:p w14:paraId="4A7EDB4E" w14:textId="77777777" w:rsidR="00581A5E" w:rsidRDefault="00581A5E" w:rsidP="00581A5E">
      <w:pPr>
        <w:pStyle w:val="a3"/>
        <w:rPr>
          <w:lang w:val="sl-SI"/>
        </w:rPr>
      </w:pPr>
      <w:r>
        <w:rPr>
          <w:rFonts w:eastAsia="Times New Roman"/>
          <w:lang w:val="sl-SI"/>
        </w:rPr>
        <w:t>subkutana uporaba</w:t>
      </w:r>
    </w:p>
    <w:p w14:paraId="7FB02217" w14:textId="77777777" w:rsidR="00581A5E" w:rsidRDefault="00581A5E" w:rsidP="00581A5E">
      <w:pPr>
        <w:pStyle w:val="a3"/>
        <w:rPr>
          <w:lang w:val="sl-SI"/>
        </w:rPr>
      </w:pPr>
    </w:p>
    <w:p w14:paraId="2318CCA3" w14:textId="77777777" w:rsidR="00581A5E" w:rsidRDefault="00581A5E" w:rsidP="00581A5E">
      <w:pPr>
        <w:pStyle w:val="a3"/>
        <w:rPr>
          <w:lang w:val="sl-SI"/>
        </w:rPr>
      </w:pPr>
      <w:r>
        <w:rPr>
          <w:rFonts w:eastAsia="Times New Roman"/>
          <w:lang w:val="sl-SI"/>
        </w:rPr>
        <w:t>Pred uporabo preberite priloženo navodilo!</w:t>
      </w:r>
    </w:p>
    <w:p w14:paraId="096F3B7F" w14:textId="77777777" w:rsidR="00581A5E" w:rsidRDefault="00581A5E" w:rsidP="00581A5E">
      <w:pPr>
        <w:pStyle w:val="a3"/>
        <w:rPr>
          <w:lang w:val="sl-SI"/>
        </w:rPr>
      </w:pPr>
    </w:p>
    <w:p w14:paraId="0B4A260C" w14:textId="77777777" w:rsidR="00581A5E" w:rsidRDefault="00581A5E" w:rsidP="00581A5E">
      <w:pPr>
        <w:pStyle w:val="a3"/>
        <w:rPr>
          <w:lang w:val="sl-SI"/>
        </w:rPr>
      </w:pPr>
      <w:r>
        <w:rPr>
          <w:rFonts w:eastAsia="Times New Roman"/>
          <w:lang w:val="sl-SI"/>
        </w:rPr>
        <w:t>Samo za enkratno uporabo.</w:t>
      </w:r>
    </w:p>
    <w:p w14:paraId="36A24299" w14:textId="77777777" w:rsidR="00581A5E" w:rsidRDefault="00581A5E" w:rsidP="00581A5E">
      <w:pPr>
        <w:pStyle w:val="a3"/>
        <w:rPr>
          <w:lang w:val="sl-SI"/>
        </w:rPr>
      </w:pPr>
    </w:p>
    <w:p w14:paraId="09E1AFD1" w14:textId="77777777" w:rsidR="00581A5E" w:rsidRDefault="00581A5E" w:rsidP="00581A5E">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652F18" w14:paraId="74D2F25D" w14:textId="77777777" w:rsidTr="00646E14">
        <w:trPr>
          <w:trHeight w:val="317"/>
        </w:trPr>
        <w:tc>
          <w:tcPr>
            <w:tcW w:w="9666" w:type="dxa"/>
            <w:vAlign w:val="center"/>
          </w:tcPr>
          <w:p w14:paraId="32229C4D" w14:textId="77777777" w:rsidR="00581A5E" w:rsidRDefault="00581A5E" w:rsidP="0030421B">
            <w:pPr>
              <w:numPr>
                <w:ilvl w:val="0"/>
                <w:numId w:val="122"/>
              </w:numPr>
              <w:tabs>
                <w:tab w:val="left" w:pos="672"/>
              </w:tabs>
              <w:ind w:left="550" w:hanging="550"/>
              <w:jc w:val="both"/>
              <w:rPr>
                <w:rFonts w:ascii="Times New Roman" w:eastAsia="Times New Roman" w:hAnsi="Times New Roman"/>
                <w:lang w:val="sl-SI"/>
              </w:rPr>
            </w:pPr>
            <w:r>
              <w:rPr>
                <w:rFonts w:ascii="Times New Roman" w:eastAsia="Times New Roman" w:hAnsi="Times New Roman" w:cs="Times New Roman"/>
                <w:b/>
                <w:bCs/>
                <w:spacing w:val="-1"/>
                <w:lang w:val="sl-SI"/>
              </w:rPr>
              <w:t>POSEBNO OPOZORILO O SHRANJEVANJU ZDRAVILA ZUNAJ DOSEGA IN POGLEDA OTROK</w:t>
            </w:r>
          </w:p>
        </w:tc>
      </w:tr>
    </w:tbl>
    <w:p w14:paraId="5BA8C30F" w14:textId="77777777" w:rsidR="00581A5E" w:rsidRDefault="00581A5E" w:rsidP="00581A5E">
      <w:pPr>
        <w:spacing w:before="1" w:line="200" w:lineRule="exact"/>
        <w:rPr>
          <w:lang w:val="sl-SI"/>
        </w:rPr>
      </w:pPr>
    </w:p>
    <w:p w14:paraId="744FF83A" w14:textId="77777777" w:rsidR="00581A5E" w:rsidRDefault="00581A5E" w:rsidP="00581A5E">
      <w:pPr>
        <w:pStyle w:val="a3"/>
        <w:rPr>
          <w:lang w:val="sl-SI"/>
        </w:rPr>
      </w:pPr>
      <w:r>
        <w:rPr>
          <w:rFonts w:eastAsia="Times New Roman"/>
          <w:lang w:val="sl-SI"/>
        </w:rPr>
        <w:t>Zdravilo shranjujte nedosegljivo otrokom!</w:t>
      </w:r>
    </w:p>
    <w:p w14:paraId="3AF2CAD9" w14:textId="77777777" w:rsidR="00581A5E" w:rsidRDefault="00581A5E" w:rsidP="00581A5E">
      <w:pPr>
        <w:pStyle w:val="a3"/>
        <w:rPr>
          <w:lang w:val="sl-SI"/>
        </w:rPr>
      </w:pPr>
    </w:p>
    <w:p w14:paraId="0F5CB164" w14:textId="77777777" w:rsidR="00581A5E" w:rsidRDefault="00581A5E" w:rsidP="00581A5E">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3138FB" w14:paraId="1C1E6E3A" w14:textId="77777777" w:rsidTr="00646E14">
        <w:trPr>
          <w:trHeight w:val="317"/>
        </w:trPr>
        <w:tc>
          <w:tcPr>
            <w:tcW w:w="9666" w:type="dxa"/>
            <w:vAlign w:val="center"/>
          </w:tcPr>
          <w:p w14:paraId="720DF289" w14:textId="77777777" w:rsidR="00581A5E" w:rsidRDefault="00581A5E" w:rsidP="0030421B">
            <w:pPr>
              <w:numPr>
                <w:ilvl w:val="0"/>
                <w:numId w:val="122"/>
              </w:numPr>
              <w:tabs>
                <w:tab w:val="left" w:pos="672"/>
              </w:tabs>
              <w:ind w:left="550" w:hanging="550"/>
              <w:jc w:val="both"/>
              <w:rPr>
                <w:rFonts w:ascii="Times New Roman" w:eastAsia="Times New Roman" w:hAnsi="Times New Roman"/>
                <w:lang w:val="sl-SI"/>
              </w:rPr>
            </w:pPr>
            <w:r>
              <w:rPr>
                <w:rFonts w:ascii="Times New Roman" w:eastAsia="Times New Roman" w:hAnsi="Times New Roman" w:cs="Times New Roman"/>
                <w:b/>
                <w:bCs/>
                <w:spacing w:val="-1"/>
                <w:lang w:val="sl-SI"/>
              </w:rPr>
              <w:t>DRUGA POSEBNA OPOZORILA, ČE SO POTREBNA</w:t>
            </w:r>
          </w:p>
        </w:tc>
      </w:tr>
    </w:tbl>
    <w:p w14:paraId="567775AB" w14:textId="77777777" w:rsidR="00581A5E" w:rsidRDefault="00581A5E" w:rsidP="00581A5E">
      <w:pPr>
        <w:rPr>
          <w:lang w:val="sl-SI"/>
        </w:rPr>
      </w:pPr>
    </w:p>
    <w:p w14:paraId="3FEA0FB7" w14:textId="77777777" w:rsidR="00581A5E" w:rsidRDefault="00581A5E" w:rsidP="00581A5E">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3138FB" w14:paraId="208CC9BD" w14:textId="77777777" w:rsidTr="00646E14">
        <w:trPr>
          <w:trHeight w:val="317"/>
        </w:trPr>
        <w:tc>
          <w:tcPr>
            <w:tcW w:w="9666" w:type="dxa"/>
            <w:vAlign w:val="center"/>
          </w:tcPr>
          <w:p w14:paraId="1169BD38" w14:textId="77777777" w:rsidR="00581A5E" w:rsidRDefault="00581A5E" w:rsidP="0030421B">
            <w:pPr>
              <w:numPr>
                <w:ilvl w:val="0"/>
                <w:numId w:val="122"/>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DATUM IZTEKA ROKA UPORABNOSTI ZDRAVILA</w:t>
            </w:r>
          </w:p>
        </w:tc>
      </w:tr>
    </w:tbl>
    <w:p w14:paraId="54241A92" w14:textId="77777777" w:rsidR="00581A5E" w:rsidRDefault="00581A5E" w:rsidP="00581A5E">
      <w:pPr>
        <w:rPr>
          <w:lang w:val="sl-SI"/>
        </w:rPr>
      </w:pPr>
    </w:p>
    <w:p w14:paraId="081C34C0" w14:textId="77777777" w:rsidR="00581A5E" w:rsidRDefault="00581A5E" w:rsidP="00581A5E">
      <w:pPr>
        <w:pStyle w:val="a3"/>
        <w:rPr>
          <w:lang w:val="sl-SI"/>
        </w:rPr>
      </w:pPr>
      <w:r>
        <w:rPr>
          <w:rFonts w:eastAsia="Times New Roman"/>
          <w:lang w:val="sl-SI"/>
        </w:rPr>
        <w:t>EXP</w:t>
      </w:r>
    </w:p>
    <w:p w14:paraId="3D2057D5" w14:textId="77777777" w:rsidR="00581A5E" w:rsidRDefault="00581A5E" w:rsidP="00581A5E">
      <w:pPr>
        <w:rPr>
          <w:lang w:val="sl-SI"/>
        </w:rPr>
      </w:pPr>
    </w:p>
    <w:p w14:paraId="1CD6550E" w14:textId="77777777" w:rsidR="00581A5E" w:rsidRDefault="00581A5E" w:rsidP="00581A5E">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14:paraId="71FBCF22" w14:textId="77777777" w:rsidTr="00646E14">
        <w:trPr>
          <w:trHeight w:val="317"/>
        </w:trPr>
        <w:tc>
          <w:tcPr>
            <w:tcW w:w="9666" w:type="dxa"/>
            <w:vAlign w:val="center"/>
          </w:tcPr>
          <w:p w14:paraId="6589C948" w14:textId="77777777" w:rsidR="00581A5E" w:rsidRDefault="00581A5E" w:rsidP="0030421B">
            <w:pPr>
              <w:numPr>
                <w:ilvl w:val="0"/>
                <w:numId w:val="122"/>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POSEBNA NAVODILA ZA SHRANJEVANJE</w:t>
            </w:r>
          </w:p>
        </w:tc>
      </w:tr>
    </w:tbl>
    <w:p w14:paraId="64462E7B" w14:textId="77777777" w:rsidR="00581A5E" w:rsidRDefault="00581A5E" w:rsidP="00581A5E">
      <w:pPr>
        <w:rPr>
          <w:lang w:val="sl-SI"/>
        </w:rPr>
      </w:pPr>
    </w:p>
    <w:p w14:paraId="73720A82" w14:textId="77777777" w:rsidR="00581A5E" w:rsidRDefault="00581A5E" w:rsidP="00581A5E">
      <w:pPr>
        <w:pStyle w:val="a3"/>
        <w:rPr>
          <w:lang w:val="sl-SI"/>
        </w:rPr>
      </w:pPr>
      <w:r>
        <w:rPr>
          <w:rFonts w:eastAsia="Times New Roman"/>
          <w:lang w:val="sl-SI"/>
        </w:rPr>
        <w:t>Shranjujte v hladilniku. Ne zamrzujte.</w:t>
      </w:r>
    </w:p>
    <w:p w14:paraId="133A80BE" w14:textId="2A2523D2" w:rsidR="00581A5E" w:rsidRDefault="00581A5E" w:rsidP="00581A5E">
      <w:pPr>
        <w:pStyle w:val="a3"/>
        <w:rPr>
          <w:lang w:val="sl-SI"/>
        </w:rPr>
      </w:pPr>
      <w:r>
        <w:rPr>
          <w:rFonts w:eastAsia="Times New Roman"/>
          <w:lang w:val="sl-SI"/>
        </w:rPr>
        <w:t>Napolnjeno injekcijsko brizgo shranjujte v zunanji ovojnini za zagotovitev zaščite pred svetlobo.</w:t>
      </w:r>
    </w:p>
    <w:p w14:paraId="4669C47A" w14:textId="77777777" w:rsidR="00581A5E" w:rsidRDefault="00581A5E" w:rsidP="00581A5E">
      <w:pPr>
        <w:pStyle w:val="a3"/>
        <w:rPr>
          <w:lang w:val="sl-SI"/>
        </w:rPr>
      </w:pPr>
      <w:r>
        <w:rPr>
          <w:rFonts w:eastAsia="Times New Roman"/>
          <w:lang w:val="sl-SI"/>
        </w:rPr>
        <w:t>Za podrobnosti o drugačnem shranjevanju glejte navodilo za uporabo.</w:t>
      </w:r>
    </w:p>
    <w:p w14:paraId="62A352C9" w14:textId="77777777" w:rsidR="00581A5E" w:rsidRDefault="00581A5E" w:rsidP="00581A5E">
      <w:pPr>
        <w:rPr>
          <w:lang w:val="sl-SI"/>
        </w:rPr>
      </w:pPr>
    </w:p>
    <w:p w14:paraId="2EABDA63" w14:textId="77777777" w:rsidR="00581A5E" w:rsidRDefault="00581A5E" w:rsidP="00581A5E">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652F18" w14:paraId="3A0ED947" w14:textId="77777777" w:rsidTr="00646E14">
        <w:trPr>
          <w:trHeight w:val="317"/>
        </w:trPr>
        <w:tc>
          <w:tcPr>
            <w:tcW w:w="9666" w:type="dxa"/>
            <w:vAlign w:val="center"/>
          </w:tcPr>
          <w:p w14:paraId="11E5DAFD" w14:textId="77777777" w:rsidR="00581A5E" w:rsidRDefault="00581A5E" w:rsidP="0030421B">
            <w:pPr>
              <w:numPr>
                <w:ilvl w:val="0"/>
                <w:numId w:val="122"/>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POSEBNI VARNOSTNI UKREPI ZA ODSTRANJEVANJE NEUPORABLJENIH ZDRAVIL ALI IZ NJIH NASTALIH ODPADNIH SNOVI, KADAR SO POTREBNI</w:t>
            </w:r>
          </w:p>
        </w:tc>
      </w:tr>
    </w:tbl>
    <w:p w14:paraId="66B24990" w14:textId="77777777" w:rsidR="00581A5E" w:rsidRDefault="00581A5E" w:rsidP="00581A5E">
      <w:pPr>
        <w:rPr>
          <w:lang w:val="sl-SI"/>
        </w:rPr>
      </w:pPr>
    </w:p>
    <w:p w14:paraId="60BD122C" w14:textId="77777777" w:rsidR="00581A5E" w:rsidRDefault="00581A5E" w:rsidP="00581A5E">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14:paraId="4CAB803B" w14:textId="77777777" w:rsidTr="00646E14">
        <w:trPr>
          <w:trHeight w:val="317"/>
        </w:trPr>
        <w:tc>
          <w:tcPr>
            <w:tcW w:w="9666" w:type="dxa"/>
            <w:vAlign w:val="center"/>
          </w:tcPr>
          <w:p w14:paraId="506EFB4C" w14:textId="77777777" w:rsidR="00581A5E" w:rsidRDefault="00581A5E" w:rsidP="0030421B">
            <w:pPr>
              <w:numPr>
                <w:ilvl w:val="0"/>
                <w:numId w:val="122"/>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IME IN NASLOV IMETNIKA DOVOLJENJA ZA PROMET Z ZDRAVILOM</w:t>
            </w:r>
          </w:p>
        </w:tc>
      </w:tr>
    </w:tbl>
    <w:p w14:paraId="6A63274E" w14:textId="77777777" w:rsidR="00581A5E" w:rsidRDefault="00581A5E" w:rsidP="00581A5E">
      <w:pPr>
        <w:spacing w:before="5" w:line="200" w:lineRule="exact"/>
        <w:rPr>
          <w:lang w:val="sl-SI"/>
        </w:rPr>
      </w:pPr>
    </w:p>
    <w:p w14:paraId="78E7CD4C" w14:textId="77777777" w:rsidR="00581A5E" w:rsidRDefault="00581A5E" w:rsidP="00581A5E">
      <w:pPr>
        <w:pStyle w:val="a3"/>
        <w:rPr>
          <w:lang w:val="sl-SI"/>
        </w:rPr>
      </w:pPr>
      <w:r>
        <w:rPr>
          <w:lang w:val="sl-SI"/>
        </w:rPr>
        <w:t xml:space="preserve">Celltrion Healthcare Hungary Kft. </w:t>
      </w:r>
    </w:p>
    <w:p w14:paraId="6FBBE760" w14:textId="77777777" w:rsidR="00581A5E" w:rsidRDefault="00581A5E" w:rsidP="00581A5E">
      <w:pPr>
        <w:pStyle w:val="a3"/>
        <w:rPr>
          <w:lang w:val="sl-SI"/>
        </w:rPr>
      </w:pPr>
      <w:r>
        <w:rPr>
          <w:lang w:val="sl-SI"/>
        </w:rPr>
        <w:t>1062 Budapest</w:t>
      </w:r>
    </w:p>
    <w:p w14:paraId="16A83701" w14:textId="77777777" w:rsidR="00581A5E" w:rsidRDefault="00581A5E" w:rsidP="00581A5E">
      <w:pPr>
        <w:pStyle w:val="a3"/>
        <w:rPr>
          <w:lang w:val="sl-SI"/>
        </w:rPr>
      </w:pPr>
      <w:r>
        <w:rPr>
          <w:lang w:val="sl-SI"/>
        </w:rPr>
        <w:t>Váci út 1-3. WestEnd Office Building B torony</w:t>
      </w:r>
    </w:p>
    <w:p w14:paraId="4E52CED8" w14:textId="77777777" w:rsidR="00581A5E" w:rsidRDefault="00581A5E" w:rsidP="00581A5E">
      <w:pPr>
        <w:pStyle w:val="a3"/>
        <w:rPr>
          <w:lang w:val="sl-SI"/>
        </w:rPr>
      </w:pPr>
      <w:r>
        <w:rPr>
          <w:rFonts w:eastAsia="Times New Roman"/>
          <w:lang w:val="sl-SI"/>
        </w:rPr>
        <w:t>Madžarska</w:t>
      </w:r>
    </w:p>
    <w:p w14:paraId="59D6181F" w14:textId="77777777" w:rsidR="00581A5E" w:rsidRDefault="00581A5E" w:rsidP="00581A5E">
      <w:pPr>
        <w:rPr>
          <w:lang w:val="sl-SI"/>
        </w:rPr>
      </w:pPr>
    </w:p>
    <w:p w14:paraId="05684D6F" w14:textId="77777777" w:rsidR="00581A5E" w:rsidRDefault="00581A5E" w:rsidP="00581A5E">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652F18" w14:paraId="01B345B6" w14:textId="77777777" w:rsidTr="00646E14">
        <w:trPr>
          <w:trHeight w:val="317"/>
        </w:trPr>
        <w:tc>
          <w:tcPr>
            <w:tcW w:w="9666" w:type="dxa"/>
            <w:vAlign w:val="center"/>
          </w:tcPr>
          <w:p w14:paraId="0D6F4B95" w14:textId="77777777" w:rsidR="00581A5E" w:rsidRDefault="00581A5E" w:rsidP="0030421B">
            <w:pPr>
              <w:numPr>
                <w:ilvl w:val="0"/>
                <w:numId w:val="122"/>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ŠTEVILKA(E) DOVOLJENJA (DOVOLJENJ) ZA PROMET</w:t>
            </w:r>
          </w:p>
        </w:tc>
      </w:tr>
    </w:tbl>
    <w:p w14:paraId="5585FB88" w14:textId="77777777" w:rsidR="00581A5E" w:rsidRDefault="00581A5E" w:rsidP="00581A5E">
      <w:pPr>
        <w:rPr>
          <w:lang w:val="sl-SI"/>
        </w:rPr>
      </w:pPr>
    </w:p>
    <w:p w14:paraId="4A2E000F" w14:textId="6D914F9C" w:rsidR="00581A5E" w:rsidRPr="008E1817" w:rsidRDefault="00581A5E" w:rsidP="00581A5E">
      <w:pPr>
        <w:pStyle w:val="a3"/>
        <w:rPr>
          <w:highlight w:val="lightGray"/>
          <w:lang w:val="sl-SI"/>
        </w:rPr>
      </w:pPr>
      <w:r>
        <w:rPr>
          <w:rFonts w:eastAsia="Times New Roman"/>
          <w:lang w:val="sl-SI"/>
        </w:rPr>
        <w:t>EU/</w:t>
      </w:r>
      <w:r>
        <w:rPr>
          <w:rFonts w:eastAsia="Times New Roman" w:cs="Verdana"/>
          <w:color w:val="000000"/>
          <w:lang w:val="sl-SI"/>
        </w:rPr>
        <w:t>1/20/1513/013</w:t>
      </w:r>
      <w:r>
        <w:rPr>
          <w:rFonts w:eastAsia="Times New Roman"/>
          <w:lang w:val="sl-SI"/>
        </w:rPr>
        <w:t xml:space="preserve"> </w:t>
      </w:r>
      <w:r w:rsidRPr="008E1817">
        <w:rPr>
          <w:rFonts w:eastAsia="Times New Roman"/>
          <w:highlight w:val="lightGray"/>
          <w:lang w:val="sl-SI"/>
        </w:rPr>
        <w:t xml:space="preserve">1 napolnjena injekcijska brizga </w:t>
      </w:r>
    </w:p>
    <w:p w14:paraId="1E82AC82" w14:textId="1C29B9E6" w:rsidR="00581A5E" w:rsidRDefault="00581A5E" w:rsidP="00581A5E">
      <w:pPr>
        <w:pStyle w:val="a3"/>
        <w:rPr>
          <w:lang w:val="sl-SI"/>
        </w:rPr>
      </w:pPr>
      <w:r w:rsidRPr="008E1817">
        <w:rPr>
          <w:rFonts w:eastAsia="Times New Roman"/>
          <w:highlight w:val="lightGray"/>
          <w:lang w:val="sl-SI"/>
        </w:rPr>
        <w:t>EU/</w:t>
      </w:r>
      <w:r w:rsidRPr="008E1817">
        <w:rPr>
          <w:rFonts w:eastAsia="Times New Roman" w:cs="Verdana"/>
          <w:color w:val="000000"/>
          <w:highlight w:val="lightGray"/>
          <w:lang w:val="sl-SI"/>
        </w:rPr>
        <w:t>1/20/1513/0</w:t>
      </w:r>
      <w:r>
        <w:rPr>
          <w:rFonts w:eastAsia="Times New Roman" w:cs="Verdana"/>
          <w:color w:val="000000"/>
          <w:highlight w:val="lightGray"/>
          <w:lang w:val="sl-SI"/>
        </w:rPr>
        <w:t>14</w:t>
      </w:r>
      <w:r w:rsidRPr="008E1817">
        <w:rPr>
          <w:rFonts w:eastAsia="Times New Roman"/>
          <w:highlight w:val="lightGray"/>
          <w:lang w:val="sl-SI"/>
        </w:rPr>
        <w:t xml:space="preserve"> 1 napolnjena injekcijska brizga </w:t>
      </w:r>
      <w:r>
        <w:rPr>
          <w:rFonts w:eastAsia="Times New Roman"/>
          <w:highlight w:val="lightGray"/>
          <w:lang w:val="sl-SI"/>
        </w:rPr>
        <w:t>s ščitnikom za iglo</w:t>
      </w:r>
    </w:p>
    <w:p w14:paraId="1620C2FB" w14:textId="77777777" w:rsidR="00581A5E" w:rsidRDefault="00581A5E" w:rsidP="00581A5E">
      <w:pPr>
        <w:rPr>
          <w:lang w:val="sl-SI"/>
        </w:rPr>
      </w:pPr>
    </w:p>
    <w:p w14:paraId="01E4E32A" w14:textId="77777777" w:rsidR="00581A5E" w:rsidRDefault="00581A5E" w:rsidP="00581A5E">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14:paraId="191EB2D1" w14:textId="77777777" w:rsidTr="00646E14">
        <w:trPr>
          <w:trHeight w:val="317"/>
        </w:trPr>
        <w:tc>
          <w:tcPr>
            <w:tcW w:w="9666" w:type="dxa"/>
            <w:vAlign w:val="center"/>
          </w:tcPr>
          <w:p w14:paraId="44EB7CC7" w14:textId="77777777" w:rsidR="00581A5E" w:rsidRDefault="00581A5E" w:rsidP="0030421B">
            <w:pPr>
              <w:numPr>
                <w:ilvl w:val="0"/>
                <w:numId w:val="122"/>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ŠTEVILKA SERIJE</w:t>
            </w:r>
          </w:p>
        </w:tc>
      </w:tr>
    </w:tbl>
    <w:p w14:paraId="49BEC235" w14:textId="77777777" w:rsidR="00581A5E" w:rsidRDefault="00581A5E" w:rsidP="00581A5E">
      <w:pPr>
        <w:rPr>
          <w:lang w:val="sl-SI"/>
        </w:rPr>
      </w:pPr>
    </w:p>
    <w:p w14:paraId="362D53A1" w14:textId="77777777" w:rsidR="00581A5E" w:rsidRDefault="00581A5E" w:rsidP="00581A5E">
      <w:pPr>
        <w:pStyle w:val="a3"/>
        <w:rPr>
          <w:lang w:val="sl-SI"/>
        </w:rPr>
      </w:pPr>
      <w:r>
        <w:rPr>
          <w:rFonts w:eastAsia="Times New Roman"/>
          <w:lang w:val="sl-SI"/>
        </w:rPr>
        <w:t xml:space="preserve">Lot </w:t>
      </w:r>
    </w:p>
    <w:p w14:paraId="03EE224E" w14:textId="77777777" w:rsidR="00581A5E" w:rsidRDefault="00581A5E" w:rsidP="00581A5E">
      <w:pPr>
        <w:pStyle w:val="a3"/>
        <w:rPr>
          <w:lang w:val="sl-SI"/>
        </w:rPr>
      </w:pPr>
    </w:p>
    <w:p w14:paraId="61A6C381" w14:textId="77777777" w:rsidR="00581A5E" w:rsidRDefault="00581A5E" w:rsidP="00581A5E">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652F18" w14:paraId="06F994E1" w14:textId="77777777" w:rsidTr="00646E14">
        <w:trPr>
          <w:trHeight w:val="317"/>
        </w:trPr>
        <w:tc>
          <w:tcPr>
            <w:tcW w:w="9666" w:type="dxa"/>
            <w:vAlign w:val="center"/>
          </w:tcPr>
          <w:p w14:paraId="55A71C68" w14:textId="77777777" w:rsidR="00581A5E" w:rsidRDefault="00581A5E" w:rsidP="0030421B">
            <w:pPr>
              <w:numPr>
                <w:ilvl w:val="0"/>
                <w:numId w:val="122"/>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NAČIN IZDAJANJA ZDRAVILA</w:t>
            </w:r>
          </w:p>
        </w:tc>
      </w:tr>
    </w:tbl>
    <w:p w14:paraId="2FD14013" w14:textId="77777777" w:rsidR="00581A5E" w:rsidRDefault="00581A5E" w:rsidP="00581A5E">
      <w:pPr>
        <w:jc w:val="both"/>
        <w:rPr>
          <w:lang w:val="sl-SI"/>
        </w:rPr>
      </w:pPr>
    </w:p>
    <w:p w14:paraId="0993E58F" w14:textId="77777777" w:rsidR="00581A5E" w:rsidRDefault="00581A5E" w:rsidP="00581A5E">
      <w:pPr>
        <w:jc w:val="both"/>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14:paraId="168D9D4D" w14:textId="77777777" w:rsidTr="00646E14">
        <w:trPr>
          <w:trHeight w:val="317"/>
        </w:trPr>
        <w:tc>
          <w:tcPr>
            <w:tcW w:w="9666" w:type="dxa"/>
            <w:vAlign w:val="center"/>
          </w:tcPr>
          <w:p w14:paraId="09DA4B76" w14:textId="77777777" w:rsidR="00581A5E" w:rsidRDefault="00581A5E" w:rsidP="0030421B">
            <w:pPr>
              <w:numPr>
                <w:ilvl w:val="0"/>
                <w:numId w:val="122"/>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NAVODILA ZA UPORABO</w:t>
            </w:r>
          </w:p>
        </w:tc>
      </w:tr>
    </w:tbl>
    <w:p w14:paraId="51D845A0" w14:textId="77777777" w:rsidR="00581A5E" w:rsidRDefault="00581A5E" w:rsidP="00581A5E">
      <w:pPr>
        <w:jc w:val="both"/>
        <w:rPr>
          <w:lang w:val="sl-SI"/>
        </w:rPr>
      </w:pPr>
    </w:p>
    <w:p w14:paraId="70F3DCDE" w14:textId="77777777" w:rsidR="00581A5E" w:rsidRDefault="00581A5E" w:rsidP="00581A5E">
      <w:pPr>
        <w:jc w:val="both"/>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14:paraId="36F201C4" w14:textId="77777777" w:rsidTr="00646E14">
        <w:trPr>
          <w:trHeight w:val="317"/>
        </w:trPr>
        <w:tc>
          <w:tcPr>
            <w:tcW w:w="9666" w:type="dxa"/>
            <w:vAlign w:val="center"/>
          </w:tcPr>
          <w:p w14:paraId="566D375E" w14:textId="77777777" w:rsidR="00581A5E" w:rsidRDefault="00581A5E" w:rsidP="0030421B">
            <w:pPr>
              <w:numPr>
                <w:ilvl w:val="0"/>
                <w:numId w:val="122"/>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PODATKI V BRAILLOVI PISAVI</w:t>
            </w:r>
          </w:p>
        </w:tc>
      </w:tr>
    </w:tbl>
    <w:p w14:paraId="7D3A9643" w14:textId="77777777" w:rsidR="00581A5E" w:rsidRDefault="00581A5E" w:rsidP="00581A5E">
      <w:pPr>
        <w:jc w:val="both"/>
        <w:rPr>
          <w:lang w:val="sl-SI"/>
        </w:rPr>
      </w:pPr>
    </w:p>
    <w:p w14:paraId="4BA39548" w14:textId="6F766738" w:rsidR="00581A5E" w:rsidRDefault="00581A5E" w:rsidP="00581A5E">
      <w:pPr>
        <w:pStyle w:val="a3"/>
        <w:rPr>
          <w:lang w:val="sl-SI"/>
        </w:rPr>
      </w:pPr>
      <w:r>
        <w:rPr>
          <w:rFonts w:eastAsia="Times New Roman"/>
          <w:lang w:val="sl-SI"/>
        </w:rPr>
        <w:t>Yuflyma 80 mg</w:t>
      </w:r>
    </w:p>
    <w:p w14:paraId="5DA2B842" w14:textId="77777777" w:rsidR="00581A5E" w:rsidRDefault="00581A5E" w:rsidP="00581A5E">
      <w:pPr>
        <w:jc w:val="both"/>
        <w:rPr>
          <w:lang w:val="sl-SI"/>
        </w:rPr>
      </w:pPr>
    </w:p>
    <w:p w14:paraId="4683924B" w14:textId="77777777" w:rsidR="00581A5E" w:rsidRDefault="00581A5E" w:rsidP="00581A5E">
      <w:pPr>
        <w:jc w:val="both"/>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652F18" w14:paraId="75C20A1B" w14:textId="77777777" w:rsidTr="00646E14">
        <w:trPr>
          <w:trHeight w:val="317"/>
        </w:trPr>
        <w:tc>
          <w:tcPr>
            <w:tcW w:w="9666" w:type="dxa"/>
            <w:vAlign w:val="center"/>
          </w:tcPr>
          <w:p w14:paraId="40902AAD" w14:textId="77777777" w:rsidR="00581A5E" w:rsidRDefault="00581A5E" w:rsidP="0030421B">
            <w:pPr>
              <w:numPr>
                <w:ilvl w:val="0"/>
                <w:numId w:val="122"/>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EDINSTVENA OZNAKA – DVODIMENZIONALNA ČRTNA KODA</w:t>
            </w:r>
          </w:p>
        </w:tc>
      </w:tr>
    </w:tbl>
    <w:p w14:paraId="300AB727" w14:textId="77777777" w:rsidR="00581A5E" w:rsidRDefault="00581A5E" w:rsidP="00581A5E">
      <w:pPr>
        <w:jc w:val="both"/>
        <w:rPr>
          <w:lang w:val="sl-SI"/>
        </w:rPr>
      </w:pPr>
    </w:p>
    <w:p w14:paraId="26212B10" w14:textId="77777777" w:rsidR="00581A5E" w:rsidRDefault="00581A5E" w:rsidP="00581A5E">
      <w:pPr>
        <w:pStyle w:val="a3"/>
        <w:rPr>
          <w:lang w:val="sl-SI"/>
        </w:rPr>
      </w:pPr>
      <w:r w:rsidRPr="008E1817">
        <w:rPr>
          <w:rFonts w:eastAsia="Times New Roman"/>
          <w:highlight w:val="lightGray"/>
          <w:lang w:val="sl-SI"/>
        </w:rPr>
        <w:t>Vsebuje dvodimenzionalno črtno kodo z edinstveno oznako.</w:t>
      </w:r>
    </w:p>
    <w:p w14:paraId="617DBAC2" w14:textId="77777777" w:rsidR="00581A5E" w:rsidRDefault="00581A5E" w:rsidP="00581A5E">
      <w:pPr>
        <w:jc w:val="both"/>
        <w:rPr>
          <w:lang w:val="sl-SI"/>
        </w:rPr>
      </w:pPr>
    </w:p>
    <w:p w14:paraId="2F729C4A" w14:textId="77777777" w:rsidR="00581A5E" w:rsidRDefault="00581A5E" w:rsidP="00581A5E">
      <w:pPr>
        <w:jc w:val="both"/>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AC7013" w14:paraId="3F6FFBBD" w14:textId="77777777" w:rsidTr="00646E14">
        <w:trPr>
          <w:trHeight w:val="317"/>
        </w:trPr>
        <w:tc>
          <w:tcPr>
            <w:tcW w:w="9666" w:type="dxa"/>
            <w:vAlign w:val="center"/>
          </w:tcPr>
          <w:p w14:paraId="5AE2875E" w14:textId="77777777" w:rsidR="00581A5E" w:rsidRDefault="00581A5E" w:rsidP="0030421B">
            <w:pPr>
              <w:numPr>
                <w:ilvl w:val="0"/>
                <w:numId w:val="122"/>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EDINSTVENA OZNAKA – V BERLJIVI OBLIKI</w:t>
            </w:r>
          </w:p>
        </w:tc>
      </w:tr>
    </w:tbl>
    <w:p w14:paraId="46194C4A" w14:textId="77777777" w:rsidR="00581A5E" w:rsidRDefault="00581A5E" w:rsidP="00581A5E">
      <w:pPr>
        <w:jc w:val="both"/>
        <w:rPr>
          <w:lang w:val="sl-SI"/>
        </w:rPr>
      </w:pPr>
    </w:p>
    <w:p w14:paraId="5390896D" w14:textId="77777777" w:rsidR="00581A5E" w:rsidRDefault="00581A5E" w:rsidP="00581A5E">
      <w:pPr>
        <w:pStyle w:val="a3"/>
        <w:rPr>
          <w:lang w:val="sl-SI"/>
        </w:rPr>
      </w:pPr>
      <w:r>
        <w:rPr>
          <w:rFonts w:eastAsia="Times New Roman"/>
          <w:lang w:val="sl-SI"/>
        </w:rPr>
        <w:t>PC</w:t>
      </w:r>
    </w:p>
    <w:p w14:paraId="6AF4EC91" w14:textId="77777777" w:rsidR="00581A5E" w:rsidRDefault="00581A5E" w:rsidP="00581A5E">
      <w:pPr>
        <w:pStyle w:val="a3"/>
        <w:rPr>
          <w:lang w:val="sl-SI"/>
        </w:rPr>
      </w:pPr>
      <w:r>
        <w:rPr>
          <w:rFonts w:eastAsia="Times New Roman"/>
          <w:lang w:val="sl-SI"/>
        </w:rPr>
        <w:t>SN</w:t>
      </w:r>
    </w:p>
    <w:p w14:paraId="51246BF0" w14:textId="77777777" w:rsidR="00581A5E" w:rsidRDefault="00581A5E" w:rsidP="00581A5E">
      <w:pPr>
        <w:pStyle w:val="a3"/>
        <w:rPr>
          <w:lang w:val="sl-SI"/>
        </w:rPr>
      </w:pPr>
      <w:r>
        <w:rPr>
          <w:rFonts w:eastAsia="Times New Roman"/>
          <w:spacing w:val="-2"/>
          <w:lang w:val="sl-SI"/>
        </w:rPr>
        <w:t>NN</w:t>
      </w:r>
    </w:p>
    <w:p w14:paraId="7D4DBA5D" w14:textId="77777777" w:rsidR="00581A5E" w:rsidRDefault="00581A5E" w:rsidP="00581A5E">
      <w:pPr>
        <w:rPr>
          <w:lang w:val="sl-SI"/>
        </w:rPr>
      </w:pPr>
      <w:r>
        <w:rPr>
          <w:lang w:val="sl-SI"/>
        </w:rPr>
        <w:br w:type="page"/>
      </w:r>
    </w:p>
    <w:tbl>
      <w:tblPr>
        <w:tblStyle w:val="ac"/>
        <w:tblW w:w="9666" w:type="dxa"/>
        <w:tblLook w:val="04A0" w:firstRow="1" w:lastRow="0" w:firstColumn="1" w:lastColumn="0" w:noHBand="0" w:noVBand="1"/>
      </w:tblPr>
      <w:tblGrid>
        <w:gridCol w:w="9666"/>
      </w:tblGrid>
      <w:tr w:rsidR="00581A5E" w:rsidRPr="00652F18" w14:paraId="6DA7EE7B" w14:textId="77777777" w:rsidTr="00646E14">
        <w:trPr>
          <w:trHeight w:val="822"/>
        </w:trPr>
        <w:tc>
          <w:tcPr>
            <w:tcW w:w="9666" w:type="dxa"/>
            <w:vAlign w:val="center"/>
          </w:tcPr>
          <w:p w14:paraId="29F37C5F" w14:textId="77777777" w:rsidR="00581A5E" w:rsidRDefault="00581A5E" w:rsidP="00646E14">
            <w:pPr>
              <w:tabs>
                <w:tab w:val="left" w:pos="672"/>
              </w:tabs>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lastRenderedPageBreak/>
              <w:t xml:space="preserve">PODATKI, KI MORAJO BITI NAJMANJ NAVEDENI NA MANJŠIH STIČNIH OVOJNINAH </w:t>
            </w:r>
          </w:p>
          <w:p w14:paraId="7CF70247" w14:textId="77777777" w:rsidR="00581A5E" w:rsidRDefault="00581A5E" w:rsidP="00646E14">
            <w:pPr>
              <w:tabs>
                <w:tab w:val="left" w:pos="672"/>
              </w:tabs>
              <w:jc w:val="both"/>
              <w:rPr>
                <w:rFonts w:ascii="Times New Roman" w:eastAsia="Times New Roman" w:hAnsi="Times New Roman" w:cs="Times New Roman"/>
                <w:b/>
                <w:bCs/>
                <w:spacing w:val="-1"/>
                <w:lang w:val="sl-SI"/>
              </w:rPr>
            </w:pPr>
          </w:p>
          <w:p w14:paraId="2B1F5FB8" w14:textId="77777777" w:rsidR="00581A5E" w:rsidRDefault="00581A5E" w:rsidP="00646E14">
            <w:pPr>
              <w:tabs>
                <w:tab w:val="left" w:pos="672"/>
              </w:tabs>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OZNAKA ZA NAPOLNJENO INJEKCIJSKO BRIZGO</w:t>
            </w:r>
          </w:p>
        </w:tc>
      </w:tr>
    </w:tbl>
    <w:p w14:paraId="5E74E050" w14:textId="77777777" w:rsidR="00581A5E" w:rsidRDefault="00581A5E" w:rsidP="00581A5E">
      <w:pPr>
        <w:spacing w:line="200" w:lineRule="exact"/>
        <w:rPr>
          <w:lang w:val="sl-SI"/>
        </w:rPr>
      </w:pPr>
    </w:p>
    <w:p w14:paraId="44CE522D" w14:textId="77777777" w:rsidR="00581A5E" w:rsidRDefault="00581A5E" w:rsidP="00581A5E">
      <w:pPr>
        <w:spacing w:line="200" w:lineRule="exact"/>
        <w:rPr>
          <w:lang w:val="sl-SI"/>
        </w:rPr>
      </w:pPr>
    </w:p>
    <w:tbl>
      <w:tblPr>
        <w:tblStyle w:val="ac"/>
        <w:tblpPr w:leftFromText="142" w:rightFromText="142" w:vertAnchor="text" w:tblpY="55"/>
        <w:tblW w:w="9666" w:type="dxa"/>
        <w:tblLook w:val="04A0" w:firstRow="1" w:lastRow="0" w:firstColumn="1" w:lastColumn="0" w:noHBand="0" w:noVBand="1"/>
      </w:tblPr>
      <w:tblGrid>
        <w:gridCol w:w="9666"/>
      </w:tblGrid>
      <w:tr w:rsidR="00581A5E" w14:paraId="5FBDC372" w14:textId="77777777" w:rsidTr="00646E14">
        <w:trPr>
          <w:trHeight w:val="317"/>
        </w:trPr>
        <w:tc>
          <w:tcPr>
            <w:tcW w:w="9666" w:type="dxa"/>
            <w:vAlign w:val="center"/>
          </w:tcPr>
          <w:p w14:paraId="3A335E84" w14:textId="77777777" w:rsidR="00581A5E" w:rsidRDefault="00581A5E" w:rsidP="0030421B">
            <w:pPr>
              <w:numPr>
                <w:ilvl w:val="0"/>
                <w:numId w:val="123"/>
              </w:numPr>
              <w:tabs>
                <w:tab w:val="left" w:pos="672"/>
              </w:tabs>
              <w:ind w:left="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IME ZDRAVILA IN POT(I) UPORABE ZDRAVILA</w:t>
            </w:r>
          </w:p>
        </w:tc>
      </w:tr>
    </w:tbl>
    <w:p w14:paraId="0DFFCFEC" w14:textId="77777777" w:rsidR="00581A5E" w:rsidRDefault="00581A5E" w:rsidP="00581A5E">
      <w:pPr>
        <w:spacing w:line="200" w:lineRule="exact"/>
        <w:rPr>
          <w:lang w:val="sl-SI"/>
        </w:rPr>
      </w:pPr>
    </w:p>
    <w:p w14:paraId="29D84C9B" w14:textId="637979C8" w:rsidR="00581A5E" w:rsidRDefault="00581A5E" w:rsidP="00581A5E">
      <w:pPr>
        <w:pStyle w:val="a3"/>
        <w:rPr>
          <w:lang w:val="sl-SI"/>
        </w:rPr>
      </w:pPr>
      <w:r>
        <w:rPr>
          <w:rFonts w:eastAsia="Times New Roman"/>
          <w:lang w:val="sl-SI"/>
        </w:rPr>
        <w:t>Yuflyma 80 mg injekcija</w:t>
      </w:r>
    </w:p>
    <w:p w14:paraId="69FF8ECD" w14:textId="77777777" w:rsidR="00581A5E" w:rsidRDefault="00581A5E" w:rsidP="00581A5E">
      <w:pPr>
        <w:pStyle w:val="a3"/>
        <w:rPr>
          <w:lang w:val="sl-SI"/>
        </w:rPr>
      </w:pPr>
      <w:r>
        <w:rPr>
          <w:rFonts w:eastAsia="Times New Roman"/>
          <w:lang w:val="sl-SI"/>
        </w:rPr>
        <w:t>adalimumab</w:t>
      </w:r>
    </w:p>
    <w:p w14:paraId="0C164D08" w14:textId="77777777" w:rsidR="00581A5E" w:rsidRDefault="00581A5E" w:rsidP="00581A5E">
      <w:pPr>
        <w:pStyle w:val="a3"/>
        <w:rPr>
          <w:lang w:val="sl-SI"/>
        </w:rPr>
      </w:pPr>
      <w:r>
        <w:rPr>
          <w:rFonts w:eastAsia="Times New Roman"/>
          <w:lang w:val="sl-SI"/>
        </w:rPr>
        <w:t xml:space="preserve">s.c. </w:t>
      </w:r>
    </w:p>
    <w:p w14:paraId="4E95D75D" w14:textId="77777777" w:rsidR="00581A5E" w:rsidRDefault="00581A5E" w:rsidP="00581A5E">
      <w:pPr>
        <w:pStyle w:val="a3"/>
        <w:rPr>
          <w:lang w:val="sl-SI"/>
        </w:rPr>
      </w:pPr>
    </w:p>
    <w:p w14:paraId="6573F21C" w14:textId="77777777" w:rsidR="00581A5E" w:rsidRDefault="00581A5E" w:rsidP="00581A5E">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14:paraId="4A7FA2D1" w14:textId="77777777" w:rsidTr="00646E14">
        <w:trPr>
          <w:trHeight w:val="317"/>
        </w:trPr>
        <w:tc>
          <w:tcPr>
            <w:tcW w:w="9666" w:type="dxa"/>
            <w:vAlign w:val="center"/>
          </w:tcPr>
          <w:p w14:paraId="2C1C0885" w14:textId="77777777" w:rsidR="00581A5E" w:rsidRDefault="00581A5E" w:rsidP="0030421B">
            <w:pPr>
              <w:numPr>
                <w:ilvl w:val="0"/>
                <w:numId w:val="123"/>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POSTOPEK UPORABE</w:t>
            </w:r>
          </w:p>
        </w:tc>
      </w:tr>
    </w:tbl>
    <w:p w14:paraId="1D96173A" w14:textId="77777777" w:rsidR="00581A5E" w:rsidRDefault="00581A5E" w:rsidP="00581A5E">
      <w:pPr>
        <w:spacing w:before="13" w:line="280" w:lineRule="exact"/>
        <w:rPr>
          <w:lang w:val="sl-SI"/>
        </w:rPr>
      </w:pPr>
    </w:p>
    <w:p w14:paraId="2205C3BF" w14:textId="77777777" w:rsidR="00581A5E" w:rsidRDefault="00581A5E" w:rsidP="00581A5E">
      <w:pPr>
        <w:spacing w:before="13" w:line="280" w:lineRule="exact"/>
        <w:rPr>
          <w:lang w:val="sl-SI"/>
        </w:rPr>
      </w:pPr>
    </w:p>
    <w:p w14:paraId="5233284A" w14:textId="77777777" w:rsidR="00581A5E" w:rsidRDefault="00581A5E" w:rsidP="00581A5E">
      <w:pPr>
        <w:spacing w:before="13" w:line="280" w:lineRule="exact"/>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3138FB" w14:paraId="2704E4B1" w14:textId="77777777" w:rsidTr="00646E14">
        <w:trPr>
          <w:trHeight w:val="317"/>
        </w:trPr>
        <w:tc>
          <w:tcPr>
            <w:tcW w:w="9666" w:type="dxa"/>
            <w:vAlign w:val="center"/>
          </w:tcPr>
          <w:p w14:paraId="0F9D77AD" w14:textId="77777777" w:rsidR="00581A5E" w:rsidRDefault="00581A5E" w:rsidP="0030421B">
            <w:pPr>
              <w:numPr>
                <w:ilvl w:val="0"/>
                <w:numId w:val="123"/>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DATUM IZTEKA ROKA UPORABNOSTI ZDRAVILA</w:t>
            </w:r>
          </w:p>
        </w:tc>
      </w:tr>
    </w:tbl>
    <w:p w14:paraId="01C620AA" w14:textId="77777777" w:rsidR="00581A5E" w:rsidRDefault="00581A5E" w:rsidP="00581A5E">
      <w:pPr>
        <w:pStyle w:val="a3"/>
        <w:rPr>
          <w:lang w:val="sl-SI"/>
        </w:rPr>
      </w:pPr>
    </w:p>
    <w:p w14:paraId="28DFBC60" w14:textId="77777777" w:rsidR="00581A5E" w:rsidRDefault="00581A5E" w:rsidP="00581A5E">
      <w:pPr>
        <w:pStyle w:val="a3"/>
        <w:rPr>
          <w:lang w:val="sl-SI"/>
        </w:rPr>
      </w:pPr>
      <w:r>
        <w:rPr>
          <w:rFonts w:eastAsia="Times New Roman"/>
          <w:lang w:val="sl-SI"/>
        </w:rPr>
        <w:t>EXP</w:t>
      </w:r>
    </w:p>
    <w:p w14:paraId="2A4A8592" w14:textId="77777777" w:rsidR="00581A5E" w:rsidRDefault="00581A5E" w:rsidP="00581A5E">
      <w:pPr>
        <w:pStyle w:val="a3"/>
        <w:rPr>
          <w:lang w:val="sl-SI"/>
        </w:rPr>
      </w:pPr>
    </w:p>
    <w:p w14:paraId="07F30297" w14:textId="77777777" w:rsidR="00581A5E" w:rsidRDefault="00581A5E" w:rsidP="00581A5E">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14:paraId="5B31B317" w14:textId="77777777" w:rsidTr="00646E14">
        <w:trPr>
          <w:trHeight w:val="317"/>
        </w:trPr>
        <w:tc>
          <w:tcPr>
            <w:tcW w:w="9666" w:type="dxa"/>
            <w:vAlign w:val="center"/>
          </w:tcPr>
          <w:p w14:paraId="10B71873" w14:textId="77777777" w:rsidR="00581A5E" w:rsidRDefault="00581A5E" w:rsidP="0030421B">
            <w:pPr>
              <w:numPr>
                <w:ilvl w:val="0"/>
                <w:numId w:val="123"/>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ŠTEVILKA SERIJE</w:t>
            </w:r>
          </w:p>
        </w:tc>
      </w:tr>
    </w:tbl>
    <w:p w14:paraId="1CB065DB" w14:textId="77777777" w:rsidR="00581A5E" w:rsidRDefault="00581A5E" w:rsidP="00581A5E">
      <w:pPr>
        <w:pStyle w:val="a3"/>
        <w:rPr>
          <w:lang w:val="sl-SI"/>
        </w:rPr>
      </w:pPr>
    </w:p>
    <w:p w14:paraId="364036A2" w14:textId="77777777" w:rsidR="00581A5E" w:rsidRDefault="00581A5E" w:rsidP="00581A5E">
      <w:pPr>
        <w:pStyle w:val="a3"/>
        <w:rPr>
          <w:lang w:val="sl-SI"/>
        </w:rPr>
      </w:pPr>
      <w:r>
        <w:rPr>
          <w:rFonts w:eastAsia="Times New Roman"/>
          <w:lang w:val="sl-SI"/>
        </w:rPr>
        <w:t>Lot</w:t>
      </w:r>
    </w:p>
    <w:p w14:paraId="587CC7E8" w14:textId="77777777" w:rsidR="00581A5E" w:rsidRDefault="00581A5E" w:rsidP="00581A5E">
      <w:pPr>
        <w:pStyle w:val="a3"/>
        <w:rPr>
          <w:lang w:val="sl-SI"/>
        </w:rPr>
      </w:pPr>
    </w:p>
    <w:p w14:paraId="460DEE11" w14:textId="77777777" w:rsidR="00581A5E" w:rsidRDefault="00581A5E" w:rsidP="00581A5E">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3138FB" w14:paraId="1324C600" w14:textId="77777777" w:rsidTr="00646E14">
        <w:trPr>
          <w:trHeight w:val="317"/>
        </w:trPr>
        <w:tc>
          <w:tcPr>
            <w:tcW w:w="9666" w:type="dxa"/>
            <w:vAlign w:val="center"/>
          </w:tcPr>
          <w:p w14:paraId="1F72D366" w14:textId="77777777" w:rsidR="00581A5E" w:rsidRDefault="00581A5E" w:rsidP="0030421B">
            <w:pPr>
              <w:numPr>
                <w:ilvl w:val="0"/>
                <w:numId w:val="123"/>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VSEBINA, IZRAŽENA Z MASO, PROSTORNINO ALI ŠTEVILOM ENOT</w:t>
            </w:r>
          </w:p>
        </w:tc>
      </w:tr>
    </w:tbl>
    <w:p w14:paraId="04CCAE98" w14:textId="77777777" w:rsidR="00581A5E" w:rsidRDefault="00581A5E" w:rsidP="00581A5E">
      <w:pPr>
        <w:spacing w:before="13" w:line="280" w:lineRule="exact"/>
        <w:rPr>
          <w:lang w:val="sl-SI"/>
        </w:rPr>
      </w:pPr>
    </w:p>
    <w:p w14:paraId="3B52A05C" w14:textId="28A94881" w:rsidR="00581A5E" w:rsidRDefault="00581A5E" w:rsidP="00581A5E">
      <w:pPr>
        <w:pStyle w:val="a3"/>
        <w:rPr>
          <w:lang w:val="sl-SI"/>
        </w:rPr>
      </w:pPr>
      <w:r>
        <w:rPr>
          <w:rFonts w:eastAsia="Times New Roman"/>
          <w:spacing w:val="-4"/>
          <w:lang w:val="sl-SI"/>
        </w:rPr>
        <w:t>80 </w:t>
      </w:r>
      <w:r w:rsidRPr="00C33A0D">
        <w:rPr>
          <w:rFonts w:eastAsia="Times New Roman"/>
          <w:spacing w:val="-4"/>
          <w:lang w:val="sl-SI"/>
        </w:rPr>
        <w:t>mg</w:t>
      </w:r>
      <w:r w:rsidRPr="00CC6ABA">
        <w:rPr>
          <w:rFonts w:eastAsia="Times New Roman"/>
          <w:spacing w:val="-4"/>
          <w:lang w:val="sl-SI"/>
        </w:rPr>
        <w:t>/0,</w:t>
      </w:r>
      <w:r>
        <w:rPr>
          <w:rFonts w:eastAsia="Times New Roman"/>
          <w:spacing w:val="-4"/>
          <w:lang w:val="sl-SI"/>
        </w:rPr>
        <w:t>8</w:t>
      </w:r>
      <w:r w:rsidRPr="00CC6ABA">
        <w:rPr>
          <w:rFonts w:eastAsia="Times New Roman"/>
          <w:spacing w:val="-4"/>
          <w:lang w:val="sl-SI"/>
        </w:rPr>
        <w:t> ml</w:t>
      </w:r>
    </w:p>
    <w:p w14:paraId="6BDECA87" w14:textId="77777777" w:rsidR="00581A5E" w:rsidRDefault="00581A5E" w:rsidP="00581A5E">
      <w:pPr>
        <w:spacing w:before="13" w:line="280" w:lineRule="exact"/>
        <w:rPr>
          <w:lang w:val="sl-SI"/>
        </w:rPr>
      </w:pPr>
    </w:p>
    <w:p w14:paraId="5D0C8677" w14:textId="77777777" w:rsidR="00581A5E" w:rsidRDefault="00581A5E" w:rsidP="00581A5E">
      <w:pPr>
        <w:spacing w:before="13" w:line="280" w:lineRule="exact"/>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14:paraId="4E39A772" w14:textId="77777777" w:rsidTr="00646E14">
        <w:trPr>
          <w:trHeight w:val="317"/>
        </w:trPr>
        <w:tc>
          <w:tcPr>
            <w:tcW w:w="9666" w:type="dxa"/>
            <w:vAlign w:val="center"/>
          </w:tcPr>
          <w:p w14:paraId="448F72F3" w14:textId="77777777" w:rsidR="00581A5E" w:rsidRDefault="00581A5E" w:rsidP="0030421B">
            <w:pPr>
              <w:numPr>
                <w:ilvl w:val="0"/>
                <w:numId w:val="123"/>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DRUGI PODATKI</w:t>
            </w:r>
          </w:p>
        </w:tc>
      </w:tr>
    </w:tbl>
    <w:p w14:paraId="14D9B215" w14:textId="77777777" w:rsidR="00581A5E" w:rsidRDefault="00581A5E" w:rsidP="00581A5E">
      <w:pPr>
        <w:pStyle w:val="a3"/>
        <w:rPr>
          <w:lang w:val="sl-SI"/>
        </w:rPr>
      </w:pPr>
    </w:p>
    <w:p w14:paraId="7E919828" w14:textId="77777777" w:rsidR="00581A5E" w:rsidRDefault="00581A5E" w:rsidP="00581A5E">
      <w:pPr>
        <w:rPr>
          <w:lang w:val="sl-SI"/>
        </w:rPr>
      </w:pPr>
    </w:p>
    <w:p w14:paraId="32873024" w14:textId="77777777" w:rsidR="00581A5E" w:rsidRDefault="00581A5E" w:rsidP="00581A5E">
      <w:pPr>
        <w:rPr>
          <w:lang w:val="sl-SI"/>
        </w:rPr>
      </w:pPr>
    </w:p>
    <w:p w14:paraId="074EA76E" w14:textId="77777777" w:rsidR="00581A5E" w:rsidRDefault="00581A5E" w:rsidP="00581A5E">
      <w:pPr>
        <w:rPr>
          <w:lang w:val="sl-SI"/>
        </w:rPr>
      </w:pPr>
      <w:r>
        <w:rPr>
          <w:lang w:val="sl-SI"/>
        </w:rPr>
        <w:br w:type="page"/>
      </w:r>
    </w:p>
    <w:p w14:paraId="6F79CBF9" w14:textId="77777777" w:rsidR="00581A5E" w:rsidRDefault="00581A5E" w:rsidP="00581A5E">
      <w:pPr>
        <w:rPr>
          <w:rFonts w:ascii="Times New Roman" w:eastAsia="Times New Roman" w:hAnsi="Times New Roman"/>
          <w:b/>
          <w:bCs/>
          <w:spacing w:val="-1"/>
          <w:lang w:val="sl-SI"/>
        </w:rPr>
      </w:pPr>
    </w:p>
    <w:tbl>
      <w:tblPr>
        <w:tblStyle w:val="ac"/>
        <w:tblW w:w="9666" w:type="dxa"/>
        <w:tblLook w:val="04A0" w:firstRow="1" w:lastRow="0" w:firstColumn="1" w:lastColumn="0" w:noHBand="0" w:noVBand="1"/>
      </w:tblPr>
      <w:tblGrid>
        <w:gridCol w:w="9666"/>
      </w:tblGrid>
      <w:tr w:rsidR="00581A5E" w:rsidRPr="00652F18" w14:paraId="1EB6BFD0" w14:textId="77777777" w:rsidTr="00646E14">
        <w:trPr>
          <w:trHeight w:val="822"/>
        </w:trPr>
        <w:tc>
          <w:tcPr>
            <w:tcW w:w="9666" w:type="dxa"/>
            <w:vAlign w:val="center"/>
          </w:tcPr>
          <w:p w14:paraId="2E930552" w14:textId="77777777" w:rsidR="00581A5E" w:rsidRDefault="00581A5E" w:rsidP="00646E14">
            <w:pPr>
              <w:jc w:val="both"/>
              <w:rPr>
                <w:rFonts w:ascii="Times New Roman" w:eastAsia="Times New Roman" w:hAnsi="Times New Roman" w:cs="Times New Roman"/>
                <w:lang w:val="sl-SI"/>
              </w:rPr>
            </w:pPr>
            <w:r>
              <w:rPr>
                <w:rFonts w:ascii="Times New Roman" w:eastAsia="Times New Roman" w:hAnsi="Times New Roman" w:cs="Times New Roman"/>
                <w:b/>
                <w:bCs/>
                <w:spacing w:val="-1"/>
                <w:lang w:val="sl-SI"/>
              </w:rPr>
              <w:t>PODATKI NA ZUNANJI OVOJNINI</w:t>
            </w:r>
          </w:p>
          <w:p w14:paraId="593FE9FD" w14:textId="77777777" w:rsidR="00581A5E" w:rsidRDefault="00581A5E" w:rsidP="00646E14">
            <w:pPr>
              <w:spacing w:line="180" w:lineRule="exact"/>
              <w:jc w:val="both"/>
              <w:rPr>
                <w:sz w:val="18"/>
                <w:szCs w:val="18"/>
                <w:lang w:val="sl-SI"/>
              </w:rPr>
            </w:pPr>
          </w:p>
          <w:p w14:paraId="04006887" w14:textId="77777777" w:rsidR="00581A5E" w:rsidRDefault="00581A5E" w:rsidP="00646E14">
            <w:pPr>
              <w:jc w:val="both"/>
              <w:rPr>
                <w:rFonts w:ascii="Times New Roman" w:eastAsia="Times New Roman" w:hAnsi="Times New Roman" w:cs="Times New Roman"/>
                <w:lang w:val="sl-SI"/>
              </w:rPr>
            </w:pPr>
            <w:r>
              <w:rPr>
                <w:rFonts w:ascii="Times New Roman" w:eastAsia="Times New Roman" w:hAnsi="Times New Roman" w:cs="Times New Roman"/>
                <w:b/>
                <w:bCs/>
                <w:spacing w:val="-1"/>
                <w:lang w:val="sl-SI"/>
              </w:rPr>
              <w:t>ŠKATLA ZA NAPOLNJEN INJEKCIJSKI PERESNIK</w:t>
            </w:r>
          </w:p>
        </w:tc>
      </w:tr>
    </w:tbl>
    <w:p w14:paraId="63E94DF3" w14:textId="77777777" w:rsidR="00581A5E" w:rsidRDefault="00581A5E" w:rsidP="00581A5E">
      <w:pPr>
        <w:spacing w:line="200" w:lineRule="exact"/>
        <w:rPr>
          <w:sz w:val="20"/>
          <w:szCs w:val="20"/>
          <w:lang w:val="sl-SI"/>
        </w:rPr>
      </w:pPr>
    </w:p>
    <w:p w14:paraId="086056BF" w14:textId="77777777" w:rsidR="00581A5E" w:rsidRDefault="00581A5E" w:rsidP="00581A5E">
      <w:pPr>
        <w:spacing w:line="200" w:lineRule="exact"/>
        <w:rPr>
          <w:sz w:val="20"/>
          <w:szCs w:val="20"/>
          <w:lang w:val="sl-SI"/>
        </w:rPr>
      </w:pPr>
    </w:p>
    <w:tbl>
      <w:tblPr>
        <w:tblStyle w:val="ac"/>
        <w:tblpPr w:leftFromText="142" w:rightFromText="142" w:vertAnchor="text" w:tblpY="55"/>
        <w:tblW w:w="9666" w:type="dxa"/>
        <w:tblLook w:val="04A0" w:firstRow="1" w:lastRow="0" w:firstColumn="1" w:lastColumn="0" w:noHBand="0" w:noVBand="1"/>
      </w:tblPr>
      <w:tblGrid>
        <w:gridCol w:w="9666"/>
      </w:tblGrid>
      <w:tr w:rsidR="00581A5E" w14:paraId="77F72608" w14:textId="77777777" w:rsidTr="00646E14">
        <w:trPr>
          <w:trHeight w:val="317"/>
        </w:trPr>
        <w:tc>
          <w:tcPr>
            <w:tcW w:w="9666" w:type="dxa"/>
            <w:vAlign w:val="center"/>
          </w:tcPr>
          <w:p w14:paraId="72EC8D57" w14:textId="77777777" w:rsidR="00581A5E" w:rsidRDefault="00581A5E" w:rsidP="0030421B">
            <w:pPr>
              <w:numPr>
                <w:ilvl w:val="0"/>
                <w:numId w:val="124"/>
              </w:numPr>
              <w:tabs>
                <w:tab w:val="left" w:pos="672"/>
              </w:tabs>
              <w:ind w:left="550"/>
              <w:jc w:val="both"/>
              <w:rPr>
                <w:rFonts w:ascii="Times New Roman" w:eastAsia="Times New Roman" w:hAnsi="Times New Roman" w:cs="Times New Roman"/>
                <w:lang w:val="sl-SI"/>
              </w:rPr>
            </w:pPr>
            <w:r>
              <w:rPr>
                <w:rFonts w:ascii="Times New Roman" w:eastAsia="Times New Roman" w:hAnsi="Times New Roman" w:cs="Times New Roman"/>
                <w:b/>
                <w:bCs/>
                <w:spacing w:val="-1"/>
                <w:lang w:val="sl-SI"/>
              </w:rPr>
              <w:t>IME ZDRAVILA</w:t>
            </w:r>
          </w:p>
        </w:tc>
      </w:tr>
    </w:tbl>
    <w:p w14:paraId="5F7B029B" w14:textId="77777777" w:rsidR="00581A5E" w:rsidRDefault="00581A5E" w:rsidP="00581A5E">
      <w:pPr>
        <w:spacing w:line="200" w:lineRule="exact"/>
        <w:rPr>
          <w:sz w:val="20"/>
          <w:szCs w:val="20"/>
          <w:lang w:val="sl-SI"/>
        </w:rPr>
      </w:pPr>
    </w:p>
    <w:p w14:paraId="0D1FDE56" w14:textId="00609B8B" w:rsidR="00581A5E" w:rsidRDefault="00581A5E" w:rsidP="00581A5E">
      <w:pPr>
        <w:pStyle w:val="a3"/>
        <w:rPr>
          <w:lang w:val="sl-SI"/>
        </w:rPr>
      </w:pPr>
      <w:r>
        <w:rPr>
          <w:rFonts w:eastAsia="Times New Roman"/>
          <w:lang w:val="sl-SI"/>
        </w:rPr>
        <w:t xml:space="preserve">Yuflyma </w:t>
      </w:r>
      <w:r w:rsidR="004F0C37">
        <w:rPr>
          <w:rFonts w:eastAsia="Times New Roman"/>
          <w:lang w:val="sl-SI"/>
        </w:rPr>
        <w:t>8</w:t>
      </w:r>
      <w:r>
        <w:rPr>
          <w:rFonts w:eastAsia="Times New Roman"/>
          <w:lang w:val="sl-SI"/>
        </w:rPr>
        <w:t>0 mg raztopina za injiciranje v napolnjenem injekcijskem peresniku</w:t>
      </w:r>
    </w:p>
    <w:p w14:paraId="1AA13D8B" w14:textId="77777777" w:rsidR="00581A5E" w:rsidRDefault="00581A5E" w:rsidP="00581A5E">
      <w:pPr>
        <w:pStyle w:val="a3"/>
        <w:rPr>
          <w:lang w:val="sl-SI"/>
        </w:rPr>
      </w:pPr>
      <w:r>
        <w:rPr>
          <w:rFonts w:eastAsia="Times New Roman"/>
          <w:lang w:val="sl-SI"/>
        </w:rPr>
        <w:t>adalimumab</w:t>
      </w:r>
    </w:p>
    <w:p w14:paraId="36C2CF18" w14:textId="77777777" w:rsidR="00581A5E" w:rsidRDefault="00581A5E" w:rsidP="00581A5E">
      <w:pPr>
        <w:pStyle w:val="a3"/>
        <w:rPr>
          <w:lang w:val="sl-SI"/>
        </w:rPr>
      </w:pPr>
    </w:p>
    <w:p w14:paraId="6A8F9E23" w14:textId="77777777" w:rsidR="00581A5E" w:rsidRDefault="00581A5E" w:rsidP="00581A5E">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3138FB" w14:paraId="394E29FA" w14:textId="77777777" w:rsidTr="00646E14">
        <w:trPr>
          <w:trHeight w:val="317"/>
        </w:trPr>
        <w:tc>
          <w:tcPr>
            <w:tcW w:w="9666" w:type="dxa"/>
            <w:vAlign w:val="center"/>
          </w:tcPr>
          <w:p w14:paraId="22B29D6D" w14:textId="77777777" w:rsidR="00581A5E" w:rsidRDefault="00581A5E" w:rsidP="0030421B">
            <w:pPr>
              <w:numPr>
                <w:ilvl w:val="0"/>
                <w:numId w:val="124"/>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NAVEDBA ENE ALI VEČ UČINKOVIN</w:t>
            </w:r>
          </w:p>
        </w:tc>
      </w:tr>
    </w:tbl>
    <w:p w14:paraId="06AD2B53" w14:textId="77777777" w:rsidR="00581A5E" w:rsidRDefault="00581A5E" w:rsidP="00581A5E">
      <w:pPr>
        <w:spacing w:before="13" w:line="280" w:lineRule="exact"/>
        <w:rPr>
          <w:sz w:val="28"/>
          <w:szCs w:val="28"/>
          <w:lang w:val="sl-SI"/>
        </w:rPr>
      </w:pPr>
    </w:p>
    <w:p w14:paraId="3C63B7EA" w14:textId="3990EC1E" w:rsidR="00581A5E" w:rsidRDefault="00581A5E" w:rsidP="00581A5E">
      <w:pPr>
        <w:pStyle w:val="a3"/>
        <w:rPr>
          <w:lang w:val="sl-SI"/>
        </w:rPr>
      </w:pPr>
      <w:r>
        <w:rPr>
          <w:rFonts w:eastAsia="Times New Roman"/>
          <w:lang w:val="sl-SI"/>
        </w:rPr>
        <w:t>En 0,</w:t>
      </w:r>
      <w:r w:rsidR="004F0C37">
        <w:rPr>
          <w:rFonts w:eastAsia="Times New Roman"/>
          <w:lang w:val="sl-SI"/>
        </w:rPr>
        <w:t>8</w:t>
      </w:r>
      <w:r>
        <w:rPr>
          <w:rFonts w:eastAsia="Times New Roman"/>
          <w:lang w:val="sl-SI"/>
        </w:rPr>
        <w:t xml:space="preserve">-mililitrski napolnjen injekcijski peresnik vsebuje </w:t>
      </w:r>
      <w:r w:rsidR="004F0C37">
        <w:rPr>
          <w:rFonts w:eastAsia="Times New Roman"/>
          <w:lang w:val="sl-SI"/>
        </w:rPr>
        <w:t>8</w:t>
      </w:r>
      <w:r>
        <w:rPr>
          <w:rFonts w:eastAsia="Times New Roman"/>
          <w:lang w:val="sl-SI"/>
        </w:rPr>
        <w:t>0 mg adalimumaba.</w:t>
      </w:r>
    </w:p>
    <w:p w14:paraId="58935EA7" w14:textId="77777777" w:rsidR="00581A5E" w:rsidRDefault="00581A5E" w:rsidP="00581A5E">
      <w:pPr>
        <w:spacing w:before="13" w:line="280" w:lineRule="exact"/>
        <w:rPr>
          <w:sz w:val="28"/>
          <w:szCs w:val="28"/>
          <w:lang w:val="sl-SI"/>
        </w:rPr>
      </w:pPr>
    </w:p>
    <w:p w14:paraId="28A313EC" w14:textId="77777777" w:rsidR="00581A5E" w:rsidRDefault="00581A5E" w:rsidP="00581A5E">
      <w:pPr>
        <w:spacing w:before="13" w:line="280" w:lineRule="exact"/>
        <w:rPr>
          <w:sz w:val="28"/>
          <w:szCs w:val="28"/>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3138FB" w14:paraId="19DCAD60" w14:textId="77777777" w:rsidTr="00646E14">
        <w:trPr>
          <w:trHeight w:val="317"/>
        </w:trPr>
        <w:tc>
          <w:tcPr>
            <w:tcW w:w="9666" w:type="dxa"/>
            <w:vAlign w:val="center"/>
          </w:tcPr>
          <w:p w14:paraId="134003C1" w14:textId="77777777" w:rsidR="00581A5E" w:rsidRDefault="00581A5E" w:rsidP="0030421B">
            <w:pPr>
              <w:numPr>
                <w:ilvl w:val="0"/>
                <w:numId w:val="124"/>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SEZNAM POMOŽNIH SNOVI</w:t>
            </w:r>
          </w:p>
        </w:tc>
      </w:tr>
    </w:tbl>
    <w:p w14:paraId="41F4006F" w14:textId="77777777" w:rsidR="00581A5E" w:rsidRDefault="00581A5E" w:rsidP="00581A5E">
      <w:pPr>
        <w:pStyle w:val="a3"/>
        <w:rPr>
          <w:lang w:val="sl-SI"/>
        </w:rPr>
      </w:pPr>
    </w:p>
    <w:p w14:paraId="48C183E1" w14:textId="77777777" w:rsidR="00581A5E" w:rsidRDefault="00581A5E" w:rsidP="00581A5E">
      <w:pPr>
        <w:pStyle w:val="a3"/>
        <w:rPr>
          <w:rFonts w:eastAsia="Times New Roman"/>
          <w:lang w:val="sl-SI"/>
        </w:rPr>
      </w:pPr>
      <w:r>
        <w:rPr>
          <w:rFonts w:eastAsia="Times New Roman"/>
          <w:lang w:val="sl-SI"/>
        </w:rPr>
        <w:t xml:space="preserve">Pomožne snovi: ocetna kislina, natrijev acetat trihidrat, glicin, polisorbat 80, voda za injekcije. </w:t>
      </w:r>
    </w:p>
    <w:p w14:paraId="42ED3B9C" w14:textId="77777777" w:rsidR="00581A5E" w:rsidRDefault="00581A5E" w:rsidP="00581A5E">
      <w:pPr>
        <w:pStyle w:val="a3"/>
        <w:rPr>
          <w:noProof/>
          <w:lang w:val="sl-SI" w:eastAsia="ko-KR"/>
        </w:rPr>
      </w:pPr>
      <w:r w:rsidRPr="00797234">
        <w:rPr>
          <w:rFonts w:eastAsia="Times New Roman"/>
          <w:highlight w:val="lightGray"/>
          <w:lang w:val="sl-SI"/>
        </w:rPr>
        <w:t>Za dodatne informacije glejte navodilo za uporabo.</w:t>
      </w:r>
    </w:p>
    <w:p w14:paraId="2214A697" w14:textId="77777777" w:rsidR="00581A5E" w:rsidRDefault="00581A5E" w:rsidP="00581A5E">
      <w:pPr>
        <w:pStyle w:val="a3"/>
        <w:rPr>
          <w:lang w:val="sl-SI"/>
        </w:rPr>
      </w:pPr>
    </w:p>
    <w:p w14:paraId="0D47BD4F" w14:textId="77777777" w:rsidR="00581A5E" w:rsidRDefault="00581A5E" w:rsidP="00581A5E">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14:paraId="7F5BAB3F" w14:textId="77777777" w:rsidTr="00646E14">
        <w:trPr>
          <w:trHeight w:val="317"/>
        </w:trPr>
        <w:tc>
          <w:tcPr>
            <w:tcW w:w="9666" w:type="dxa"/>
            <w:vAlign w:val="center"/>
          </w:tcPr>
          <w:p w14:paraId="143639FF" w14:textId="77777777" w:rsidR="00581A5E" w:rsidRDefault="00581A5E" w:rsidP="0030421B">
            <w:pPr>
              <w:numPr>
                <w:ilvl w:val="0"/>
                <w:numId w:val="124"/>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FARMACEVTSKA OBLIKA IN VSEBINA</w:t>
            </w:r>
          </w:p>
        </w:tc>
      </w:tr>
    </w:tbl>
    <w:p w14:paraId="7AC59841" w14:textId="77777777" w:rsidR="00581A5E" w:rsidRDefault="00581A5E" w:rsidP="00581A5E">
      <w:pPr>
        <w:pStyle w:val="a3"/>
        <w:rPr>
          <w:lang w:val="sl-SI"/>
        </w:rPr>
      </w:pPr>
    </w:p>
    <w:p w14:paraId="096EE5EF" w14:textId="77777777" w:rsidR="00581A5E" w:rsidRDefault="00581A5E" w:rsidP="00581A5E">
      <w:pPr>
        <w:pStyle w:val="a3"/>
        <w:rPr>
          <w:lang w:val="sl-SI"/>
        </w:rPr>
      </w:pPr>
      <w:r w:rsidRPr="008E1817">
        <w:rPr>
          <w:rFonts w:eastAsia="Times New Roman"/>
          <w:highlight w:val="lightGray"/>
          <w:lang w:val="sl-SI"/>
        </w:rPr>
        <w:t>raztopina za injiciranje</w:t>
      </w:r>
    </w:p>
    <w:p w14:paraId="7E77C016" w14:textId="77777777" w:rsidR="00581A5E" w:rsidRDefault="00581A5E" w:rsidP="00581A5E">
      <w:pPr>
        <w:pStyle w:val="a3"/>
        <w:rPr>
          <w:lang w:val="sl-SI"/>
        </w:rPr>
      </w:pPr>
      <w:r>
        <w:rPr>
          <w:rFonts w:eastAsia="Times New Roman"/>
          <w:lang w:val="sl-SI"/>
        </w:rPr>
        <w:t>1 napolnjen injekcijski peresnik</w:t>
      </w:r>
    </w:p>
    <w:p w14:paraId="53110A05" w14:textId="77777777" w:rsidR="00581A5E" w:rsidRDefault="00581A5E" w:rsidP="00581A5E">
      <w:pPr>
        <w:pStyle w:val="a3"/>
        <w:rPr>
          <w:lang w:val="sl-SI"/>
        </w:rPr>
      </w:pPr>
      <w:r>
        <w:rPr>
          <w:rFonts w:eastAsia="Times New Roman"/>
          <w:lang w:val="sl-SI"/>
        </w:rPr>
        <w:t>2 alkoholna zloženca</w:t>
      </w:r>
    </w:p>
    <w:p w14:paraId="4FBA4FBC" w14:textId="77777777" w:rsidR="00581A5E" w:rsidRDefault="00581A5E" w:rsidP="00581A5E">
      <w:pPr>
        <w:spacing w:line="180" w:lineRule="exact"/>
        <w:rPr>
          <w:sz w:val="18"/>
          <w:szCs w:val="18"/>
          <w:lang w:val="sl-SI"/>
        </w:rPr>
      </w:pPr>
    </w:p>
    <w:p w14:paraId="3991CB0B" w14:textId="1D57FC0C" w:rsidR="00581A5E" w:rsidRPr="008E1817" w:rsidRDefault="004F0C37" w:rsidP="00581A5E">
      <w:pPr>
        <w:pStyle w:val="a3"/>
        <w:rPr>
          <w:highlight w:val="lightGray"/>
          <w:lang w:val="sl-SI"/>
        </w:rPr>
      </w:pPr>
      <w:r>
        <w:rPr>
          <w:rFonts w:eastAsia="Times New Roman"/>
          <w:highlight w:val="lightGray"/>
          <w:lang w:val="sl-SI"/>
        </w:rPr>
        <w:t>3</w:t>
      </w:r>
      <w:r w:rsidR="00581A5E" w:rsidRPr="008E1817">
        <w:rPr>
          <w:rFonts w:eastAsia="Times New Roman"/>
          <w:highlight w:val="lightGray"/>
          <w:lang w:val="sl-SI"/>
        </w:rPr>
        <w:t> napolnjen</w:t>
      </w:r>
      <w:r w:rsidR="001D5155">
        <w:rPr>
          <w:rFonts w:eastAsia="Times New Roman"/>
          <w:highlight w:val="lightGray"/>
          <w:lang w:val="sl-SI"/>
        </w:rPr>
        <w:t>i</w:t>
      </w:r>
      <w:r w:rsidR="00581A5E" w:rsidRPr="008E1817">
        <w:rPr>
          <w:rFonts w:eastAsia="Times New Roman"/>
          <w:highlight w:val="lightGray"/>
          <w:lang w:val="sl-SI"/>
        </w:rPr>
        <w:t xml:space="preserve"> injekcijsk</w:t>
      </w:r>
      <w:r w:rsidR="001D5155">
        <w:rPr>
          <w:rFonts w:eastAsia="Times New Roman"/>
          <w:highlight w:val="lightGray"/>
          <w:lang w:val="sl-SI"/>
        </w:rPr>
        <w:t>i</w:t>
      </w:r>
      <w:r w:rsidR="00581A5E" w:rsidRPr="008E1817">
        <w:rPr>
          <w:rFonts w:eastAsia="Times New Roman"/>
          <w:highlight w:val="lightGray"/>
          <w:lang w:val="sl-SI"/>
        </w:rPr>
        <w:t xml:space="preserve"> peresnik</w:t>
      </w:r>
      <w:r w:rsidR="001D5155">
        <w:rPr>
          <w:rFonts w:eastAsia="Times New Roman"/>
          <w:highlight w:val="lightGray"/>
          <w:lang w:val="sl-SI"/>
        </w:rPr>
        <w:t>i</w:t>
      </w:r>
    </w:p>
    <w:p w14:paraId="4B2B7AD8" w14:textId="1965E92B" w:rsidR="00581A5E" w:rsidRDefault="004F0C37" w:rsidP="004F0C37">
      <w:pPr>
        <w:pStyle w:val="a3"/>
        <w:rPr>
          <w:lang w:val="sl-SI"/>
        </w:rPr>
      </w:pPr>
      <w:r>
        <w:rPr>
          <w:rFonts w:eastAsia="Times New Roman"/>
          <w:highlight w:val="lightGray"/>
          <w:lang w:val="sl-SI"/>
        </w:rPr>
        <w:t>4</w:t>
      </w:r>
      <w:r w:rsidR="00581A5E" w:rsidRPr="008E1817">
        <w:rPr>
          <w:rFonts w:eastAsia="Times New Roman"/>
          <w:highlight w:val="lightGray"/>
          <w:lang w:val="sl-SI"/>
        </w:rPr>
        <w:t xml:space="preserve"> alkoholn</w:t>
      </w:r>
      <w:r w:rsidR="001D5155">
        <w:rPr>
          <w:rFonts w:eastAsia="Times New Roman"/>
          <w:highlight w:val="lightGray"/>
          <w:lang w:val="sl-SI"/>
        </w:rPr>
        <w:t>i</w:t>
      </w:r>
      <w:r w:rsidR="00581A5E" w:rsidRPr="008E1817">
        <w:rPr>
          <w:rFonts w:eastAsia="Times New Roman"/>
          <w:highlight w:val="lightGray"/>
          <w:lang w:val="sl-SI"/>
        </w:rPr>
        <w:t xml:space="preserve"> zloženc</w:t>
      </w:r>
      <w:r w:rsidR="001D5155">
        <w:rPr>
          <w:rFonts w:eastAsia="Times New Roman"/>
          <w:lang w:val="sl-SI"/>
        </w:rPr>
        <w:t>i</w:t>
      </w:r>
    </w:p>
    <w:p w14:paraId="5E148EE0" w14:textId="77777777" w:rsidR="00581A5E" w:rsidRDefault="00581A5E" w:rsidP="00581A5E">
      <w:pPr>
        <w:spacing w:line="200" w:lineRule="exact"/>
        <w:rPr>
          <w:sz w:val="20"/>
          <w:szCs w:val="20"/>
          <w:lang w:val="sl-SI"/>
        </w:rPr>
      </w:pPr>
    </w:p>
    <w:p w14:paraId="55BA227B" w14:textId="77777777" w:rsidR="00581A5E" w:rsidRDefault="00581A5E" w:rsidP="00581A5E">
      <w:pPr>
        <w:spacing w:line="200" w:lineRule="exact"/>
        <w:rPr>
          <w:sz w:val="20"/>
          <w:szCs w:val="20"/>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14:paraId="34EDC383" w14:textId="77777777" w:rsidTr="00646E14">
        <w:trPr>
          <w:trHeight w:val="317"/>
        </w:trPr>
        <w:tc>
          <w:tcPr>
            <w:tcW w:w="9666" w:type="dxa"/>
            <w:vAlign w:val="center"/>
          </w:tcPr>
          <w:p w14:paraId="60C9B33B" w14:textId="77777777" w:rsidR="00581A5E" w:rsidRDefault="00581A5E" w:rsidP="0030421B">
            <w:pPr>
              <w:numPr>
                <w:ilvl w:val="0"/>
                <w:numId w:val="124"/>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POSTOPEK IN POT(I) UPORABE ZDRAVILA</w:t>
            </w:r>
          </w:p>
        </w:tc>
      </w:tr>
    </w:tbl>
    <w:p w14:paraId="207253B4" w14:textId="77777777" w:rsidR="00581A5E" w:rsidRDefault="00581A5E" w:rsidP="00581A5E">
      <w:pPr>
        <w:spacing w:line="200" w:lineRule="exact"/>
        <w:rPr>
          <w:sz w:val="20"/>
          <w:szCs w:val="20"/>
          <w:lang w:val="sl-SI"/>
        </w:rPr>
      </w:pPr>
    </w:p>
    <w:p w14:paraId="5D01F56F" w14:textId="77777777" w:rsidR="00581A5E" w:rsidRDefault="00581A5E" w:rsidP="00581A5E">
      <w:pPr>
        <w:pStyle w:val="a3"/>
        <w:rPr>
          <w:lang w:val="sl-SI"/>
        </w:rPr>
      </w:pPr>
      <w:r>
        <w:rPr>
          <w:rFonts w:eastAsia="Times New Roman"/>
          <w:lang w:val="sl-SI"/>
        </w:rPr>
        <w:t>subkutana uporaba</w:t>
      </w:r>
    </w:p>
    <w:p w14:paraId="2F318362" w14:textId="77777777" w:rsidR="00581A5E" w:rsidRDefault="00581A5E" w:rsidP="00581A5E">
      <w:pPr>
        <w:pStyle w:val="a3"/>
        <w:rPr>
          <w:lang w:val="sl-SI"/>
        </w:rPr>
      </w:pPr>
    </w:p>
    <w:p w14:paraId="198A1B33" w14:textId="77777777" w:rsidR="00581A5E" w:rsidRDefault="00581A5E" w:rsidP="00581A5E">
      <w:pPr>
        <w:pStyle w:val="a3"/>
        <w:rPr>
          <w:lang w:val="sl-SI"/>
        </w:rPr>
      </w:pPr>
      <w:r>
        <w:rPr>
          <w:rFonts w:eastAsia="Times New Roman"/>
          <w:lang w:val="sl-SI"/>
        </w:rPr>
        <w:t>Pred uporabo preberite priloženo navodilo!</w:t>
      </w:r>
    </w:p>
    <w:p w14:paraId="624229C6" w14:textId="77777777" w:rsidR="00581A5E" w:rsidRDefault="00581A5E" w:rsidP="00581A5E">
      <w:pPr>
        <w:pStyle w:val="a3"/>
        <w:rPr>
          <w:lang w:val="sl-SI"/>
        </w:rPr>
      </w:pPr>
    </w:p>
    <w:p w14:paraId="1F497E41" w14:textId="77777777" w:rsidR="00581A5E" w:rsidRDefault="00581A5E" w:rsidP="00581A5E">
      <w:pPr>
        <w:pStyle w:val="a3"/>
        <w:rPr>
          <w:lang w:val="sl-SI"/>
        </w:rPr>
      </w:pPr>
      <w:r>
        <w:rPr>
          <w:rFonts w:eastAsia="Times New Roman"/>
          <w:lang w:val="sl-SI"/>
        </w:rPr>
        <w:t>Samo za enkratno uporabo.</w:t>
      </w:r>
    </w:p>
    <w:p w14:paraId="617D379D" w14:textId="77777777" w:rsidR="00581A5E" w:rsidRDefault="00581A5E" w:rsidP="00581A5E">
      <w:pPr>
        <w:pStyle w:val="a3"/>
        <w:rPr>
          <w:lang w:val="sl-SI"/>
        </w:rPr>
      </w:pPr>
    </w:p>
    <w:p w14:paraId="1BCB5E20" w14:textId="77777777" w:rsidR="00581A5E" w:rsidRDefault="00581A5E" w:rsidP="00581A5E">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652F18" w14:paraId="23B47879" w14:textId="77777777" w:rsidTr="00646E14">
        <w:trPr>
          <w:trHeight w:val="317"/>
        </w:trPr>
        <w:tc>
          <w:tcPr>
            <w:tcW w:w="9666" w:type="dxa"/>
            <w:vAlign w:val="center"/>
          </w:tcPr>
          <w:p w14:paraId="63E6AE2A" w14:textId="77777777" w:rsidR="00581A5E" w:rsidRDefault="00581A5E" w:rsidP="0030421B">
            <w:pPr>
              <w:numPr>
                <w:ilvl w:val="0"/>
                <w:numId w:val="124"/>
              </w:numPr>
              <w:tabs>
                <w:tab w:val="left" w:pos="672"/>
              </w:tabs>
              <w:ind w:left="550" w:hanging="550"/>
              <w:jc w:val="both"/>
              <w:rPr>
                <w:rFonts w:ascii="Times New Roman" w:eastAsia="Times New Roman" w:hAnsi="Times New Roman"/>
                <w:lang w:val="sl-SI"/>
              </w:rPr>
            </w:pPr>
            <w:r>
              <w:rPr>
                <w:rFonts w:ascii="Times New Roman" w:eastAsia="Times New Roman" w:hAnsi="Times New Roman" w:cs="Times New Roman"/>
                <w:b/>
                <w:bCs/>
                <w:spacing w:val="-1"/>
                <w:lang w:val="sl-SI"/>
              </w:rPr>
              <w:t>POSEBNO OPOZORILO O SHRANJEVANJU ZDRAVILA ZUNAJ DOSEGA IN POGLEDA OTROK</w:t>
            </w:r>
          </w:p>
        </w:tc>
      </w:tr>
    </w:tbl>
    <w:p w14:paraId="5D7E6D0F" w14:textId="77777777" w:rsidR="00581A5E" w:rsidRDefault="00581A5E" w:rsidP="00581A5E">
      <w:pPr>
        <w:spacing w:before="1" w:line="200" w:lineRule="exact"/>
        <w:rPr>
          <w:sz w:val="20"/>
          <w:szCs w:val="20"/>
          <w:lang w:val="sl-SI"/>
        </w:rPr>
      </w:pPr>
    </w:p>
    <w:p w14:paraId="562AADA4" w14:textId="77777777" w:rsidR="00581A5E" w:rsidRDefault="00581A5E" w:rsidP="00581A5E">
      <w:pPr>
        <w:pStyle w:val="a3"/>
        <w:rPr>
          <w:lang w:val="sl-SI"/>
        </w:rPr>
      </w:pPr>
      <w:r>
        <w:rPr>
          <w:rFonts w:eastAsia="Times New Roman"/>
          <w:lang w:val="sl-SI"/>
        </w:rPr>
        <w:t>Zdravilo shranjujte nedosegljivo otrokom!</w:t>
      </w:r>
    </w:p>
    <w:p w14:paraId="3E545A93" w14:textId="77777777" w:rsidR="00581A5E" w:rsidRDefault="00581A5E" w:rsidP="00581A5E">
      <w:pPr>
        <w:rPr>
          <w:lang w:val="sl-SI"/>
        </w:rPr>
      </w:pPr>
    </w:p>
    <w:p w14:paraId="452385C1" w14:textId="77777777" w:rsidR="00581A5E" w:rsidRDefault="00581A5E" w:rsidP="00581A5E">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3138FB" w14:paraId="6A377A3B" w14:textId="77777777" w:rsidTr="00646E14">
        <w:trPr>
          <w:trHeight w:val="317"/>
        </w:trPr>
        <w:tc>
          <w:tcPr>
            <w:tcW w:w="9666" w:type="dxa"/>
            <w:vAlign w:val="center"/>
          </w:tcPr>
          <w:p w14:paraId="7ECF1A78" w14:textId="77777777" w:rsidR="00581A5E" w:rsidRDefault="00581A5E" w:rsidP="0030421B">
            <w:pPr>
              <w:numPr>
                <w:ilvl w:val="0"/>
                <w:numId w:val="124"/>
              </w:numPr>
              <w:tabs>
                <w:tab w:val="left" w:pos="672"/>
              </w:tabs>
              <w:ind w:left="550" w:hanging="550"/>
              <w:jc w:val="both"/>
              <w:rPr>
                <w:rFonts w:ascii="Times New Roman" w:eastAsia="Times New Roman" w:hAnsi="Times New Roman"/>
                <w:lang w:val="sl-SI"/>
              </w:rPr>
            </w:pPr>
            <w:r>
              <w:rPr>
                <w:rFonts w:ascii="Times New Roman" w:eastAsia="Times New Roman" w:hAnsi="Times New Roman" w:cs="Times New Roman"/>
                <w:b/>
                <w:bCs/>
                <w:spacing w:val="-1"/>
                <w:lang w:val="sl-SI"/>
              </w:rPr>
              <w:lastRenderedPageBreak/>
              <w:t>DRUGA POSEBNA OPOZORILA, ČE SO POTREBNA</w:t>
            </w:r>
          </w:p>
        </w:tc>
      </w:tr>
    </w:tbl>
    <w:p w14:paraId="6D592763" w14:textId="77777777" w:rsidR="00581A5E" w:rsidRDefault="00581A5E" w:rsidP="00581A5E">
      <w:pPr>
        <w:rPr>
          <w:lang w:val="sl-SI"/>
        </w:rPr>
      </w:pPr>
    </w:p>
    <w:p w14:paraId="1048E7C5" w14:textId="77777777" w:rsidR="00581A5E" w:rsidRDefault="00581A5E" w:rsidP="00581A5E">
      <w:pPr>
        <w:rPr>
          <w:lang w:val="sl-SI"/>
        </w:rPr>
      </w:pPr>
    </w:p>
    <w:p w14:paraId="57F02C22" w14:textId="77777777" w:rsidR="00581A5E" w:rsidRDefault="00581A5E" w:rsidP="00581A5E">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3138FB" w14:paraId="4CE6A4B4" w14:textId="77777777" w:rsidTr="00646E14">
        <w:trPr>
          <w:trHeight w:val="317"/>
        </w:trPr>
        <w:tc>
          <w:tcPr>
            <w:tcW w:w="9666" w:type="dxa"/>
            <w:vAlign w:val="center"/>
          </w:tcPr>
          <w:p w14:paraId="33D9FDB4" w14:textId="77777777" w:rsidR="00581A5E" w:rsidRDefault="00581A5E" w:rsidP="0030421B">
            <w:pPr>
              <w:numPr>
                <w:ilvl w:val="0"/>
                <w:numId w:val="124"/>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DATUM IZTEKA ROKA UPORABNOSTI ZDRAVILA</w:t>
            </w:r>
          </w:p>
        </w:tc>
      </w:tr>
    </w:tbl>
    <w:p w14:paraId="47495DB7" w14:textId="77777777" w:rsidR="00581A5E" w:rsidRDefault="00581A5E" w:rsidP="00581A5E">
      <w:pPr>
        <w:rPr>
          <w:lang w:val="sl-SI"/>
        </w:rPr>
      </w:pPr>
    </w:p>
    <w:p w14:paraId="649D0487" w14:textId="77777777" w:rsidR="00581A5E" w:rsidRDefault="00581A5E" w:rsidP="00581A5E">
      <w:pPr>
        <w:pStyle w:val="a3"/>
        <w:rPr>
          <w:lang w:val="sl-SI"/>
        </w:rPr>
      </w:pPr>
      <w:r>
        <w:rPr>
          <w:rFonts w:eastAsia="Times New Roman"/>
          <w:lang w:val="sl-SI"/>
        </w:rPr>
        <w:t>EXP</w:t>
      </w:r>
    </w:p>
    <w:p w14:paraId="76C3A115" w14:textId="77777777" w:rsidR="00581A5E" w:rsidRDefault="00581A5E" w:rsidP="00581A5E">
      <w:pPr>
        <w:rPr>
          <w:lang w:val="sl-SI"/>
        </w:rPr>
      </w:pPr>
    </w:p>
    <w:p w14:paraId="4A078E00" w14:textId="77777777" w:rsidR="00581A5E" w:rsidRDefault="00581A5E" w:rsidP="00581A5E">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14:paraId="7E818960" w14:textId="77777777" w:rsidTr="00646E14">
        <w:trPr>
          <w:trHeight w:val="317"/>
        </w:trPr>
        <w:tc>
          <w:tcPr>
            <w:tcW w:w="9666" w:type="dxa"/>
            <w:vAlign w:val="center"/>
          </w:tcPr>
          <w:p w14:paraId="1EDF7B15" w14:textId="77777777" w:rsidR="00581A5E" w:rsidRDefault="00581A5E" w:rsidP="0030421B">
            <w:pPr>
              <w:numPr>
                <w:ilvl w:val="0"/>
                <w:numId w:val="124"/>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POSEBNA NAVODILA ZA SHRANJEVANJE</w:t>
            </w:r>
          </w:p>
        </w:tc>
      </w:tr>
    </w:tbl>
    <w:p w14:paraId="4A802348" w14:textId="77777777" w:rsidR="00581A5E" w:rsidRDefault="00581A5E" w:rsidP="00581A5E">
      <w:pPr>
        <w:rPr>
          <w:lang w:val="sl-SI"/>
        </w:rPr>
      </w:pPr>
    </w:p>
    <w:p w14:paraId="30D6614A" w14:textId="77777777" w:rsidR="00581A5E" w:rsidRDefault="00581A5E" w:rsidP="00581A5E">
      <w:pPr>
        <w:pStyle w:val="a3"/>
        <w:rPr>
          <w:lang w:val="sl-SI"/>
        </w:rPr>
      </w:pPr>
      <w:r>
        <w:rPr>
          <w:rFonts w:eastAsia="Times New Roman"/>
          <w:lang w:val="sl-SI"/>
        </w:rPr>
        <w:t>Shranjujte v hladilniku. Ne zamrzujte.</w:t>
      </w:r>
    </w:p>
    <w:p w14:paraId="2B5F2F72" w14:textId="77777777" w:rsidR="00581A5E" w:rsidRDefault="00581A5E" w:rsidP="00581A5E">
      <w:pPr>
        <w:pStyle w:val="a3"/>
        <w:rPr>
          <w:lang w:val="sl-SI"/>
        </w:rPr>
      </w:pPr>
      <w:r>
        <w:rPr>
          <w:rFonts w:eastAsia="Times New Roman"/>
          <w:lang w:val="sl-SI"/>
        </w:rPr>
        <w:t>Za podrobnosti o drugačnem shranjevanju glejte navodilo za uporabo.</w:t>
      </w:r>
    </w:p>
    <w:p w14:paraId="7DAC00E7" w14:textId="77777777" w:rsidR="00581A5E" w:rsidRDefault="00581A5E" w:rsidP="00581A5E">
      <w:pPr>
        <w:pStyle w:val="a3"/>
        <w:rPr>
          <w:lang w:val="sl-SI"/>
        </w:rPr>
      </w:pPr>
      <w:r>
        <w:rPr>
          <w:rFonts w:eastAsia="Times New Roman"/>
          <w:lang w:val="sl-SI"/>
        </w:rPr>
        <w:t>Napolnjen injekcijski peresnik shranjujte v zunanji ovojnini za zagotovitev zaščite pred svetlobo.</w:t>
      </w:r>
    </w:p>
    <w:p w14:paraId="4AAB8B9D" w14:textId="18752512" w:rsidR="00581A5E" w:rsidRDefault="00581A5E" w:rsidP="00581A5E">
      <w:pPr>
        <w:pStyle w:val="a3"/>
        <w:rPr>
          <w:lang w:val="sl-SI"/>
        </w:rPr>
      </w:pPr>
      <w:r>
        <w:rPr>
          <w:rFonts w:eastAsia="Times New Roman"/>
          <w:highlight w:val="lightGray"/>
          <w:lang w:val="sl-SI"/>
        </w:rPr>
        <w:t>N</w:t>
      </w:r>
      <w:r w:rsidRPr="008E1817">
        <w:rPr>
          <w:rFonts w:eastAsia="Times New Roman"/>
          <w:highlight w:val="lightGray"/>
          <w:lang w:val="sl-SI"/>
        </w:rPr>
        <w:t>apolnjen</w:t>
      </w:r>
      <w:r w:rsidR="001D5155">
        <w:rPr>
          <w:rFonts w:eastAsia="Times New Roman"/>
          <w:highlight w:val="lightGray"/>
          <w:lang w:val="sl-SI"/>
        </w:rPr>
        <w:t>e</w:t>
      </w:r>
      <w:r w:rsidRPr="008E1817">
        <w:rPr>
          <w:rFonts w:eastAsia="Times New Roman"/>
          <w:highlight w:val="lightGray"/>
          <w:lang w:val="sl-SI"/>
        </w:rPr>
        <w:t xml:space="preserve"> injekcijsk</w:t>
      </w:r>
      <w:r w:rsidR="001D5155">
        <w:rPr>
          <w:rFonts w:eastAsia="Times New Roman"/>
          <w:highlight w:val="lightGray"/>
          <w:lang w:val="sl-SI"/>
        </w:rPr>
        <w:t>e</w:t>
      </w:r>
      <w:r w:rsidRPr="008E1817">
        <w:rPr>
          <w:rFonts w:eastAsia="Times New Roman"/>
          <w:highlight w:val="lightGray"/>
          <w:lang w:val="sl-SI"/>
        </w:rPr>
        <w:t xml:space="preserve"> peresnik</w:t>
      </w:r>
      <w:r w:rsidR="001D5155">
        <w:rPr>
          <w:rFonts w:eastAsia="Times New Roman"/>
          <w:highlight w:val="lightGray"/>
          <w:lang w:val="sl-SI"/>
        </w:rPr>
        <w:t>e</w:t>
      </w:r>
      <w:r w:rsidRPr="00797234">
        <w:rPr>
          <w:rFonts w:eastAsia="Times New Roman"/>
          <w:highlight w:val="lightGray"/>
          <w:lang w:val="sl-SI"/>
        </w:rPr>
        <w:t xml:space="preserve"> shranjujte v zunanji ovojnini za zagotovitev zaščite pred svetlobo.</w:t>
      </w:r>
    </w:p>
    <w:p w14:paraId="3217DCE1" w14:textId="77777777" w:rsidR="00581A5E" w:rsidRPr="00F95D6D" w:rsidRDefault="00581A5E" w:rsidP="00581A5E">
      <w:pPr>
        <w:rPr>
          <w:lang w:val="sl-SI"/>
        </w:rPr>
      </w:pPr>
    </w:p>
    <w:p w14:paraId="58816B38" w14:textId="77777777" w:rsidR="00581A5E" w:rsidRDefault="00581A5E" w:rsidP="00581A5E">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652F18" w14:paraId="793F12DC" w14:textId="77777777" w:rsidTr="00646E14">
        <w:trPr>
          <w:trHeight w:val="317"/>
        </w:trPr>
        <w:tc>
          <w:tcPr>
            <w:tcW w:w="9666" w:type="dxa"/>
            <w:vAlign w:val="center"/>
          </w:tcPr>
          <w:p w14:paraId="77FB281F" w14:textId="77777777" w:rsidR="00581A5E" w:rsidRDefault="00581A5E" w:rsidP="0030421B">
            <w:pPr>
              <w:numPr>
                <w:ilvl w:val="0"/>
                <w:numId w:val="124"/>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POSEBNI VARNOSTNI UKREPI ZA ODSTRANJEVANJE NEUPORABLJENIH ZDRAVIL ALI IZ NJIH NASTALIH ODPADNIH SNOVI, KADAR SO POTREBNI</w:t>
            </w:r>
          </w:p>
        </w:tc>
      </w:tr>
    </w:tbl>
    <w:p w14:paraId="03C38DD1" w14:textId="77777777" w:rsidR="00581A5E" w:rsidRDefault="00581A5E" w:rsidP="00581A5E">
      <w:pPr>
        <w:rPr>
          <w:lang w:val="sl-SI"/>
        </w:rPr>
      </w:pPr>
    </w:p>
    <w:p w14:paraId="00244333" w14:textId="77777777" w:rsidR="00581A5E" w:rsidRDefault="00581A5E" w:rsidP="00581A5E">
      <w:pPr>
        <w:rPr>
          <w:lang w:val="sl-SI"/>
        </w:rPr>
      </w:pPr>
    </w:p>
    <w:p w14:paraId="0A32BED1" w14:textId="77777777" w:rsidR="00581A5E" w:rsidRDefault="00581A5E" w:rsidP="00581A5E">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14:paraId="3D9C06F7" w14:textId="77777777" w:rsidTr="00646E14">
        <w:trPr>
          <w:trHeight w:val="317"/>
        </w:trPr>
        <w:tc>
          <w:tcPr>
            <w:tcW w:w="9666" w:type="dxa"/>
            <w:vAlign w:val="center"/>
          </w:tcPr>
          <w:p w14:paraId="57CF0FBF" w14:textId="77777777" w:rsidR="00581A5E" w:rsidRDefault="00581A5E" w:rsidP="0030421B">
            <w:pPr>
              <w:numPr>
                <w:ilvl w:val="0"/>
                <w:numId w:val="124"/>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IME IN NASLOV IMETNIKA DOVOLJENJA ZA PROMET Z ZDRAVILOM</w:t>
            </w:r>
          </w:p>
        </w:tc>
      </w:tr>
    </w:tbl>
    <w:p w14:paraId="25C41490" w14:textId="77777777" w:rsidR="00581A5E" w:rsidRDefault="00581A5E" w:rsidP="00581A5E">
      <w:pPr>
        <w:spacing w:before="5" w:line="200" w:lineRule="exact"/>
        <w:rPr>
          <w:sz w:val="20"/>
          <w:szCs w:val="20"/>
          <w:lang w:val="sl-SI"/>
        </w:rPr>
      </w:pPr>
    </w:p>
    <w:p w14:paraId="6E55A230" w14:textId="77777777" w:rsidR="00581A5E" w:rsidRDefault="00581A5E" w:rsidP="00581A5E">
      <w:pPr>
        <w:pStyle w:val="a3"/>
        <w:rPr>
          <w:lang w:val="sl-SI"/>
        </w:rPr>
      </w:pPr>
      <w:r>
        <w:rPr>
          <w:lang w:val="sl-SI"/>
        </w:rPr>
        <w:t xml:space="preserve">Celltrion Healthcare Hungary Kft. </w:t>
      </w:r>
    </w:p>
    <w:p w14:paraId="663C0F62" w14:textId="77777777" w:rsidR="00581A5E" w:rsidRDefault="00581A5E" w:rsidP="00581A5E">
      <w:pPr>
        <w:pStyle w:val="a3"/>
        <w:rPr>
          <w:lang w:val="sl-SI"/>
        </w:rPr>
      </w:pPr>
      <w:r>
        <w:rPr>
          <w:lang w:val="sl-SI"/>
        </w:rPr>
        <w:t>1062 Budapest</w:t>
      </w:r>
    </w:p>
    <w:p w14:paraId="29271DDC" w14:textId="77777777" w:rsidR="00581A5E" w:rsidRDefault="00581A5E" w:rsidP="00581A5E">
      <w:pPr>
        <w:pStyle w:val="a3"/>
        <w:rPr>
          <w:lang w:val="sl-SI"/>
        </w:rPr>
      </w:pPr>
      <w:r>
        <w:rPr>
          <w:lang w:val="sl-SI"/>
        </w:rPr>
        <w:t>Váci út 1-3. WestEnd Office Building B torony</w:t>
      </w:r>
    </w:p>
    <w:p w14:paraId="5CB1530B" w14:textId="77777777" w:rsidR="00581A5E" w:rsidRDefault="00581A5E" w:rsidP="00581A5E">
      <w:pPr>
        <w:pStyle w:val="a3"/>
        <w:rPr>
          <w:lang w:val="sl-SI"/>
        </w:rPr>
      </w:pPr>
      <w:r>
        <w:rPr>
          <w:rFonts w:eastAsia="Times New Roman"/>
          <w:lang w:val="sl-SI"/>
        </w:rPr>
        <w:t>Madžarska</w:t>
      </w:r>
    </w:p>
    <w:p w14:paraId="19CBA9D6" w14:textId="77777777" w:rsidR="00581A5E" w:rsidRDefault="00581A5E" w:rsidP="00581A5E">
      <w:pPr>
        <w:rPr>
          <w:lang w:val="sl-SI"/>
        </w:rPr>
      </w:pPr>
    </w:p>
    <w:p w14:paraId="353F2C3E" w14:textId="77777777" w:rsidR="00581A5E" w:rsidRDefault="00581A5E" w:rsidP="00581A5E">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652F18" w14:paraId="7FCD35E3" w14:textId="77777777" w:rsidTr="00646E14">
        <w:trPr>
          <w:trHeight w:val="317"/>
        </w:trPr>
        <w:tc>
          <w:tcPr>
            <w:tcW w:w="9666" w:type="dxa"/>
            <w:vAlign w:val="center"/>
          </w:tcPr>
          <w:p w14:paraId="53911486" w14:textId="77777777" w:rsidR="00581A5E" w:rsidRDefault="00581A5E" w:rsidP="0030421B">
            <w:pPr>
              <w:numPr>
                <w:ilvl w:val="0"/>
                <w:numId w:val="124"/>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ŠTEVILKA(E) DOVOLJENJA(DOVOLJENJ) ZA PROMET</w:t>
            </w:r>
          </w:p>
        </w:tc>
      </w:tr>
    </w:tbl>
    <w:p w14:paraId="7E99442A" w14:textId="77777777" w:rsidR="00581A5E" w:rsidRDefault="00581A5E" w:rsidP="00581A5E">
      <w:pPr>
        <w:rPr>
          <w:lang w:val="sl-SI"/>
        </w:rPr>
      </w:pPr>
    </w:p>
    <w:p w14:paraId="58D90574" w14:textId="0892930B" w:rsidR="00581A5E" w:rsidRPr="008E1817" w:rsidRDefault="00581A5E" w:rsidP="00581A5E">
      <w:pPr>
        <w:pStyle w:val="a3"/>
        <w:rPr>
          <w:highlight w:val="lightGray"/>
          <w:lang w:val="sl-SI"/>
        </w:rPr>
      </w:pPr>
      <w:r>
        <w:rPr>
          <w:rFonts w:eastAsia="Times New Roman"/>
          <w:lang w:val="sl-SI"/>
        </w:rPr>
        <w:t>EU/</w:t>
      </w:r>
      <w:r>
        <w:rPr>
          <w:rFonts w:eastAsia="Times New Roman" w:cs="Verdana"/>
          <w:color w:val="000000"/>
          <w:lang w:val="sl-SI"/>
        </w:rPr>
        <w:t>1/20/1513/0</w:t>
      </w:r>
      <w:r w:rsidR="004F0C37">
        <w:rPr>
          <w:rFonts w:eastAsia="Times New Roman" w:cs="Verdana"/>
          <w:color w:val="000000"/>
          <w:lang w:val="sl-SI"/>
        </w:rPr>
        <w:t>15</w:t>
      </w:r>
      <w:r>
        <w:rPr>
          <w:rFonts w:eastAsia="Times New Roman" w:cs="Verdana"/>
          <w:color w:val="000000"/>
          <w:lang w:val="sl-SI"/>
        </w:rPr>
        <w:t xml:space="preserve"> </w:t>
      </w:r>
      <w:r w:rsidRPr="008E1817">
        <w:rPr>
          <w:rFonts w:eastAsia="Times New Roman" w:cs="Verdana"/>
          <w:color w:val="000000"/>
          <w:highlight w:val="lightGray"/>
          <w:lang w:val="sl-SI"/>
        </w:rPr>
        <w:t>1 napolnjen injekcijski peresnik</w:t>
      </w:r>
    </w:p>
    <w:p w14:paraId="265FE305" w14:textId="1A33313A" w:rsidR="00581A5E" w:rsidRDefault="00581A5E" w:rsidP="004F0C37">
      <w:pPr>
        <w:pStyle w:val="a3"/>
        <w:rPr>
          <w:lang w:val="sl-SI"/>
        </w:rPr>
      </w:pPr>
      <w:r w:rsidRPr="008E1817">
        <w:rPr>
          <w:rFonts w:eastAsia="Times New Roman"/>
          <w:highlight w:val="lightGray"/>
          <w:lang w:val="sl-SI"/>
        </w:rPr>
        <w:t>EU/</w:t>
      </w:r>
      <w:r w:rsidRPr="008E1817">
        <w:rPr>
          <w:rFonts w:eastAsia="Times New Roman" w:cs="Verdana"/>
          <w:color w:val="000000"/>
          <w:highlight w:val="lightGray"/>
          <w:lang w:val="sl-SI"/>
        </w:rPr>
        <w:t>1/20/1513/01</w:t>
      </w:r>
      <w:r w:rsidR="004F0C37">
        <w:rPr>
          <w:rFonts w:eastAsia="Times New Roman" w:cs="Verdana"/>
          <w:color w:val="000000"/>
          <w:highlight w:val="lightGray"/>
          <w:lang w:val="sl-SI"/>
        </w:rPr>
        <w:t>6</w:t>
      </w:r>
      <w:r w:rsidRPr="008E1817">
        <w:rPr>
          <w:rFonts w:eastAsia="Times New Roman" w:cs="Verdana"/>
          <w:color w:val="000000"/>
          <w:highlight w:val="lightGray"/>
          <w:lang w:val="sl-SI"/>
        </w:rPr>
        <w:t xml:space="preserve"> </w:t>
      </w:r>
      <w:r w:rsidR="004F0C37">
        <w:rPr>
          <w:rFonts w:eastAsia="Times New Roman" w:cs="Verdana"/>
          <w:color w:val="000000"/>
          <w:highlight w:val="lightGray"/>
          <w:lang w:val="sl-SI"/>
        </w:rPr>
        <w:t>3</w:t>
      </w:r>
      <w:r w:rsidRPr="008E1817">
        <w:rPr>
          <w:rFonts w:eastAsia="Times New Roman" w:cs="Verdana"/>
          <w:color w:val="000000"/>
          <w:highlight w:val="lightGray"/>
          <w:lang w:val="sl-SI"/>
        </w:rPr>
        <w:t xml:space="preserve"> napolnjen</w:t>
      </w:r>
      <w:r w:rsidR="001D5155">
        <w:rPr>
          <w:rFonts w:eastAsia="Times New Roman" w:cs="Verdana"/>
          <w:color w:val="000000"/>
          <w:highlight w:val="lightGray"/>
          <w:lang w:val="sl-SI"/>
        </w:rPr>
        <w:t>i</w:t>
      </w:r>
      <w:r w:rsidRPr="008E1817">
        <w:rPr>
          <w:rFonts w:eastAsia="Times New Roman" w:cs="Verdana"/>
          <w:color w:val="000000"/>
          <w:highlight w:val="lightGray"/>
          <w:lang w:val="sl-SI"/>
        </w:rPr>
        <w:t xml:space="preserve"> injekcijsk</w:t>
      </w:r>
      <w:r w:rsidR="001D5155">
        <w:rPr>
          <w:rFonts w:eastAsia="Times New Roman" w:cs="Verdana"/>
          <w:color w:val="000000"/>
          <w:highlight w:val="lightGray"/>
          <w:lang w:val="sl-SI"/>
        </w:rPr>
        <w:t>i</w:t>
      </w:r>
      <w:r w:rsidRPr="008E1817">
        <w:rPr>
          <w:rFonts w:eastAsia="Times New Roman" w:cs="Verdana"/>
          <w:color w:val="000000"/>
          <w:highlight w:val="lightGray"/>
          <w:lang w:val="sl-SI"/>
        </w:rPr>
        <w:t xml:space="preserve"> peresnik</w:t>
      </w:r>
      <w:r w:rsidR="001D5155">
        <w:rPr>
          <w:rFonts w:eastAsia="Times New Roman" w:cs="Verdana"/>
          <w:color w:val="000000"/>
          <w:lang w:val="sl-SI"/>
        </w:rPr>
        <w:t>i</w:t>
      </w:r>
      <w:r>
        <w:rPr>
          <w:rFonts w:eastAsia="Times New Roman" w:cs="Verdana"/>
          <w:color w:val="000000"/>
          <w:lang w:val="sl-SI"/>
        </w:rPr>
        <w:t xml:space="preserve"> </w:t>
      </w:r>
    </w:p>
    <w:p w14:paraId="4794F5C2" w14:textId="77777777" w:rsidR="00581A5E" w:rsidRDefault="00581A5E" w:rsidP="00581A5E">
      <w:pPr>
        <w:rPr>
          <w:lang w:val="sl-SI"/>
        </w:rPr>
      </w:pPr>
    </w:p>
    <w:p w14:paraId="38A4DD22" w14:textId="77777777" w:rsidR="00581A5E" w:rsidRDefault="00581A5E" w:rsidP="00581A5E">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14:paraId="2B8D5617" w14:textId="77777777" w:rsidTr="00646E14">
        <w:trPr>
          <w:trHeight w:val="317"/>
        </w:trPr>
        <w:tc>
          <w:tcPr>
            <w:tcW w:w="9666" w:type="dxa"/>
            <w:vAlign w:val="center"/>
          </w:tcPr>
          <w:p w14:paraId="27C42A09" w14:textId="77777777" w:rsidR="00581A5E" w:rsidRDefault="00581A5E" w:rsidP="0030421B">
            <w:pPr>
              <w:numPr>
                <w:ilvl w:val="0"/>
                <w:numId w:val="124"/>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ŠTEVILKA SERIJE</w:t>
            </w:r>
          </w:p>
        </w:tc>
      </w:tr>
    </w:tbl>
    <w:p w14:paraId="682C7A62" w14:textId="77777777" w:rsidR="00581A5E" w:rsidRDefault="00581A5E" w:rsidP="00581A5E">
      <w:pPr>
        <w:rPr>
          <w:lang w:val="sl-SI"/>
        </w:rPr>
      </w:pPr>
    </w:p>
    <w:p w14:paraId="0D5FED21" w14:textId="77777777" w:rsidR="00581A5E" w:rsidRDefault="00581A5E" w:rsidP="00581A5E">
      <w:pPr>
        <w:pStyle w:val="a3"/>
        <w:rPr>
          <w:lang w:val="sl-SI"/>
        </w:rPr>
      </w:pPr>
      <w:r>
        <w:rPr>
          <w:rFonts w:eastAsia="Times New Roman"/>
          <w:lang w:val="sl-SI"/>
        </w:rPr>
        <w:t>Lot</w:t>
      </w:r>
    </w:p>
    <w:p w14:paraId="3418B134" w14:textId="77777777" w:rsidR="00581A5E" w:rsidRDefault="00581A5E" w:rsidP="00581A5E">
      <w:pPr>
        <w:pStyle w:val="a3"/>
        <w:rPr>
          <w:lang w:val="sl-SI"/>
        </w:rPr>
      </w:pPr>
    </w:p>
    <w:p w14:paraId="3252E3CB" w14:textId="77777777" w:rsidR="00581A5E" w:rsidRDefault="00581A5E" w:rsidP="00581A5E">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652F18" w14:paraId="77C77808" w14:textId="77777777" w:rsidTr="00646E14">
        <w:trPr>
          <w:trHeight w:val="317"/>
        </w:trPr>
        <w:tc>
          <w:tcPr>
            <w:tcW w:w="9666" w:type="dxa"/>
            <w:vAlign w:val="center"/>
          </w:tcPr>
          <w:p w14:paraId="30F9BCA9" w14:textId="77777777" w:rsidR="00581A5E" w:rsidRDefault="00581A5E" w:rsidP="0030421B">
            <w:pPr>
              <w:numPr>
                <w:ilvl w:val="0"/>
                <w:numId w:val="124"/>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NAČIN IZDAJANJA ZDRAVILA</w:t>
            </w:r>
          </w:p>
        </w:tc>
      </w:tr>
    </w:tbl>
    <w:p w14:paraId="3A54C68A" w14:textId="77777777" w:rsidR="00581A5E" w:rsidRDefault="00581A5E" w:rsidP="00581A5E">
      <w:pPr>
        <w:jc w:val="both"/>
        <w:rPr>
          <w:lang w:val="sl-SI"/>
        </w:rPr>
      </w:pPr>
    </w:p>
    <w:p w14:paraId="61516AE1" w14:textId="77777777" w:rsidR="00581A5E" w:rsidRDefault="00581A5E" w:rsidP="00581A5E">
      <w:pPr>
        <w:jc w:val="both"/>
        <w:rPr>
          <w:lang w:val="sl-SI"/>
        </w:rPr>
      </w:pPr>
    </w:p>
    <w:p w14:paraId="0B7E3646" w14:textId="77777777" w:rsidR="00581A5E" w:rsidRDefault="00581A5E" w:rsidP="00581A5E">
      <w:pPr>
        <w:jc w:val="both"/>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14:paraId="610BB374" w14:textId="77777777" w:rsidTr="00646E14">
        <w:trPr>
          <w:trHeight w:val="317"/>
        </w:trPr>
        <w:tc>
          <w:tcPr>
            <w:tcW w:w="9666" w:type="dxa"/>
            <w:vAlign w:val="center"/>
          </w:tcPr>
          <w:p w14:paraId="03F4CA90" w14:textId="77777777" w:rsidR="00581A5E" w:rsidRDefault="00581A5E" w:rsidP="0030421B">
            <w:pPr>
              <w:numPr>
                <w:ilvl w:val="0"/>
                <w:numId w:val="124"/>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lastRenderedPageBreak/>
              <w:t>NAVODILA ZA UPORABO</w:t>
            </w:r>
          </w:p>
        </w:tc>
      </w:tr>
    </w:tbl>
    <w:p w14:paraId="18F04B60" w14:textId="77777777" w:rsidR="00581A5E" w:rsidRDefault="00581A5E" w:rsidP="00581A5E">
      <w:pPr>
        <w:jc w:val="both"/>
        <w:rPr>
          <w:lang w:val="sl-SI"/>
        </w:rPr>
      </w:pPr>
    </w:p>
    <w:p w14:paraId="55885A5F" w14:textId="77777777" w:rsidR="00581A5E" w:rsidRDefault="00581A5E" w:rsidP="00581A5E">
      <w:pPr>
        <w:jc w:val="both"/>
        <w:rPr>
          <w:lang w:val="sl-SI"/>
        </w:rPr>
      </w:pPr>
    </w:p>
    <w:p w14:paraId="6AFFC6B3" w14:textId="77777777" w:rsidR="00581A5E" w:rsidRDefault="00581A5E" w:rsidP="00581A5E">
      <w:pPr>
        <w:jc w:val="both"/>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14:paraId="72AC33F1" w14:textId="77777777" w:rsidTr="00646E14">
        <w:trPr>
          <w:trHeight w:val="317"/>
        </w:trPr>
        <w:tc>
          <w:tcPr>
            <w:tcW w:w="9666" w:type="dxa"/>
            <w:vAlign w:val="center"/>
          </w:tcPr>
          <w:p w14:paraId="7176B936" w14:textId="77777777" w:rsidR="00581A5E" w:rsidRDefault="00581A5E" w:rsidP="0030421B">
            <w:pPr>
              <w:numPr>
                <w:ilvl w:val="0"/>
                <w:numId w:val="124"/>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PODATKI V BRAILLOVI PISAVI</w:t>
            </w:r>
          </w:p>
        </w:tc>
      </w:tr>
    </w:tbl>
    <w:p w14:paraId="535190F9" w14:textId="77777777" w:rsidR="00581A5E" w:rsidRDefault="00581A5E" w:rsidP="00581A5E">
      <w:pPr>
        <w:jc w:val="both"/>
        <w:rPr>
          <w:lang w:val="sl-SI"/>
        </w:rPr>
      </w:pPr>
    </w:p>
    <w:p w14:paraId="7B337400" w14:textId="50C4C4AC" w:rsidR="00581A5E" w:rsidRDefault="00581A5E" w:rsidP="00581A5E">
      <w:pPr>
        <w:pStyle w:val="a3"/>
        <w:rPr>
          <w:lang w:val="sl-SI"/>
        </w:rPr>
      </w:pPr>
      <w:r>
        <w:rPr>
          <w:rFonts w:eastAsia="Times New Roman"/>
          <w:lang w:val="sl-SI"/>
        </w:rPr>
        <w:t xml:space="preserve">Yuflyma </w:t>
      </w:r>
      <w:r w:rsidR="004F0C37">
        <w:rPr>
          <w:rFonts w:eastAsia="Times New Roman"/>
          <w:lang w:val="sl-SI"/>
        </w:rPr>
        <w:t>8</w:t>
      </w:r>
      <w:r>
        <w:rPr>
          <w:rFonts w:eastAsia="Times New Roman"/>
          <w:lang w:val="sl-SI"/>
        </w:rPr>
        <w:t>0 mg</w:t>
      </w:r>
    </w:p>
    <w:p w14:paraId="7FF61224" w14:textId="77777777" w:rsidR="00581A5E" w:rsidRDefault="00581A5E" w:rsidP="00581A5E">
      <w:pPr>
        <w:jc w:val="both"/>
        <w:rPr>
          <w:lang w:val="sl-SI"/>
        </w:rPr>
      </w:pPr>
    </w:p>
    <w:p w14:paraId="1E22EFE2" w14:textId="77777777" w:rsidR="00581A5E" w:rsidRDefault="00581A5E" w:rsidP="00581A5E">
      <w:pPr>
        <w:jc w:val="both"/>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652F18" w14:paraId="2AD8C367" w14:textId="77777777" w:rsidTr="00646E14">
        <w:trPr>
          <w:trHeight w:val="317"/>
        </w:trPr>
        <w:tc>
          <w:tcPr>
            <w:tcW w:w="9666" w:type="dxa"/>
            <w:vAlign w:val="center"/>
          </w:tcPr>
          <w:p w14:paraId="3D596DDE" w14:textId="77777777" w:rsidR="00581A5E" w:rsidRDefault="00581A5E" w:rsidP="0030421B">
            <w:pPr>
              <w:numPr>
                <w:ilvl w:val="0"/>
                <w:numId w:val="124"/>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EDINSTVENA OZNAKA – DVODIMENZIONALNA ČRTNA KODA</w:t>
            </w:r>
          </w:p>
        </w:tc>
      </w:tr>
    </w:tbl>
    <w:p w14:paraId="58CD1385" w14:textId="77777777" w:rsidR="00581A5E" w:rsidRDefault="00581A5E" w:rsidP="00581A5E">
      <w:pPr>
        <w:jc w:val="both"/>
        <w:rPr>
          <w:lang w:val="sl-SI"/>
        </w:rPr>
      </w:pPr>
    </w:p>
    <w:p w14:paraId="4E72ABA2" w14:textId="77777777" w:rsidR="00581A5E" w:rsidRDefault="00581A5E" w:rsidP="00581A5E">
      <w:pPr>
        <w:pStyle w:val="a3"/>
        <w:rPr>
          <w:lang w:val="sl-SI"/>
        </w:rPr>
      </w:pPr>
      <w:r w:rsidRPr="008E1817">
        <w:rPr>
          <w:rFonts w:eastAsia="Times New Roman"/>
          <w:highlight w:val="lightGray"/>
          <w:lang w:val="sl-SI"/>
        </w:rPr>
        <w:t>Vsebuje dvodimenzionalno črtno kodo z edinstveno oznako.</w:t>
      </w:r>
    </w:p>
    <w:p w14:paraId="202F4949" w14:textId="77777777" w:rsidR="00581A5E" w:rsidRDefault="00581A5E" w:rsidP="00581A5E">
      <w:pPr>
        <w:jc w:val="both"/>
        <w:rPr>
          <w:lang w:val="sl-SI"/>
        </w:rPr>
      </w:pPr>
    </w:p>
    <w:p w14:paraId="511B2A6B" w14:textId="77777777" w:rsidR="00581A5E" w:rsidRDefault="00581A5E" w:rsidP="00581A5E">
      <w:pPr>
        <w:jc w:val="both"/>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AC7013" w14:paraId="51E6DC03" w14:textId="77777777" w:rsidTr="00646E14">
        <w:trPr>
          <w:trHeight w:val="317"/>
        </w:trPr>
        <w:tc>
          <w:tcPr>
            <w:tcW w:w="9666" w:type="dxa"/>
            <w:vAlign w:val="center"/>
          </w:tcPr>
          <w:p w14:paraId="1A372DDB" w14:textId="77777777" w:rsidR="00581A5E" w:rsidRDefault="00581A5E" w:rsidP="0030421B">
            <w:pPr>
              <w:numPr>
                <w:ilvl w:val="0"/>
                <w:numId w:val="124"/>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EDINSTVENA OZNAKA – V BERLJIVI OBLIKI</w:t>
            </w:r>
          </w:p>
        </w:tc>
      </w:tr>
    </w:tbl>
    <w:p w14:paraId="2093346F" w14:textId="77777777" w:rsidR="00581A5E" w:rsidRDefault="00581A5E" w:rsidP="00581A5E">
      <w:pPr>
        <w:jc w:val="both"/>
        <w:rPr>
          <w:lang w:val="sl-SI"/>
        </w:rPr>
      </w:pPr>
    </w:p>
    <w:p w14:paraId="4A4F5BE4" w14:textId="77777777" w:rsidR="00581A5E" w:rsidRDefault="00581A5E" w:rsidP="00581A5E">
      <w:pPr>
        <w:pStyle w:val="a3"/>
        <w:rPr>
          <w:lang w:val="sl-SI"/>
        </w:rPr>
      </w:pPr>
      <w:r>
        <w:rPr>
          <w:rFonts w:eastAsia="Times New Roman"/>
          <w:lang w:val="sl-SI"/>
        </w:rPr>
        <w:t xml:space="preserve">PC </w:t>
      </w:r>
    </w:p>
    <w:p w14:paraId="6185244D" w14:textId="77777777" w:rsidR="00581A5E" w:rsidRDefault="00581A5E" w:rsidP="00581A5E">
      <w:pPr>
        <w:pStyle w:val="a3"/>
        <w:rPr>
          <w:lang w:val="sl-SI"/>
        </w:rPr>
      </w:pPr>
      <w:r>
        <w:rPr>
          <w:rFonts w:eastAsia="Times New Roman"/>
          <w:lang w:val="sl-SI"/>
        </w:rPr>
        <w:t>SN</w:t>
      </w:r>
    </w:p>
    <w:p w14:paraId="4BCE7C15" w14:textId="77777777" w:rsidR="00581A5E" w:rsidRDefault="00581A5E" w:rsidP="00581A5E">
      <w:pPr>
        <w:pStyle w:val="a3"/>
        <w:rPr>
          <w:spacing w:val="-2"/>
          <w:lang w:val="sl-SI"/>
        </w:rPr>
      </w:pPr>
      <w:r>
        <w:rPr>
          <w:rFonts w:eastAsia="Times New Roman"/>
          <w:spacing w:val="-2"/>
          <w:lang w:val="sl-SI"/>
        </w:rPr>
        <w:t>NN</w:t>
      </w:r>
    </w:p>
    <w:p w14:paraId="4B7B10DD" w14:textId="77777777" w:rsidR="00581A5E" w:rsidRDefault="00581A5E" w:rsidP="00581A5E">
      <w:pPr>
        <w:pStyle w:val="a3"/>
        <w:rPr>
          <w:spacing w:val="-2"/>
          <w:lang w:val="sl-SI"/>
        </w:rPr>
      </w:pPr>
    </w:p>
    <w:p w14:paraId="4B42C2F4" w14:textId="77777777" w:rsidR="00581A5E" w:rsidRDefault="00581A5E" w:rsidP="00581A5E">
      <w:pPr>
        <w:rPr>
          <w:rFonts w:ascii="Times New Roman" w:eastAsia="Times New Roman" w:hAnsi="Times New Roman"/>
          <w:spacing w:val="-2"/>
          <w:lang w:val="sl-SI"/>
        </w:rPr>
      </w:pPr>
      <w:r>
        <w:rPr>
          <w:spacing w:val="-2"/>
          <w:lang w:val="sl-SI"/>
        </w:rPr>
        <w:br w:type="page"/>
      </w:r>
    </w:p>
    <w:tbl>
      <w:tblPr>
        <w:tblStyle w:val="ac"/>
        <w:tblW w:w="9666" w:type="dxa"/>
        <w:tblLook w:val="04A0" w:firstRow="1" w:lastRow="0" w:firstColumn="1" w:lastColumn="0" w:noHBand="0" w:noVBand="1"/>
      </w:tblPr>
      <w:tblGrid>
        <w:gridCol w:w="9666"/>
      </w:tblGrid>
      <w:tr w:rsidR="00581A5E" w:rsidRPr="003138FB" w14:paraId="3B048470" w14:textId="77777777" w:rsidTr="00646E14">
        <w:trPr>
          <w:trHeight w:val="822"/>
        </w:trPr>
        <w:tc>
          <w:tcPr>
            <w:tcW w:w="9666" w:type="dxa"/>
            <w:vAlign w:val="center"/>
          </w:tcPr>
          <w:p w14:paraId="5B3DEE38" w14:textId="77777777" w:rsidR="00581A5E" w:rsidRDefault="00581A5E" w:rsidP="00646E14">
            <w:pPr>
              <w:tabs>
                <w:tab w:val="left" w:pos="672"/>
              </w:tabs>
              <w:jc w:val="both"/>
              <w:rPr>
                <w:rFonts w:ascii="Times New Roman" w:eastAsia="Times New Roman" w:hAnsi="Times New Roman" w:cs="Times New Roman"/>
                <w:b/>
                <w:bCs/>
                <w:spacing w:val="-1"/>
                <w:lang w:val="sl-SI"/>
              </w:rPr>
            </w:pPr>
            <w:r>
              <w:rPr>
                <w:rFonts w:ascii="Times New Roman" w:eastAsia="Times New Roman" w:hAnsi="Times New Roman" w:cs="Times New Roman"/>
                <w:bCs/>
                <w:spacing w:val="-1"/>
                <w:lang w:val="sl-SI"/>
              </w:rPr>
              <w:lastRenderedPageBreak/>
              <w:br w:type="page"/>
            </w:r>
            <w:r>
              <w:rPr>
                <w:rFonts w:ascii="Times New Roman" w:eastAsia="Times New Roman" w:hAnsi="Times New Roman" w:cs="Times New Roman"/>
                <w:b/>
                <w:bCs/>
                <w:spacing w:val="-1"/>
                <w:lang w:val="sl-SI"/>
              </w:rPr>
              <w:t xml:space="preserve">PODATKI, KI MORAJO BITI NAJMANJ NAVEDENI NA MANJŠIH STIČNIH OVOJNINAH </w:t>
            </w:r>
          </w:p>
          <w:p w14:paraId="71E8C38A" w14:textId="77777777" w:rsidR="00581A5E" w:rsidRDefault="00581A5E" w:rsidP="00646E14">
            <w:pPr>
              <w:tabs>
                <w:tab w:val="left" w:pos="672"/>
              </w:tabs>
              <w:jc w:val="both"/>
              <w:rPr>
                <w:rFonts w:ascii="Times New Roman" w:eastAsia="Times New Roman" w:hAnsi="Times New Roman" w:cs="Times New Roman"/>
                <w:b/>
                <w:bCs/>
                <w:spacing w:val="-1"/>
                <w:lang w:val="sl-SI"/>
              </w:rPr>
            </w:pPr>
          </w:p>
          <w:p w14:paraId="09A2863D" w14:textId="77777777" w:rsidR="00581A5E" w:rsidRDefault="00581A5E" w:rsidP="00646E14">
            <w:pPr>
              <w:tabs>
                <w:tab w:val="left" w:pos="672"/>
              </w:tabs>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OZNAKA NA NAPOLNJENEM INJEKCIJSKEM PERESNIKU</w:t>
            </w:r>
          </w:p>
        </w:tc>
      </w:tr>
    </w:tbl>
    <w:p w14:paraId="375991F5" w14:textId="77777777" w:rsidR="00581A5E" w:rsidRDefault="00581A5E" w:rsidP="00581A5E">
      <w:pPr>
        <w:spacing w:line="200" w:lineRule="exact"/>
        <w:rPr>
          <w:sz w:val="20"/>
          <w:szCs w:val="20"/>
          <w:lang w:val="sl-SI"/>
        </w:rPr>
      </w:pPr>
    </w:p>
    <w:p w14:paraId="0241329C" w14:textId="77777777" w:rsidR="00581A5E" w:rsidRDefault="00581A5E" w:rsidP="00581A5E">
      <w:pPr>
        <w:spacing w:line="200" w:lineRule="exact"/>
        <w:rPr>
          <w:sz w:val="20"/>
          <w:szCs w:val="20"/>
          <w:lang w:val="sl-SI"/>
        </w:rPr>
      </w:pPr>
    </w:p>
    <w:tbl>
      <w:tblPr>
        <w:tblStyle w:val="ac"/>
        <w:tblpPr w:leftFromText="142" w:rightFromText="142" w:vertAnchor="text" w:tblpY="55"/>
        <w:tblW w:w="9666" w:type="dxa"/>
        <w:tblLook w:val="04A0" w:firstRow="1" w:lastRow="0" w:firstColumn="1" w:lastColumn="0" w:noHBand="0" w:noVBand="1"/>
      </w:tblPr>
      <w:tblGrid>
        <w:gridCol w:w="9666"/>
      </w:tblGrid>
      <w:tr w:rsidR="00581A5E" w14:paraId="049C87E0" w14:textId="77777777" w:rsidTr="00646E14">
        <w:trPr>
          <w:trHeight w:val="317"/>
        </w:trPr>
        <w:tc>
          <w:tcPr>
            <w:tcW w:w="9666" w:type="dxa"/>
            <w:vAlign w:val="center"/>
          </w:tcPr>
          <w:p w14:paraId="1A3F2C8B" w14:textId="77777777" w:rsidR="00581A5E" w:rsidRDefault="00581A5E" w:rsidP="0030421B">
            <w:pPr>
              <w:numPr>
                <w:ilvl w:val="0"/>
                <w:numId w:val="125"/>
              </w:numPr>
              <w:tabs>
                <w:tab w:val="left" w:pos="672"/>
              </w:tabs>
              <w:ind w:left="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IME ZDRAVILA IN POT(I) UPORABE ZDRAVILA</w:t>
            </w:r>
          </w:p>
        </w:tc>
      </w:tr>
    </w:tbl>
    <w:p w14:paraId="04154969" w14:textId="77777777" w:rsidR="00581A5E" w:rsidRDefault="00581A5E" w:rsidP="00581A5E">
      <w:pPr>
        <w:spacing w:line="200" w:lineRule="exact"/>
        <w:rPr>
          <w:sz w:val="20"/>
          <w:szCs w:val="20"/>
          <w:lang w:val="sl-SI"/>
        </w:rPr>
      </w:pPr>
    </w:p>
    <w:p w14:paraId="3FADFAFD" w14:textId="20EAB09E" w:rsidR="00581A5E" w:rsidRDefault="00581A5E" w:rsidP="00581A5E">
      <w:pPr>
        <w:pStyle w:val="a3"/>
        <w:rPr>
          <w:lang w:val="sl-SI"/>
        </w:rPr>
      </w:pPr>
      <w:r>
        <w:rPr>
          <w:rFonts w:eastAsia="Times New Roman"/>
          <w:lang w:val="sl-SI"/>
        </w:rPr>
        <w:t xml:space="preserve">Yuflyma </w:t>
      </w:r>
      <w:r w:rsidR="004F0C37">
        <w:rPr>
          <w:rFonts w:eastAsia="Times New Roman"/>
          <w:lang w:val="sl-SI"/>
        </w:rPr>
        <w:t>8</w:t>
      </w:r>
      <w:r>
        <w:rPr>
          <w:rFonts w:eastAsia="Times New Roman"/>
          <w:lang w:val="sl-SI"/>
        </w:rPr>
        <w:t>0 mg injekcija</w:t>
      </w:r>
    </w:p>
    <w:p w14:paraId="10829E72" w14:textId="77777777" w:rsidR="00581A5E" w:rsidRDefault="00581A5E" w:rsidP="00581A5E">
      <w:pPr>
        <w:pStyle w:val="a3"/>
        <w:rPr>
          <w:lang w:val="sl-SI"/>
        </w:rPr>
      </w:pPr>
      <w:r>
        <w:rPr>
          <w:rFonts w:eastAsia="Times New Roman"/>
          <w:lang w:val="sl-SI"/>
        </w:rPr>
        <w:t>adalimumab</w:t>
      </w:r>
    </w:p>
    <w:p w14:paraId="7E05296B" w14:textId="77777777" w:rsidR="00581A5E" w:rsidRDefault="00581A5E" w:rsidP="00581A5E">
      <w:pPr>
        <w:pStyle w:val="a3"/>
        <w:rPr>
          <w:lang w:val="sl-SI"/>
        </w:rPr>
      </w:pPr>
      <w:r>
        <w:rPr>
          <w:rFonts w:eastAsia="Times New Roman"/>
          <w:lang w:val="sl-SI"/>
        </w:rPr>
        <w:t>subkutana uporaba</w:t>
      </w:r>
    </w:p>
    <w:p w14:paraId="2712DBF1" w14:textId="77777777" w:rsidR="00581A5E" w:rsidRDefault="00581A5E" w:rsidP="00581A5E">
      <w:pPr>
        <w:pStyle w:val="a3"/>
        <w:rPr>
          <w:lang w:val="sl-SI"/>
        </w:rPr>
      </w:pPr>
    </w:p>
    <w:p w14:paraId="198C7FF3" w14:textId="77777777" w:rsidR="00581A5E" w:rsidRDefault="00581A5E" w:rsidP="00581A5E">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14:paraId="515652CB" w14:textId="77777777" w:rsidTr="00646E14">
        <w:trPr>
          <w:trHeight w:val="317"/>
        </w:trPr>
        <w:tc>
          <w:tcPr>
            <w:tcW w:w="9666" w:type="dxa"/>
            <w:vAlign w:val="center"/>
          </w:tcPr>
          <w:p w14:paraId="3E15471F" w14:textId="77777777" w:rsidR="00581A5E" w:rsidRDefault="00581A5E" w:rsidP="0030421B">
            <w:pPr>
              <w:numPr>
                <w:ilvl w:val="0"/>
                <w:numId w:val="125"/>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POSTOPEK UPORABE</w:t>
            </w:r>
          </w:p>
        </w:tc>
      </w:tr>
    </w:tbl>
    <w:p w14:paraId="77B30A1D" w14:textId="77777777" w:rsidR="00581A5E" w:rsidRDefault="00581A5E" w:rsidP="00581A5E">
      <w:pPr>
        <w:spacing w:before="13" w:line="280" w:lineRule="exact"/>
        <w:rPr>
          <w:sz w:val="28"/>
          <w:szCs w:val="28"/>
          <w:lang w:val="sl-SI"/>
        </w:rPr>
      </w:pPr>
    </w:p>
    <w:p w14:paraId="2A97E89B" w14:textId="77777777" w:rsidR="00581A5E" w:rsidRDefault="00581A5E" w:rsidP="00581A5E">
      <w:pPr>
        <w:spacing w:before="13" w:line="280" w:lineRule="exact"/>
        <w:rPr>
          <w:sz w:val="28"/>
          <w:szCs w:val="28"/>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3138FB" w14:paraId="00BBBA9A" w14:textId="77777777" w:rsidTr="00646E14">
        <w:trPr>
          <w:trHeight w:val="317"/>
        </w:trPr>
        <w:tc>
          <w:tcPr>
            <w:tcW w:w="9666" w:type="dxa"/>
            <w:vAlign w:val="center"/>
          </w:tcPr>
          <w:p w14:paraId="20C355B5" w14:textId="77777777" w:rsidR="00581A5E" w:rsidRDefault="00581A5E" w:rsidP="0030421B">
            <w:pPr>
              <w:numPr>
                <w:ilvl w:val="0"/>
                <w:numId w:val="125"/>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DATUM IZTEKA ROKA UPORABNOSTI ZDRAVILA</w:t>
            </w:r>
          </w:p>
        </w:tc>
      </w:tr>
    </w:tbl>
    <w:p w14:paraId="3CF2621D" w14:textId="77777777" w:rsidR="00581A5E" w:rsidRDefault="00581A5E" w:rsidP="00581A5E">
      <w:pPr>
        <w:pStyle w:val="a3"/>
        <w:rPr>
          <w:lang w:val="sl-SI"/>
        </w:rPr>
      </w:pPr>
    </w:p>
    <w:p w14:paraId="39AAC6E8" w14:textId="77777777" w:rsidR="00581A5E" w:rsidRDefault="00581A5E" w:rsidP="00581A5E">
      <w:pPr>
        <w:pStyle w:val="a3"/>
        <w:rPr>
          <w:lang w:val="sl-SI"/>
        </w:rPr>
      </w:pPr>
      <w:r>
        <w:rPr>
          <w:rFonts w:eastAsia="Times New Roman"/>
          <w:lang w:val="sl-SI"/>
        </w:rPr>
        <w:t>EXP</w:t>
      </w:r>
    </w:p>
    <w:p w14:paraId="679D8573" w14:textId="77777777" w:rsidR="00581A5E" w:rsidRDefault="00581A5E" w:rsidP="00581A5E">
      <w:pPr>
        <w:pStyle w:val="a3"/>
        <w:rPr>
          <w:lang w:val="sl-SI"/>
        </w:rPr>
      </w:pPr>
    </w:p>
    <w:p w14:paraId="21157E72" w14:textId="77777777" w:rsidR="00581A5E" w:rsidRDefault="00581A5E" w:rsidP="00581A5E">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14:paraId="3DBE4E29" w14:textId="77777777" w:rsidTr="00646E14">
        <w:trPr>
          <w:trHeight w:val="317"/>
        </w:trPr>
        <w:tc>
          <w:tcPr>
            <w:tcW w:w="9666" w:type="dxa"/>
            <w:vAlign w:val="center"/>
          </w:tcPr>
          <w:p w14:paraId="50A0A3F2" w14:textId="77777777" w:rsidR="00581A5E" w:rsidRDefault="00581A5E" w:rsidP="0030421B">
            <w:pPr>
              <w:numPr>
                <w:ilvl w:val="0"/>
                <w:numId w:val="125"/>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ŠTEVILKA SERIJE</w:t>
            </w:r>
          </w:p>
        </w:tc>
      </w:tr>
    </w:tbl>
    <w:p w14:paraId="48C94D2A" w14:textId="77777777" w:rsidR="00581A5E" w:rsidRDefault="00581A5E" w:rsidP="00581A5E">
      <w:pPr>
        <w:pStyle w:val="a3"/>
        <w:rPr>
          <w:lang w:val="sl-SI"/>
        </w:rPr>
      </w:pPr>
    </w:p>
    <w:p w14:paraId="6DA22F07" w14:textId="77777777" w:rsidR="00581A5E" w:rsidRDefault="00581A5E" w:rsidP="00581A5E">
      <w:pPr>
        <w:pStyle w:val="a3"/>
        <w:rPr>
          <w:lang w:val="sl-SI"/>
        </w:rPr>
      </w:pPr>
      <w:r>
        <w:rPr>
          <w:rFonts w:eastAsia="Times New Roman"/>
          <w:lang w:val="sl-SI"/>
        </w:rPr>
        <w:t>Lot</w:t>
      </w:r>
    </w:p>
    <w:p w14:paraId="01F31988" w14:textId="77777777" w:rsidR="00581A5E" w:rsidRDefault="00581A5E" w:rsidP="00581A5E">
      <w:pPr>
        <w:pStyle w:val="a3"/>
        <w:rPr>
          <w:lang w:val="sl-SI"/>
        </w:rPr>
      </w:pPr>
    </w:p>
    <w:p w14:paraId="66271ECA" w14:textId="77777777" w:rsidR="00581A5E" w:rsidRDefault="00581A5E" w:rsidP="00581A5E">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rsidRPr="003138FB" w14:paraId="5D692881" w14:textId="77777777" w:rsidTr="00646E14">
        <w:trPr>
          <w:trHeight w:val="317"/>
        </w:trPr>
        <w:tc>
          <w:tcPr>
            <w:tcW w:w="9666" w:type="dxa"/>
            <w:vAlign w:val="center"/>
          </w:tcPr>
          <w:p w14:paraId="05D527EB" w14:textId="77777777" w:rsidR="00581A5E" w:rsidRDefault="00581A5E" w:rsidP="0030421B">
            <w:pPr>
              <w:numPr>
                <w:ilvl w:val="0"/>
                <w:numId w:val="125"/>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VSEBINA, IZRAŽENA Z MASO, PROSTORNINO ALI ŠTEVILOM ENOT</w:t>
            </w:r>
          </w:p>
        </w:tc>
      </w:tr>
    </w:tbl>
    <w:p w14:paraId="2643B74E" w14:textId="77777777" w:rsidR="00581A5E" w:rsidRDefault="00581A5E" w:rsidP="00581A5E">
      <w:pPr>
        <w:spacing w:before="13" w:line="280" w:lineRule="exact"/>
        <w:rPr>
          <w:sz w:val="28"/>
          <w:szCs w:val="28"/>
          <w:lang w:val="sl-SI"/>
        </w:rPr>
      </w:pPr>
    </w:p>
    <w:p w14:paraId="0EDBE808" w14:textId="7F3EFC9A" w:rsidR="00581A5E" w:rsidRDefault="004F0C37" w:rsidP="00581A5E">
      <w:pPr>
        <w:pStyle w:val="a3"/>
        <w:rPr>
          <w:lang w:val="sl-SI"/>
        </w:rPr>
      </w:pPr>
      <w:r>
        <w:rPr>
          <w:rFonts w:eastAsia="Times New Roman"/>
          <w:lang w:val="sl-SI"/>
        </w:rPr>
        <w:t>8</w:t>
      </w:r>
      <w:r w:rsidR="00581A5E">
        <w:rPr>
          <w:rFonts w:eastAsia="Times New Roman"/>
          <w:lang w:val="sl-SI"/>
        </w:rPr>
        <w:t>0 </w:t>
      </w:r>
      <w:r w:rsidR="00581A5E" w:rsidRPr="00C33A0D">
        <w:rPr>
          <w:rFonts w:eastAsia="Times New Roman"/>
          <w:lang w:val="sl-SI"/>
        </w:rPr>
        <w:t>mg</w:t>
      </w:r>
      <w:r w:rsidR="00581A5E" w:rsidRPr="00CC6ABA">
        <w:rPr>
          <w:rFonts w:eastAsia="Times New Roman"/>
          <w:lang w:val="sl-SI"/>
        </w:rPr>
        <w:t>/0,</w:t>
      </w:r>
      <w:r>
        <w:rPr>
          <w:rFonts w:eastAsia="Times New Roman"/>
          <w:lang w:val="sl-SI"/>
        </w:rPr>
        <w:t>8</w:t>
      </w:r>
      <w:r w:rsidR="00581A5E" w:rsidRPr="00CC6ABA">
        <w:rPr>
          <w:rFonts w:eastAsia="Times New Roman"/>
          <w:lang w:val="sl-SI"/>
        </w:rPr>
        <w:t xml:space="preserve"> ml</w:t>
      </w:r>
    </w:p>
    <w:p w14:paraId="25613354" w14:textId="77777777" w:rsidR="00581A5E" w:rsidRDefault="00581A5E" w:rsidP="00581A5E">
      <w:pPr>
        <w:spacing w:before="13" w:line="280" w:lineRule="exact"/>
        <w:rPr>
          <w:sz w:val="28"/>
          <w:szCs w:val="28"/>
          <w:lang w:val="sl-SI"/>
        </w:rPr>
      </w:pPr>
    </w:p>
    <w:p w14:paraId="1CFAEEBE" w14:textId="77777777" w:rsidR="00581A5E" w:rsidRDefault="00581A5E" w:rsidP="00581A5E">
      <w:pPr>
        <w:spacing w:before="13" w:line="280" w:lineRule="exact"/>
        <w:rPr>
          <w:sz w:val="28"/>
          <w:szCs w:val="28"/>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581A5E" w14:paraId="29C260E6" w14:textId="77777777" w:rsidTr="00646E14">
        <w:trPr>
          <w:trHeight w:val="317"/>
        </w:trPr>
        <w:tc>
          <w:tcPr>
            <w:tcW w:w="9666" w:type="dxa"/>
            <w:tcBorders>
              <w:bottom w:val="single" w:sz="4" w:space="0" w:color="auto"/>
            </w:tcBorders>
            <w:vAlign w:val="center"/>
          </w:tcPr>
          <w:p w14:paraId="61A59E9A" w14:textId="77777777" w:rsidR="00581A5E" w:rsidRDefault="00581A5E" w:rsidP="0030421B">
            <w:pPr>
              <w:numPr>
                <w:ilvl w:val="0"/>
                <w:numId w:val="125"/>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DRUGI PODATKI</w:t>
            </w:r>
          </w:p>
        </w:tc>
      </w:tr>
    </w:tbl>
    <w:p w14:paraId="210C2110" w14:textId="77777777" w:rsidR="00581A5E" w:rsidRDefault="00581A5E" w:rsidP="00581A5E">
      <w:pPr>
        <w:pStyle w:val="a3"/>
        <w:rPr>
          <w:lang w:val="sl-SI"/>
        </w:rPr>
      </w:pPr>
    </w:p>
    <w:p w14:paraId="695D1D8E" w14:textId="77777777" w:rsidR="00581A5E" w:rsidRDefault="00581A5E" w:rsidP="00581A5E">
      <w:pPr>
        <w:rPr>
          <w:lang w:val="sl-SI"/>
        </w:rPr>
      </w:pPr>
    </w:p>
    <w:p w14:paraId="3443BA03" w14:textId="77777777" w:rsidR="00581A5E" w:rsidRDefault="00581A5E" w:rsidP="00581A5E">
      <w:pPr>
        <w:rPr>
          <w:lang w:val="sl-SI"/>
        </w:rPr>
      </w:pPr>
      <w:r>
        <w:rPr>
          <w:lang w:val="sl-SI"/>
        </w:rPr>
        <w:br w:type="page"/>
      </w:r>
    </w:p>
    <w:tbl>
      <w:tblPr>
        <w:tblStyle w:val="ac"/>
        <w:tblW w:w="9666" w:type="dxa"/>
        <w:tblLook w:val="04A0" w:firstRow="1" w:lastRow="0" w:firstColumn="1" w:lastColumn="0" w:noHBand="0" w:noVBand="1"/>
      </w:tblPr>
      <w:tblGrid>
        <w:gridCol w:w="9666"/>
      </w:tblGrid>
      <w:tr w:rsidR="00D902B3" w:rsidRPr="00652F18" w14:paraId="0DA98556" w14:textId="77777777" w:rsidTr="00183CD7">
        <w:trPr>
          <w:trHeight w:val="822"/>
        </w:trPr>
        <w:tc>
          <w:tcPr>
            <w:tcW w:w="9666" w:type="dxa"/>
            <w:vAlign w:val="center"/>
          </w:tcPr>
          <w:p w14:paraId="62C4F62A" w14:textId="77777777" w:rsidR="00D902B3" w:rsidRDefault="00D902B3" w:rsidP="00183CD7">
            <w:pPr>
              <w:jc w:val="both"/>
              <w:rPr>
                <w:rFonts w:ascii="Times New Roman" w:eastAsia="Times New Roman" w:hAnsi="Times New Roman" w:cs="Times New Roman"/>
                <w:lang w:val="sl-SI"/>
              </w:rPr>
            </w:pPr>
            <w:r>
              <w:rPr>
                <w:rFonts w:ascii="Times New Roman" w:eastAsia="Times New Roman" w:hAnsi="Times New Roman" w:cs="Times New Roman"/>
                <w:b/>
                <w:bCs/>
                <w:spacing w:val="-1"/>
                <w:lang w:val="sl-SI"/>
              </w:rPr>
              <w:lastRenderedPageBreak/>
              <w:t>PODATKI NA ZUNANJI OVOJNINI</w:t>
            </w:r>
          </w:p>
          <w:p w14:paraId="3924A62A" w14:textId="77777777" w:rsidR="00D902B3" w:rsidRDefault="00D902B3" w:rsidP="00183CD7">
            <w:pPr>
              <w:spacing w:line="180" w:lineRule="exact"/>
              <w:jc w:val="both"/>
              <w:rPr>
                <w:lang w:val="sl-SI"/>
              </w:rPr>
            </w:pPr>
          </w:p>
          <w:p w14:paraId="4E076B3B" w14:textId="77777777" w:rsidR="00D902B3" w:rsidRDefault="00D902B3" w:rsidP="00183CD7">
            <w:pPr>
              <w:jc w:val="both"/>
              <w:rPr>
                <w:rFonts w:ascii="Times New Roman" w:eastAsia="Times New Roman" w:hAnsi="Times New Roman" w:cs="Times New Roman"/>
                <w:lang w:val="sl-SI"/>
              </w:rPr>
            </w:pPr>
            <w:r>
              <w:rPr>
                <w:rFonts w:ascii="Times New Roman" w:eastAsia="Times New Roman" w:hAnsi="Times New Roman" w:cs="Times New Roman"/>
                <w:b/>
                <w:bCs/>
                <w:spacing w:val="-1"/>
                <w:lang w:val="sl-SI"/>
              </w:rPr>
              <w:t>ŠKATLA Z NAPOLNJENO INJEKCIJSKO BRIZGO</w:t>
            </w:r>
          </w:p>
        </w:tc>
      </w:tr>
    </w:tbl>
    <w:p w14:paraId="3B6CF1FC" w14:textId="77777777" w:rsidR="00D902B3" w:rsidRDefault="00D902B3" w:rsidP="00D902B3">
      <w:pPr>
        <w:spacing w:line="200" w:lineRule="exact"/>
        <w:rPr>
          <w:lang w:val="sl-SI"/>
        </w:rPr>
      </w:pPr>
    </w:p>
    <w:p w14:paraId="5D8C1DCC" w14:textId="77777777" w:rsidR="00D902B3" w:rsidRDefault="00D902B3" w:rsidP="00D902B3">
      <w:pPr>
        <w:spacing w:line="200" w:lineRule="exact"/>
        <w:rPr>
          <w:lang w:val="sl-SI"/>
        </w:rPr>
      </w:pPr>
    </w:p>
    <w:tbl>
      <w:tblPr>
        <w:tblStyle w:val="ac"/>
        <w:tblpPr w:leftFromText="142" w:rightFromText="142" w:vertAnchor="text" w:tblpY="55"/>
        <w:tblW w:w="9666" w:type="dxa"/>
        <w:tblLook w:val="04A0" w:firstRow="1" w:lastRow="0" w:firstColumn="1" w:lastColumn="0" w:noHBand="0" w:noVBand="1"/>
      </w:tblPr>
      <w:tblGrid>
        <w:gridCol w:w="9666"/>
      </w:tblGrid>
      <w:tr w:rsidR="00D902B3" w14:paraId="74D46DF8" w14:textId="77777777" w:rsidTr="00183CD7">
        <w:trPr>
          <w:trHeight w:val="317"/>
        </w:trPr>
        <w:tc>
          <w:tcPr>
            <w:tcW w:w="9666" w:type="dxa"/>
            <w:vAlign w:val="center"/>
          </w:tcPr>
          <w:p w14:paraId="635FFF5D" w14:textId="77777777" w:rsidR="00D902B3" w:rsidRDefault="00D902B3" w:rsidP="007811C6">
            <w:pPr>
              <w:numPr>
                <w:ilvl w:val="0"/>
                <w:numId w:val="135"/>
              </w:numPr>
              <w:tabs>
                <w:tab w:val="left" w:pos="672"/>
              </w:tabs>
              <w:ind w:left="550"/>
              <w:jc w:val="both"/>
              <w:rPr>
                <w:rFonts w:ascii="Times New Roman" w:eastAsia="Times New Roman" w:hAnsi="Times New Roman" w:cs="Times New Roman"/>
                <w:lang w:val="sl-SI"/>
              </w:rPr>
            </w:pPr>
            <w:r>
              <w:rPr>
                <w:rFonts w:ascii="Times New Roman" w:eastAsia="Times New Roman" w:hAnsi="Times New Roman" w:cs="Times New Roman"/>
                <w:b/>
                <w:bCs/>
                <w:spacing w:val="-1"/>
                <w:lang w:val="sl-SI"/>
              </w:rPr>
              <w:t>IME ZDRAVILA</w:t>
            </w:r>
          </w:p>
        </w:tc>
      </w:tr>
    </w:tbl>
    <w:p w14:paraId="148BC579" w14:textId="77777777" w:rsidR="00D902B3" w:rsidRDefault="00D902B3" w:rsidP="00D902B3">
      <w:pPr>
        <w:spacing w:line="200" w:lineRule="exact"/>
        <w:rPr>
          <w:lang w:val="sl-SI"/>
        </w:rPr>
      </w:pPr>
    </w:p>
    <w:p w14:paraId="51236888" w14:textId="5ACABAB1" w:rsidR="00D902B3" w:rsidRDefault="00D902B3" w:rsidP="00D902B3">
      <w:pPr>
        <w:pStyle w:val="a3"/>
        <w:rPr>
          <w:lang w:val="sl-SI"/>
        </w:rPr>
      </w:pPr>
      <w:r>
        <w:rPr>
          <w:rFonts w:eastAsia="Times New Roman"/>
          <w:lang w:val="sl-SI"/>
        </w:rPr>
        <w:t xml:space="preserve">Yuflyma </w:t>
      </w:r>
      <w:r w:rsidR="00270C6B">
        <w:rPr>
          <w:rFonts w:eastAsia="Times New Roman"/>
          <w:lang w:val="sl-SI"/>
        </w:rPr>
        <w:t>20</w:t>
      </w:r>
      <w:r>
        <w:rPr>
          <w:rFonts w:eastAsia="Times New Roman"/>
          <w:lang w:val="sl-SI"/>
        </w:rPr>
        <w:t> mg raztopina za injiciranje v napolnjeni injekcijski brizgi</w:t>
      </w:r>
    </w:p>
    <w:p w14:paraId="566DFE60" w14:textId="77777777" w:rsidR="00D902B3" w:rsidRDefault="00D902B3" w:rsidP="00D902B3">
      <w:pPr>
        <w:pStyle w:val="a3"/>
        <w:rPr>
          <w:lang w:val="sl-SI"/>
        </w:rPr>
      </w:pPr>
      <w:r>
        <w:rPr>
          <w:rFonts w:eastAsia="Times New Roman"/>
          <w:lang w:val="sl-SI"/>
        </w:rPr>
        <w:t>adalimumab</w:t>
      </w:r>
    </w:p>
    <w:p w14:paraId="54C481F7" w14:textId="77777777" w:rsidR="00D902B3" w:rsidRDefault="00D902B3" w:rsidP="00D902B3">
      <w:pPr>
        <w:pStyle w:val="a3"/>
        <w:rPr>
          <w:lang w:val="sl-SI"/>
        </w:rPr>
      </w:pPr>
    </w:p>
    <w:p w14:paraId="11BAB973" w14:textId="77777777" w:rsidR="00D902B3" w:rsidRDefault="00D902B3" w:rsidP="00D902B3">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rsidRPr="003138FB" w14:paraId="33FC9F26" w14:textId="77777777" w:rsidTr="00183CD7">
        <w:trPr>
          <w:trHeight w:val="317"/>
        </w:trPr>
        <w:tc>
          <w:tcPr>
            <w:tcW w:w="9666" w:type="dxa"/>
            <w:vAlign w:val="center"/>
          </w:tcPr>
          <w:p w14:paraId="436926A7" w14:textId="77777777" w:rsidR="00D902B3" w:rsidRDefault="00D902B3" w:rsidP="007811C6">
            <w:pPr>
              <w:numPr>
                <w:ilvl w:val="0"/>
                <w:numId w:val="135"/>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NAVEDBA ENE ALI VEČ UČINKOVIN</w:t>
            </w:r>
          </w:p>
        </w:tc>
      </w:tr>
    </w:tbl>
    <w:p w14:paraId="7D723D68" w14:textId="77777777" w:rsidR="00D902B3" w:rsidRDefault="00D902B3" w:rsidP="00D902B3">
      <w:pPr>
        <w:spacing w:before="13" w:line="280" w:lineRule="exact"/>
        <w:rPr>
          <w:lang w:val="sl-SI"/>
        </w:rPr>
      </w:pPr>
    </w:p>
    <w:p w14:paraId="22AABF5C" w14:textId="4F7D70FB" w:rsidR="00D902B3" w:rsidRDefault="00D902B3" w:rsidP="00D902B3">
      <w:pPr>
        <w:pStyle w:val="a3"/>
        <w:rPr>
          <w:lang w:val="sl-SI"/>
        </w:rPr>
      </w:pPr>
      <w:r>
        <w:rPr>
          <w:rFonts w:eastAsia="Times New Roman"/>
          <w:lang w:val="sl-SI"/>
        </w:rPr>
        <w:t>Ena 0,</w:t>
      </w:r>
      <w:r w:rsidR="00270C6B">
        <w:rPr>
          <w:rFonts w:eastAsia="Times New Roman"/>
          <w:lang w:val="sl-SI"/>
        </w:rPr>
        <w:t>2</w:t>
      </w:r>
      <w:r>
        <w:rPr>
          <w:rFonts w:eastAsia="Times New Roman"/>
          <w:lang w:val="sl-SI"/>
        </w:rPr>
        <w:t xml:space="preserve">-mililitrska napolnjena injekcijska brizga vsebuje </w:t>
      </w:r>
      <w:r w:rsidR="00270C6B">
        <w:rPr>
          <w:rFonts w:eastAsia="Times New Roman"/>
          <w:lang w:val="sl-SI"/>
        </w:rPr>
        <w:t>20</w:t>
      </w:r>
      <w:r>
        <w:rPr>
          <w:rFonts w:eastAsia="Times New Roman"/>
          <w:lang w:val="sl-SI"/>
        </w:rPr>
        <w:t> mg adalimumaba.</w:t>
      </w:r>
    </w:p>
    <w:p w14:paraId="0B7BFA93" w14:textId="77777777" w:rsidR="00D902B3" w:rsidRDefault="00D902B3" w:rsidP="00D902B3">
      <w:pPr>
        <w:spacing w:line="280" w:lineRule="exact"/>
        <w:rPr>
          <w:lang w:val="sl-SI"/>
        </w:rPr>
      </w:pPr>
    </w:p>
    <w:p w14:paraId="2E489E30" w14:textId="77777777" w:rsidR="00D902B3" w:rsidRDefault="00D902B3" w:rsidP="00D902B3">
      <w:pPr>
        <w:spacing w:line="280" w:lineRule="exact"/>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rsidRPr="003138FB" w14:paraId="3F35D347" w14:textId="77777777" w:rsidTr="00183CD7">
        <w:trPr>
          <w:trHeight w:val="317"/>
        </w:trPr>
        <w:tc>
          <w:tcPr>
            <w:tcW w:w="9666" w:type="dxa"/>
            <w:vAlign w:val="center"/>
          </w:tcPr>
          <w:p w14:paraId="32E96789" w14:textId="77777777" w:rsidR="00D902B3" w:rsidRDefault="00D902B3" w:rsidP="007811C6">
            <w:pPr>
              <w:numPr>
                <w:ilvl w:val="0"/>
                <w:numId w:val="135"/>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SEZNAM POMOŽNIH SNOVI</w:t>
            </w:r>
          </w:p>
        </w:tc>
      </w:tr>
    </w:tbl>
    <w:p w14:paraId="0EF722D6" w14:textId="77777777" w:rsidR="00D902B3" w:rsidRDefault="00D902B3" w:rsidP="00D902B3">
      <w:pPr>
        <w:pStyle w:val="a3"/>
        <w:rPr>
          <w:lang w:val="sl-SI"/>
        </w:rPr>
      </w:pPr>
    </w:p>
    <w:p w14:paraId="3A002FA1" w14:textId="77777777" w:rsidR="00D902B3" w:rsidRDefault="00D902B3" w:rsidP="00D902B3">
      <w:pPr>
        <w:pStyle w:val="a3"/>
        <w:rPr>
          <w:lang w:val="sl-SI"/>
        </w:rPr>
      </w:pPr>
      <w:r>
        <w:rPr>
          <w:rFonts w:eastAsia="Times New Roman"/>
          <w:lang w:val="sl-SI"/>
        </w:rPr>
        <w:t xml:space="preserve">Pomožne snovi: ocetna kislina, natrijev acetat trihidrat, glicin, polisorbat 80, voda za injekcije. </w:t>
      </w:r>
    </w:p>
    <w:p w14:paraId="342FFCB2" w14:textId="77777777" w:rsidR="00D902B3" w:rsidRDefault="00D902B3" w:rsidP="00D902B3">
      <w:pPr>
        <w:pStyle w:val="a3"/>
        <w:rPr>
          <w:lang w:val="sl-SI"/>
        </w:rPr>
      </w:pPr>
      <w:r w:rsidRPr="00797234">
        <w:rPr>
          <w:rFonts w:eastAsia="Times New Roman"/>
          <w:highlight w:val="lightGray"/>
          <w:lang w:val="sl-SI"/>
        </w:rPr>
        <w:t>Za dodatne informacije glejte navodilo za uporabo.</w:t>
      </w:r>
    </w:p>
    <w:p w14:paraId="2FFDFDE6" w14:textId="77777777" w:rsidR="00D902B3" w:rsidRDefault="00D902B3" w:rsidP="00D902B3">
      <w:pPr>
        <w:pStyle w:val="a3"/>
        <w:tabs>
          <w:tab w:val="left" w:pos="1386"/>
        </w:tabs>
        <w:rPr>
          <w:lang w:val="sl-SI"/>
        </w:rPr>
      </w:pPr>
    </w:p>
    <w:p w14:paraId="3E02341A" w14:textId="77777777" w:rsidR="00D902B3" w:rsidRDefault="00D902B3" w:rsidP="00D902B3">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14:paraId="05F1385D" w14:textId="77777777" w:rsidTr="00183CD7">
        <w:trPr>
          <w:trHeight w:val="317"/>
        </w:trPr>
        <w:tc>
          <w:tcPr>
            <w:tcW w:w="9666" w:type="dxa"/>
            <w:vAlign w:val="center"/>
          </w:tcPr>
          <w:p w14:paraId="75959139" w14:textId="77777777" w:rsidR="00D902B3" w:rsidRDefault="00D902B3" w:rsidP="007811C6">
            <w:pPr>
              <w:numPr>
                <w:ilvl w:val="0"/>
                <w:numId w:val="135"/>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FARMACEVTSKA OBLIKA IN VSEBINA</w:t>
            </w:r>
          </w:p>
        </w:tc>
      </w:tr>
    </w:tbl>
    <w:p w14:paraId="120BF69E" w14:textId="77777777" w:rsidR="00D902B3" w:rsidRDefault="00D902B3" w:rsidP="00D902B3">
      <w:pPr>
        <w:pStyle w:val="a3"/>
        <w:rPr>
          <w:lang w:val="sl-SI"/>
        </w:rPr>
      </w:pPr>
    </w:p>
    <w:p w14:paraId="7000D307" w14:textId="77777777" w:rsidR="00D902B3" w:rsidRDefault="00D902B3" w:rsidP="00D902B3">
      <w:pPr>
        <w:pStyle w:val="a3"/>
        <w:rPr>
          <w:lang w:val="sl-SI"/>
        </w:rPr>
      </w:pPr>
      <w:r w:rsidRPr="008E1817">
        <w:rPr>
          <w:rFonts w:eastAsia="Times New Roman"/>
          <w:highlight w:val="lightGray"/>
          <w:lang w:val="sl-SI"/>
        </w:rPr>
        <w:t>raztopina za injiciranje</w:t>
      </w:r>
    </w:p>
    <w:p w14:paraId="5BADA60A" w14:textId="77777777" w:rsidR="006A5029" w:rsidRDefault="006A5029" w:rsidP="006A5029">
      <w:pPr>
        <w:autoSpaceDE w:val="0"/>
        <w:autoSpaceDN w:val="0"/>
        <w:adjustRightInd w:val="0"/>
        <w:rPr>
          <w:rFonts w:ascii="Times New Roman" w:hAnsi="Times New Roman" w:cs="Times New Roman"/>
          <w:lang w:val="sl-SI"/>
        </w:rPr>
      </w:pPr>
      <w:r>
        <w:rPr>
          <w:rFonts w:ascii="Times New Roman" w:eastAsia="Times New Roman" w:hAnsi="Times New Roman" w:cs="Times New Roman"/>
          <w:lang w:val="sl-SI"/>
        </w:rPr>
        <w:t>1 napolnjena injekcijska brizga</w:t>
      </w:r>
    </w:p>
    <w:p w14:paraId="2FC7BE2D" w14:textId="77777777" w:rsidR="006A5029" w:rsidRDefault="006A5029" w:rsidP="006A5029">
      <w:pPr>
        <w:autoSpaceDE w:val="0"/>
        <w:autoSpaceDN w:val="0"/>
        <w:adjustRightInd w:val="0"/>
        <w:ind w:leftChars="82" w:left="180"/>
        <w:rPr>
          <w:rFonts w:ascii="Times New Roman" w:hAnsi="Times New Roman" w:cs="Times New Roman"/>
          <w:lang w:val="sl-SI"/>
        </w:rPr>
      </w:pPr>
      <w:r>
        <w:rPr>
          <w:rFonts w:ascii="Times New Roman" w:eastAsia="Times New Roman" w:hAnsi="Times New Roman" w:cs="Times New Roman"/>
          <w:lang w:val="sl-SI"/>
        </w:rPr>
        <w:t>2 alkoholna zloženca</w:t>
      </w:r>
    </w:p>
    <w:p w14:paraId="13BB220C" w14:textId="77777777" w:rsidR="006A5029" w:rsidRDefault="006A5029" w:rsidP="00270C6B">
      <w:pPr>
        <w:autoSpaceDE w:val="0"/>
        <w:autoSpaceDN w:val="0"/>
        <w:adjustRightInd w:val="0"/>
        <w:ind w:leftChars="82" w:left="180"/>
        <w:rPr>
          <w:rFonts w:ascii="Times New Roman" w:hAnsi="Times New Roman" w:cs="Times New Roman"/>
          <w:lang w:val="sl-SI" w:eastAsia="ko-KR"/>
        </w:rPr>
      </w:pPr>
    </w:p>
    <w:p w14:paraId="320FA3D4" w14:textId="77777777" w:rsidR="00270C6B" w:rsidRPr="00E9267A" w:rsidRDefault="00270C6B" w:rsidP="00270C6B">
      <w:pPr>
        <w:autoSpaceDE w:val="0"/>
        <w:autoSpaceDN w:val="0"/>
        <w:adjustRightInd w:val="0"/>
        <w:rPr>
          <w:rFonts w:ascii="Times New Roman" w:hAnsi="Times New Roman"/>
          <w:highlight w:val="lightGray"/>
          <w:lang w:val="sl-SI"/>
        </w:rPr>
      </w:pPr>
      <w:r w:rsidRPr="00E9267A">
        <w:rPr>
          <w:rFonts w:ascii="Times New Roman" w:hAnsi="Times New Roman"/>
          <w:highlight w:val="lightGray"/>
          <w:lang w:val="sl-SI"/>
        </w:rPr>
        <w:t>2 napolnjeni injekcijski brizgi</w:t>
      </w:r>
    </w:p>
    <w:p w14:paraId="7C730F69" w14:textId="2E63B8DB" w:rsidR="00D902B3" w:rsidRDefault="00D902B3" w:rsidP="00D902B3">
      <w:pPr>
        <w:autoSpaceDE w:val="0"/>
        <w:autoSpaceDN w:val="0"/>
        <w:adjustRightInd w:val="0"/>
        <w:rPr>
          <w:rFonts w:ascii="Times New Roman" w:hAnsi="Times New Roman" w:cs="Times New Roman"/>
          <w:lang w:val="sl-SI"/>
        </w:rPr>
      </w:pPr>
      <w:r w:rsidRPr="00E9267A">
        <w:rPr>
          <w:rFonts w:ascii="Times New Roman" w:hAnsi="Times New Roman"/>
          <w:highlight w:val="lightGray"/>
          <w:lang w:val="sl-SI"/>
        </w:rPr>
        <w:t>2 alkoholna zloženca</w:t>
      </w:r>
    </w:p>
    <w:p w14:paraId="103E7908" w14:textId="77777777" w:rsidR="00D902B3" w:rsidRDefault="00D902B3" w:rsidP="00D902B3">
      <w:pPr>
        <w:spacing w:line="200" w:lineRule="exact"/>
        <w:rPr>
          <w:lang w:val="sl-SI"/>
        </w:rPr>
      </w:pPr>
    </w:p>
    <w:p w14:paraId="47B5D71C" w14:textId="77777777" w:rsidR="00D902B3" w:rsidRDefault="00D902B3" w:rsidP="00D902B3">
      <w:pPr>
        <w:spacing w:line="200" w:lineRule="exact"/>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14:paraId="7105930C" w14:textId="77777777" w:rsidTr="00183CD7">
        <w:trPr>
          <w:trHeight w:val="317"/>
        </w:trPr>
        <w:tc>
          <w:tcPr>
            <w:tcW w:w="9666" w:type="dxa"/>
            <w:vAlign w:val="center"/>
          </w:tcPr>
          <w:p w14:paraId="260A37A6" w14:textId="77777777" w:rsidR="00D902B3" w:rsidRDefault="00D902B3" w:rsidP="007811C6">
            <w:pPr>
              <w:numPr>
                <w:ilvl w:val="0"/>
                <w:numId w:val="135"/>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POSTOPEK IN POT(I) UPORABE ZDRAVILA</w:t>
            </w:r>
          </w:p>
        </w:tc>
      </w:tr>
    </w:tbl>
    <w:p w14:paraId="7DE738F4" w14:textId="77777777" w:rsidR="00D902B3" w:rsidRDefault="00D902B3" w:rsidP="00D902B3">
      <w:pPr>
        <w:spacing w:line="200" w:lineRule="exact"/>
        <w:rPr>
          <w:lang w:val="sl-SI"/>
        </w:rPr>
      </w:pPr>
    </w:p>
    <w:p w14:paraId="2A80E3C0" w14:textId="77777777" w:rsidR="00D902B3" w:rsidRDefault="00D902B3" w:rsidP="00D902B3">
      <w:pPr>
        <w:pStyle w:val="a3"/>
        <w:rPr>
          <w:lang w:val="sl-SI"/>
        </w:rPr>
      </w:pPr>
      <w:r>
        <w:rPr>
          <w:rFonts w:eastAsia="Times New Roman"/>
          <w:lang w:val="sl-SI"/>
        </w:rPr>
        <w:t>subkutana uporaba</w:t>
      </w:r>
    </w:p>
    <w:p w14:paraId="2DAE0103" w14:textId="77777777" w:rsidR="00D902B3" w:rsidRDefault="00D902B3" w:rsidP="00D902B3">
      <w:pPr>
        <w:pStyle w:val="a3"/>
        <w:rPr>
          <w:lang w:val="sl-SI"/>
        </w:rPr>
      </w:pPr>
    </w:p>
    <w:p w14:paraId="076995C7" w14:textId="77777777" w:rsidR="00D902B3" w:rsidRDefault="00D902B3" w:rsidP="00D902B3">
      <w:pPr>
        <w:pStyle w:val="a3"/>
        <w:rPr>
          <w:lang w:val="sl-SI"/>
        </w:rPr>
      </w:pPr>
      <w:r>
        <w:rPr>
          <w:rFonts w:eastAsia="Times New Roman"/>
          <w:lang w:val="sl-SI"/>
        </w:rPr>
        <w:t>Pred uporabo preberite priloženo navodilo!</w:t>
      </w:r>
    </w:p>
    <w:p w14:paraId="78A3A3EB" w14:textId="77777777" w:rsidR="00D902B3" w:rsidRDefault="00D902B3" w:rsidP="00D902B3">
      <w:pPr>
        <w:pStyle w:val="a3"/>
        <w:rPr>
          <w:lang w:val="sl-SI"/>
        </w:rPr>
      </w:pPr>
    </w:p>
    <w:p w14:paraId="38D46A27" w14:textId="77777777" w:rsidR="00D902B3" w:rsidRDefault="00D902B3" w:rsidP="00D902B3">
      <w:pPr>
        <w:pStyle w:val="a3"/>
        <w:rPr>
          <w:lang w:val="sl-SI"/>
        </w:rPr>
      </w:pPr>
      <w:r>
        <w:rPr>
          <w:rFonts w:eastAsia="Times New Roman"/>
          <w:lang w:val="sl-SI"/>
        </w:rPr>
        <w:t>Samo za enkratno uporabo.</w:t>
      </w:r>
    </w:p>
    <w:p w14:paraId="47F936B4" w14:textId="483288B3" w:rsidR="00D902B3" w:rsidRDefault="00D902B3" w:rsidP="00D902B3">
      <w:pPr>
        <w:pStyle w:val="a3"/>
        <w:rPr>
          <w:lang w:val="sl-SI"/>
        </w:rPr>
      </w:pPr>
    </w:p>
    <w:p w14:paraId="55B323A0" w14:textId="2AB44C7E" w:rsidR="00270C6B" w:rsidRPr="00566D4D" w:rsidRDefault="00270C6B" w:rsidP="00D902B3">
      <w:pPr>
        <w:pStyle w:val="a3"/>
        <w:rPr>
          <w:lang w:val="sl-SI"/>
        </w:rPr>
      </w:pPr>
      <w:r w:rsidRPr="00566D4D">
        <w:rPr>
          <w:lang w:val="sl-SI"/>
        </w:rPr>
        <w:t>za pediatrično uporabo</w:t>
      </w:r>
    </w:p>
    <w:p w14:paraId="61E73EF6" w14:textId="77777777" w:rsidR="00270C6B" w:rsidRDefault="00270C6B" w:rsidP="00D902B3">
      <w:pPr>
        <w:pStyle w:val="a3"/>
        <w:rPr>
          <w:lang w:val="sl-SI"/>
        </w:rPr>
      </w:pPr>
    </w:p>
    <w:p w14:paraId="3EB47DBE" w14:textId="77777777" w:rsidR="00D902B3" w:rsidRDefault="00D902B3" w:rsidP="00D902B3">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rsidRPr="00652F18" w14:paraId="5B0E16F0" w14:textId="77777777" w:rsidTr="00183CD7">
        <w:trPr>
          <w:trHeight w:val="317"/>
        </w:trPr>
        <w:tc>
          <w:tcPr>
            <w:tcW w:w="9666" w:type="dxa"/>
            <w:vAlign w:val="center"/>
          </w:tcPr>
          <w:p w14:paraId="2D48C082" w14:textId="77777777" w:rsidR="00D902B3" w:rsidRDefault="00D902B3" w:rsidP="007811C6">
            <w:pPr>
              <w:numPr>
                <w:ilvl w:val="0"/>
                <w:numId w:val="135"/>
              </w:numPr>
              <w:tabs>
                <w:tab w:val="left" w:pos="672"/>
              </w:tabs>
              <w:ind w:left="550" w:hanging="550"/>
              <w:jc w:val="both"/>
              <w:rPr>
                <w:rFonts w:ascii="Times New Roman" w:eastAsia="Times New Roman" w:hAnsi="Times New Roman"/>
                <w:lang w:val="sl-SI"/>
              </w:rPr>
            </w:pPr>
            <w:r>
              <w:rPr>
                <w:rFonts w:ascii="Times New Roman" w:eastAsia="Times New Roman" w:hAnsi="Times New Roman" w:cs="Times New Roman"/>
                <w:b/>
                <w:bCs/>
                <w:spacing w:val="-1"/>
                <w:lang w:val="sl-SI"/>
              </w:rPr>
              <w:t>POSEBNO OPOZORILO O SHRANJEVANJU ZDRAVILA ZUNAJ DOSEGA IN POGLEDA OTROK</w:t>
            </w:r>
          </w:p>
        </w:tc>
      </w:tr>
    </w:tbl>
    <w:p w14:paraId="4692DB9D" w14:textId="77777777" w:rsidR="00D902B3" w:rsidRDefault="00D902B3" w:rsidP="00D902B3">
      <w:pPr>
        <w:spacing w:before="1" w:line="200" w:lineRule="exact"/>
        <w:rPr>
          <w:lang w:val="sl-SI"/>
        </w:rPr>
      </w:pPr>
    </w:p>
    <w:p w14:paraId="0AFFFB7E" w14:textId="77777777" w:rsidR="00D902B3" w:rsidRDefault="00D902B3" w:rsidP="00D902B3">
      <w:pPr>
        <w:pStyle w:val="a3"/>
        <w:rPr>
          <w:lang w:val="sl-SI"/>
        </w:rPr>
      </w:pPr>
      <w:r>
        <w:rPr>
          <w:rFonts w:eastAsia="Times New Roman"/>
          <w:lang w:val="sl-SI"/>
        </w:rPr>
        <w:t>Zdravilo shranjujte nedosegljivo otrokom!</w:t>
      </w:r>
    </w:p>
    <w:p w14:paraId="195FC201" w14:textId="77777777" w:rsidR="00D902B3" w:rsidRDefault="00D902B3" w:rsidP="00D902B3">
      <w:pPr>
        <w:pStyle w:val="a3"/>
        <w:rPr>
          <w:lang w:val="sl-SI"/>
        </w:rPr>
      </w:pPr>
    </w:p>
    <w:p w14:paraId="09A260CE" w14:textId="77777777" w:rsidR="00D902B3" w:rsidRDefault="00D902B3" w:rsidP="00D902B3">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rsidRPr="003138FB" w14:paraId="042CAAC5" w14:textId="77777777" w:rsidTr="00183CD7">
        <w:trPr>
          <w:trHeight w:val="317"/>
        </w:trPr>
        <w:tc>
          <w:tcPr>
            <w:tcW w:w="9666" w:type="dxa"/>
            <w:vAlign w:val="center"/>
          </w:tcPr>
          <w:p w14:paraId="35687A68" w14:textId="77777777" w:rsidR="00D902B3" w:rsidRDefault="00D902B3" w:rsidP="007811C6">
            <w:pPr>
              <w:numPr>
                <w:ilvl w:val="0"/>
                <w:numId w:val="135"/>
              </w:numPr>
              <w:tabs>
                <w:tab w:val="left" w:pos="672"/>
              </w:tabs>
              <w:ind w:left="550" w:hanging="550"/>
              <w:jc w:val="both"/>
              <w:rPr>
                <w:rFonts w:ascii="Times New Roman" w:eastAsia="Times New Roman" w:hAnsi="Times New Roman"/>
                <w:lang w:val="sl-SI"/>
              </w:rPr>
            </w:pPr>
            <w:r>
              <w:rPr>
                <w:rFonts w:ascii="Times New Roman" w:eastAsia="Times New Roman" w:hAnsi="Times New Roman" w:cs="Times New Roman"/>
                <w:b/>
                <w:bCs/>
                <w:spacing w:val="-1"/>
                <w:lang w:val="sl-SI"/>
              </w:rPr>
              <w:lastRenderedPageBreak/>
              <w:t>DRUGA POSEBNA OPOZORILA, ČE SO POTREBNA</w:t>
            </w:r>
          </w:p>
        </w:tc>
      </w:tr>
    </w:tbl>
    <w:p w14:paraId="40A009E1" w14:textId="77777777" w:rsidR="00D902B3" w:rsidRDefault="00D902B3" w:rsidP="00D902B3">
      <w:pPr>
        <w:rPr>
          <w:lang w:val="sl-SI"/>
        </w:rPr>
      </w:pPr>
    </w:p>
    <w:p w14:paraId="56A7CD0F" w14:textId="77777777" w:rsidR="00D902B3" w:rsidRDefault="00D902B3" w:rsidP="00D902B3">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rsidRPr="003138FB" w14:paraId="1084C2F7" w14:textId="77777777" w:rsidTr="00183CD7">
        <w:trPr>
          <w:trHeight w:val="317"/>
        </w:trPr>
        <w:tc>
          <w:tcPr>
            <w:tcW w:w="9666" w:type="dxa"/>
            <w:vAlign w:val="center"/>
          </w:tcPr>
          <w:p w14:paraId="7E72ADDC" w14:textId="77777777" w:rsidR="00D902B3" w:rsidRDefault="00D902B3" w:rsidP="007811C6">
            <w:pPr>
              <w:numPr>
                <w:ilvl w:val="0"/>
                <w:numId w:val="135"/>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DATUM IZTEKA ROKA UPORABNOSTI ZDRAVILA</w:t>
            </w:r>
          </w:p>
        </w:tc>
      </w:tr>
    </w:tbl>
    <w:p w14:paraId="503842E3" w14:textId="77777777" w:rsidR="00D902B3" w:rsidRDefault="00D902B3" w:rsidP="00D902B3">
      <w:pPr>
        <w:rPr>
          <w:lang w:val="sl-SI"/>
        </w:rPr>
      </w:pPr>
    </w:p>
    <w:p w14:paraId="196AF168" w14:textId="77777777" w:rsidR="00D902B3" w:rsidRDefault="00D902B3" w:rsidP="00D902B3">
      <w:pPr>
        <w:pStyle w:val="a3"/>
        <w:rPr>
          <w:lang w:val="sl-SI"/>
        </w:rPr>
      </w:pPr>
      <w:r>
        <w:rPr>
          <w:rFonts w:eastAsia="Times New Roman"/>
          <w:lang w:val="sl-SI"/>
        </w:rPr>
        <w:t>EXP</w:t>
      </w:r>
    </w:p>
    <w:p w14:paraId="36BBEEAF" w14:textId="77777777" w:rsidR="00D902B3" w:rsidRDefault="00D902B3" w:rsidP="00D902B3">
      <w:pPr>
        <w:rPr>
          <w:lang w:val="sl-SI"/>
        </w:rPr>
      </w:pPr>
    </w:p>
    <w:p w14:paraId="62C0897D" w14:textId="77777777" w:rsidR="00D902B3" w:rsidRDefault="00D902B3" w:rsidP="00D902B3">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14:paraId="0AD01CFF" w14:textId="77777777" w:rsidTr="00183CD7">
        <w:trPr>
          <w:trHeight w:val="317"/>
        </w:trPr>
        <w:tc>
          <w:tcPr>
            <w:tcW w:w="9666" w:type="dxa"/>
            <w:vAlign w:val="center"/>
          </w:tcPr>
          <w:p w14:paraId="0F67590E" w14:textId="77777777" w:rsidR="00D902B3" w:rsidRDefault="00D902B3" w:rsidP="007811C6">
            <w:pPr>
              <w:numPr>
                <w:ilvl w:val="0"/>
                <w:numId w:val="135"/>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POSEBNA NAVODILA ZA SHRANJEVANJE</w:t>
            </w:r>
          </w:p>
        </w:tc>
      </w:tr>
    </w:tbl>
    <w:p w14:paraId="6CF50ADF" w14:textId="77777777" w:rsidR="00D902B3" w:rsidRDefault="00D902B3" w:rsidP="00D902B3">
      <w:pPr>
        <w:rPr>
          <w:lang w:val="sl-SI"/>
        </w:rPr>
      </w:pPr>
    </w:p>
    <w:p w14:paraId="0FAEFB9C" w14:textId="77777777" w:rsidR="00D902B3" w:rsidRDefault="00D902B3" w:rsidP="00D902B3">
      <w:pPr>
        <w:pStyle w:val="a3"/>
        <w:rPr>
          <w:lang w:val="sl-SI"/>
        </w:rPr>
      </w:pPr>
      <w:r>
        <w:rPr>
          <w:rFonts w:eastAsia="Times New Roman"/>
          <w:lang w:val="sl-SI"/>
        </w:rPr>
        <w:t>Shranjujte v hladilniku. Ne zamrzujte.</w:t>
      </w:r>
    </w:p>
    <w:p w14:paraId="46F7470B" w14:textId="77777777" w:rsidR="00D902B3" w:rsidRDefault="00D902B3" w:rsidP="00D902B3">
      <w:pPr>
        <w:pStyle w:val="a3"/>
        <w:rPr>
          <w:lang w:val="sl-SI"/>
        </w:rPr>
      </w:pPr>
      <w:r>
        <w:rPr>
          <w:rFonts w:eastAsia="Times New Roman"/>
          <w:lang w:val="sl-SI"/>
        </w:rPr>
        <w:t>Napolnjeno injekcijsko brizgo shranjujte v zunanji ovojnini za zagotovitev zaščite pred svetlobo.</w:t>
      </w:r>
    </w:p>
    <w:p w14:paraId="5832D606" w14:textId="77777777" w:rsidR="00D902B3" w:rsidRDefault="00D902B3" w:rsidP="00D902B3">
      <w:pPr>
        <w:pStyle w:val="a3"/>
        <w:rPr>
          <w:lang w:val="sl-SI"/>
        </w:rPr>
      </w:pPr>
      <w:r>
        <w:rPr>
          <w:rFonts w:eastAsia="Times New Roman"/>
          <w:lang w:val="sl-SI"/>
        </w:rPr>
        <w:t>Za podrobnosti o drugačnem shranjevanju glejte navodilo za uporabo.</w:t>
      </w:r>
    </w:p>
    <w:p w14:paraId="314985E3" w14:textId="77777777" w:rsidR="00D902B3" w:rsidRDefault="00D902B3" w:rsidP="00D902B3">
      <w:pPr>
        <w:rPr>
          <w:lang w:val="sl-SI"/>
        </w:rPr>
      </w:pPr>
    </w:p>
    <w:p w14:paraId="6CA229E8" w14:textId="77777777" w:rsidR="00D902B3" w:rsidRDefault="00D902B3" w:rsidP="00D902B3">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rsidRPr="00652F18" w14:paraId="2B7C7F24" w14:textId="77777777" w:rsidTr="00183CD7">
        <w:trPr>
          <w:trHeight w:val="317"/>
        </w:trPr>
        <w:tc>
          <w:tcPr>
            <w:tcW w:w="9666" w:type="dxa"/>
            <w:vAlign w:val="center"/>
          </w:tcPr>
          <w:p w14:paraId="242E9E52" w14:textId="77777777" w:rsidR="00D902B3" w:rsidRDefault="00D902B3" w:rsidP="007811C6">
            <w:pPr>
              <w:numPr>
                <w:ilvl w:val="0"/>
                <w:numId w:val="135"/>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POSEBNI VARNOSTNI UKREPI ZA ODSTRANJEVANJE NEUPORABLJENIH ZDRAVIL ALI IZ NJIH NASTALIH ODPADNIH SNOVI, KADAR SO POTREBNI</w:t>
            </w:r>
          </w:p>
        </w:tc>
      </w:tr>
    </w:tbl>
    <w:p w14:paraId="62264944" w14:textId="77777777" w:rsidR="00D902B3" w:rsidRDefault="00D902B3" w:rsidP="00D902B3">
      <w:pPr>
        <w:rPr>
          <w:lang w:val="sl-SI"/>
        </w:rPr>
      </w:pPr>
    </w:p>
    <w:p w14:paraId="71D59097" w14:textId="77777777" w:rsidR="00D902B3" w:rsidRDefault="00D902B3" w:rsidP="00D902B3">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14:paraId="390AAA7B" w14:textId="77777777" w:rsidTr="00183CD7">
        <w:trPr>
          <w:trHeight w:val="317"/>
        </w:trPr>
        <w:tc>
          <w:tcPr>
            <w:tcW w:w="9666" w:type="dxa"/>
            <w:vAlign w:val="center"/>
          </w:tcPr>
          <w:p w14:paraId="2918D75C" w14:textId="77777777" w:rsidR="00D902B3" w:rsidRDefault="00D902B3" w:rsidP="007811C6">
            <w:pPr>
              <w:numPr>
                <w:ilvl w:val="0"/>
                <w:numId w:val="135"/>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IME IN NASLOV IMETNIKA DOVOLJENJA ZA PROMET Z ZDRAVILOM</w:t>
            </w:r>
          </w:p>
        </w:tc>
      </w:tr>
    </w:tbl>
    <w:p w14:paraId="693B0427" w14:textId="77777777" w:rsidR="00D902B3" w:rsidRDefault="00D902B3" w:rsidP="00D902B3">
      <w:pPr>
        <w:spacing w:before="5" w:line="200" w:lineRule="exact"/>
        <w:rPr>
          <w:lang w:val="sl-SI"/>
        </w:rPr>
      </w:pPr>
    </w:p>
    <w:p w14:paraId="181B3359" w14:textId="77777777" w:rsidR="00D902B3" w:rsidRDefault="00D902B3" w:rsidP="00D902B3">
      <w:pPr>
        <w:pStyle w:val="a3"/>
        <w:rPr>
          <w:lang w:val="sl-SI"/>
        </w:rPr>
      </w:pPr>
      <w:r>
        <w:rPr>
          <w:lang w:val="sl-SI"/>
        </w:rPr>
        <w:t xml:space="preserve">Celltrion Healthcare Hungary Kft. </w:t>
      </w:r>
    </w:p>
    <w:p w14:paraId="668D9560" w14:textId="77777777" w:rsidR="00D902B3" w:rsidRDefault="00D902B3" w:rsidP="00D902B3">
      <w:pPr>
        <w:pStyle w:val="a3"/>
        <w:rPr>
          <w:lang w:val="sl-SI"/>
        </w:rPr>
      </w:pPr>
      <w:r>
        <w:rPr>
          <w:lang w:val="sl-SI"/>
        </w:rPr>
        <w:t>1062 Budapest</w:t>
      </w:r>
    </w:p>
    <w:p w14:paraId="60A87EFB" w14:textId="77777777" w:rsidR="00D902B3" w:rsidRDefault="00D902B3" w:rsidP="00D902B3">
      <w:pPr>
        <w:pStyle w:val="a3"/>
        <w:rPr>
          <w:lang w:val="sl-SI"/>
        </w:rPr>
      </w:pPr>
      <w:r>
        <w:rPr>
          <w:lang w:val="sl-SI"/>
        </w:rPr>
        <w:t>Váci út 1-3. WestEnd Office Building B torony</w:t>
      </w:r>
    </w:p>
    <w:p w14:paraId="3B1C4DBB" w14:textId="77777777" w:rsidR="00D902B3" w:rsidRDefault="00D902B3" w:rsidP="00D902B3">
      <w:pPr>
        <w:pStyle w:val="a3"/>
        <w:rPr>
          <w:lang w:val="sl-SI"/>
        </w:rPr>
      </w:pPr>
      <w:r>
        <w:rPr>
          <w:rFonts w:eastAsia="Times New Roman"/>
          <w:lang w:val="sl-SI"/>
        </w:rPr>
        <w:t>Madžarska</w:t>
      </w:r>
    </w:p>
    <w:p w14:paraId="47DEE403" w14:textId="77777777" w:rsidR="00D902B3" w:rsidRDefault="00D902B3" w:rsidP="00D902B3">
      <w:pPr>
        <w:rPr>
          <w:lang w:val="sl-SI"/>
        </w:rPr>
      </w:pPr>
    </w:p>
    <w:p w14:paraId="4CDE2234" w14:textId="77777777" w:rsidR="00D902B3" w:rsidRDefault="00D902B3" w:rsidP="00D902B3">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rsidRPr="00652F18" w14:paraId="38CB25E2" w14:textId="77777777" w:rsidTr="00183CD7">
        <w:trPr>
          <w:trHeight w:val="317"/>
        </w:trPr>
        <w:tc>
          <w:tcPr>
            <w:tcW w:w="9666" w:type="dxa"/>
            <w:vAlign w:val="center"/>
          </w:tcPr>
          <w:p w14:paraId="00D2F9F0" w14:textId="77777777" w:rsidR="00D902B3" w:rsidRDefault="00D902B3" w:rsidP="007811C6">
            <w:pPr>
              <w:numPr>
                <w:ilvl w:val="0"/>
                <w:numId w:val="135"/>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ŠTEVILKA(E) DOVOLJENJA (DOVOLJENJ) ZA PROMET</w:t>
            </w:r>
          </w:p>
        </w:tc>
      </w:tr>
    </w:tbl>
    <w:p w14:paraId="647923B2" w14:textId="77777777" w:rsidR="00D902B3" w:rsidRDefault="00D902B3" w:rsidP="00D902B3">
      <w:pPr>
        <w:rPr>
          <w:lang w:val="sl-SI"/>
        </w:rPr>
      </w:pPr>
    </w:p>
    <w:p w14:paraId="165B4BBE" w14:textId="47478FAF" w:rsidR="00D902B3" w:rsidRPr="00E9267A" w:rsidRDefault="00D902B3" w:rsidP="00E9267A">
      <w:pPr>
        <w:autoSpaceDE w:val="0"/>
        <w:autoSpaceDN w:val="0"/>
        <w:adjustRightInd w:val="0"/>
        <w:rPr>
          <w:highlight w:val="lightGray"/>
          <w:lang w:val="sl-SI"/>
        </w:rPr>
      </w:pPr>
      <w:r w:rsidRPr="00E9267A">
        <w:rPr>
          <w:rFonts w:ascii="Times New Roman" w:hAnsi="Times New Roman"/>
          <w:lang w:val="sl-SI"/>
        </w:rPr>
        <w:t>EU/</w:t>
      </w:r>
      <w:r w:rsidRPr="00E9267A">
        <w:rPr>
          <w:rFonts w:ascii="Times New Roman" w:hAnsi="Times New Roman"/>
          <w:color w:val="000000"/>
          <w:lang w:val="sl-SI"/>
        </w:rPr>
        <w:t>1/20/1513/0</w:t>
      </w:r>
      <w:r w:rsidR="00270C6B" w:rsidRPr="00E9267A">
        <w:rPr>
          <w:rFonts w:ascii="Times New Roman" w:hAnsi="Times New Roman"/>
          <w:color w:val="000000"/>
          <w:lang w:val="sl-SI"/>
        </w:rPr>
        <w:t>17</w:t>
      </w:r>
      <w:r w:rsidR="006039B0" w:rsidRPr="006039B0">
        <w:rPr>
          <w:rFonts w:ascii="Times New Roman" w:hAnsi="Times New Roman" w:cs="Times New Roman"/>
          <w:color w:val="000000"/>
          <w:lang w:val="sl-SI" w:eastAsia="ko-KR"/>
        </w:rPr>
        <w:t xml:space="preserve"> </w:t>
      </w:r>
      <w:r w:rsidR="006039B0" w:rsidRPr="006039B0">
        <w:rPr>
          <w:rFonts w:ascii="Times New Roman" w:eastAsia="Times New Roman" w:hAnsi="Times New Roman" w:cs="Times New Roman"/>
          <w:highlight w:val="lightGray"/>
          <w:lang w:val="sl-SI"/>
        </w:rPr>
        <w:t>2 napolnjeni injekcijski brizgi</w:t>
      </w:r>
    </w:p>
    <w:p w14:paraId="41B2BBC5" w14:textId="77777777" w:rsidR="006039B0" w:rsidRPr="006039B0" w:rsidRDefault="006039B0" w:rsidP="00E9267A">
      <w:pPr>
        <w:autoSpaceDE w:val="0"/>
        <w:autoSpaceDN w:val="0"/>
        <w:adjustRightInd w:val="0"/>
        <w:rPr>
          <w:rFonts w:ascii="Times New Roman" w:hAnsi="Times New Roman" w:cs="Times New Roman"/>
          <w:lang w:val="sl-SI"/>
        </w:rPr>
      </w:pPr>
      <w:r w:rsidRPr="007F62CD">
        <w:rPr>
          <w:rFonts w:ascii="Times New Roman" w:hAnsi="Times New Roman" w:cs="Times New Roman"/>
          <w:highlight w:val="lightGray"/>
          <w:lang w:val="sl-SI" w:eastAsia="ko-KR"/>
        </w:rPr>
        <w:t xml:space="preserve">EU/1/20/1513/018 </w:t>
      </w:r>
      <w:r w:rsidRPr="007F62CD">
        <w:rPr>
          <w:rFonts w:ascii="Times New Roman" w:eastAsia="Times New Roman" w:hAnsi="Times New Roman" w:cs="Times New Roman"/>
          <w:highlight w:val="lightGray"/>
          <w:lang w:val="sl-SI"/>
        </w:rPr>
        <w:t>1 napolnjena injekcijska brizga</w:t>
      </w:r>
    </w:p>
    <w:p w14:paraId="0858FF13" w14:textId="77777777" w:rsidR="00D902B3" w:rsidRDefault="00D902B3" w:rsidP="00D902B3">
      <w:pPr>
        <w:rPr>
          <w:lang w:val="sl-SI"/>
        </w:rPr>
      </w:pPr>
    </w:p>
    <w:p w14:paraId="593E3DD7" w14:textId="77777777" w:rsidR="00D902B3" w:rsidRDefault="00D902B3" w:rsidP="00D902B3">
      <w:pPr>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14:paraId="321731EF" w14:textId="77777777" w:rsidTr="00183CD7">
        <w:trPr>
          <w:trHeight w:val="317"/>
        </w:trPr>
        <w:tc>
          <w:tcPr>
            <w:tcW w:w="9666" w:type="dxa"/>
            <w:vAlign w:val="center"/>
          </w:tcPr>
          <w:p w14:paraId="43D734F3" w14:textId="77777777" w:rsidR="00D902B3" w:rsidRDefault="00D902B3" w:rsidP="007811C6">
            <w:pPr>
              <w:numPr>
                <w:ilvl w:val="0"/>
                <w:numId w:val="135"/>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ŠTEVILKA SERIJE</w:t>
            </w:r>
          </w:p>
        </w:tc>
      </w:tr>
    </w:tbl>
    <w:p w14:paraId="3EE367A1" w14:textId="77777777" w:rsidR="00D902B3" w:rsidRDefault="00D902B3" w:rsidP="00D902B3">
      <w:pPr>
        <w:rPr>
          <w:lang w:val="sl-SI"/>
        </w:rPr>
      </w:pPr>
    </w:p>
    <w:p w14:paraId="350B621B" w14:textId="77777777" w:rsidR="00D902B3" w:rsidRDefault="00D902B3" w:rsidP="00D902B3">
      <w:pPr>
        <w:pStyle w:val="a3"/>
        <w:rPr>
          <w:lang w:val="sl-SI"/>
        </w:rPr>
      </w:pPr>
      <w:r>
        <w:rPr>
          <w:rFonts w:eastAsia="Times New Roman"/>
          <w:lang w:val="sl-SI"/>
        </w:rPr>
        <w:t xml:space="preserve">Lot </w:t>
      </w:r>
    </w:p>
    <w:p w14:paraId="10BF7EC0" w14:textId="77777777" w:rsidR="00D902B3" w:rsidRDefault="00D902B3" w:rsidP="00D902B3">
      <w:pPr>
        <w:pStyle w:val="a3"/>
        <w:rPr>
          <w:lang w:val="sl-SI"/>
        </w:rPr>
      </w:pPr>
    </w:p>
    <w:p w14:paraId="1D6E5688" w14:textId="77777777" w:rsidR="00D902B3" w:rsidRDefault="00D902B3" w:rsidP="00D902B3">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rsidRPr="00652F18" w14:paraId="1BE2A769" w14:textId="77777777" w:rsidTr="00183CD7">
        <w:trPr>
          <w:trHeight w:val="317"/>
        </w:trPr>
        <w:tc>
          <w:tcPr>
            <w:tcW w:w="9666" w:type="dxa"/>
            <w:vAlign w:val="center"/>
          </w:tcPr>
          <w:p w14:paraId="2CFA5D86" w14:textId="77777777" w:rsidR="00D902B3" w:rsidRDefault="00D902B3" w:rsidP="007811C6">
            <w:pPr>
              <w:numPr>
                <w:ilvl w:val="0"/>
                <w:numId w:val="135"/>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NAČIN IZDAJANJA ZDRAVILA</w:t>
            </w:r>
          </w:p>
        </w:tc>
      </w:tr>
    </w:tbl>
    <w:p w14:paraId="613D36CB" w14:textId="77777777" w:rsidR="00D902B3" w:rsidRDefault="00D902B3" w:rsidP="00D902B3">
      <w:pPr>
        <w:jc w:val="both"/>
        <w:rPr>
          <w:lang w:val="sl-SI"/>
        </w:rPr>
      </w:pPr>
    </w:p>
    <w:p w14:paraId="046BE6D0" w14:textId="77777777" w:rsidR="00D902B3" w:rsidRDefault="00D902B3" w:rsidP="00D902B3">
      <w:pPr>
        <w:jc w:val="both"/>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14:paraId="364DC4F2" w14:textId="77777777" w:rsidTr="00183CD7">
        <w:trPr>
          <w:trHeight w:val="317"/>
        </w:trPr>
        <w:tc>
          <w:tcPr>
            <w:tcW w:w="9666" w:type="dxa"/>
            <w:vAlign w:val="center"/>
          </w:tcPr>
          <w:p w14:paraId="3A825D9B" w14:textId="77777777" w:rsidR="00D902B3" w:rsidRDefault="00D902B3" w:rsidP="007811C6">
            <w:pPr>
              <w:numPr>
                <w:ilvl w:val="0"/>
                <w:numId w:val="135"/>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NAVODILA ZA UPORABO</w:t>
            </w:r>
          </w:p>
        </w:tc>
      </w:tr>
    </w:tbl>
    <w:p w14:paraId="6089563F" w14:textId="77777777" w:rsidR="00D902B3" w:rsidRDefault="00D902B3" w:rsidP="00D902B3">
      <w:pPr>
        <w:jc w:val="both"/>
        <w:rPr>
          <w:lang w:val="sl-SI"/>
        </w:rPr>
      </w:pPr>
    </w:p>
    <w:p w14:paraId="0FBEA307" w14:textId="77777777" w:rsidR="00D902B3" w:rsidRDefault="00D902B3" w:rsidP="00D902B3">
      <w:pPr>
        <w:jc w:val="both"/>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14:paraId="34B06889" w14:textId="77777777" w:rsidTr="00183CD7">
        <w:trPr>
          <w:trHeight w:val="317"/>
        </w:trPr>
        <w:tc>
          <w:tcPr>
            <w:tcW w:w="9666" w:type="dxa"/>
            <w:vAlign w:val="center"/>
          </w:tcPr>
          <w:p w14:paraId="1F810BDA" w14:textId="77777777" w:rsidR="00D902B3" w:rsidRDefault="00D902B3" w:rsidP="007811C6">
            <w:pPr>
              <w:numPr>
                <w:ilvl w:val="0"/>
                <w:numId w:val="135"/>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lastRenderedPageBreak/>
              <w:t>PODATKI V BRAILLOVI PISAVI</w:t>
            </w:r>
          </w:p>
        </w:tc>
      </w:tr>
    </w:tbl>
    <w:p w14:paraId="6EA72E67" w14:textId="77777777" w:rsidR="00D902B3" w:rsidRDefault="00D902B3" w:rsidP="00D902B3">
      <w:pPr>
        <w:jc w:val="both"/>
        <w:rPr>
          <w:lang w:val="sl-SI"/>
        </w:rPr>
      </w:pPr>
    </w:p>
    <w:p w14:paraId="1EAC0F12" w14:textId="7553D26B" w:rsidR="00D902B3" w:rsidRDefault="00D902B3" w:rsidP="00D902B3">
      <w:pPr>
        <w:pStyle w:val="a3"/>
        <w:rPr>
          <w:lang w:val="sl-SI"/>
        </w:rPr>
      </w:pPr>
      <w:r>
        <w:rPr>
          <w:rFonts w:eastAsia="Times New Roman"/>
          <w:lang w:val="sl-SI"/>
        </w:rPr>
        <w:t xml:space="preserve">Yuflyma </w:t>
      </w:r>
      <w:r w:rsidR="00270C6B">
        <w:rPr>
          <w:rFonts w:eastAsia="Times New Roman"/>
          <w:lang w:val="sl-SI"/>
        </w:rPr>
        <w:t>20</w:t>
      </w:r>
      <w:r>
        <w:rPr>
          <w:rFonts w:eastAsia="Times New Roman"/>
          <w:lang w:val="sl-SI"/>
        </w:rPr>
        <w:t xml:space="preserve"> mg</w:t>
      </w:r>
    </w:p>
    <w:p w14:paraId="49CADD83" w14:textId="77777777" w:rsidR="00D902B3" w:rsidRDefault="00D902B3" w:rsidP="00D902B3">
      <w:pPr>
        <w:jc w:val="both"/>
        <w:rPr>
          <w:lang w:val="sl-SI"/>
        </w:rPr>
      </w:pPr>
    </w:p>
    <w:p w14:paraId="06A0B85F" w14:textId="77777777" w:rsidR="00D902B3" w:rsidRDefault="00D902B3" w:rsidP="00D902B3">
      <w:pPr>
        <w:jc w:val="both"/>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rsidRPr="00652F18" w14:paraId="14DD64D9" w14:textId="77777777" w:rsidTr="00183CD7">
        <w:trPr>
          <w:trHeight w:val="317"/>
        </w:trPr>
        <w:tc>
          <w:tcPr>
            <w:tcW w:w="9666" w:type="dxa"/>
            <w:vAlign w:val="center"/>
          </w:tcPr>
          <w:p w14:paraId="5ECDB674" w14:textId="77777777" w:rsidR="00D902B3" w:rsidRDefault="00D902B3" w:rsidP="007811C6">
            <w:pPr>
              <w:numPr>
                <w:ilvl w:val="0"/>
                <w:numId w:val="135"/>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EDINSTVENA OZNAKA – DVODIMENZIONALNA ČRTNA KODA</w:t>
            </w:r>
          </w:p>
        </w:tc>
      </w:tr>
    </w:tbl>
    <w:p w14:paraId="0C72911B" w14:textId="77777777" w:rsidR="00D902B3" w:rsidRDefault="00D902B3" w:rsidP="00D902B3">
      <w:pPr>
        <w:jc w:val="both"/>
        <w:rPr>
          <w:lang w:val="sl-SI"/>
        </w:rPr>
      </w:pPr>
    </w:p>
    <w:p w14:paraId="22357C19" w14:textId="77777777" w:rsidR="00D902B3" w:rsidRDefault="00D902B3" w:rsidP="00D902B3">
      <w:pPr>
        <w:pStyle w:val="a3"/>
        <w:rPr>
          <w:lang w:val="sl-SI"/>
        </w:rPr>
      </w:pPr>
      <w:r w:rsidRPr="008E1817">
        <w:rPr>
          <w:rFonts w:eastAsia="Times New Roman"/>
          <w:highlight w:val="lightGray"/>
          <w:lang w:val="sl-SI"/>
        </w:rPr>
        <w:t>Vsebuje dvodimenzionalno črtno kodo z edinstveno oznako.</w:t>
      </w:r>
    </w:p>
    <w:p w14:paraId="78E682E7" w14:textId="77777777" w:rsidR="00D902B3" w:rsidRDefault="00D902B3" w:rsidP="00D902B3">
      <w:pPr>
        <w:jc w:val="both"/>
        <w:rPr>
          <w:lang w:val="sl-SI"/>
        </w:rPr>
      </w:pPr>
    </w:p>
    <w:p w14:paraId="3E38BE1F" w14:textId="77777777" w:rsidR="00D902B3" w:rsidRDefault="00D902B3" w:rsidP="00D902B3">
      <w:pPr>
        <w:jc w:val="both"/>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rsidRPr="00AC7013" w14:paraId="08B49828" w14:textId="77777777" w:rsidTr="00183CD7">
        <w:trPr>
          <w:trHeight w:val="317"/>
        </w:trPr>
        <w:tc>
          <w:tcPr>
            <w:tcW w:w="9666" w:type="dxa"/>
            <w:vAlign w:val="center"/>
          </w:tcPr>
          <w:p w14:paraId="21E27BD0" w14:textId="77777777" w:rsidR="00D902B3" w:rsidRDefault="00D902B3" w:rsidP="007811C6">
            <w:pPr>
              <w:numPr>
                <w:ilvl w:val="0"/>
                <w:numId w:val="135"/>
              </w:numPr>
              <w:tabs>
                <w:tab w:val="left" w:pos="672"/>
              </w:tabs>
              <w:ind w:left="550" w:hanging="550"/>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EDINSTVENA OZNAKA – V BERLJIVI OBLIKI</w:t>
            </w:r>
          </w:p>
        </w:tc>
      </w:tr>
    </w:tbl>
    <w:p w14:paraId="133DF5D9" w14:textId="77777777" w:rsidR="00D902B3" w:rsidRDefault="00D902B3" w:rsidP="00D902B3">
      <w:pPr>
        <w:jc w:val="both"/>
        <w:rPr>
          <w:lang w:val="sl-SI"/>
        </w:rPr>
      </w:pPr>
    </w:p>
    <w:p w14:paraId="4B0D4BF7" w14:textId="77777777" w:rsidR="00D902B3" w:rsidRDefault="00D902B3" w:rsidP="00D902B3">
      <w:pPr>
        <w:pStyle w:val="a3"/>
        <w:rPr>
          <w:lang w:val="sl-SI"/>
        </w:rPr>
      </w:pPr>
      <w:r>
        <w:rPr>
          <w:rFonts w:eastAsia="Times New Roman"/>
          <w:lang w:val="sl-SI"/>
        </w:rPr>
        <w:t>PC</w:t>
      </w:r>
    </w:p>
    <w:p w14:paraId="58281D2B" w14:textId="77777777" w:rsidR="00D902B3" w:rsidRDefault="00D902B3" w:rsidP="00D902B3">
      <w:pPr>
        <w:pStyle w:val="a3"/>
        <w:rPr>
          <w:lang w:val="sl-SI"/>
        </w:rPr>
      </w:pPr>
      <w:r>
        <w:rPr>
          <w:rFonts w:eastAsia="Times New Roman"/>
          <w:lang w:val="sl-SI"/>
        </w:rPr>
        <w:t>SN</w:t>
      </w:r>
    </w:p>
    <w:p w14:paraId="15F3DDAE" w14:textId="77777777" w:rsidR="00D902B3" w:rsidRDefault="00D902B3" w:rsidP="00D902B3">
      <w:pPr>
        <w:pStyle w:val="a3"/>
        <w:rPr>
          <w:lang w:val="sl-SI"/>
        </w:rPr>
      </w:pPr>
      <w:r>
        <w:rPr>
          <w:rFonts w:eastAsia="Times New Roman"/>
          <w:spacing w:val="-2"/>
          <w:lang w:val="sl-SI"/>
        </w:rPr>
        <w:t>NN</w:t>
      </w:r>
    </w:p>
    <w:p w14:paraId="478C14A2" w14:textId="77777777" w:rsidR="00D902B3" w:rsidRDefault="00D902B3" w:rsidP="00D902B3">
      <w:pPr>
        <w:rPr>
          <w:lang w:val="sl-SI"/>
        </w:rPr>
      </w:pPr>
      <w:r>
        <w:rPr>
          <w:lang w:val="sl-SI"/>
        </w:rPr>
        <w:br w:type="page"/>
      </w:r>
    </w:p>
    <w:tbl>
      <w:tblPr>
        <w:tblStyle w:val="ac"/>
        <w:tblW w:w="9666" w:type="dxa"/>
        <w:tblLook w:val="04A0" w:firstRow="1" w:lastRow="0" w:firstColumn="1" w:lastColumn="0" w:noHBand="0" w:noVBand="1"/>
      </w:tblPr>
      <w:tblGrid>
        <w:gridCol w:w="9666"/>
      </w:tblGrid>
      <w:tr w:rsidR="00D902B3" w:rsidRPr="00652F18" w14:paraId="677473E3" w14:textId="77777777" w:rsidTr="00183CD7">
        <w:trPr>
          <w:trHeight w:val="822"/>
        </w:trPr>
        <w:tc>
          <w:tcPr>
            <w:tcW w:w="9666" w:type="dxa"/>
            <w:vAlign w:val="center"/>
          </w:tcPr>
          <w:p w14:paraId="64005C12" w14:textId="77777777" w:rsidR="00D902B3" w:rsidRDefault="00D902B3" w:rsidP="00183CD7">
            <w:pPr>
              <w:tabs>
                <w:tab w:val="left" w:pos="672"/>
              </w:tabs>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lastRenderedPageBreak/>
              <w:t xml:space="preserve">PODATKI, KI MORAJO BITI NAJMANJ NAVEDENI NA MANJŠIH STIČNIH OVOJNINAH </w:t>
            </w:r>
          </w:p>
          <w:p w14:paraId="7CD91AD7" w14:textId="77777777" w:rsidR="00D902B3" w:rsidRDefault="00D902B3" w:rsidP="00183CD7">
            <w:pPr>
              <w:tabs>
                <w:tab w:val="left" w:pos="672"/>
              </w:tabs>
              <w:jc w:val="both"/>
              <w:rPr>
                <w:rFonts w:ascii="Times New Roman" w:eastAsia="Times New Roman" w:hAnsi="Times New Roman" w:cs="Times New Roman"/>
                <w:b/>
                <w:bCs/>
                <w:spacing w:val="-1"/>
                <w:lang w:val="sl-SI"/>
              </w:rPr>
            </w:pPr>
          </w:p>
          <w:p w14:paraId="2FE7B76C" w14:textId="77777777" w:rsidR="00D902B3" w:rsidRDefault="00D902B3" w:rsidP="00183CD7">
            <w:pPr>
              <w:tabs>
                <w:tab w:val="left" w:pos="672"/>
              </w:tabs>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OZNAKA ZA NAPOLNJENO INJEKCIJSKO BRIZGO</w:t>
            </w:r>
          </w:p>
        </w:tc>
      </w:tr>
    </w:tbl>
    <w:p w14:paraId="798EBA81" w14:textId="77777777" w:rsidR="00D902B3" w:rsidRDefault="00D902B3" w:rsidP="00D902B3">
      <w:pPr>
        <w:spacing w:line="200" w:lineRule="exact"/>
        <w:rPr>
          <w:lang w:val="sl-SI"/>
        </w:rPr>
      </w:pPr>
    </w:p>
    <w:p w14:paraId="7395EE68" w14:textId="77777777" w:rsidR="00D902B3" w:rsidRDefault="00D902B3" w:rsidP="00D902B3">
      <w:pPr>
        <w:spacing w:line="200" w:lineRule="exact"/>
        <w:rPr>
          <w:lang w:val="sl-SI"/>
        </w:rPr>
      </w:pPr>
    </w:p>
    <w:tbl>
      <w:tblPr>
        <w:tblStyle w:val="ac"/>
        <w:tblpPr w:leftFromText="142" w:rightFromText="142" w:vertAnchor="text" w:tblpY="55"/>
        <w:tblW w:w="9666" w:type="dxa"/>
        <w:tblLook w:val="04A0" w:firstRow="1" w:lastRow="0" w:firstColumn="1" w:lastColumn="0" w:noHBand="0" w:noVBand="1"/>
      </w:tblPr>
      <w:tblGrid>
        <w:gridCol w:w="9666"/>
      </w:tblGrid>
      <w:tr w:rsidR="00D902B3" w14:paraId="33C4EF74" w14:textId="77777777" w:rsidTr="00183CD7">
        <w:trPr>
          <w:trHeight w:val="317"/>
        </w:trPr>
        <w:tc>
          <w:tcPr>
            <w:tcW w:w="9666" w:type="dxa"/>
            <w:vAlign w:val="center"/>
          </w:tcPr>
          <w:p w14:paraId="59E7FC3F" w14:textId="77777777" w:rsidR="00D902B3" w:rsidRDefault="00D902B3" w:rsidP="007811C6">
            <w:pPr>
              <w:numPr>
                <w:ilvl w:val="0"/>
                <w:numId w:val="136"/>
              </w:numPr>
              <w:tabs>
                <w:tab w:val="left" w:pos="672"/>
              </w:tabs>
              <w:ind w:left="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IME ZDRAVILA IN POT(I) UPORABE ZDRAVILA</w:t>
            </w:r>
          </w:p>
        </w:tc>
      </w:tr>
    </w:tbl>
    <w:p w14:paraId="25230491" w14:textId="77777777" w:rsidR="00D902B3" w:rsidRDefault="00D902B3" w:rsidP="00D902B3">
      <w:pPr>
        <w:spacing w:line="200" w:lineRule="exact"/>
        <w:rPr>
          <w:lang w:val="sl-SI"/>
        </w:rPr>
      </w:pPr>
    </w:p>
    <w:p w14:paraId="4B72F6D5" w14:textId="21F4776F" w:rsidR="00D902B3" w:rsidRDefault="00D902B3" w:rsidP="00D902B3">
      <w:pPr>
        <w:pStyle w:val="a3"/>
        <w:rPr>
          <w:lang w:val="sl-SI"/>
        </w:rPr>
      </w:pPr>
      <w:r>
        <w:rPr>
          <w:rFonts w:eastAsia="Times New Roman"/>
          <w:lang w:val="sl-SI"/>
        </w:rPr>
        <w:t xml:space="preserve">Yuflyma </w:t>
      </w:r>
      <w:r w:rsidR="00270C6B">
        <w:rPr>
          <w:rFonts w:eastAsia="Times New Roman"/>
          <w:lang w:val="sl-SI"/>
        </w:rPr>
        <w:t>20</w:t>
      </w:r>
      <w:r>
        <w:rPr>
          <w:rFonts w:eastAsia="Times New Roman"/>
          <w:lang w:val="sl-SI"/>
        </w:rPr>
        <w:t xml:space="preserve"> mg injekcija</w:t>
      </w:r>
    </w:p>
    <w:p w14:paraId="14742026" w14:textId="77777777" w:rsidR="00D902B3" w:rsidRDefault="00D902B3" w:rsidP="00D902B3">
      <w:pPr>
        <w:pStyle w:val="a3"/>
        <w:rPr>
          <w:lang w:val="sl-SI"/>
        </w:rPr>
      </w:pPr>
      <w:r>
        <w:rPr>
          <w:rFonts w:eastAsia="Times New Roman"/>
          <w:lang w:val="sl-SI"/>
        </w:rPr>
        <w:t>adalimumab</w:t>
      </w:r>
    </w:p>
    <w:p w14:paraId="46021251" w14:textId="77777777" w:rsidR="00D902B3" w:rsidRDefault="00D902B3" w:rsidP="00D902B3">
      <w:pPr>
        <w:pStyle w:val="a3"/>
        <w:rPr>
          <w:lang w:val="sl-SI"/>
        </w:rPr>
      </w:pPr>
      <w:r>
        <w:rPr>
          <w:rFonts w:eastAsia="Times New Roman"/>
          <w:lang w:val="sl-SI"/>
        </w:rPr>
        <w:t xml:space="preserve">s.c. </w:t>
      </w:r>
    </w:p>
    <w:p w14:paraId="58859653" w14:textId="77777777" w:rsidR="00D902B3" w:rsidRDefault="00D902B3" w:rsidP="00D902B3">
      <w:pPr>
        <w:pStyle w:val="a3"/>
        <w:rPr>
          <w:lang w:val="sl-SI"/>
        </w:rPr>
      </w:pPr>
    </w:p>
    <w:p w14:paraId="17E4D362" w14:textId="77777777" w:rsidR="00D902B3" w:rsidRDefault="00D902B3" w:rsidP="00D902B3">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14:paraId="266CF8B0" w14:textId="77777777" w:rsidTr="00183CD7">
        <w:trPr>
          <w:trHeight w:val="317"/>
        </w:trPr>
        <w:tc>
          <w:tcPr>
            <w:tcW w:w="9666" w:type="dxa"/>
            <w:vAlign w:val="center"/>
          </w:tcPr>
          <w:p w14:paraId="408E194A" w14:textId="77777777" w:rsidR="00D902B3" w:rsidRDefault="00D902B3" w:rsidP="007811C6">
            <w:pPr>
              <w:numPr>
                <w:ilvl w:val="0"/>
                <w:numId w:val="136"/>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POSTOPEK UPORABE</w:t>
            </w:r>
          </w:p>
        </w:tc>
      </w:tr>
    </w:tbl>
    <w:p w14:paraId="3D8D3262" w14:textId="77777777" w:rsidR="00D902B3" w:rsidRDefault="00D902B3" w:rsidP="00D902B3">
      <w:pPr>
        <w:spacing w:before="13" w:line="280" w:lineRule="exact"/>
        <w:rPr>
          <w:lang w:val="sl-SI"/>
        </w:rPr>
      </w:pPr>
    </w:p>
    <w:p w14:paraId="6CD2A726" w14:textId="77777777" w:rsidR="00D902B3" w:rsidRDefault="00D902B3" w:rsidP="00D902B3">
      <w:pPr>
        <w:spacing w:before="13" w:line="280" w:lineRule="exact"/>
        <w:rPr>
          <w:lang w:val="sl-SI"/>
        </w:rPr>
      </w:pPr>
    </w:p>
    <w:p w14:paraId="68635CEE" w14:textId="77777777" w:rsidR="00D902B3" w:rsidRDefault="00D902B3" w:rsidP="00D902B3">
      <w:pPr>
        <w:spacing w:before="13" w:line="280" w:lineRule="exact"/>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rsidRPr="003138FB" w14:paraId="27C0634C" w14:textId="77777777" w:rsidTr="00183CD7">
        <w:trPr>
          <w:trHeight w:val="317"/>
        </w:trPr>
        <w:tc>
          <w:tcPr>
            <w:tcW w:w="9666" w:type="dxa"/>
            <w:vAlign w:val="center"/>
          </w:tcPr>
          <w:p w14:paraId="46F107AD" w14:textId="77777777" w:rsidR="00D902B3" w:rsidRDefault="00D902B3" w:rsidP="007811C6">
            <w:pPr>
              <w:numPr>
                <w:ilvl w:val="0"/>
                <w:numId w:val="136"/>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DATUM IZTEKA ROKA UPORABNOSTI ZDRAVILA</w:t>
            </w:r>
          </w:p>
        </w:tc>
      </w:tr>
    </w:tbl>
    <w:p w14:paraId="1AAE2038" w14:textId="77777777" w:rsidR="00D902B3" w:rsidRDefault="00D902B3" w:rsidP="00D902B3">
      <w:pPr>
        <w:pStyle w:val="a3"/>
        <w:rPr>
          <w:lang w:val="sl-SI"/>
        </w:rPr>
      </w:pPr>
    </w:p>
    <w:p w14:paraId="2516D45E" w14:textId="77777777" w:rsidR="00D902B3" w:rsidRDefault="00D902B3" w:rsidP="00D902B3">
      <w:pPr>
        <w:pStyle w:val="a3"/>
        <w:rPr>
          <w:lang w:val="sl-SI"/>
        </w:rPr>
      </w:pPr>
      <w:r>
        <w:rPr>
          <w:rFonts w:eastAsia="Times New Roman"/>
          <w:lang w:val="sl-SI"/>
        </w:rPr>
        <w:t>EXP</w:t>
      </w:r>
    </w:p>
    <w:p w14:paraId="77DDF3AF" w14:textId="77777777" w:rsidR="00D902B3" w:rsidRDefault="00D902B3" w:rsidP="00D902B3">
      <w:pPr>
        <w:pStyle w:val="a3"/>
        <w:rPr>
          <w:lang w:val="sl-SI"/>
        </w:rPr>
      </w:pPr>
    </w:p>
    <w:p w14:paraId="18DA831A" w14:textId="77777777" w:rsidR="00D902B3" w:rsidRDefault="00D902B3" w:rsidP="00D902B3">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14:paraId="7C7C2678" w14:textId="77777777" w:rsidTr="00183CD7">
        <w:trPr>
          <w:trHeight w:val="317"/>
        </w:trPr>
        <w:tc>
          <w:tcPr>
            <w:tcW w:w="9666" w:type="dxa"/>
            <w:vAlign w:val="center"/>
          </w:tcPr>
          <w:p w14:paraId="11E4401C" w14:textId="77777777" w:rsidR="00D902B3" w:rsidRDefault="00D902B3" w:rsidP="007811C6">
            <w:pPr>
              <w:numPr>
                <w:ilvl w:val="0"/>
                <w:numId w:val="136"/>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ŠTEVILKA SERIJE</w:t>
            </w:r>
          </w:p>
        </w:tc>
      </w:tr>
    </w:tbl>
    <w:p w14:paraId="41DCC18E" w14:textId="77777777" w:rsidR="00D902B3" w:rsidRDefault="00D902B3" w:rsidP="00D902B3">
      <w:pPr>
        <w:pStyle w:val="a3"/>
        <w:rPr>
          <w:lang w:val="sl-SI"/>
        </w:rPr>
      </w:pPr>
    </w:p>
    <w:p w14:paraId="4CFA3715" w14:textId="77777777" w:rsidR="00D902B3" w:rsidRDefault="00D902B3" w:rsidP="00D902B3">
      <w:pPr>
        <w:pStyle w:val="a3"/>
        <w:rPr>
          <w:lang w:val="sl-SI"/>
        </w:rPr>
      </w:pPr>
      <w:r>
        <w:rPr>
          <w:rFonts w:eastAsia="Times New Roman"/>
          <w:lang w:val="sl-SI"/>
        </w:rPr>
        <w:t>Lot</w:t>
      </w:r>
    </w:p>
    <w:p w14:paraId="361FF9F2" w14:textId="77777777" w:rsidR="00D902B3" w:rsidRDefault="00D902B3" w:rsidP="00D902B3">
      <w:pPr>
        <w:pStyle w:val="a3"/>
        <w:rPr>
          <w:lang w:val="sl-SI"/>
        </w:rPr>
      </w:pPr>
    </w:p>
    <w:p w14:paraId="03C4802D" w14:textId="77777777" w:rsidR="00D902B3" w:rsidRDefault="00D902B3" w:rsidP="00D902B3">
      <w:pPr>
        <w:pStyle w:val="a3"/>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rsidRPr="003138FB" w14:paraId="5A4CAE86" w14:textId="77777777" w:rsidTr="00183CD7">
        <w:trPr>
          <w:trHeight w:val="317"/>
        </w:trPr>
        <w:tc>
          <w:tcPr>
            <w:tcW w:w="9666" w:type="dxa"/>
            <w:vAlign w:val="center"/>
          </w:tcPr>
          <w:p w14:paraId="2475E7DC" w14:textId="77777777" w:rsidR="00D902B3" w:rsidRDefault="00D902B3" w:rsidP="007811C6">
            <w:pPr>
              <w:numPr>
                <w:ilvl w:val="0"/>
                <w:numId w:val="136"/>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VSEBINA, IZRAŽENA Z MASO, PROSTORNINO ALI ŠTEVILOM ENOT</w:t>
            </w:r>
          </w:p>
        </w:tc>
      </w:tr>
    </w:tbl>
    <w:p w14:paraId="4AD02F15" w14:textId="77777777" w:rsidR="00D902B3" w:rsidRDefault="00D902B3" w:rsidP="00D902B3">
      <w:pPr>
        <w:spacing w:before="13" w:line="280" w:lineRule="exact"/>
        <w:rPr>
          <w:lang w:val="sl-SI"/>
        </w:rPr>
      </w:pPr>
    </w:p>
    <w:p w14:paraId="2FAB21C1" w14:textId="319291B8" w:rsidR="00D902B3" w:rsidRDefault="00270C6B" w:rsidP="00D902B3">
      <w:pPr>
        <w:pStyle w:val="a3"/>
        <w:rPr>
          <w:lang w:val="sl-SI"/>
        </w:rPr>
      </w:pPr>
      <w:r>
        <w:rPr>
          <w:rFonts w:eastAsia="Times New Roman"/>
          <w:spacing w:val="-4"/>
          <w:lang w:val="sl-SI"/>
        </w:rPr>
        <w:t>20</w:t>
      </w:r>
      <w:r w:rsidR="00D902B3">
        <w:rPr>
          <w:rFonts w:eastAsia="Times New Roman"/>
          <w:spacing w:val="-4"/>
          <w:lang w:val="sl-SI"/>
        </w:rPr>
        <w:t> </w:t>
      </w:r>
      <w:r w:rsidR="00D902B3" w:rsidRPr="00C33A0D">
        <w:rPr>
          <w:rFonts w:eastAsia="Times New Roman"/>
          <w:spacing w:val="-4"/>
          <w:lang w:val="sl-SI"/>
        </w:rPr>
        <w:t>mg</w:t>
      </w:r>
      <w:r w:rsidR="00D902B3" w:rsidRPr="00CC6ABA">
        <w:rPr>
          <w:rFonts w:eastAsia="Times New Roman"/>
          <w:spacing w:val="-4"/>
          <w:lang w:val="sl-SI"/>
        </w:rPr>
        <w:t>/0,</w:t>
      </w:r>
      <w:r>
        <w:rPr>
          <w:rFonts w:eastAsia="Times New Roman"/>
          <w:spacing w:val="-4"/>
          <w:lang w:val="sl-SI"/>
        </w:rPr>
        <w:t>2</w:t>
      </w:r>
      <w:r w:rsidR="00D902B3" w:rsidRPr="00CC6ABA">
        <w:rPr>
          <w:rFonts w:eastAsia="Times New Roman"/>
          <w:spacing w:val="-4"/>
          <w:lang w:val="sl-SI"/>
        </w:rPr>
        <w:t> ml</w:t>
      </w:r>
    </w:p>
    <w:p w14:paraId="533ABCE2" w14:textId="77777777" w:rsidR="00D902B3" w:rsidRDefault="00D902B3" w:rsidP="00D902B3">
      <w:pPr>
        <w:spacing w:before="13" w:line="280" w:lineRule="exact"/>
        <w:rPr>
          <w:lang w:val="sl-SI"/>
        </w:rPr>
      </w:pPr>
    </w:p>
    <w:p w14:paraId="0F6D06CB" w14:textId="77777777" w:rsidR="00D902B3" w:rsidRDefault="00D902B3" w:rsidP="00D902B3">
      <w:pPr>
        <w:spacing w:before="13" w:line="280" w:lineRule="exact"/>
        <w:rPr>
          <w:lang w:val="sl-SI"/>
        </w:rPr>
      </w:pPr>
    </w:p>
    <w:tbl>
      <w:tblPr>
        <w:tblStyle w:val="ac"/>
        <w:tblpPr w:leftFromText="142" w:rightFromText="142" w:vertAnchor="text" w:tblpY="194"/>
        <w:tblW w:w="9666" w:type="dxa"/>
        <w:tblLook w:val="04A0" w:firstRow="1" w:lastRow="0" w:firstColumn="1" w:lastColumn="0" w:noHBand="0" w:noVBand="1"/>
      </w:tblPr>
      <w:tblGrid>
        <w:gridCol w:w="9666"/>
      </w:tblGrid>
      <w:tr w:rsidR="00D902B3" w14:paraId="729849F0" w14:textId="77777777" w:rsidTr="00183CD7">
        <w:trPr>
          <w:trHeight w:val="317"/>
        </w:trPr>
        <w:tc>
          <w:tcPr>
            <w:tcW w:w="9666" w:type="dxa"/>
            <w:vAlign w:val="center"/>
          </w:tcPr>
          <w:p w14:paraId="64AA414E" w14:textId="77777777" w:rsidR="00D902B3" w:rsidRDefault="00D902B3" w:rsidP="007811C6">
            <w:pPr>
              <w:numPr>
                <w:ilvl w:val="0"/>
                <w:numId w:val="136"/>
              </w:numPr>
              <w:tabs>
                <w:tab w:val="left" w:pos="672"/>
              </w:tabs>
              <w:ind w:left="561" w:hanging="561"/>
              <w:jc w:val="both"/>
              <w:rPr>
                <w:rFonts w:ascii="Times New Roman" w:eastAsia="Times New Roman" w:hAnsi="Times New Roman" w:cs="Times New Roman"/>
                <w:b/>
                <w:bCs/>
                <w:spacing w:val="-1"/>
                <w:lang w:val="sl-SI"/>
              </w:rPr>
            </w:pPr>
            <w:r>
              <w:rPr>
                <w:rFonts w:ascii="Times New Roman" w:eastAsia="Times New Roman" w:hAnsi="Times New Roman" w:cs="Times New Roman"/>
                <w:b/>
                <w:bCs/>
                <w:spacing w:val="-1"/>
                <w:lang w:val="sl-SI"/>
              </w:rPr>
              <w:t>DRUGI PODATKI</w:t>
            </w:r>
          </w:p>
        </w:tc>
      </w:tr>
    </w:tbl>
    <w:p w14:paraId="57597F03" w14:textId="3ECB28F9" w:rsidR="00D902B3" w:rsidRDefault="00D902B3" w:rsidP="00D902B3">
      <w:pPr>
        <w:pStyle w:val="a3"/>
        <w:rPr>
          <w:lang w:val="sl-SI"/>
        </w:rPr>
      </w:pPr>
    </w:p>
    <w:p w14:paraId="1F6A75A0" w14:textId="77777777" w:rsidR="00D902B3" w:rsidRDefault="00D902B3" w:rsidP="00D902B3">
      <w:pPr>
        <w:rPr>
          <w:lang w:val="sl-SI"/>
        </w:rPr>
      </w:pPr>
    </w:p>
    <w:p w14:paraId="1F310F34" w14:textId="6E9076E5" w:rsidR="00C26425" w:rsidRDefault="00C26425">
      <w:pPr>
        <w:spacing w:line="200" w:lineRule="exact"/>
        <w:rPr>
          <w:lang w:val="sl-SI"/>
        </w:rPr>
      </w:pPr>
    </w:p>
    <w:p w14:paraId="372E21AF" w14:textId="77777777" w:rsidR="00C26425" w:rsidRDefault="00C26425">
      <w:pPr>
        <w:rPr>
          <w:lang w:val="sl-SI"/>
        </w:rPr>
      </w:pPr>
      <w:r>
        <w:rPr>
          <w:lang w:val="sl-SI"/>
        </w:rPr>
        <w:br w:type="page"/>
      </w:r>
    </w:p>
    <w:p w14:paraId="6E3E6189" w14:textId="77777777" w:rsidR="00E04C8A" w:rsidRDefault="00E04C8A">
      <w:pPr>
        <w:spacing w:line="200" w:lineRule="exact"/>
        <w:rPr>
          <w:sz w:val="20"/>
          <w:szCs w:val="20"/>
          <w:lang w:val="sl-SI"/>
        </w:rPr>
      </w:pPr>
    </w:p>
    <w:p w14:paraId="6A30C053" w14:textId="77777777" w:rsidR="00E04C8A" w:rsidRDefault="00E04C8A">
      <w:pPr>
        <w:spacing w:line="200" w:lineRule="exact"/>
        <w:rPr>
          <w:sz w:val="20"/>
          <w:szCs w:val="20"/>
          <w:lang w:val="sl-SI"/>
        </w:rPr>
      </w:pPr>
    </w:p>
    <w:p w14:paraId="6B4F1E38" w14:textId="77777777" w:rsidR="00E04C8A" w:rsidRDefault="00E04C8A">
      <w:pPr>
        <w:spacing w:line="200" w:lineRule="exact"/>
        <w:rPr>
          <w:sz w:val="20"/>
          <w:szCs w:val="20"/>
          <w:lang w:val="sl-SI"/>
        </w:rPr>
      </w:pPr>
    </w:p>
    <w:p w14:paraId="55474407" w14:textId="77777777" w:rsidR="00E04C8A" w:rsidRDefault="00E04C8A">
      <w:pPr>
        <w:spacing w:line="200" w:lineRule="exact"/>
        <w:rPr>
          <w:sz w:val="20"/>
          <w:szCs w:val="20"/>
          <w:lang w:val="sl-SI"/>
        </w:rPr>
      </w:pPr>
    </w:p>
    <w:p w14:paraId="2A0999C9" w14:textId="77777777" w:rsidR="00E04C8A" w:rsidRDefault="00E04C8A">
      <w:pPr>
        <w:spacing w:line="200" w:lineRule="exact"/>
        <w:rPr>
          <w:sz w:val="20"/>
          <w:szCs w:val="20"/>
          <w:lang w:val="sl-SI"/>
        </w:rPr>
      </w:pPr>
    </w:p>
    <w:p w14:paraId="4D5D744F" w14:textId="77777777" w:rsidR="00E04C8A" w:rsidRDefault="00E04C8A">
      <w:pPr>
        <w:spacing w:line="200" w:lineRule="exact"/>
        <w:rPr>
          <w:sz w:val="20"/>
          <w:szCs w:val="20"/>
          <w:lang w:val="sl-SI"/>
        </w:rPr>
      </w:pPr>
    </w:p>
    <w:p w14:paraId="1543CEB2" w14:textId="77777777" w:rsidR="00E04C8A" w:rsidRDefault="00E04C8A">
      <w:pPr>
        <w:spacing w:line="200" w:lineRule="exact"/>
        <w:rPr>
          <w:sz w:val="20"/>
          <w:szCs w:val="20"/>
          <w:lang w:val="sl-SI"/>
        </w:rPr>
      </w:pPr>
    </w:p>
    <w:p w14:paraId="655D4DE4" w14:textId="77777777" w:rsidR="00E04C8A" w:rsidRDefault="00E04C8A">
      <w:pPr>
        <w:spacing w:line="200" w:lineRule="exact"/>
        <w:rPr>
          <w:sz w:val="20"/>
          <w:szCs w:val="20"/>
          <w:lang w:val="sl-SI"/>
        </w:rPr>
      </w:pPr>
    </w:p>
    <w:p w14:paraId="47820BC1" w14:textId="77777777" w:rsidR="00E04C8A" w:rsidRDefault="00E04C8A">
      <w:pPr>
        <w:spacing w:line="200" w:lineRule="exact"/>
        <w:rPr>
          <w:sz w:val="20"/>
          <w:szCs w:val="20"/>
          <w:lang w:val="sl-SI"/>
        </w:rPr>
      </w:pPr>
    </w:p>
    <w:p w14:paraId="6309C27A" w14:textId="77777777" w:rsidR="00E04C8A" w:rsidRDefault="00E04C8A">
      <w:pPr>
        <w:spacing w:line="200" w:lineRule="exact"/>
        <w:rPr>
          <w:sz w:val="20"/>
          <w:szCs w:val="20"/>
          <w:lang w:val="sl-SI"/>
        </w:rPr>
      </w:pPr>
    </w:p>
    <w:p w14:paraId="0876BA95" w14:textId="77777777" w:rsidR="00E04C8A" w:rsidRDefault="00E04C8A">
      <w:pPr>
        <w:spacing w:line="200" w:lineRule="exact"/>
        <w:rPr>
          <w:sz w:val="20"/>
          <w:szCs w:val="20"/>
          <w:lang w:val="sl-SI"/>
        </w:rPr>
      </w:pPr>
    </w:p>
    <w:p w14:paraId="4DE0AE0F" w14:textId="77777777" w:rsidR="00E04C8A" w:rsidRDefault="00E04C8A">
      <w:pPr>
        <w:spacing w:line="200" w:lineRule="exact"/>
        <w:rPr>
          <w:sz w:val="20"/>
          <w:szCs w:val="20"/>
          <w:lang w:val="sl-SI"/>
        </w:rPr>
      </w:pPr>
    </w:p>
    <w:p w14:paraId="3F825DAD" w14:textId="77777777" w:rsidR="00E04C8A" w:rsidRDefault="00E04C8A">
      <w:pPr>
        <w:spacing w:line="200" w:lineRule="exact"/>
        <w:rPr>
          <w:sz w:val="20"/>
          <w:szCs w:val="20"/>
          <w:lang w:val="sl-SI"/>
        </w:rPr>
      </w:pPr>
    </w:p>
    <w:p w14:paraId="075082BA" w14:textId="77777777" w:rsidR="00E04C8A" w:rsidRDefault="00E04C8A">
      <w:pPr>
        <w:spacing w:line="200" w:lineRule="exact"/>
        <w:rPr>
          <w:sz w:val="20"/>
          <w:szCs w:val="20"/>
          <w:lang w:val="sl-SI"/>
        </w:rPr>
      </w:pPr>
    </w:p>
    <w:p w14:paraId="36B3DAFC" w14:textId="77777777" w:rsidR="00E04C8A" w:rsidRDefault="00E04C8A">
      <w:pPr>
        <w:spacing w:line="200" w:lineRule="exact"/>
        <w:rPr>
          <w:sz w:val="20"/>
          <w:szCs w:val="20"/>
          <w:lang w:val="sl-SI"/>
        </w:rPr>
      </w:pPr>
    </w:p>
    <w:p w14:paraId="2CE4BEFA" w14:textId="77777777" w:rsidR="00E04C8A" w:rsidRDefault="00E04C8A">
      <w:pPr>
        <w:spacing w:line="200" w:lineRule="exact"/>
        <w:rPr>
          <w:sz w:val="20"/>
          <w:szCs w:val="20"/>
          <w:lang w:val="sl-SI"/>
        </w:rPr>
      </w:pPr>
    </w:p>
    <w:p w14:paraId="5E7F56F5" w14:textId="77777777" w:rsidR="00E04C8A" w:rsidRDefault="00E04C8A">
      <w:pPr>
        <w:spacing w:line="200" w:lineRule="exact"/>
        <w:rPr>
          <w:sz w:val="20"/>
          <w:szCs w:val="20"/>
          <w:lang w:val="sl-SI"/>
        </w:rPr>
      </w:pPr>
    </w:p>
    <w:p w14:paraId="5637E28C" w14:textId="77777777" w:rsidR="00E04C8A" w:rsidRDefault="00E04C8A">
      <w:pPr>
        <w:spacing w:line="200" w:lineRule="exact"/>
        <w:rPr>
          <w:sz w:val="20"/>
          <w:szCs w:val="20"/>
          <w:lang w:val="sl-SI"/>
        </w:rPr>
      </w:pPr>
    </w:p>
    <w:p w14:paraId="38FB0421" w14:textId="77777777" w:rsidR="00E04C8A" w:rsidRDefault="00E04C8A">
      <w:pPr>
        <w:spacing w:line="200" w:lineRule="exact"/>
        <w:rPr>
          <w:sz w:val="20"/>
          <w:szCs w:val="20"/>
          <w:lang w:val="sl-SI"/>
        </w:rPr>
      </w:pPr>
    </w:p>
    <w:p w14:paraId="10DA35B7" w14:textId="77777777" w:rsidR="00E04C8A" w:rsidRDefault="00E04C8A">
      <w:pPr>
        <w:spacing w:line="200" w:lineRule="exact"/>
        <w:rPr>
          <w:sz w:val="20"/>
          <w:szCs w:val="20"/>
          <w:lang w:val="sl-SI"/>
        </w:rPr>
      </w:pPr>
    </w:p>
    <w:p w14:paraId="1E4B6B26" w14:textId="77777777" w:rsidR="00E04C8A" w:rsidRDefault="00E04C8A">
      <w:pPr>
        <w:spacing w:line="200" w:lineRule="exact"/>
        <w:rPr>
          <w:sz w:val="20"/>
          <w:szCs w:val="20"/>
          <w:lang w:val="sl-SI"/>
        </w:rPr>
      </w:pPr>
    </w:p>
    <w:p w14:paraId="4E5A5716" w14:textId="77777777" w:rsidR="00E04C8A" w:rsidRDefault="00E04C8A">
      <w:pPr>
        <w:spacing w:line="200" w:lineRule="exact"/>
        <w:rPr>
          <w:sz w:val="20"/>
          <w:szCs w:val="20"/>
          <w:lang w:val="sl-SI"/>
        </w:rPr>
      </w:pPr>
    </w:p>
    <w:p w14:paraId="7ACBCF5D" w14:textId="77777777" w:rsidR="00E04C8A" w:rsidRDefault="00E04C8A">
      <w:pPr>
        <w:spacing w:line="200" w:lineRule="exact"/>
        <w:rPr>
          <w:sz w:val="20"/>
          <w:szCs w:val="20"/>
          <w:lang w:val="sl-SI"/>
        </w:rPr>
      </w:pPr>
    </w:p>
    <w:p w14:paraId="77DF23F5" w14:textId="77777777" w:rsidR="00E04C8A" w:rsidRDefault="00E04C8A">
      <w:pPr>
        <w:spacing w:line="200" w:lineRule="exact"/>
        <w:rPr>
          <w:sz w:val="20"/>
          <w:szCs w:val="20"/>
          <w:lang w:val="sl-SI"/>
        </w:rPr>
      </w:pPr>
    </w:p>
    <w:p w14:paraId="467373E7" w14:textId="77777777" w:rsidR="00E04C8A" w:rsidRDefault="00E04C8A">
      <w:pPr>
        <w:spacing w:line="200" w:lineRule="exact"/>
        <w:rPr>
          <w:sz w:val="20"/>
          <w:szCs w:val="20"/>
          <w:lang w:val="sl-SI"/>
        </w:rPr>
      </w:pPr>
    </w:p>
    <w:p w14:paraId="56322F2C" w14:textId="77777777" w:rsidR="00E04C8A" w:rsidRDefault="00E04C8A">
      <w:pPr>
        <w:spacing w:before="4" w:line="200" w:lineRule="exact"/>
        <w:rPr>
          <w:sz w:val="20"/>
          <w:szCs w:val="20"/>
          <w:lang w:val="sl-SI"/>
        </w:rPr>
      </w:pPr>
    </w:p>
    <w:p w14:paraId="5E48850C" w14:textId="77777777" w:rsidR="00E04C8A" w:rsidRDefault="008E1817">
      <w:pPr>
        <w:pStyle w:val="1"/>
        <w:numPr>
          <w:ilvl w:val="0"/>
          <w:numId w:val="35"/>
        </w:numPr>
        <w:jc w:val="center"/>
        <w:rPr>
          <w:noProof/>
          <w:lang w:val="sl-SI"/>
        </w:rPr>
      </w:pPr>
      <w:bookmarkStart w:id="45" w:name="B._PACKAGE_LEAFLET"/>
      <w:bookmarkEnd w:id="45"/>
      <w:r>
        <w:rPr>
          <w:rFonts w:cs="Arial"/>
          <w:noProof/>
          <w:lang w:val="sl-SI"/>
        </w:rPr>
        <w:t>NAVODILO ZA UPORABO</w:t>
      </w:r>
    </w:p>
    <w:p w14:paraId="1F2503F0" w14:textId="77777777" w:rsidR="00E04C8A" w:rsidRDefault="008E1817">
      <w:pPr>
        <w:rPr>
          <w:lang w:val="sl-SI"/>
        </w:rPr>
      </w:pPr>
      <w:r>
        <w:rPr>
          <w:lang w:val="sl-SI"/>
        </w:rPr>
        <w:br w:type="page"/>
      </w:r>
    </w:p>
    <w:p w14:paraId="6A14DB36" w14:textId="77777777" w:rsidR="00E04C8A" w:rsidRDefault="008E1817">
      <w:pPr>
        <w:spacing w:before="76"/>
        <w:ind w:left="39"/>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lastRenderedPageBreak/>
        <w:t>Navodilo za uporabo</w:t>
      </w:r>
    </w:p>
    <w:p w14:paraId="3D2A9C54" w14:textId="77777777" w:rsidR="00E04C8A" w:rsidRDefault="00E04C8A">
      <w:pPr>
        <w:spacing w:before="13" w:line="240" w:lineRule="exact"/>
        <w:rPr>
          <w:sz w:val="24"/>
          <w:szCs w:val="24"/>
          <w:lang w:val="sl-SI"/>
        </w:rPr>
      </w:pPr>
    </w:p>
    <w:p w14:paraId="26BC2A12" w14:textId="77777777" w:rsidR="00E04C8A" w:rsidRDefault="008E1817">
      <w:pPr>
        <w:ind w:left="818" w:right="776"/>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Yuflyma 40 mg raztopina za injiciranje v napolnjeni injekcijski brizgi</w:t>
      </w:r>
    </w:p>
    <w:p w14:paraId="1BA6A911" w14:textId="77777777" w:rsidR="00E04C8A" w:rsidRDefault="008E1817">
      <w:pPr>
        <w:pStyle w:val="a3"/>
        <w:jc w:val="center"/>
        <w:rPr>
          <w:lang w:val="sl-SI"/>
        </w:rPr>
      </w:pPr>
      <w:r>
        <w:rPr>
          <w:rFonts w:eastAsia="Times New Roman"/>
          <w:lang w:val="sl-SI"/>
        </w:rPr>
        <w:t>adalimumab</w:t>
      </w:r>
    </w:p>
    <w:p w14:paraId="63B0B150" w14:textId="77777777" w:rsidR="00E04C8A" w:rsidRDefault="00E04C8A">
      <w:pPr>
        <w:spacing w:before="18" w:line="240" w:lineRule="exact"/>
        <w:rPr>
          <w:sz w:val="24"/>
          <w:szCs w:val="24"/>
          <w:lang w:val="sl-SI"/>
        </w:rPr>
      </w:pPr>
    </w:p>
    <w:p w14:paraId="0C8F367D" w14:textId="77777777" w:rsidR="00E04C8A" w:rsidRDefault="008E1817">
      <w:pPr>
        <w:spacing w:before="18" w:line="240" w:lineRule="exact"/>
        <w:rPr>
          <w:sz w:val="24"/>
          <w:szCs w:val="24"/>
          <w:lang w:val="sl-SI"/>
        </w:rPr>
      </w:pPr>
      <w:r>
        <w:rPr>
          <w:rFonts w:ascii="Times New Roman" w:hAnsi="Times New Roman" w:cs="Times New Roman"/>
          <w:noProof/>
          <w:lang w:eastAsia="ko-KR"/>
        </w:rPr>
        <w:drawing>
          <wp:inline distT="0" distB="0" distL="0" distR="0" wp14:anchorId="4DB7C844" wp14:editId="1E8AB278">
            <wp:extent cx="203200" cy="169545"/>
            <wp:effectExtent l="0" t="0" r="6350" b="1905"/>
            <wp:docPr id="54" name="그림 54"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sl-SI"/>
        </w:rPr>
        <w:t>Za to zdravilo se izvaja dodatno spremljanje varnosti. Tako bodo hitreje na voljo nove informacije o njegovi varnosti. Tudi sami lahko k temu prispevate tako, da poročate o katerem koli neželenem učinku zdravila, ki bi se utegnil pojaviti pri vas. Glejte na koncu poglavja 4, kako poročati o neželenih učinkih.</w:t>
      </w:r>
    </w:p>
    <w:p w14:paraId="6D2A0684" w14:textId="77777777" w:rsidR="00E04C8A" w:rsidRDefault="00E04C8A">
      <w:pPr>
        <w:spacing w:before="18" w:line="240" w:lineRule="exact"/>
        <w:rPr>
          <w:sz w:val="24"/>
          <w:szCs w:val="24"/>
          <w:lang w:val="sl-SI"/>
        </w:rPr>
      </w:pPr>
    </w:p>
    <w:p w14:paraId="0048DD22" w14:textId="77777777" w:rsidR="00E04C8A" w:rsidRDefault="008E1817">
      <w:pPr>
        <w:spacing w:before="18" w:line="240" w:lineRule="exact"/>
        <w:rPr>
          <w:rFonts w:ascii="Times New Roman" w:hAnsi="Times New Roman" w:cs="Times New Roman"/>
          <w:b/>
          <w:lang w:val="sl-SI"/>
        </w:rPr>
      </w:pPr>
      <w:r>
        <w:rPr>
          <w:rFonts w:ascii="Times New Roman" w:eastAsia="Times New Roman" w:hAnsi="Times New Roman" w:cs="Times New Roman"/>
          <w:b/>
          <w:bCs/>
          <w:lang w:val="sl-SI"/>
        </w:rPr>
        <w:t>Pred začetkom uporabe zdravila natančno preberite navodilo, ker vsebuje za vas pomembne podatke!</w:t>
      </w:r>
    </w:p>
    <w:p w14:paraId="0658197A" w14:textId="77777777" w:rsidR="00E04C8A" w:rsidRDefault="008E1817">
      <w:pPr>
        <w:pStyle w:val="a3"/>
        <w:numPr>
          <w:ilvl w:val="0"/>
          <w:numId w:val="5"/>
        </w:numPr>
        <w:ind w:left="660" w:hanging="660"/>
        <w:rPr>
          <w:lang w:val="sl-SI"/>
        </w:rPr>
      </w:pPr>
      <w:r>
        <w:rPr>
          <w:rFonts w:eastAsia="Times New Roman"/>
          <w:lang w:val="sl-SI"/>
        </w:rPr>
        <w:t>Navodilo shranite. Morda ga boste želeli ponovno prebrati.</w:t>
      </w:r>
    </w:p>
    <w:p w14:paraId="7CD612AB" w14:textId="2E2FFBE8" w:rsidR="00E04C8A" w:rsidRDefault="008E1817">
      <w:pPr>
        <w:pStyle w:val="a3"/>
        <w:numPr>
          <w:ilvl w:val="0"/>
          <w:numId w:val="5"/>
        </w:numPr>
        <w:ind w:left="660" w:hanging="660"/>
        <w:rPr>
          <w:lang w:val="sl-SI"/>
        </w:rPr>
      </w:pPr>
      <w:r>
        <w:rPr>
          <w:rFonts w:eastAsia="Times New Roman"/>
          <w:lang w:val="sl-SI"/>
        </w:rPr>
        <w:t xml:space="preserve">Prejeli boste </w:t>
      </w:r>
      <w:r>
        <w:rPr>
          <w:rFonts w:eastAsia="Times New Roman"/>
          <w:b/>
          <w:bCs/>
          <w:lang w:val="sl-SI"/>
        </w:rPr>
        <w:t>opozorilno kartico za bolnika</w:t>
      </w:r>
      <w:r>
        <w:rPr>
          <w:rFonts w:eastAsia="Times New Roman"/>
          <w:lang w:val="sl-SI"/>
        </w:rPr>
        <w:t xml:space="preserve">, ki vsebuje pomembne informacije o varnosti, ki jih morate poznati pred in med zdravljenjem z zdravilom Yuflyma. </w:t>
      </w:r>
      <w:r>
        <w:rPr>
          <w:rFonts w:eastAsia="Times New Roman"/>
          <w:b/>
          <w:bCs/>
          <w:lang w:val="sl-SI"/>
        </w:rPr>
        <w:t>Opozorilno kartico za bolnika</w:t>
      </w:r>
      <w:r>
        <w:rPr>
          <w:rFonts w:eastAsia="Times New Roman"/>
          <w:lang w:val="sl-SI"/>
        </w:rPr>
        <w:t xml:space="preserve"> imejte pri </w:t>
      </w:r>
      <w:r w:rsidR="006723A2">
        <w:rPr>
          <w:rFonts w:eastAsia="Times New Roman"/>
          <w:lang w:val="sl-SI"/>
        </w:rPr>
        <w:t>sebi</w:t>
      </w:r>
      <w:r>
        <w:rPr>
          <w:rFonts w:eastAsia="Times New Roman"/>
          <w:lang w:val="sl-SI"/>
        </w:rPr>
        <w:t xml:space="preserve"> med zdravljenjem in še 4 mesece po zadnji injekciji zdravila Yuflyma.</w:t>
      </w:r>
    </w:p>
    <w:p w14:paraId="3B971EEC" w14:textId="77777777" w:rsidR="00E04C8A" w:rsidRDefault="008E1817">
      <w:pPr>
        <w:pStyle w:val="a3"/>
        <w:numPr>
          <w:ilvl w:val="0"/>
          <w:numId w:val="5"/>
        </w:numPr>
        <w:ind w:left="660" w:hanging="660"/>
        <w:rPr>
          <w:lang w:val="sl-SI"/>
        </w:rPr>
      </w:pPr>
      <w:r>
        <w:rPr>
          <w:rFonts w:eastAsia="Times New Roman"/>
          <w:lang w:val="sl-SI"/>
        </w:rPr>
        <w:t>Če imate dodatna vprašanja, se posvetujte z zdravnikom ali farmacevtom.</w:t>
      </w:r>
    </w:p>
    <w:p w14:paraId="2F8A0D8A" w14:textId="77777777" w:rsidR="00E04C8A" w:rsidRDefault="008E1817">
      <w:pPr>
        <w:pStyle w:val="a3"/>
        <w:numPr>
          <w:ilvl w:val="0"/>
          <w:numId w:val="5"/>
        </w:numPr>
        <w:ind w:left="660" w:hanging="660"/>
        <w:rPr>
          <w:lang w:val="sl-SI"/>
        </w:rPr>
      </w:pPr>
      <w:r>
        <w:rPr>
          <w:rFonts w:eastAsia="Times New Roman"/>
          <w:lang w:val="sl-SI"/>
        </w:rPr>
        <w:t>Zdravilo je bilo predpisano vam osebno in ga ne smete dajati drugim. Njim bi lahko celo škodovalo, čeprav imajo znake bolezni, podobne vašim.</w:t>
      </w:r>
    </w:p>
    <w:p w14:paraId="5E363DC0" w14:textId="77777777" w:rsidR="00E04C8A" w:rsidRDefault="008E1817">
      <w:pPr>
        <w:pStyle w:val="a3"/>
        <w:numPr>
          <w:ilvl w:val="0"/>
          <w:numId w:val="5"/>
        </w:numPr>
        <w:ind w:left="660" w:hanging="660"/>
        <w:rPr>
          <w:lang w:val="sl-SI"/>
        </w:rPr>
      </w:pPr>
      <w:r>
        <w:rPr>
          <w:rFonts w:eastAsia="Times New Roman"/>
          <w:lang w:val="sl-SI"/>
        </w:rPr>
        <w:t>Če opazite kateri koli neželeni učinek, se posvetujte z zdravnikom ali farmacevtom. Posvetujte se tudi, če opazite katere koli neželene učinke, ki niso navedeni v tem navodilu. Glejte poglavje 4.</w:t>
      </w:r>
    </w:p>
    <w:p w14:paraId="61EBC7B0" w14:textId="77777777" w:rsidR="00E04C8A" w:rsidRDefault="00E04C8A">
      <w:pPr>
        <w:pStyle w:val="a3"/>
        <w:rPr>
          <w:lang w:val="sl-SI"/>
        </w:rPr>
      </w:pPr>
    </w:p>
    <w:p w14:paraId="2D589C15" w14:textId="77777777" w:rsidR="00E04C8A" w:rsidRDefault="008E1817">
      <w:pPr>
        <w:pStyle w:val="a3"/>
        <w:rPr>
          <w:b/>
          <w:lang w:val="sl-SI"/>
        </w:rPr>
      </w:pPr>
      <w:r>
        <w:rPr>
          <w:rFonts w:eastAsia="Times New Roman"/>
          <w:b/>
          <w:bCs/>
          <w:lang w:val="sl-SI"/>
        </w:rPr>
        <w:t>Kaj vsebuje navodilo</w:t>
      </w:r>
    </w:p>
    <w:p w14:paraId="3B688FBF" w14:textId="77777777" w:rsidR="00E04C8A" w:rsidRDefault="008E1817">
      <w:pPr>
        <w:pStyle w:val="a3"/>
        <w:numPr>
          <w:ilvl w:val="0"/>
          <w:numId w:val="36"/>
        </w:numPr>
        <w:ind w:hanging="760"/>
        <w:rPr>
          <w:lang w:val="sl-SI"/>
        </w:rPr>
      </w:pPr>
      <w:r>
        <w:rPr>
          <w:rFonts w:eastAsia="Times New Roman"/>
          <w:lang w:val="sl-SI"/>
        </w:rPr>
        <w:t>Kaj je zdravilo Yuflyma in za kaj ga uporabljamo</w:t>
      </w:r>
    </w:p>
    <w:p w14:paraId="355F5C1E" w14:textId="77777777" w:rsidR="00E04C8A" w:rsidRDefault="008E1817">
      <w:pPr>
        <w:pStyle w:val="a3"/>
        <w:numPr>
          <w:ilvl w:val="0"/>
          <w:numId w:val="36"/>
        </w:numPr>
        <w:ind w:hanging="760"/>
        <w:rPr>
          <w:lang w:val="sl-SI"/>
        </w:rPr>
      </w:pPr>
      <w:r>
        <w:rPr>
          <w:rFonts w:eastAsia="Times New Roman"/>
          <w:lang w:val="sl-SI"/>
        </w:rPr>
        <w:t>Kaj morate vedeti, preden boste uporabili zdravilo Yuflyma</w:t>
      </w:r>
    </w:p>
    <w:p w14:paraId="265DBA8D" w14:textId="77777777" w:rsidR="00E04C8A" w:rsidRDefault="008E1817">
      <w:pPr>
        <w:pStyle w:val="a3"/>
        <w:numPr>
          <w:ilvl w:val="0"/>
          <w:numId w:val="36"/>
        </w:numPr>
        <w:ind w:hanging="760"/>
        <w:rPr>
          <w:lang w:val="sl-SI"/>
        </w:rPr>
      </w:pPr>
      <w:r>
        <w:rPr>
          <w:rFonts w:eastAsia="Times New Roman"/>
          <w:lang w:val="sl-SI"/>
        </w:rPr>
        <w:t>Kako uporabljati zdravilo Yuflyma</w:t>
      </w:r>
    </w:p>
    <w:p w14:paraId="74CA69EB" w14:textId="77777777" w:rsidR="00E04C8A" w:rsidRDefault="008E1817">
      <w:pPr>
        <w:pStyle w:val="a3"/>
        <w:numPr>
          <w:ilvl w:val="0"/>
          <w:numId w:val="36"/>
        </w:numPr>
        <w:ind w:hanging="760"/>
        <w:rPr>
          <w:lang w:val="sl-SI"/>
        </w:rPr>
      </w:pPr>
      <w:r>
        <w:rPr>
          <w:rFonts w:eastAsia="Times New Roman"/>
          <w:lang w:val="sl-SI"/>
        </w:rPr>
        <w:t>Možni neželeni učinki</w:t>
      </w:r>
    </w:p>
    <w:p w14:paraId="144E4D24" w14:textId="77777777" w:rsidR="00E04C8A" w:rsidRDefault="008E1817">
      <w:pPr>
        <w:pStyle w:val="a3"/>
        <w:numPr>
          <w:ilvl w:val="0"/>
          <w:numId w:val="36"/>
        </w:numPr>
        <w:ind w:hanging="760"/>
        <w:rPr>
          <w:lang w:val="sl-SI"/>
        </w:rPr>
      </w:pPr>
      <w:r>
        <w:rPr>
          <w:rFonts w:eastAsia="Times New Roman"/>
          <w:lang w:val="sl-SI"/>
        </w:rPr>
        <w:t>Shranjevanje zdravila Yuflyma</w:t>
      </w:r>
    </w:p>
    <w:p w14:paraId="1AF21FCB" w14:textId="77777777" w:rsidR="00E04C8A" w:rsidRDefault="008E1817">
      <w:pPr>
        <w:pStyle w:val="a3"/>
        <w:numPr>
          <w:ilvl w:val="0"/>
          <w:numId w:val="36"/>
        </w:numPr>
        <w:ind w:hanging="760"/>
        <w:rPr>
          <w:lang w:val="sl-SI"/>
        </w:rPr>
      </w:pPr>
      <w:r>
        <w:rPr>
          <w:rFonts w:eastAsia="Times New Roman"/>
          <w:lang w:val="sl-SI"/>
        </w:rPr>
        <w:t>Vsebina pakiranja in dodatne informacije</w:t>
      </w:r>
    </w:p>
    <w:p w14:paraId="55BA6DAF" w14:textId="77777777" w:rsidR="00E04C8A" w:rsidRDefault="008E1817">
      <w:pPr>
        <w:pStyle w:val="a3"/>
        <w:numPr>
          <w:ilvl w:val="0"/>
          <w:numId w:val="36"/>
        </w:numPr>
        <w:ind w:hanging="760"/>
        <w:rPr>
          <w:lang w:val="sl-SI"/>
        </w:rPr>
      </w:pPr>
      <w:r>
        <w:rPr>
          <w:rFonts w:eastAsia="Times New Roman"/>
          <w:lang w:val="sl-SI"/>
        </w:rPr>
        <w:t>Navodila za uporabo</w:t>
      </w:r>
    </w:p>
    <w:p w14:paraId="6C0EC297" w14:textId="77777777" w:rsidR="00E04C8A" w:rsidRDefault="00E04C8A">
      <w:pPr>
        <w:spacing w:line="200" w:lineRule="exact"/>
        <w:rPr>
          <w:sz w:val="20"/>
          <w:szCs w:val="20"/>
          <w:lang w:val="sl-SI"/>
        </w:rPr>
      </w:pPr>
    </w:p>
    <w:p w14:paraId="0D4C09E7" w14:textId="77777777" w:rsidR="00E04C8A" w:rsidRDefault="00E04C8A">
      <w:pPr>
        <w:spacing w:line="200" w:lineRule="exact"/>
        <w:rPr>
          <w:sz w:val="20"/>
          <w:szCs w:val="20"/>
          <w:lang w:val="sl-SI"/>
        </w:rPr>
      </w:pPr>
    </w:p>
    <w:p w14:paraId="39249DE3" w14:textId="77777777" w:rsidR="00E04C8A" w:rsidRDefault="008E1817">
      <w:pPr>
        <w:pStyle w:val="a4"/>
        <w:numPr>
          <w:ilvl w:val="0"/>
          <w:numId w:val="33"/>
        </w:numPr>
        <w:spacing w:line="240" w:lineRule="exact"/>
        <w:ind w:left="360"/>
        <w:rPr>
          <w:rFonts w:ascii="Times New Roman" w:hAnsi="Times New Roman" w:cs="Times New Roman"/>
          <w:b/>
          <w:lang w:val="sl-SI"/>
        </w:rPr>
      </w:pPr>
      <w:r>
        <w:rPr>
          <w:rFonts w:ascii="Times New Roman" w:eastAsia="Times New Roman" w:hAnsi="Times New Roman" w:cs="Times New Roman"/>
          <w:b/>
          <w:bCs/>
          <w:lang w:val="sl-SI"/>
        </w:rPr>
        <w:t>Kaj je zdravilo Yuflyma in za kaj ga uporabljamo</w:t>
      </w:r>
    </w:p>
    <w:p w14:paraId="4CC9E56E" w14:textId="77777777" w:rsidR="00E04C8A" w:rsidRDefault="00E04C8A">
      <w:pPr>
        <w:spacing w:line="240" w:lineRule="exact"/>
        <w:rPr>
          <w:rFonts w:ascii="Times New Roman" w:hAnsi="Times New Roman" w:cs="Times New Roman"/>
          <w:b/>
          <w:lang w:val="sl-SI"/>
        </w:rPr>
      </w:pPr>
    </w:p>
    <w:p w14:paraId="7873903D" w14:textId="77777777" w:rsidR="00E04C8A" w:rsidRDefault="008E1817">
      <w:pPr>
        <w:pStyle w:val="a3"/>
        <w:rPr>
          <w:lang w:val="sl-SI"/>
        </w:rPr>
      </w:pPr>
      <w:r>
        <w:rPr>
          <w:rFonts w:eastAsia="Times New Roman"/>
          <w:lang w:val="sl-SI"/>
        </w:rPr>
        <w:t>Yuflyma vsebuje učinkovino adalimumab, zdravilo, ki deluje na imunski sistem (zaščito) vašega telesa.</w:t>
      </w:r>
    </w:p>
    <w:p w14:paraId="047167DA" w14:textId="77777777" w:rsidR="00E04C8A" w:rsidRDefault="00E04C8A">
      <w:pPr>
        <w:pStyle w:val="a3"/>
        <w:rPr>
          <w:lang w:val="sl-SI"/>
        </w:rPr>
      </w:pPr>
    </w:p>
    <w:p w14:paraId="0DA9DB0F" w14:textId="77777777" w:rsidR="00E04C8A" w:rsidRDefault="008E1817">
      <w:pPr>
        <w:pStyle w:val="a3"/>
        <w:rPr>
          <w:lang w:val="sl-SI"/>
        </w:rPr>
      </w:pPr>
      <w:r>
        <w:rPr>
          <w:rFonts w:eastAsia="Times New Roman"/>
          <w:lang w:val="sl-SI"/>
        </w:rPr>
        <w:t>Zdravilo Yuflyma je namenjeno zdravljenju naslednjih vnetnih bolezni:</w:t>
      </w:r>
    </w:p>
    <w:p w14:paraId="48457F27" w14:textId="77777777" w:rsidR="00E04C8A" w:rsidRDefault="008E1817">
      <w:pPr>
        <w:pStyle w:val="a3"/>
        <w:numPr>
          <w:ilvl w:val="0"/>
          <w:numId w:val="5"/>
        </w:numPr>
        <w:ind w:left="660" w:hanging="660"/>
        <w:rPr>
          <w:lang w:val="sl-SI"/>
        </w:rPr>
      </w:pPr>
      <w:r>
        <w:rPr>
          <w:rFonts w:eastAsia="Times New Roman"/>
          <w:lang w:val="sl-SI"/>
        </w:rPr>
        <w:t>revmatoidni artritis,</w:t>
      </w:r>
    </w:p>
    <w:p w14:paraId="2D2BD78E" w14:textId="77777777" w:rsidR="00E04C8A" w:rsidRDefault="008E1817">
      <w:pPr>
        <w:pStyle w:val="a3"/>
        <w:numPr>
          <w:ilvl w:val="0"/>
          <w:numId w:val="5"/>
        </w:numPr>
        <w:ind w:left="660" w:hanging="660"/>
        <w:rPr>
          <w:lang w:val="sl-SI"/>
        </w:rPr>
      </w:pPr>
      <w:r>
        <w:rPr>
          <w:rFonts w:eastAsia="Times New Roman"/>
          <w:lang w:val="sl-SI"/>
        </w:rPr>
        <w:t>poliartikularni juvenilni idiopatični artritis,</w:t>
      </w:r>
    </w:p>
    <w:p w14:paraId="05F93B01" w14:textId="77777777" w:rsidR="00E04C8A" w:rsidRDefault="008E1817">
      <w:pPr>
        <w:pStyle w:val="a3"/>
        <w:numPr>
          <w:ilvl w:val="0"/>
          <w:numId w:val="5"/>
        </w:numPr>
        <w:ind w:left="660" w:hanging="660"/>
        <w:rPr>
          <w:lang w:val="sl-SI"/>
        </w:rPr>
      </w:pPr>
      <w:r>
        <w:rPr>
          <w:rFonts w:eastAsia="Times New Roman"/>
          <w:lang w:val="sl-SI"/>
        </w:rPr>
        <w:t>artritis, povezan z entezitisom,</w:t>
      </w:r>
    </w:p>
    <w:p w14:paraId="455955BA" w14:textId="77777777" w:rsidR="00E04C8A" w:rsidRDefault="008E1817">
      <w:pPr>
        <w:pStyle w:val="a3"/>
        <w:numPr>
          <w:ilvl w:val="0"/>
          <w:numId w:val="5"/>
        </w:numPr>
        <w:ind w:left="660" w:hanging="660"/>
        <w:rPr>
          <w:lang w:val="sl-SI"/>
        </w:rPr>
      </w:pPr>
      <w:r>
        <w:rPr>
          <w:rFonts w:eastAsia="Times New Roman"/>
          <w:lang w:val="sl-SI"/>
        </w:rPr>
        <w:t>ankilozirajoči spondilitis,</w:t>
      </w:r>
    </w:p>
    <w:p w14:paraId="0F3A9B89" w14:textId="77777777" w:rsidR="00E04C8A" w:rsidRDefault="008E1817">
      <w:pPr>
        <w:pStyle w:val="a3"/>
        <w:numPr>
          <w:ilvl w:val="0"/>
          <w:numId w:val="5"/>
        </w:numPr>
        <w:ind w:left="660" w:hanging="660"/>
        <w:rPr>
          <w:lang w:val="sl-SI"/>
        </w:rPr>
      </w:pPr>
      <w:r>
        <w:rPr>
          <w:rFonts w:eastAsia="Times New Roman"/>
          <w:lang w:val="sl-SI"/>
        </w:rPr>
        <w:t>aksialni spondiloartritis brez radiografskega dokaza za ankilozirajoči spondilitis,</w:t>
      </w:r>
    </w:p>
    <w:p w14:paraId="566D9DE0" w14:textId="77777777" w:rsidR="00E04C8A" w:rsidRDefault="008E1817">
      <w:pPr>
        <w:pStyle w:val="a3"/>
        <w:numPr>
          <w:ilvl w:val="0"/>
          <w:numId w:val="5"/>
        </w:numPr>
        <w:ind w:left="660" w:hanging="660"/>
        <w:rPr>
          <w:lang w:val="sl-SI"/>
        </w:rPr>
      </w:pPr>
      <w:r>
        <w:rPr>
          <w:rFonts w:eastAsia="Times New Roman"/>
          <w:lang w:val="sl-SI"/>
        </w:rPr>
        <w:t>psoriatični artritis,</w:t>
      </w:r>
    </w:p>
    <w:p w14:paraId="464E82AD" w14:textId="77777777" w:rsidR="00E04C8A" w:rsidRDefault="008E1817">
      <w:pPr>
        <w:pStyle w:val="a3"/>
        <w:numPr>
          <w:ilvl w:val="0"/>
          <w:numId w:val="5"/>
        </w:numPr>
        <w:ind w:left="660" w:hanging="660"/>
        <w:rPr>
          <w:lang w:val="sl-SI"/>
        </w:rPr>
      </w:pPr>
      <w:r>
        <w:rPr>
          <w:rFonts w:eastAsia="Times New Roman"/>
          <w:lang w:val="sl-SI"/>
        </w:rPr>
        <w:t>luskavica (psoriaza) v plakih,</w:t>
      </w:r>
    </w:p>
    <w:p w14:paraId="4CF7FAB1" w14:textId="77777777" w:rsidR="00E04C8A" w:rsidRDefault="008E1817">
      <w:pPr>
        <w:pStyle w:val="a3"/>
        <w:numPr>
          <w:ilvl w:val="0"/>
          <w:numId w:val="5"/>
        </w:numPr>
        <w:ind w:left="660" w:hanging="660"/>
        <w:rPr>
          <w:lang w:val="sl-SI"/>
        </w:rPr>
      </w:pPr>
      <w:r>
        <w:rPr>
          <w:rFonts w:eastAsia="Times New Roman"/>
          <w:lang w:val="sl-SI"/>
        </w:rPr>
        <w:t>hidradenitis suppurativa,</w:t>
      </w:r>
    </w:p>
    <w:p w14:paraId="60593BF4" w14:textId="77777777" w:rsidR="00E04C8A" w:rsidRDefault="008E1817">
      <w:pPr>
        <w:pStyle w:val="a3"/>
        <w:numPr>
          <w:ilvl w:val="0"/>
          <w:numId w:val="5"/>
        </w:numPr>
        <w:ind w:left="660" w:hanging="660"/>
        <w:rPr>
          <w:lang w:val="sl-SI"/>
        </w:rPr>
      </w:pPr>
      <w:r>
        <w:rPr>
          <w:rFonts w:eastAsia="Times New Roman"/>
          <w:lang w:val="sl-SI"/>
        </w:rPr>
        <w:t>Crohnova bolezen,</w:t>
      </w:r>
    </w:p>
    <w:p w14:paraId="5A5DEFCF" w14:textId="77777777" w:rsidR="00E04C8A" w:rsidRDefault="008E1817">
      <w:pPr>
        <w:pStyle w:val="a3"/>
        <w:numPr>
          <w:ilvl w:val="0"/>
          <w:numId w:val="5"/>
        </w:numPr>
        <w:ind w:left="660" w:hanging="660"/>
        <w:rPr>
          <w:lang w:val="sl-SI"/>
        </w:rPr>
      </w:pPr>
      <w:r>
        <w:rPr>
          <w:rFonts w:eastAsia="Times New Roman"/>
          <w:lang w:val="sl-SI"/>
        </w:rPr>
        <w:t>ulcerozni kolitis,</w:t>
      </w:r>
    </w:p>
    <w:p w14:paraId="60C5AED1" w14:textId="77777777" w:rsidR="00E04C8A" w:rsidRDefault="008E1817">
      <w:pPr>
        <w:pStyle w:val="a3"/>
        <w:numPr>
          <w:ilvl w:val="0"/>
          <w:numId w:val="5"/>
        </w:numPr>
        <w:ind w:left="660" w:hanging="660"/>
        <w:rPr>
          <w:lang w:val="sl-SI"/>
        </w:rPr>
      </w:pPr>
      <w:r>
        <w:rPr>
          <w:rFonts w:eastAsia="Times New Roman"/>
          <w:lang w:val="sl-SI"/>
        </w:rPr>
        <w:t>neinfekcijski uveitis.</w:t>
      </w:r>
    </w:p>
    <w:p w14:paraId="1AD060DE" w14:textId="77777777" w:rsidR="00E04C8A" w:rsidRDefault="00E04C8A">
      <w:pPr>
        <w:spacing w:before="10" w:line="240" w:lineRule="exact"/>
        <w:rPr>
          <w:sz w:val="24"/>
          <w:szCs w:val="24"/>
          <w:lang w:val="sl-SI"/>
        </w:rPr>
      </w:pPr>
    </w:p>
    <w:p w14:paraId="4720EF6D" w14:textId="77777777" w:rsidR="00E04C8A" w:rsidRDefault="008E1817">
      <w:pPr>
        <w:pStyle w:val="a3"/>
        <w:rPr>
          <w:lang w:val="sl-SI"/>
        </w:rPr>
      </w:pPr>
      <w:r>
        <w:rPr>
          <w:rFonts w:eastAsia="Times New Roman"/>
          <w:lang w:val="sl-SI"/>
        </w:rPr>
        <w:t>Učinkovina v zdravilu Yuflyma, adalimumab, je humano monoklonsko protitelo. Monoklonska protitelesa so beljakovine, ki se vežejo na specifične tarče.</w:t>
      </w:r>
    </w:p>
    <w:p w14:paraId="558E0D13" w14:textId="77777777" w:rsidR="00E04C8A" w:rsidRDefault="00E04C8A">
      <w:pPr>
        <w:spacing w:before="16" w:line="240" w:lineRule="exact"/>
        <w:rPr>
          <w:sz w:val="24"/>
          <w:szCs w:val="24"/>
          <w:lang w:val="sl-SI"/>
        </w:rPr>
      </w:pPr>
    </w:p>
    <w:p w14:paraId="459881FF" w14:textId="77777777" w:rsidR="00E04C8A" w:rsidRDefault="008E1817">
      <w:pPr>
        <w:pStyle w:val="a3"/>
        <w:rPr>
          <w:lang w:val="sl-SI"/>
        </w:rPr>
      </w:pPr>
      <w:r>
        <w:rPr>
          <w:rFonts w:eastAsia="Times New Roman"/>
          <w:lang w:val="sl-SI"/>
        </w:rPr>
        <w:t>Tarča adalimumaba je beljakovina, ki se imenuje tumor nekrotizirajoči faktor (TNFα), ki je vključen v imunski (obrambni) sistem in je prisoten v povečanih koncentracijah pri zgoraj navedenih vnetnih boleznih. Z vezavo na TNFα zdravilo Yuflyma zmanjša vnetni proces pri teh boleznih.</w:t>
      </w:r>
    </w:p>
    <w:p w14:paraId="06BFE34A" w14:textId="77777777" w:rsidR="00E04C8A" w:rsidRDefault="00E04C8A">
      <w:pPr>
        <w:pStyle w:val="a3"/>
        <w:rPr>
          <w:lang w:val="sl-SI"/>
        </w:rPr>
      </w:pPr>
    </w:p>
    <w:p w14:paraId="0A7F4496" w14:textId="77777777" w:rsidR="00E04C8A" w:rsidRDefault="008E1817">
      <w:pPr>
        <w:pStyle w:val="a3"/>
        <w:rPr>
          <w:b/>
          <w:lang w:val="sl-SI"/>
        </w:rPr>
      </w:pPr>
      <w:r>
        <w:rPr>
          <w:rFonts w:eastAsia="Times New Roman"/>
          <w:b/>
          <w:bCs/>
          <w:lang w:val="sl-SI"/>
        </w:rPr>
        <w:lastRenderedPageBreak/>
        <w:t>Revmatoidni artritis</w:t>
      </w:r>
    </w:p>
    <w:p w14:paraId="4F76D288" w14:textId="77777777" w:rsidR="00E04C8A" w:rsidRDefault="00E04C8A">
      <w:pPr>
        <w:pStyle w:val="a3"/>
        <w:rPr>
          <w:u w:val="single"/>
          <w:lang w:val="sl-SI"/>
        </w:rPr>
      </w:pPr>
    </w:p>
    <w:p w14:paraId="1C779369" w14:textId="77777777" w:rsidR="00E04C8A" w:rsidRDefault="008E1817">
      <w:pPr>
        <w:pStyle w:val="a3"/>
        <w:rPr>
          <w:lang w:val="sl-SI"/>
        </w:rPr>
      </w:pPr>
      <w:r>
        <w:rPr>
          <w:rFonts w:eastAsia="Times New Roman"/>
          <w:lang w:val="sl-SI"/>
        </w:rPr>
        <w:t>Revmatoidni artritis je vnetna bolezen sklepov.</w:t>
      </w:r>
    </w:p>
    <w:p w14:paraId="325EDB1E" w14:textId="77777777" w:rsidR="00E04C8A" w:rsidRDefault="00E04C8A">
      <w:pPr>
        <w:spacing w:before="11" w:line="240" w:lineRule="exact"/>
        <w:rPr>
          <w:sz w:val="24"/>
          <w:szCs w:val="24"/>
          <w:lang w:val="sl-SI"/>
        </w:rPr>
      </w:pPr>
    </w:p>
    <w:p w14:paraId="7C08DBAC" w14:textId="77777777" w:rsidR="00E04C8A" w:rsidRDefault="008E1817">
      <w:pPr>
        <w:pStyle w:val="a3"/>
        <w:rPr>
          <w:lang w:val="sl-SI"/>
        </w:rPr>
      </w:pPr>
      <w:r>
        <w:rPr>
          <w:rFonts w:eastAsia="Times New Roman"/>
          <w:lang w:val="sl-SI"/>
        </w:rPr>
        <w:t xml:space="preserve">Zdravilo Yuflyma se uporablja za zdravljenje zmernega do hudega revmatoidnega artritisa pri odraslih. Morda boste najprej prejeli druga zdravila, </w:t>
      </w:r>
      <w:r w:rsidRPr="00EB18BA">
        <w:rPr>
          <w:rFonts w:eastAsia="Times New Roman"/>
          <w:lang w:val="sl-SI"/>
        </w:rPr>
        <w:t>ki spreminjajo potek bolezni</w:t>
      </w:r>
      <w:r>
        <w:rPr>
          <w:rFonts w:eastAsia="Times New Roman"/>
          <w:lang w:val="sl-SI"/>
        </w:rPr>
        <w:t>, npr. metotreksat. Če se na ta zdravila ne odzovete dovolj dobro, boste prejeli zdravilo Yuflyma.</w:t>
      </w:r>
    </w:p>
    <w:p w14:paraId="7AE04426" w14:textId="77777777" w:rsidR="00E04C8A" w:rsidRDefault="00E04C8A">
      <w:pPr>
        <w:spacing w:before="17" w:line="240" w:lineRule="exact"/>
        <w:rPr>
          <w:sz w:val="24"/>
          <w:szCs w:val="24"/>
          <w:lang w:val="sl-SI"/>
        </w:rPr>
      </w:pPr>
    </w:p>
    <w:p w14:paraId="08A370F3" w14:textId="77777777" w:rsidR="00E04C8A" w:rsidRDefault="008E1817">
      <w:pPr>
        <w:pStyle w:val="a3"/>
        <w:rPr>
          <w:lang w:val="sl-SI"/>
        </w:rPr>
      </w:pPr>
      <w:r>
        <w:rPr>
          <w:rFonts w:eastAsia="Times New Roman"/>
          <w:lang w:val="sl-SI"/>
        </w:rPr>
        <w:t>Zdravilo Yuflyma je mogoče uporabljati tudi za zdravljenje hudega, aktivnega in napredujočega revmatoidnega artritisa brez predhodnega zdravljenja z metotreksatom.</w:t>
      </w:r>
    </w:p>
    <w:p w14:paraId="0130D999" w14:textId="77777777" w:rsidR="00E04C8A" w:rsidRDefault="00E04C8A">
      <w:pPr>
        <w:spacing w:before="11" w:line="240" w:lineRule="exact"/>
        <w:rPr>
          <w:sz w:val="24"/>
          <w:szCs w:val="24"/>
          <w:lang w:val="sl-SI"/>
        </w:rPr>
      </w:pPr>
    </w:p>
    <w:p w14:paraId="4A18625A" w14:textId="77777777" w:rsidR="00E04C8A" w:rsidRDefault="008E1817">
      <w:pPr>
        <w:pStyle w:val="a3"/>
        <w:rPr>
          <w:lang w:val="sl-SI"/>
        </w:rPr>
      </w:pPr>
      <w:r>
        <w:rPr>
          <w:rFonts w:eastAsia="Times New Roman"/>
          <w:lang w:val="sl-SI"/>
        </w:rPr>
        <w:t>Zdravilo Yuflyma lahko upočasni poškodbe sklepov, ki jih povzroča vnetna bolezen, in jim lahko pomaga, da se bolj prosto gibajo.</w:t>
      </w:r>
    </w:p>
    <w:p w14:paraId="2481F123" w14:textId="77777777" w:rsidR="00E04C8A" w:rsidRDefault="00E04C8A">
      <w:pPr>
        <w:spacing w:before="10" w:line="240" w:lineRule="exact"/>
        <w:rPr>
          <w:sz w:val="24"/>
          <w:szCs w:val="24"/>
          <w:lang w:val="sl-SI"/>
        </w:rPr>
      </w:pPr>
    </w:p>
    <w:p w14:paraId="280C93DF" w14:textId="77777777" w:rsidR="00E04C8A" w:rsidRDefault="008E1817">
      <w:pPr>
        <w:pStyle w:val="a3"/>
        <w:rPr>
          <w:lang w:val="sl-SI"/>
        </w:rPr>
      </w:pPr>
      <w:r>
        <w:rPr>
          <w:rFonts w:eastAsia="Times New Roman"/>
          <w:lang w:val="sl-SI"/>
        </w:rPr>
        <w:t>Vaš zdravnik se bo odločil, ali je treba zdravilo Yuflyma uporabljati skupaj z metotreksatom ali samostojno.</w:t>
      </w:r>
    </w:p>
    <w:p w14:paraId="0591A8C8" w14:textId="77777777" w:rsidR="00E04C8A" w:rsidRDefault="00E04C8A">
      <w:pPr>
        <w:spacing w:before="18" w:line="240" w:lineRule="exact"/>
        <w:rPr>
          <w:sz w:val="24"/>
          <w:szCs w:val="24"/>
          <w:lang w:val="sl-SI"/>
        </w:rPr>
      </w:pPr>
    </w:p>
    <w:p w14:paraId="4004C12B" w14:textId="77777777" w:rsidR="00E04C8A" w:rsidRDefault="008E1817">
      <w:pPr>
        <w:pStyle w:val="a3"/>
        <w:rPr>
          <w:b/>
          <w:lang w:val="sl-SI"/>
        </w:rPr>
      </w:pPr>
      <w:r>
        <w:rPr>
          <w:rFonts w:eastAsia="Times New Roman"/>
          <w:b/>
          <w:bCs/>
          <w:lang w:val="sl-SI"/>
        </w:rPr>
        <w:t>Poliartikularni juvenilni idiopatski artritis</w:t>
      </w:r>
    </w:p>
    <w:p w14:paraId="11737786" w14:textId="77777777" w:rsidR="00E04C8A" w:rsidRDefault="00E04C8A">
      <w:pPr>
        <w:spacing w:before="9" w:line="240" w:lineRule="exact"/>
        <w:rPr>
          <w:sz w:val="24"/>
          <w:szCs w:val="24"/>
          <w:lang w:val="sl-SI"/>
        </w:rPr>
      </w:pPr>
    </w:p>
    <w:p w14:paraId="15BD0E8C" w14:textId="77777777" w:rsidR="00E04C8A" w:rsidRDefault="008E1817">
      <w:pPr>
        <w:pStyle w:val="a3"/>
        <w:rPr>
          <w:lang w:val="sl-SI"/>
        </w:rPr>
      </w:pPr>
      <w:r>
        <w:rPr>
          <w:rFonts w:eastAsia="Times New Roman"/>
          <w:lang w:val="sl-SI"/>
        </w:rPr>
        <w:t>Poliartikularni juvenilni idiopatični artritis je vnetna bolezen sklepov.</w:t>
      </w:r>
    </w:p>
    <w:p w14:paraId="10E3D38C" w14:textId="77777777" w:rsidR="00E04C8A" w:rsidRDefault="00E04C8A">
      <w:pPr>
        <w:spacing w:before="13" w:line="240" w:lineRule="exact"/>
        <w:rPr>
          <w:sz w:val="24"/>
          <w:szCs w:val="24"/>
          <w:lang w:val="sl-SI"/>
        </w:rPr>
      </w:pPr>
    </w:p>
    <w:p w14:paraId="0F376EAA" w14:textId="77777777" w:rsidR="00E04C8A" w:rsidRDefault="008E1817">
      <w:pPr>
        <w:pStyle w:val="a3"/>
        <w:rPr>
          <w:lang w:val="sl-SI"/>
        </w:rPr>
      </w:pPr>
      <w:r>
        <w:rPr>
          <w:rFonts w:eastAsia="Times New Roman"/>
          <w:lang w:val="sl-SI"/>
        </w:rPr>
        <w:t>Zdravilo Yuflyma se uporablja za zdravljenje poliartikularnega juvenilnega idiopatskega artritisa pri bolnikih od 2. leta starosti. Morda boste najprej prejeli druga zdravila, ki spreminjajo potek bolezni, npr. metotreksat. Če se na ta zdravila ne odzovete dovolj dobro, boste prejeli zdravilo Yuflyma.</w:t>
      </w:r>
    </w:p>
    <w:p w14:paraId="5C9D2A33" w14:textId="77777777" w:rsidR="00E04C8A" w:rsidRDefault="00E04C8A">
      <w:pPr>
        <w:spacing w:before="13" w:line="240" w:lineRule="exact"/>
        <w:rPr>
          <w:sz w:val="24"/>
          <w:szCs w:val="24"/>
          <w:lang w:val="sl-SI"/>
        </w:rPr>
      </w:pPr>
    </w:p>
    <w:p w14:paraId="1468DA72" w14:textId="77777777" w:rsidR="00E04C8A" w:rsidRDefault="008E1817">
      <w:pPr>
        <w:pStyle w:val="a3"/>
        <w:rPr>
          <w:lang w:val="sl-SI"/>
        </w:rPr>
      </w:pPr>
      <w:r>
        <w:rPr>
          <w:rFonts w:eastAsia="Times New Roman"/>
          <w:lang w:val="sl-SI"/>
        </w:rPr>
        <w:t>Vaš zdravnik se bo odločil, ali je treba zdravilo Yuflyma uporabljati skupaj z metotreksatom ali samostojno.</w:t>
      </w:r>
    </w:p>
    <w:p w14:paraId="1590FAD1" w14:textId="77777777" w:rsidR="00E04C8A" w:rsidRDefault="00E04C8A">
      <w:pPr>
        <w:spacing w:before="16" w:line="240" w:lineRule="exact"/>
        <w:rPr>
          <w:sz w:val="24"/>
          <w:szCs w:val="24"/>
          <w:lang w:val="sl-SI"/>
        </w:rPr>
      </w:pPr>
    </w:p>
    <w:p w14:paraId="75F2EEA0" w14:textId="77777777" w:rsidR="00E04C8A" w:rsidRDefault="008E1817">
      <w:pPr>
        <w:pStyle w:val="a3"/>
        <w:rPr>
          <w:b/>
          <w:lang w:val="sl-SI"/>
        </w:rPr>
      </w:pPr>
      <w:r>
        <w:rPr>
          <w:rFonts w:eastAsia="Times New Roman"/>
          <w:b/>
          <w:bCs/>
          <w:lang w:val="sl-SI"/>
        </w:rPr>
        <w:t>Artritis, povezan z entezitisom</w:t>
      </w:r>
    </w:p>
    <w:p w14:paraId="03B97401" w14:textId="77777777" w:rsidR="00E04C8A" w:rsidRDefault="00E04C8A">
      <w:pPr>
        <w:spacing w:before="9" w:line="240" w:lineRule="exact"/>
        <w:rPr>
          <w:sz w:val="24"/>
          <w:szCs w:val="24"/>
          <w:lang w:val="sl-SI"/>
        </w:rPr>
      </w:pPr>
    </w:p>
    <w:p w14:paraId="7CA3F1D9" w14:textId="77777777" w:rsidR="00E04C8A" w:rsidRDefault="008E1817">
      <w:pPr>
        <w:pStyle w:val="a3"/>
        <w:rPr>
          <w:lang w:val="sl-SI"/>
        </w:rPr>
      </w:pPr>
      <w:r>
        <w:rPr>
          <w:rFonts w:eastAsia="Times New Roman"/>
          <w:lang w:val="sl-SI"/>
        </w:rPr>
        <w:t>Artritis, povezan z entezitisom, je vnetna bolezen sklepov in mest, kjer se kite pripnejo na kost.</w:t>
      </w:r>
    </w:p>
    <w:p w14:paraId="38820778" w14:textId="77777777" w:rsidR="00E04C8A" w:rsidRDefault="00E04C8A">
      <w:pPr>
        <w:spacing w:before="10" w:line="240" w:lineRule="exact"/>
        <w:rPr>
          <w:sz w:val="24"/>
          <w:szCs w:val="24"/>
          <w:lang w:val="sl-SI"/>
        </w:rPr>
      </w:pPr>
    </w:p>
    <w:p w14:paraId="6F656753" w14:textId="77777777" w:rsidR="00E04C8A" w:rsidRDefault="008E1817">
      <w:pPr>
        <w:pStyle w:val="a3"/>
        <w:rPr>
          <w:lang w:val="sl-SI"/>
        </w:rPr>
      </w:pPr>
      <w:r>
        <w:rPr>
          <w:rFonts w:eastAsia="Times New Roman"/>
          <w:lang w:val="sl-SI"/>
        </w:rPr>
        <w:t>Zdravilo Yuflyma se uporablja za zdravljenje artritisa, povezanega z entezitisom pri bolnikih od 6. leta starosti. Morda boste najprej prejeli druga zdravila, ki spreminjajo potek bolezni, npr. metotreksat. Če se na ta zdravila ne odzovete dovolj dobro, boste prejeli zdravilo Yuflyma.</w:t>
      </w:r>
    </w:p>
    <w:p w14:paraId="2039C81A" w14:textId="77777777" w:rsidR="00E04C8A" w:rsidRDefault="00E04C8A">
      <w:pPr>
        <w:spacing w:before="2" w:line="260" w:lineRule="exact"/>
        <w:rPr>
          <w:sz w:val="26"/>
          <w:szCs w:val="26"/>
          <w:lang w:val="sl-SI"/>
        </w:rPr>
      </w:pPr>
    </w:p>
    <w:p w14:paraId="63BE451D" w14:textId="77777777" w:rsidR="00E04C8A" w:rsidRDefault="008E1817">
      <w:pPr>
        <w:pStyle w:val="a3"/>
        <w:rPr>
          <w:b/>
          <w:lang w:val="sl-SI"/>
        </w:rPr>
      </w:pPr>
      <w:r>
        <w:rPr>
          <w:rFonts w:eastAsia="Times New Roman"/>
          <w:b/>
          <w:bCs/>
          <w:lang w:val="sl-SI"/>
        </w:rPr>
        <w:t>Ankilozirajoči spondilitis in aksialni spondiloartritis brez radiografskega dokaza za ankilozirajoči spondilitis</w:t>
      </w:r>
    </w:p>
    <w:p w14:paraId="156E682B" w14:textId="77777777" w:rsidR="00E04C8A" w:rsidRDefault="00E04C8A">
      <w:pPr>
        <w:spacing w:before="6" w:line="240" w:lineRule="exact"/>
        <w:rPr>
          <w:sz w:val="24"/>
          <w:szCs w:val="24"/>
          <w:lang w:val="sl-SI"/>
        </w:rPr>
      </w:pPr>
    </w:p>
    <w:p w14:paraId="479EEC0C" w14:textId="77777777" w:rsidR="00E04C8A" w:rsidRDefault="008E1817">
      <w:pPr>
        <w:pStyle w:val="a3"/>
        <w:rPr>
          <w:lang w:val="sl-SI"/>
        </w:rPr>
      </w:pPr>
      <w:r>
        <w:rPr>
          <w:rFonts w:eastAsia="Times New Roman"/>
          <w:lang w:val="sl-SI"/>
        </w:rPr>
        <w:t>Ankilozirajoči spondilitis in aksialni spondiloartritis brez radiografskega dokaza za ankilozirajoči spondilitis sta vnetni bolezni hrbtenice.</w:t>
      </w:r>
    </w:p>
    <w:p w14:paraId="36D26B91" w14:textId="77777777" w:rsidR="00E04C8A" w:rsidRDefault="00E04C8A">
      <w:pPr>
        <w:spacing w:before="10" w:line="240" w:lineRule="exact"/>
        <w:rPr>
          <w:sz w:val="24"/>
          <w:szCs w:val="24"/>
          <w:lang w:val="sl-SI"/>
        </w:rPr>
      </w:pPr>
    </w:p>
    <w:p w14:paraId="41756009" w14:textId="77777777" w:rsidR="00E04C8A" w:rsidRDefault="008E1817">
      <w:pPr>
        <w:pStyle w:val="a3"/>
        <w:rPr>
          <w:lang w:val="sl-SI"/>
        </w:rPr>
      </w:pPr>
      <w:r>
        <w:rPr>
          <w:rFonts w:eastAsia="Times New Roman"/>
          <w:lang w:val="sl-SI"/>
        </w:rPr>
        <w:t>Zdravilo Yuflyma se uporaba za zdravljenje hudega ankilozirajočega spondilitisa in aksialnega spondiloartritisa brez radiografskega dokaza za ankilozirajoči spondilitis pri odraslih. Najprej boste morda prejeli druga zdravila. Če se na ta zdravila ne odzovete dovolj dobro, boste prejeli zdravilo Yuflyma.</w:t>
      </w:r>
    </w:p>
    <w:p w14:paraId="4EF20240" w14:textId="77777777" w:rsidR="00E04C8A" w:rsidRDefault="00E04C8A">
      <w:pPr>
        <w:spacing w:before="18" w:line="240" w:lineRule="exact"/>
        <w:rPr>
          <w:sz w:val="24"/>
          <w:szCs w:val="24"/>
          <w:lang w:val="sl-SI"/>
        </w:rPr>
      </w:pPr>
    </w:p>
    <w:p w14:paraId="354D27F1" w14:textId="77777777" w:rsidR="00E04C8A" w:rsidRDefault="008E1817">
      <w:pPr>
        <w:pStyle w:val="a3"/>
        <w:rPr>
          <w:b/>
          <w:lang w:val="sl-SI"/>
        </w:rPr>
      </w:pPr>
      <w:r>
        <w:rPr>
          <w:rFonts w:eastAsia="Times New Roman"/>
          <w:b/>
          <w:bCs/>
          <w:lang w:val="sl-SI"/>
        </w:rPr>
        <w:t>Psoriatični artritis</w:t>
      </w:r>
    </w:p>
    <w:p w14:paraId="6C022875" w14:textId="77777777" w:rsidR="00E04C8A" w:rsidRDefault="00E04C8A">
      <w:pPr>
        <w:pStyle w:val="a3"/>
        <w:rPr>
          <w:lang w:val="sl-SI"/>
        </w:rPr>
      </w:pPr>
    </w:p>
    <w:p w14:paraId="29D6FD87" w14:textId="77777777" w:rsidR="00E04C8A" w:rsidRDefault="008E1817">
      <w:pPr>
        <w:pStyle w:val="a3"/>
        <w:rPr>
          <w:lang w:val="sl-SI"/>
        </w:rPr>
      </w:pPr>
      <w:r>
        <w:rPr>
          <w:rFonts w:eastAsia="Times New Roman"/>
          <w:lang w:val="sl-SI"/>
        </w:rPr>
        <w:t>Psoriatični artritis je vnetna bolezen sklepov, ki je po navadi povezana s psoriazo.</w:t>
      </w:r>
    </w:p>
    <w:p w14:paraId="37C8E29C" w14:textId="77777777" w:rsidR="00E04C8A" w:rsidRDefault="00E04C8A">
      <w:pPr>
        <w:spacing w:before="11" w:line="240" w:lineRule="exact"/>
        <w:rPr>
          <w:sz w:val="24"/>
          <w:szCs w:val="24"/>
          <w:lang w:val="sl-SI"/>
        </w:rPr>
      </w:pPr>
    </w:p>
    <w:p w14:paraId="30AA47D9" w14:textId="77777777" w:rsidR="00E04C8A" w:rsidRDefault="008E1817">
      <w:pPr>
        <w:pStyle w:val="a3"/>
        <w:rPr>
          <w:lang w:val="sl-SI"/>
        </w:rPr>
      </w:pPr>
      <w:r>
        <w:rPr>
          <w:rFonts w:eastAsia="Times New Roman"/>
          <w:lang w:val="sl-SI"/>
        </w:rPr>
        <w:t>Zdravilo Yuflyma se uporablja za zdravljenje psoriatičnega artritisa pri odraslih. Zdravilo Yuflyma lahko upočasni poškodbe sklepov, ki jih povzroča bolezen, in jim lahko pomaga, da se bolj prosto gibajo. Najprej boste morda prejeli druga zdravila. Če se na ta zdravila ne odzovete dovolj dobro, boste prejeli zdravilo Yuflyma.</w:t>
      </w:r>
    </w:p>
    <w:p w14:paraId="0F932D1F" w14:textId="77777777" w:rsidR="00E04C8A" w:rsidRDefault="00E04C8A">
      <w:pPr>
        <w:pStyle w:val="a3"/>
        <w:rPr>
          <w:lang w:val="sl-SI"/>
        </w:rPr>
      </w:pPr>
    </w:p>
    <w:p w14:paraId="1C36B736" w14:textId="77777777" w:rsidR="00E04C8A" w:rsidRDefault="008E1817">
      <w:pPr>
        <w:pStyle w:val="a3"/>
        <w:rPr>
          <w:b/>
          <w:lang w:val="sl-SI"/>
        </w:rPr>
      </w:pPr>
      <w:r>
        <w:rPr>
          <w:rFonts w:eastAsia="Times New Roman"/>
          <w:b/>
          <w:bCs/>
          <w:lang w:val="sl-SI"/>
        </w:rPr>
        <w:t>Luskavica (psoriaza) v plakih</w:t>
      </w:r>
    </w:p>
    <w:p w14:paraId="7A1F47E3" w14:textId="77777777" w:rsidR="00E04C8A" w:rsidRDefault="00E04C8A">
      <w:pPr>
        <w:spacing w:before="9" w:line="240" w:lineRule="exact"/>
        <w:rPr>
          <w:sz w:val="24"/>
          <w:szCs w:val="24"/>
          <w:lang w:val="sl-SI"/>
        </w:rPr>
      </w:pPr>
    </w:p>
    <w:p w14:paraId="1D15D54A" w14:textId="77777777" w:rsidR="00E04C8A" w:rsidRDefault="008E1817">
      <w:pPr>
        <w:pStyle w:val="a3"/>
        <w:rPr>
          <w:lang w:val="sl-SI"/>
        </w:rPr>
      </w:pPr>
      <w:r>
        <w:rPr>
          <w:rFonts w:eastAsia="Times New Roman"/>
          <w:lang w:val="sl-SI"/>
        </w:rPr>
        <w:t>Luskavica v plakih je bolezen kože, pri kateri nastajajo rdeče, kosmičaste, krastave lise na koži, pokrite s srebrnimi luskami. Luskavica v plakih lahko prizadene tudi nohte, ki postanejo krušljivi, zadebeljeni in se dvignejo od nohtne posteljice, kar je lahko boleče.</w:t>
      </w:r>
    </w:p>
    <w:p w14:paraId="69A43B3E" w14:textId="77777777" w:rsidR="00E04C8A" w:rsidRDefault="00E04C8A">
      <w:pPr>
        <w:spacing w:before="13" w:line="240" w:lineRule="exact"/>
        <w:rPr>
          <w:sz w:val="24"/>
          <w:szCs w:val="24"/>
          <w:lang w:val="sl-SI"/>
        </w:rPr>
      </w:pPr>
    </w:p>
    <w:p w14:paraId="5C819EAD" w14:textId="77777777" w:rsidR="00E04C8A" w:rsidRDefault="008E1817">
      <w:pPr>
        <w:pStyle w:val="a3"/>
        <w:rPr>
          <w:lang w:val="sl-SI"/>
        </w:rPr>
      </w:pPr>
      <w:r>
        <w:rPr>
          <w:rFonts w:eastAsia="Times New Roman"/>
          <w:lang w:val="sl-SI"/>
        </w:rPr>
        <w:t>Zdravilo Yuflyma se uporablja za zdravljenje</w:t>
      </w:r>
    </w:p>
    <w:p w14:paraId="73B134ED" w14:textId="77777777" w:rsidR="00E04C8A" w:rsidRDefault="008E1817">
      <w:pPr>
        <w:pStyle w:val="a3"/>
        <w:numPr>
          <w:ilvl w:val="1"/>
          <w:numId w:val="4"/>
        </w:numPr>
        <w:ind w:left="660" w:hanging="660"/>
        <w:rPr>
          <w:lang w:val="sl-SI"/>
        </w:rPr>
      </w:pPr>
      <w:r>
        <w:rPr>
          <w:rFonts w:eastAsia="Times New Roman"/>
          <w:lang w:val="sl-SI"/>
        </w:rPr>
        <w:t>zmerne do hude kronične luskavice v plakih pri odraslih in</w:t>
      </w:r>
    </w:p>
    <w:p w14:paraId="70485F62" w14:textId="77777777" w:rsidR="00E04C8A" w:rsidRDefault="008E1817">
      <w:pPr>
        <w:pStyle w:val="a3"/>
        <w:numPr>
          <w:ilvl w:val="1"/>
          <w:numId w:val="4"/>
        </w:numPr>
        <w:ind w:left="660" w:hanging="660"/>
        <w:rPr>
          <w:lang w:val="sl-SI"/>
        </w:rPr>
      </w:pPr>
      <w:r>
        <w:rPr>
          <w:rFonts w:eastAsia="Times New Roman"/>
          <w:lang w:val="sl-SI"/>
        </w:rPr>
        <w:t>hude luskavice v plakih pri otrocih in mladostnikih, starih od 4 do 17 let, pri katerih lokalno zdravljenje in zdravljenje s svetlobo nista dovolj dobro delovala ali pa nista primerna.</w:t>
      </w:r>
    </w:p>
    <w:p w14:paraId="23801309" w14:textId="77777777" w:rsidR="00E04C8A" w:rsidRDefault="00E04C8A">
      <w:pPr>
        <w:spacing w:before="15" w:line="240" w:lineRule="exact"/>
        <w:rPr>
          <w:sz w:val="24"/>
          <w:szCs w:val="24"/>
          <w:lang w:val="sl-SI"/>
        </w:rPr>
      </w:pPr>
    </w:p>
    <w:p w14:paraId="0367116C" w14:textId="77777777" w:rsidR="00E04C8A" w:rsidRDefault="008E1817">
      <w:pPr>
        <w:pStyle w:val="a3"/>
        <w:rPr>
          <w:b/>
          <w:lang w:val="sl-SI"/>
        </w:rPr>
      </w:pPr>
      <w:r>
        <w:rPr>
          <w:rFonts w:eastAsia="Times New Roman"/>
          <w:b/>
          <w:bCs/>
          <w:lang w:val="sl-SI"/>
        </w:rPr>
        <w:t>Hidradenitis suppurativa</w:t>
      </w:r>
    </w:p>
    <w:p w14:paraId="241404D9" w14:textId="77777777" w:rsidR="00E04C8A" w:rsidRDefault="00E04C8A">
      <w:pPr>
        <w:spacing w:before="9" w:line="240" w:lineRule="exact"/>
        <w:rPr>
          <w:sz w:val="24"/>
          <w:szCs w:val="24"/>
          <w:lang w:val="sl-SI"/>
        </w:rPr>
      </w:pPr>
    </w:p>
    <w:p w14:paraId="2F0ABD8B" w14:textId="77777777" w:rsidR="00E04C8A" w:rsidRDefault="008E1817">
      <w:pPr>
        <w:pStyle w:val="a3"/>
        <w:rPr>
          <w:lang w:val="sl-SI"/>
        </w:rPr>
      </w:pPr>
      <w:r>
        <w:rPr>
          <w:rFonts w:eastAsia="Times New Roman"/>
          <w:lang w:val="sl-SI"/>
        </w:rPr>
        <w:t xml:space="preserve">Hidradenitis suppurativa (včasih imenovan tudi acne inversa) je kronična in pogosto boleča vnetna bolezen kože. Simptomi lahko vključujejo mehke nodule (vozliče) in abscese (ognojke), iz katerih lahko izteka gnoj. Najpogosteje prizadene specifične predele kože, kot je predel </w:t>
      </w:r>
      <w:hyperlink r:id="rId29" w:history="1">
        <w:r>
          <w:rPr>
            <w:rFonts w:eastAsia="Times New Roman"/>
            <w:lang w:val="sl-SI"/>
          </w:rPr>
          <w:t xml:space="preserve">pod prsmi, </w:t>
        </w:r>
      </w:hyperlink>
      <w:r>
        <w:rPr>
          <w:rFonts w:eastAsia="Times New Roman"/>
          <w:lang w:val="sl-SI"/>
        </w:rPr>
        <w:t>pod pazduhami, notranji del stegen, dimlje in zadnjico. Na prizadetih področjih se lahko pojavijo tudi brazgotine.</w:t>
      </w:r>
    </w:p>
    <w:p w14:paraId="4A1646A0" w14:textId="77777777" w:rsidR="00E04C8A" w:rsidRDefault="00E04C8A">
      <w:pPr>
        <w:spacing w:before="13" w:line="240" w:lineRule="exact"/>
        <w:rPr>
          <w:sz w:val="24"/>
          <w:szCs w:val="24"/>
          <w:lang w:val="sl-SI"/>
        </w:rPr>
      </w:pPr>
    </w:p>
    <w:p w14:paraId="53A04CC1" w14:textId="77777777" w:rsidR="00E04C8A" w:rsidRDefault="008E1817">
      <w:pPr>
        <w:pStyle w:val="a3"/>
        <w:rPr>
          <w:lang w:val="sl-SI"/>
        </w:rPr>
      </w:pPr>
      <w:r>
        <w:rPr>
          <w:rFonts w:eastAsia="Times New Roman"/>
          <w:lang w:val="sl-SI"/>
        </w:rPr>
        <w:t>Zdravilo Yuflyma se uporablja za zdravljenje</w:t>
      </w:r>
    </w:p>
    <w:p w14:paraId="47AD5FC7" w14:textId="77777777" w:rsidR="00E04C8A" w:rsidRDefault="008E1817">
      <w:pPr>
        <w:pStyle w:val="a3"/>
        <w:numPr>
          <w:ilvl w:val="1"/>
          <w:numId w:val="4"/>
        </w:numPr>
        <w:ind w:left="660" w:hanging="660"/>
        <w:rPr>
          <w:lang w:val="sl-SI"/>
        </w:rPr>
      </w:pPr>
      <w:r>
        <w:rPr>
          <w:rFonts w:eastAsia="Times New Roman"/>
          <w:lang w:val="sl-SI"/>
        </w:rPr>
        <w:t>zmerne do hude hidradenitis suppurativa pri odraslih in</w:t>
      </w:r>
    </w:p>
    <w:p w14:paraId="61404310" w14:textId="77777777" w:rsidR="00E04C8A" w:rsidRDefault="008E1817">
      <w:pPr>
        <w:pStyle w:val="a3"/>
        <w:numPr>
          <w:ilvl w:val="1"/>
          <w:numId w:val="4"/>
        </w:numPr>
        <w:ind w:left="660" w:hanging="660"/>
        <w:rPr>
          <w:lang w:val="sl-SI"/>
        </w:rPr>
      </w:pPr>
      <w:r>
        <w:rPr>
          <w:rFonts w:eastAsia="Times New Roman"/>
          <w:lang w:val="sl-SI"/>
        </w:rPr>
        <w:t>zmerne do hude hidradenitis suppurativa pri mladostnikih, starih od 12 do 17 let.</w:t>
      </w:r>
    </w:p>
    <w:p w14:paraId="79599A9F" w14:textId="77777777" w:rsidR="00E04C8A" w:rsidRDefault="00E04C8A">
      <w:pPr>
        <w:spacing w:before="10" w:line="240" w:lineRule="exact"/>
        <w:rPr>
          <w:sz w:val="24"/>
          <w:szCs w:val="24"/>
          <w:lang w:val="sl-SI"/>
        </w:rPr>
      </w:pPr>
    </w:p>
    <w:p w14:paraId="7D8DAF7B" w14:textId="77777777" w:rsidR="00E04C8A" w:rsidRDefault="008E1817">
      <w:pPr>
        <w:pStyle w:val="a3"/>
        <w:rPr>
          <w:lang w:val="sl-SI"/>
        </w:rPr>
      </w:pPr>
      <w:r>
        <w:rPr>
          <w:rFonts w:eastAsia="Times New Roman"/>
          <w:lang w:val="sl-SI"/>
        </w:rPr>
        <w:t>Zdravilo Yuflyma lahko zmanjša število vozličev in ognojkov, ki jih povzroča bolezen in bolečino, ki je pogosto povezana s to boleznijo. Najprej boste morda prejeli druga zdravila. Če se na ta zdravila ne odzovete dovolj dobro, boste prejeli zdravilo Yuflyma.</w:t>
      </w:r>
    </w:p>
    <w:p w14:paraId="3F920D46" w14:textId="77777777" w:rsidR="00E04C8A" w:rsidRDefault="00E04C8A">
      <w:pPr>
        <w:spacing w:before="18" w:line="240" w:lineRule="exact"/>
        <w:rPr>
          <w:sz w:val="24"/>
          <w:szCs w:val="24"/>
          <w:lang w:val="sl-SI"/>
        </w:rPr>
      </w:pPr>
    </w:p>
    <w:p w14:paraId="61141F8D" w14:textId="77777777" w:rsidR="00E04C8A" w:rsidRDefault="008E1817">
      <w:pPr>
        <w:pStyle w:val="a3"/>
        <w:rPr>
          <w:b/>
          <w:lang w:val="sl-SI"/>
        </w:rPr>
      </w:pPr>
      <w:r>
        <w:rPr>
          <w:rFonts w:eastAsia="Times New Roman"/>
          <w:b/>
          <w:bCs/>
          <w:lang w:val="sl-SI"/>
        </w:rPr>
        <w:t>Crohnova bolezen</w:t>
      </w:r>
    </w:p>
    <w:p w14:paraId="5C0B5E5B" w14:textId="77777777" w:rsidR="00E04C8A" w:rsidRDefault="00E04C8A">
      <w:pPr>
        <w:pStyle w:val="a3"/>
        <w:rPr>
          <w:u w:val="single"/>
          <w:lang w:val="sl-SI"/>
        </w:rPr>
      </w:pPr>
    </w:p>
    <w:p w14:paraId="3B2FA5BF" w14:textId="77777777" w:rsidR="00E04C8A" w:rsidRDefault="008E1817">
      <w:pPr>
        <w:pStyle w:val="a3"/>
        <w:rPr>
          <w:lang w:val="sl-SI"/>
        </w:rPr>
      </w:pPr>
      <w:r>
        <w:rPr>
          <w:rFonts w:eastAsia="Times New Roman"/>
          <w:lang w:val="sl-SI"/>
        </w:rPr>
        <w:t>Crohnova bolezen je vnetna bolezen prebavil. Zdravilo Yuflyma se uporablja za zdravljenje</w:t>
      </w:r>
    </w:p>
    <w:p w14:paraId="2DF65E50" w14:textId="77777777" w:rsidR="00E04C8A" w:rsidRDefault="008E1817">
      <w:pPr>
        <w:pStyle w:val="a3"/>
        <w:numPr>
          <w:ilvl w:val="1"/>
          <w:numId w:val="4"/>
        </w:numPr>
        <w:ind w:left="660" w:hanging="660"/>
        <w:rPr>
          <w:lang w:val="sl-SI"/>
        </w:rPr>
      </w:pPr>
      <w:r>
        <w:rPr>
          <w:rFonts w:eastAsia="Times New Roman"/>
          <w:lang w:val="sl-SI"/>
        </w:rPr>
        <w:t>zmerne do hude Crohnove bolezni pri odraslih in</w:t>
      </w:r>
    </w:p>
    <w:p w14:paraId="5F8CF94E" w14:textId="55E47A8D" w:rsidR="00E04C8A" w:rsidRDefault="008E1817">
      <w:pPr>
        <w:pStyle w:val="a3"/>
        <w:numPr>
          <w:ilvl w:val="1"/>
          <w:numId w:val="4"/>
        </w:numPr>
        <w:ind w:left="660" w:hanging="660"/>
        <w:rPr>
          <w:lang w:val="sl-SI"/>
        </w:rPr>
      </w:pPr>
      <w:r>
        <w:rPr>
          <w:rFonts w:eastAsia="Times New Roman"/>
          <w:lang w:val="sl-SI"/>
        </w:rPr>
        <w:t>zmerne do hude Crohnove bolezni pri otrocih in mladostnikih, starih od 6 do 17 let</w:t>
      </w:r>
      <w:r w:rsidR="00472D63">
        <w:rPr>
          <w:rFonts w:eastAsia="Times New Roman"/>
          <w:lang w:val="sl-SI"/>
        </w:rPr>
        <w:t>.</w:t>
      </w:r>
    </w:p>
    <w:p w14:paraId="3E4501CC" w14:textId="77777777" w:rsidR="00E04C8A" w:rsidRDefault="00E04C8A">
      <w:pPr>
        <w:spacing w:before="16" w:line="240" w:lineRule="exact"/>
        <w:rPr>
          <w:sz w:val="24"/>
          <w:szCs w:val="24"/>
          <w:lang w:val="sl-SI"/>
        </w:rPr>
      </w:pPr>
    </w:p>
    <w:p w14:paraId="7862CE7D" w14:textId="77777777" w:rsidR="00E04C8A" w:rsidRDefault="008E1817">
      <w:pPr>
        <w:pStyle w:val="a3"/>
        <w:rPr>
          <w:lang w:val="sl-SI"/>
        </w:rPr>
      </w:pPr>
      <w:r>
        <w:rPr>
          <w:rFonts w:eastAsia="Times New Roman"/>
          <w:lang w:val="sl-SI"/>
        </w:rPr>
        <w:t>Najprej boste morda prejeli druga zdravila. Če se na ta zdravila ne odzovete dovolj dobro, boste prejeli zdravilo Yuflyma.</w:t>
      </w:r>
    </w:p>
    <w:p w14:paraId="01989A62" w14:textId="77777777" w:rsidR="00E04C8A" w:rsidRDefault="00E04C8A">
      <w:pPr>
        <w:spacing w:before="15" w:line="240" w:lineRule="exact"/>
        <w:rPr>
          <w:sz w:val="24"/>
          <w:szCs w:val="24"/>
          <w:lang w:val="sl-SI"/>
        </w:rPr>
      </w:pPr>
    </w:p>
    <w:p w14:paraId="56675693" w14:textId="77777777" w:rsidR="00E04C8A" w:rsidRDefault="008E1817">
      <w:pPr>
        <w:pStyle w:val="a3"/>
        <w:rPr>
          <w:b/>
          <w:lang w:val="sl-SI"/>
        </w:rPr>
      </w:pPr>
      <w:r>
        <w:rPr>
          <w:rFonts w:eastAsia="Times New Roman"/>
          <w:b/>
          <w:bCs/>
          <w:lang w:val="sl-SI"/>
        </w:rPr>
        <w:t>Ulcerozni kolitis</w:t>
      </w:r>
    </w:p>
    <w:p w14:paraId="55712F5A" w14:textId="77777777" w:rsidR="00E04C8A" w:rsidRDefault="00E04C8A">
      <w:pPr>
        <w:pStyle w:val="a3"/>
        <w:rPr>
          <w:b/>
          <w:lang w:val="sl-SI"/>
        </w:rPr>
      </w:pPr>
    </w:p>
    <w:p w14:paraId="72326EDA" w14:textId="77777777" w:rsidR="00E04C8A" w:rsidRDefault="008E1817">
      <w:pPr>
        <w:pStyle w:val="a3"/>
        <w:rPr>
          <w:lang w:val="sl-SI"/>
        </w:rPr>
      </w:pPr>
      <w:r>
        <w:rPr>
          <w:rFonts w:eastAsia="Times New Roman"/>
          <w:lang w:val="sl-SI"/>
        </w:rPr>
        <w:t>Ulcerozni kolitis je vnetna bolezen debelega črevesa.</w:t>
      </w:r>
    </w:p>
    <w:p w14:paraId="13D39543" w14:textId="77777777" w:rsidR="00E04C8A" w:rsidRDefault="00E04C8A">
      <w:pPr>
        <w:spacing w:before="17" w:line="240" w:lineRule="exact"/>
        <w:rPr>
          <w:sz w:val="24"/>
          <w:szCs w:val="24"/>
          <w:lang w:val="sl-SI"/>
        </w:rPr>
      </w:pPr>
    </w:p>
    <w:p w14:paraId="2A1984ED" w14:textId="77777777" w:rsidR="0028193B" w:rsidRDefault="008E1817">
      <w:pPr>
        <w:pStyle w:val="a3"/>
        <w:rPr>
          <w:rFonts w:eastAsia="Times New Roman"/>
          <w:lang w:val="sl-SI"/>
        </w:rPr>
      </w:pPr>
      <w:r>
        <w:rPr>
          <w:rFonts w:eastAsia="Times New Roman"/>
          <w:lang w:val="sl-SI"/>
        </w:rPr>
        <w:t>Zdravilo Yuflyma se uporablja za zdravljenje</w:t>
      </w:r>
      <w:r w:rsidR="0028193B">
        <w:rPr>
          <w:rFonts w:eastAsia="Times New Roman"/>
          <w:lang w:val="sl-SI"/>
        </w:rPr>
        <w:t>:</w:t>
      </w:r>
    </w:p>
    <w:p w14:paraId="2FFCBBA9" w14:textId="37064E7C" w:rsidR="0028193B" w:rsidRPr="001452D7" w:rsidRDefault="008E1817" w:rsidP="001452D7">
      <w:pPr>
        <w:pStyle w:val="a3"/>
        <w:numPr>
          <w:ilvl w:val="1"/>
          <w:numId w:val="4"/>
        </w:numPr>
        <w:ind w:left="660" w:hanging="660"/>
        <w:rPr>
          <w:rFonts w:eastAsia="Times New Roman"/>
          <w:lang w:val="sl-SI"/>
        </w:rPr>
      </w:pPr>
      <w:r w:rsidRPr="001452D7">
        <w:rPr>
          <w:rFonts w:eastAsia="Times New Roman"/>
          <w:lang w:val="sl-SI"/>
        </w:rPr>
        <w:t>zmernega do hudega ulceroznega kolitisa pri odraslih</w:t>
      </w:r>
      <w:r w:rsidR="0028193B" w:rsidRPr="001452D7">
        <w:rPr>
          <w:rFonts w:eastAsia="Times New Roman"/>
          <w:lang w:val="sl-SI"/>
        </w:rPr>
        <w:t xml:space="preserve"> in</w:t>
      </w:r>
      <w:r w:rsidRPr="001452D7">
        <w:rPr>
          <w:rFonts w:eastAsia="Times New Roman"/>
          <w:lang w:val="sl-SI"/>
        </w:rPr>
        <w:t xml:space="preserve"> </w:t>
      </w:r>
    </w:p>
    <w:p w14:paraId="480FA328" w14:textId="77777777" w:rsidR="0028193B" w:rsidRPr="001452D7" w:rsidRDefault="0028193B" w:rsidP="001452D7">
      <w:pPr>
        <w:pStyle w:val="a3"/>
        <w:numPr>
          <w:ilvl w:val="1"/>
          <w:numId w:val="4"/>
        </w:numPr>
        <w:ind w:left="660" w:hanging="660"/>
        <w:rPr>
          <w:rFonts w:eastAsia="Times New Roman"/>
          <w:lang w:val="sl-SI"/>
        </w:rPr>
      </w:pPr>
      <w:r w:rsidRPr="001452D7">
        <w:rPr>
          <w:rFonts w:eastAsia="Times New Roman"/>
          <w:lang w:val="sl-SI"/>
        </w:rPr>
        <w:t>zmernega do hudega ulceroznega kolitisa pri otrocih in mladostnikih, starih od 6 do 17 let.</w:t>
      </w:r>
    </w:p>
    <w:p w14:paraId="63EBD080" w14:textId="77777777" w:rsidR="0028193B" w:rsidRPr="0028193B" w:rsidRDefault="0028193B">
      <w:pPr>
        <w:pStyle w:val="a3"/>
        <w:rPr>
          <w:rFonts w:eastAsia="Times New Roman"/>
          <w:lang w:val="sl-SI"/>
        </w:rPr>
      </w:pPr>
    </w:p>
    <w:p w14:paraId="3711ECC1" w14:textId="08CAB76F" w:rsidR="00E04C8A" w:rsidRDefault="008E1817">
      <w:pPr>
        <w:pStyle w:val="a3"/>
        <w:rPr>
          <w:lang w:val="sl-SI"/>
        </w:rPr>
      </w:pPr>
      <w:r>
        <w:rPr>
          <w:rFonts w:eastAsia="Times New Roman"/>
          <w:lang w:val="sl-SI"/>
        </w:rPr>
        <w:t>Najprej boste morda prejeli druga zdravila. Če se na ta zdravila ne odzovete dovolj dobro, boste prejeli zdravilo Yuflyma.</w:t>
      </w:r>
    </w:p>
    <w:p w14:paraId="45B4718B" w14:textId="77777777" w:rsidR="00E04C8A" w:rsidRDefault="00E04C8A">
      <w:pPr>
        <w:spacing w:before="15" w:line="240" w:lineRule="exact"/>
        <w:rPr>
          <w:sz w:val="24"/>
          <w:szCs w:val="24"/>
          <w:lang w:val="sl-SI"/>
        </w:rPr>
      </w:pPr>
    </w:p>
    <w:p w14:paraId="3674BBA3" w14:textId="77777777" w:rsidR="00E04C8A" w:rsidRDefault="008E1817">
      <w:pPr>
        <w:pStyle w:val="a3"/>
        <w:rPr>
          <w:b/>
          <w:lang w:val="sl-SI"/>
        </w:rPr>
      </w:pPr>
      <w:r>
        <w:rPr>
          <w:rFonts w:eastAsia="Times New Roman"/>
          <w:b/>
          <w:bCs/>
          <w:lang w:val="sl-SI"/>
        </w:rPr>
        <w:t>Neinfekcijski uveitis</w:t>
      </w:r>
    </w:p>
    <w:p w14:paraId="374F2366" w14:textId="77777777" w:rsidR="00E04C8A" w:rsidRDefault="00E04C8A">
      <w:pPr>
        <w:pStyle w:val="a3"/>
        <w:rPr>
          <w:lang w:val="sl-SI"/>
        </w:rPr>
      </w:pPr>
    </w:p>
    <w:p w14:paraId="720DC8F5" w14:textId="77777777" w:rsidR="00E04C8A" w:rsidRDefault="008E1817">
      <w:pPr>
        <w:pStyle w:val="a3"/>
        <w:rPr>
          <w:lang w:val="sl-SI"/>
        </w:rPr>
      </w:pPr>
      <w:r>
        <w:rPr>
          <w:rFonts w:eastAsia="Times New Roman"/>
          <w:lang w:val="sl-SI"/>
        </w:rPr>
        <w:t>Neinfekcijski uveitis je vnetna bolezen, ki prizadene določene dele očesa. Zdravilo Yuflyma se uporablja za zdravljenje</w:t>
      </w:r>
    </w:p>
    <w:p w14:paraId="15E35518" w14:textId="77777777" w:rsidR="00E04C8A" w:rsidRDefault="008E1817">
      <w:pPr>
        <w:pStyle w:val="a3"/>
        <w:numPr>
          <w:ilvl w:val="1"/>
          <w:numId w:val="4"/>
        </w:numPr>
        <w:ind w:left="660" w:hanging="660"/>
        <w:rPr>
          <w:lang w:val="sl-SI"/>
        </w:rPr>
      </w:pPr>
      <w:r>
        <w:rPr>
          <w:rFonts w:eastAsia="Times New Roman"/>
          <w:lang w:val="sl-SI"/>
        </w:rPr>
        <w:t>odraslih z neinfekcijskim uveitisom, kjer vnetje prizadene zadnji del očesa,</w:t>
      </w:r>
    </w:p>
    <w:p w14:paraId="4D443762" w14:textId="77777777" w:rsidR="00E04C8A" w:rsidRDefault="008E1817">
      <w:pPr>
        <w:pStyle w:val="a3"/>
        <w:numPr>
          <w:ilvl w:val="1"/>
          <w:numId w:val="4"/>
        </w:numPr>
        <w:ind w:left="660" w:hanging="660"/>
        <w:rPr>
          <w:lang w:val="sl-SI"/>
        </w:rPr>
      </w:pPr>
      <w:r>
        <w:rPr>
          <w:rFonts w:eastAsia="Times New Roman"/>
          <w:lang w:val="sl-SI"/>
        </w:rPr>
        <w:t>otrok, starejših od 2 let, s kroničnim neinfekcijskim uveitisom, kjer vnetje prizadene sprednji del očesa.</w:t>
      </w:r>
    </w:p>
    <w:p w14:paraId="4D0D973F" w14:textId="77777777" w:rsidR="00E04C8A" w:rsidRDefault="00E04C8A">
      <w:pPr>
        <w:pStyle w:val="a3"/>
        <w:rPr>
          <w:lang w:val="sl-SI"/>
        </w:rPr>
      </w:pPr>
    </w:p>
    <w:p w14:paraId="1D703444" w14:textId="77777777" w:rsidR="00E04C8A" w:rsidRDefault="008E1817">
      <w:pPr>
        <w:pStyle w:val="a3"/>
        <w:rPr>
          <w:lang w:val="sl-SI"/>
        </w:rPr>
      </w:pPr>
      <w:r>
        <w:rPr>
          <w:rFonts w:eastAsia="Times New Roman"/>
          <w:lang w:val="sl-SI"/>
        </w:rPr>
        <w:t xml:space="preserve">To vnetje lahko povzroči poslabšanje vida in/ali prisotnost delcev v očesu (črnih pik ali koprenastih črt, ki se </w:t>
      </w:r>
      <w:r>
        <w:rPr>
          <w:rFonts w:eastAsia="Times New Roman"/>
          <w:lang w:val="sl-SI"/>
        </w:rPr>
        <w:lastRenderedPageBreak/>
        <w:t>premikajo po vidnem polju). Zdravilo Yuflyma deluje tako, da zmanjša takšno vnetje.</w:t>
      </w:r>
    </w:p>
    <w:p w14:paraId="7491C926" w14:textId="77777777" w:rsidR="00E04C8A" w:rsidRDefault="00E04C8A">
      <w:pPr>
        <w:spacing w:before="10" w:line="240" w:lineRule="exact"/>
        <w:rPr>
          <w:sz w:val="24"/>
          <w:szCs w:val="24"/>
          <w:lang w:val="sl-SI"/>
        </w:rPr>
      </w:pPr>
    </w:p>
    <w:p w14:paraId="17DEBCB4" w14:textId="77777777" w:rsidR="00E04C8A" w:rsidRDefault="008E1817">
      <w:pPr>
        <w:pStyle w:val="a3"/>
        <w:rPr>
          <w:lang w:val="sl-SI"/>
        </w:rPr>
      </w:pPr>
      <w:r>
        <w:rPr>
          <w:rFonts w:eastAsia="Times New Roman"/>
          <w:lang w:val="sl-SI"/>
        </w:rPr>
        <w:t>Najprej boste morda prejeli druga zdravila. Če se na ta zdravila ne odzovete dovolj dobro, boste prejeli zdravilo Yuflyma.</w:t>
      </w:r>
    </w:p>
    <w:p w14:paraId="56FA0FA5" w14:textId="77777777" w:rsidR="00E04C8A" w:rsidRDefault="00E04C8A">
      <w:pPr>
        <w:spacing w:before="18" w:line="240" w:lineRule="exact"/>
        <w:rPr>
          <w:rFonts w:ascii="Times New Roman" w:hAnsi="Times New Roman" w:cs="Times New Roman"/>
          <w:b/>
          <w:lang w:val="sl-SI"/>
        </w:rPr>
      </w:pPr>
    </w:p>
    <w:p w14:paraId="52370701" w14:textId="77777777" w:rsidR="00E04C8A" w:rsidRDefault="00E04C8A">
      <w:pPr>
        <w:spacing w:before="18" w:line="240" w:lineRule="exact"/>
        <w:ind w:left="108"/>
        <w:rPr>
          <w:rFonts w:ascii="Times New Roman" w:hAnsi="Times New Roman" w:cs="Times New Roman"/>
          <w:b/>
          <w:lang w:val="sl-SI"/>
        </w:rPr>
      </w:pPr>
    </w:p>
    <w:p w14:paraId="241497F1" w14:textId="77777777" w:rsidR="00E04C8A" w:rsidRDefault="008E1817">
      <w:pPr>
        <w:pStyle w:val="a4"/>
        <w:numPr>
          <w:ilvl w:val="0"/>
          <w:numId w:val="33"/>
        </w:numPr>
        <w:spacing w:before="18" w:line="240" w:lineRule="exact"/>
        <w:ind w:left="357" w:hanging="357"/>
        <w:rPr>
          <w:lang w:val="sl-SI"/>
        </w:rPr>
      </w:pPr>
      <w:r>
        <w:rPr>
          <w:rFonts w:ascii="Times New Roman" w:eastAsia="Times New Roman" w:hAnsi="Times New Roman" w:cs="Times New Roman"/>
          <w:b/>
          <w:bCs/>
          <w:lang w:val="sl-SI"/>
        </w:rPr>
        <w:t>Kaj morate vedeti, preden boste uporabili zdravilo Yuflyma</w:t>
      </w:r>
    </w:p>
    <w:p w14:paraId="4515C594" w14:textId="77777777" w:rsidR="00E04C8A" w:rsidRDefault="00E04C8A">
      <w:pPr>
        <w:spacing w:before="18" w:line="240" w:lineRule="exact"/>
        <w:ind w:left="108"/>
        <w:rPr>
          <w:b/>
          <w:bCs/>
          <w:lang w:val="sl-SI"/>
        </w:rPr>
      </w:pPr>
    </w:p>
    <w:p w14:paraId="6F498E1D" w14:textId="77777777" w:rsidR="00E04C8A" w:rsidRDefault="008E1817">
      <w:pPr>
        <w:pStyle w:val="a3"/>
        <w:rPr>
          <w:b/>
          <w:lang w:val="sl-SI"/>
        </w:rPr>
      </w:pPr>
      <w:r>
        <w:rPr>
          <w:rFonts w:eastAsia="Times New Roman"/>
          <w:b/>
          <w:bCs/>
          <w:lang w:val="sl-SI"/>
        </w:rPr>
        <w:t>Ne uporabljajte zdravila Yuflyma:</w:t>
      </w:r>
    </w:p>
    <w:p w14:paraId="73DDD615" w14:textId="77777777" w:rsidR="00E04C8A" w:rsidRDefault="00E04C8A">
      <w:pPr>
        <w:pStyle w:val="a3"/>
        <w:rPr>
          <w:b/>
          <w:lang w:val="sl-SI"/>
        </w:rPr>
      </w:pPr>
    </w:p>
    <w:p w14:paraId="206AE508" w14:textId="77777777" w:rsidR="00E04C8A" w:rsidRDefault="008E1817">
      <w:pPr>
        <w:pStyle w:val="a3"/>
        <w:numPr>
          <w:ilvl w:val="1"/>
          <w:numId w:val="4"/>
        </w:numPr>
        <w:ind w:left="660" w:hanging="660"/>
        <w:rPr>
          <w:lang w:val="sl-SI"/>
        </w:rPr>
      </w:pPr>
      <w:r>
        <w:rPr>
          <w:rFonts w:eastAsia="Times New Roman"/>
          <w:lang w:val="sl-SI"/>
        </w:rPr>
        <w:t>če ste alergični na adalimumab ali katero koli sestavino tega zdravila (navedeno v poglavju 6).</w:t>
      </w:r>
    </w:p>
    <w:p w14:paraId="3FE1320F" w14:textId="77777777" w:rsidR="00E04C8A" w:rsidRDefault="00E04C8A">
      <w:pPr>
        <w:pStyle w:val="a3"/>
        <w:numPr>
          <w:ilvl w:val="0"/>
          <w:numId w:val="0"/>
        </w:numPr>
        <w:ind w:left="660"/>
        <w:rPr>
          <w:lang w:val="sl-SI"/>
        </w:rPr>
      </w:pPr>
    </w:p>
    <w:p w14:paraId="3D4A2E3C" w14:textId="77777777" w:rsidR="00E04C8A" w:rsidRDefault="008E1817">
      <w:pPr>
        <w:pStyle w:val="a3"/>
        <w:numPr>
          <w:ilvl w:val="1"/>
          <w:numId w:val="4"/>
        </w:numPr>
        <w:ind w:left="660" w:hanging="660"/>
        <w:rPr>
          <w:lang w:val="sl-SI"/>
        </w:rPr>
      </w:pPr>
      <w:r>
        <w:rPr>
          <w:rFonts w:eastAsia="Times New Roman"/>
          <w:lang w:val="sl-SI"/>
        </w:rPr>
        <w:t>če imate aktivno tuberkulozo ali druge hude okužbe (glejte "Opozorila in previdnostni ukrepi"); Pomembno je, da zdravniku poveste, če imate simptome okužb, npr. zvišano telesno temperaturo, rane, občutek utrujenosti ali težave z zobmi.</w:t>
      </w:r>
    </w:p>
    <w:p w14:paraId="61DC83E5" w14:textId="77777777" w:rsidR="00E04C8A" w:rsidRDefault="00E04C8A">
      <w:pPr>
        <w:pStyle w:val="a3"/>
        <w:numPr>
          <w:ilvl w:val="0"/>
          <w:numId w:val="0"/>
        </w:numPr>
        <w:ind w:left="660"/>
        <w:rPr>
          <w:lang w:val="sl-SI"/>
        </w:rPr>
      </w:pPr>
    </w:p>
    <w:p w14:paraId="63BCC8B2" w14:textId="77777777" w:rsidR="00E04C8A" w:rsidRDefault="008E1817">
      <w:pPr>
        <w:pStyle w:val="a3"/>
        <w:numPr>
          <w:ilvl w:val="1"/>
          <w:numId w:val="4"/>
        </w:numPr>
        <w:ind w:left="660" w:hanging="660"/>
        <w:rPr>
          <w:lang w:val="sl-SI"/>
        </w:rPr>
      </w:pPr>
      <w:r>
        <w:rPr>
          <w:rFonts w:eastAsia="Times New Roman"/>
          <w:lang w:val="sl-SI"/>
        </w:rPr>
        <w:t>če imate zmerno ali hudo srčno popuščanje; Pomembno je, da zdravniku poveste, če ste imeli ali imate kakšno resno bolezen srca (glejte "Opozorila in previdnostni ukrepi").</w:t>
      </w:r>
    </w:p>
    <w:p w14:paraId="5C6C5311" w14:textId="77777777" w:rsidR="00E04C8A" w:rsidRDefault="00E04C8A">
      <w:pPr>
        <w:spacing w:before="13" w:line="240" w:lineRule="exact"/>
        <w:rPr>
          <w:sz w:val="24"/>
          <w:szCs w:val="24"/>
          <w:lang w:val="sl-SI"/>
        </w:rPr>
      </w:pPr>
    </w:p>
    <w:p w14:paraId="42BB9D6D" w14:textId="77777777" w:rsidR="00E04C8A" w:rsidRDefault="008E1817">
      <w:pPr>
        <w:pStyle w:val="a3"/>
        <w:rPr>
          <w:b/>
          <w:lang w:val="sl-SI"/>
        </w:rPr>
      </w:pPr>
      <w:r>
        <w:rPr>
          <w:rFonts w:eastAsia="Times New Roman"/>
          <w:b/>
          <w:bCs/>
          <w:lang w:val="sl-SI"/>
        </w:rPr>
        <w:t>Opozorila in previdnostni ukrepi</w:t>
      </w:r>
    </w:p>
    <w:p w14:paraId="329327CE" w14:textId="77777777" w:rsidR="00E04C8A" w:rsidRDefault="00E04C8A">
      <w:pPr>
        <w:spacing w:before="9" w:line="240" w:lineRule="exact"/>
        <w:rPr>
          <w:sz w:val="24"/>
          <w:szCs w:val="24"/>
          <w:lang w:val="sl-SI"/>
        </w:rPr>
      </w:pPr>
    </w:p>
    <w:p w14:paraId="526ACF12" w14:textId="77777777" w:rsidR="00E04C8A" w:rsidRDefault="008E1817">
      <w:pPr>
        <w:pStyle w:val="a3"/>
        <w:rPr>
          <w:lang w:val="sl-SI"/>
        </w:rPr>
      </w:pPr>
      <w:r>
        <w:rPr>
          <w:rFonts w:eastAsia="Times New Roman"/>
          <w:lang w:val="sl-SI"/>
        </w:rPr>
        <w:t>Pred začetkom uporabe zdravila Yuflyma se posvetujte s svojim zdravnikom ali farmacevtom.</w:t>
      </w:r>
    </w:p>
    <w:p w14:paraId="6696B915" w14:textId="77777777" w:rsidR="00E04C8A" w:rsidRDefault="00E04C8A">
      <w:pPr>
        <w:pStyle w:val="a3"/>
        <w:rPr>
          <w:lang w:val="sl-SI"/>
        </w:rPr>
      </w:pPr>
    </w:p>
    <w:p w14:paraId="3F4748C6" w14:textId="77777777" w:rsidR="00E04C8A" w:rsidRDefault="008E1817">
      <w:pPr>
        <w:pStyle w:val="a3"/>
        <w:rPr>
          <w:u w:val="single" w:color="000000"/>
          <w:lang w:val="sl-SI"/>
        </w:rPr>
      </w:pPr>
      <w:r>
        <w:rPr>
          <w:rFonts w:eastAsia="Times New Roman"/>
          <w:u w:val="single" w:color="000000"/>
          <w:lang w:val="sl-SI"/>
        </w:rPr>
        <w:t>Alergijske reakcije</w:t>
      </w:r>
    </w:p>
    <w:p w14:paraId="2CBFAE38" w14:textId="77777777" w:rsidR="00E04C8A" w:rsidRDefault="00E04C8A">
      <w:pPr>
        <w:pStyle w:val="a3"/>
        <w:rPr>
          <w:u w:val="single"/>
          <w:lang w:val="sl-SI"/>
        </w:rPr>
      </w:pPr>
    </w:p>
    <w:p w14:paraId="508B6F76" w14:textId="01DFC6D5" w:rsidR="00E04C8A" w:rsidRDefault="008E1817">
      <w:pPr>
        <w:pStyle w:val="a3"/>
        <w:numPr>
          <w:ilvl w:val="1"/>
          <w:numId w:val="4"/>
        </w:numPr>
        <w:ind w:left="660" w:hanging="660"/>
        <w:rPr>
          <w:lang w:val="sl-SI"/>
        </w:rPr>
      </w:pPr>
      <w:r>
        <w:rPr>
          <w:rFonts w:eastAsia="Times New Roman"/>
          <w:lang w:val="sl-SI"/>
        </w:rPr>
        <w:t>Če doživite alergijske reakcije s simptomi, kot so tiščanje v prsih, piskajoče dihanje, omotica, otekanje ali izpuščaj, zdravila Yuflyma ne injicirajte več in se takoj posvetujte s svojim zdravnikom, saj so v redkih primerih te reakcije lahko življenje ogrožajoče.</w:t>
      </w:r>
    </w:p>
    <w:p w14:paraId="103FE8E6" w14:textId="77777777" w:rsidR="00E04C8A" w:rsidRDefault="00E04C8A">
      <w:pPr>
        <w:pStyle w:val="a3"/>
        <w:rPr>
          <w:b/>
          <w:lang w:val="sl-SI"/>
        </w:rPr>
      </w:pPr>
    </w:p>
    <w:p w14:paraId="7ED669A9" w14:textId="77777777" w:rsidR="00E04C8A" w:rsidRDefault="008E1817">
      <w:pPr>
        <w:pStyle w:val="a3"/>
        <w:rPr>
          <w:u w:val="single"/>
          <w:lang w:val="sl-SI"/>
        </w:rPr>
      </w:pPr>
      <w:r>
        <w:rPr>
          <w:rFonts w:eastAsia="Times New Roman"/>
          <w:u w:val="single"/>
          <w:lang w:val="sl-SI"/>
        </w:rPr>
        <w:t>Okužbe</w:t>
      </w:r>
    </w:p>
    <w:p w14:paraId="02A07BBF" w14:textId="77777777" w:rsidR="00E04C8A" w:rsidRDefault="00E04C8A">
      <w:pPr>
        <w:pStyle w:val="a3"/>
        <w:rPr>
          <w:b/>
          <w:lang w:val="sl-SI"/>
        </w:rPr>
      </w:pPr>
    </w:p>
    <w:p w14:paraId="61B811E5" w14:textId="07FDAFD6" w:rsidR="00E04C8A" w:rsidRDefault="008E1817">
      <w:pPr>
        <w:pStyle w:val="a3"/>
        <w:numPr>
          <w:ilvl w:val="1"/>
          <w:numId w:val="4"/>
        </w:numPr>
        <w:ind w:left="660" w:hanging="660"/>
        <w:rPr>
          <w:lang w:val="sl-SI"/>
        </w:rPr>
      </w:pPr>
      <w:r>
        <w:rPr>
          <w:rFonts w:eastAsia="Times New Roman"/>
          <w:lang w:val="sl-SI"/>
        </w:rPr>
        <w:t xml:space="preserve">Če imate kakšno okužbo, vključno z dolgotrajno ali omejeno okužbo (npr. razjedo na nogi), se pred uporabo zdravila Yuflyma posvetujte s svojim zdravnikom. Če niste </w:t>
      </w:r>
      <w:r w:rsidR="006238AA" w:rsidRPr="0027578E">
        <w:rPr>
          <w:rFonts w:eastAsia="Times New Roman"/>
          <w:lang w:val="sl-SI"/>
        </w:rPr>
        <w:t>prepričani</w:t>
      </w:r>
      <w:r>
        <w:rPr>
          <w:rFonts w:eastAsia="Times New Roman"/>
          <w:lang w:val="sl-SI"/>
        </w:rPr>
        <w:t>, se posvetujte z zdravnikom.</w:t>
      </w:r>
    </w:p>
    <w:p w14:paraId="6D937148" w14:textId="77777777" w:rsidR="00E04C8A" w:rsidRDefault="00E04C8A">
      <w:pPr>
        <w:pStyle w:val="a3"/>
        <w:rPr>
          <w:lang w:val="sl-SI"/>
        </w:rPr>
      </w:pPr>
    </w:p>
    <w:p w14:paraId="4C6DC7FF" w14:textId="77777777" w:rsidR="00E04C8A" w:rsidRDefault="008E1817">
      <w:pPr>
        <w:pStyle w:val="a3"/>
        <w:numPr>
          <w:ilvl w:val="1"/>
          <w:numId w:val="4"/>
        </w:numPr>
        <w:ind w:left="660" w:hanging="660"/>
        <w:rPr>
          <w:lang w:val="sl-SI"/>
        </w:rPr>
      </w:pPr>
      <w:r>
        <w:rPr>
          <w:rFonts w:eastAsia="Times New Roman"/>
          <w:lang w:val="sl-SI"/>
        </w:rPr>
        <w:t>Med zdravljenjem z zdravilom Yuflyma se lahko poveča dovzetnost za okužbe. Če imate težave s pljuči, se to tveganje lahko poveča. Te okužbe so lahko resne in vključujejo:</w:t>
      </w:r>
    </w:p>
    <w:p w14:paraId="2A9E70C2" w14:textId="77777777" w:rsidR="00E04C8A" w:rsidRDefault="008E1817">
      <w:pPr>
        <w:pStyle w:val="a3"/>
        <w:numPr>
          <w:ilvl w:val="1"/>
          <w:numId w:val="4"/>
        </w:numPr>
        <w:ind w:left="660" w:firstLine="49"/>
        <w:rPr>
          <w:lang w:val="sl-SI"/>
        </w:rPr>
      </w:pPr>
      <w:r>
        <w:rPr>
          <w:rFonts w:eastAsia="Times New Roman"/>
          <w:lang w:val="sl-SI"/>
        </w:rPr>
        <w:t>tuberkulozo,</w:t>
      </w:r>
    </w:p>
    <w:p w14:paraId="1B588444" w14:textId="77777777" w:rsidR="00E04C8A" w:rsidRDefault="008E1817">
      <w:pPr>
        <w:pStyle w:val="a3"/>
        <w:numPr>
          <w:ilvl w:val="1"/>
          <w:numId w:val="4"/>
        </w:numPr>
        <w:ind w:left="660" w:firstLine="49"/>
        <w:rPr>
          <w:lang w:val="sl-SI"/>
        </w:rPr>
      </w:pPr>
      <w:r>
        <w:rPr>
          <w:rFonts w:eastAsia="Times New Roman"/>
          <w:lang w:val="sl-SI"/>
        </w:rPr>
        <w:t>okužbe, ki jih povzročajo virusi, glive, zajedavci ali bakterije,</w:t>
      </w:r>
    </w:p>
    <w:p w14:paraId="2DD6EA9D" w14:textId="77777777" w:rsidR="00E04C8A" w:rsidRDefault="008E1817">
      <w:pPr>
        <w:pStyle w:val="a3"/>
        <w:numPr>
          <w:ilvl w:val="1"/>
          <w:numId w:val="4"/>
        </w:numPr>
        <w:ind w:left="660" w:firstLine="49"/>
        <w:rPr>
          <w:lang w:val="sl-SI"/>
        </w:rPr>
      </w:pPr>
      <w:r>
        <w:rPr>
          <w:rFonts w:eastAsia="Times New Roman"/>
          <w:lang w:val="sl-SI"/>
        </w:rPr>
        <w:t>hude okužbe krvi (sepso).</w:t>
      </w:r>
    </w:p>
    <w:p w14:paraId="28F34E92" w14:textId="77777777" w:rsidR="00E04C8A" w:rsidRDefault="00E04C8A">
      <w:pPr>
        <w:pStyle w:val="a3"/>
        <w:rPr>
          <w:lang w:val="sl-SI"/>
        </w:rPr>
      </w:pPr>
    </w:p>
    <w:p w14:paraId="191A0019" w14:textId="77777777" w:rsidR="00E04C8A" w:rsidRDefault="008E1817" w:rsidP="006F3477">
      <w:pPr>
        <w:pStyle w:val="a3"/>
        <w:numPr>
          <w:ilvl w:val="0"/>
          <w:numId w:val="0"/>
        </w:numPr>
        <w:ind w:leftChars="300" w:left="660"/>
        <w:rPr>
          <w:lang w:val="sl-SI"/>
        </w:rPr>
      </w:pPr>
      <w:r>
        <w:rPr>
          <w:rFonts w:eastAsia="Times New Roman"/>
          <w:lang w:val="sl-SI"/>
        </w:rPr>
        <w:t>V redkih primerih so lahko te okužbe smrtno nevarne. Pomembno je, da svojega zdravnika obvestite o simptomih, kot so zvišana telesna temperatura, rane, utrujenost ali težave z zobmi. Vaš zdravnik bo morda priporočil začasno prenehanje uporabe zdravila Yuflyma.</w:t>
      </w:r>
    </w:p>
    <w:p w14:paraId="15827662" w14:textId="77777777" w:rsidR="00E04C8A" w:rsidRDefault="00E04C8A">
      <w:pPr>
        <w:pStyle w:val="a3"/>
        <w:rPr>
          <w:lang w:val="sl-SI"/>
        </w:rPr>
      </w:pPr>
    </w:p>
    <w:p w14:paraId="49044306" w14:textId="77777777" w:rsidR="00E04C8A" w:rsidRDefault="008E1817">
      <w:pPr>
        <w:pStyle w:val="a3"/>
        <w:numPr>
          <w:ilvl w:val="1"/>
          <w:numId w:val="4"/>
        </w:numPr>
        <w:ind w:left="660" w:hanging="660"/>
        <w:rPr>
          <w:lang w:val="sl-SI"/>
        </w:rPr>
      </w:pPr>
      <w:r>
        <w:rPr>
          <w:rFonts w:eastAsia="Times New Roman"/>
          <w:lang w:val="sl-SI"/>
        </w:rPr>
        <w:t>Zdravniku povejte, če živite na območju ali potujete v regije, kjer so glivične okužbe (npr. histoplazmoza, kokcidioidomikoza ali blastomikoza) zelo pogoste.</w:t>
      </w:r>
    </w:p>
    <w:p w14:paraId="438C2A93" w14:textId="77777777" w:rsidR="00E04C8A" w:rsidRDefault="00E04C8A">
      <w:pPr>
        <w:pStyle w:val="a3"/>
        <w:rPr>
          <w:lang w:val="sl-SI"/>
        </w:rPr>
      </w:pPr>
    </w:p>
    <w:p w14:paraId="734A2ABB" w14:textId="77777777" w:rsidR="00E04C8A" w:rsidRDefault="008E1817">
      <w:pPr>
        <w:pStyle w:val="a3"/>
        <w:numPr>
          <w:ilvl w:val="1"/>
          <w:numId w:val="4"/>
        </w:numPr>
        <w:ind w:left="660" w:hanging="660"/>
        <w:rPr>
          <w:lang w:val="sl-SI"/>
        </w:rPr>
      </w:pPr>
      <w:r>
        <w:rPr>
          <w:rFonts w:eastAsia="Times New Roman"/>
          <w:lang w:val="sl-SI"/>
        </w:rPr>
        <w:t>Zdravniku povejte, če ste v preteklosti imeli ponavljajoče se okužbe ali druga stanja, ki zvečujejo tveganje za okužbe.</w:t>
      </w:r>
    </w:p>
    <w:p w14:paraId="7F564642" w14:textId="77777777" w:rsidR="00E04C8A" w:rsidRDefault="00E04C8A">
      <w:pPr>
        <w:pStyle w:val="a3"/>
        <w:numPr>
          <w:ilvl w:val="0"/>
          <w:numId w:val="0"/>
        </w:numPr>
        <w:rPr>
          <w:lang w:val="sl-SI"/>
        </w:rPr>
      </w:pPr>
    </w:p>
    <w:p w14:paraId="2BD25BC5" w14:textId="77777777" w:rsidR="00E04C8A" w:rsidRDefault="008E1817">
      <w:pPr>
        <w:pStyle w:val="a3"/>
        <w:numPr>
          <w:ilvl w:val="1"/>
          <w:numId w:val="4"/>
        </w:numPr>
        <w:ind w:left="660" w:hanging="660"/>
        <w:rPr>
          <w:lang w:val="sl-SI"/>
        </w:rPr>
      </w:pPr>
      <w:r>
        <w:rPr>
          <w:rFonts w:eastAsia="Times New Roman"/>
          <w:lang w:val="sl-SI"/>
        </w:rPr>
        <w:t xml:space="preserve">Če ste starejši od 65 let, ste morda dovzetnejši za okužbe, če jemljete zdravilo Yuflyma. Med zdravljenjem z zdravilom Yuflyma morate biti vi in zdravnik še posebej pozorni na znake okužbe. </w:t>
      </w:r>
      <w:r>
        <w:rPr>
          <w:rFonts w:eastAsia="Times New Roman"/>
          <w:lang w:val="sl-SI"/>
        </w:rPr>
        <w:lastRenderedPageBreak/>
        <w:t>Pomembno je, da svojemu zdravniku poveste, če dobite znake okužbe, kot so zvišana telesna temperatura, rane, občutek utrujenosti ali težave z zobmi.</w:t>
      </w:r>
    </w:p>
    <w:p w14:paraId="40176FE8" w14:textId="77777777" w:rsidR="00E04C8A" w:rsidRDefault="00E04C8A">
      <w:pPr>
        <w:spacing w:before="11" w:line="240" w:lineRule="exact"/>
        <w:rPr>
          <w:sz w:val="24"/>
          <w:szCs w:val="24"/>
          <w:lang w:val="sl-SI"/>
        </w:rPr>
      </w:pPr>
    </w:p>
    <w:p w14:paraId="5E2CDADD" w14:textId="77777777" w:rsidR="00E04C8A" w:rsidRDefault="008E1817">
      <w:pPr>
        <w:pStyle w:val="a3"/>
        <w:rPr>
          <w:u w:val="single"/>
          <w:lang w:val="sl-SI"/>
        </w:rPr>
      </w:pPr>
      <w:r>
        <w:rPr>
          <w:rFonts w:eastAsia="Times New Roman"/>
          <w:u w:val="single" w:color="000000"/>
          <w:lang w:val="sl-SI"/>
        </w:rPr>
        <w:t>Tuberkuloza</w:t>
      </w:r>
    </w:p>
    <w:p w14:paraId="02CEC56B" w14:textId="77777777" w:rsidR="00E04C8A" w:rsidRDefault="00E04C8A" w:rsidP="00337BB0">
      <w:pPr>
        <w:pStyle w:val="a3"/>
        <w:numPr>
          <w:ilvl w:val="0"/>
          <w:numId w:val="0"/>
        </w:numPr>
        <w:rPr>
          <w:lang w:val="sl-SI"/>
        </w:rPr>
      </w:pPr>
    </w:p>
    <w:p w14:paraId="5178537D" w14:textId="77777777" w:rsidR="00E04C8A" w:rsidRPr="00337BB0" w:rsidRDefault="008E1817" w:rsidP="007F4583">
      <w:pPr>
        <w:pStyle w:val="a3"/>
        <w:numPr>
          <w:ilvl w:val="1"/>
          <w:numId w:val="4"/>
        </w:numPr>
        <w:ind w:left="426" w:hanging="340"/>
        <w:rPr>
          <w:lang w:val="sl-SI"/>
        </w:rPr>
      </w:pPr>
      <w:r>
        <w:rPr>
          <w:rFonts w:eastAsia="Times New Roman"/>
          <w:lang w:val="sl-SI"/>
        </w:rPr>
        <w:t>Zelo pomembno je, da svojemu zdravniku poveste, če ste kdaj imeli tuberkulozo ali če ste bili v tesnem stiku s kom, ki jo je imel. Če imate aktivno tuberkulozo, ne uporabljajte zdravila Yuflyma.</w:t>
      </w:r>
    </w:p>
    <w:p w14:paraId="68336F43" w14:textId="388B62E9" w:rsidR="007F4583" w:rsidRPr="007F4583" w:rsidRDefault="007F4583">
      <w:pPr>
        <w:pStyle w:val="a3"/>
        <w:numPr>
          <w:ilvl w:val="1"/>
          <w:numId w:val="4"/>
        </w:numPr>
        <w:ind w:left="998" w:hanging="340"/>
        <w:rPr>
          <w:lang w:val="sl-SI"/>
        </w:rPr>
      </w:pPr>
      <w:r w:rsidRPr="007F4583">
        <w:rPr>
          <w:rFonts w:eastAsia="Times New Roman"/>
          <w:lang w:val="sl-SI"/>
        </w:rPr>
        <w:t xml:space="preserve">Ker so bili pri bolnikih, zdravljenih z zdravilom Yuflyma opisani primeri tuberkuloze, vas bo zdravnik pred začetkom zdravljenja z zdravilom Yuflyma preiskal in preveril, ali imate znake in simptome tuberkuloze. To bo vključevalo natančno zdravniško oceno vključno s poizvedbo o vašem zdravju v preteklosti in ustrezne preiskave (npr. rentgensko slikanje prsnih organov in tuberkulinski test). Izvedbo in rezultate teh preiskav je treba zabeležiti na </w:t>
      </w:r>
      <w:r w:rsidR="007F6B22">
        <w:rPr>
          <w:rFonts w:eastAsia="Times New Roman"/>
          <w:b/>
          <w:bCs/>
          <w:lang w:val="sl-SI"/>
        </w:rPr>
        <w:t>opozorilno kartico za bolnika</w:t>
      </w:r>
      <w:r w:rsidRPr="007F4583">
        <w:rPr>
          <w:rFonts w:eastAsia="Times New Roman"/>
          <w:lang w:val="sl-SI"/>
        </w:rPr>
        <w:t>.</w:t>
      </w:r>
    </w:p>
    <w:p w14:paraId="18403C0D" w14:textId="09079A26" w:rsidR="00E04C8A" w:rsidRDefault="008E1817">
      <w:pPr>
        <w:pStyle w:val="a3"/>
        <w:numPr>
          <w:ilvl w:val="1"/>
          <w:numId w:val="4"/>
        </w:numPr>
        <w:ind w:left="998" w:hanging="340"/>
        <w:rPr>
          <w:lang w:val="sl-SI"/>
        </w:rPr>
      </w:pPr>
      <w:r>
        <w:rPr>
          <w:rFonts w:eastAsia="Times New Roman"/>
          <w:lang w:val="sl-SI"/>
        </w:rPr>
        <w:t>Tuberkuloza se lahko razvije med zdravljenjem, tudi če ste prejeli zdravljenje za tuberkulozo.</w:t>
      </w:r>
    </w:p>
    <w:p w14:paraId="734C88F9" w14:textId="77777777" w:rsidR="00E04C8A" w:rsidRDefault="008E1817">
      <w:pPr>
        <w:pStyle w:val="a3"/>
        <w:numPr>
          <w:ilvl w:val="1"/>
          <w:numId w:val="4"/>
        </w:numPr>
        <w:ind w:left="998" w:hanging="340"/>
        <w:rPr>
          <w:lang w:val="sl-SI"/>
        </w:rPr>
      </w:pPr>
      <w:r>
        <w:rPr>
          <w:rFonts w:eastAsia="Times New Roman"/>
          <w:lang w:val="sl-SI"/>
        </w:rPr>
        <w:t>Če se med zdravljenjem ali po njem pojavijo simptomi tuberkuloze (npr. kašelj, ki ne preneha, hujšanje, pomanjkanje energije, rahlo zvišana telesna temperatura) ali kakšne druge okužbe, to takoj povejte zdravniku.</w:t>
      </w:r>
    </w:p>
    <w:p w14:paraId="5A2FB8E2" w14:textId="77777777" w:rsidR="00E04C8A" w:rsidRDefault="00E04C8A">
      <w:pPr>
        <w:spacing w:before="11" w:line="240" w:lineRule="exact"/>
        <w:rPr>
          <w:sz w:val="24"/>
          <w:szCs w:val="24"/>
          <w:lang w:val="sl-SI"/>
        </w:rPr>
      </w:pPr>
    </w:p>
    <w:p w14:paraId="73D49CD3" w14:textId="77777777" w:rsidR="00E04C8A" w:rsidRDefault="008E1817">
      <w:pPr>
        <w:pStyle w:val="a3"/>
        <w:rPr>
          <w:u w:val="single"/>
          <w:lang w:val="sl-SI"/>
        </w:rPr>
      </w:pPr>
      <w:r>
        <w:rPr>
          <w:rFonts w:eastAsia="Times New Roman"/>
          <w:u w:val="single" w:color="000000"/>
          <w:lang w:val="sl-SI"/>
        </w:rPr>
        <w:t>Hepatitis B</w:t>
      </w:r>
    </w:p>
    <w:p w14:paraId="3E914BFB" w14:textId="77777777" w:rsidR="00E04C8A" w:rsidRDefault="00E04C8A">
      <w:pPr>
        <w:spacing w:before="4" w:line="190" w:lineRule="exact"/>
        <w:rPr>
          <w:sz w:val="19"/>
          <w:szCs w:val="19"/>
          <w:lang w:val="sl-SI"/>
        </w:rPr>
      </w:pPr>
    </w:p>
    <w:p w14:paraId="671CA370" w14:textId="77777777" w:rsidR="00E04C8A" w:rsidRDefault="008E1817">
      <w:pPr>
        <w:pStyle w:val="a3"/>
        <w:numPr>
          <w:ilvl w:val="1"/>
          <w:numId w:val="4"/>
        </w:numPr>
        <w:ind w:left="660" w:hanging="660"/>
        <w:rPr>
          <w:lang w:val="sl-SI"/>
        </w:rPr>
      </w:pPr>
      <w:r>
        <w:rPr>
          <w:rFonts w:eastAsia="Times New Roman"/>
          <w:lang w:val="sl-SI"/>
        </w:rPr>
        <w:t>Zdravniku morate povedati, če ste nosilec virusa hepatitisa B (HBV), če imate aktiven HBV ali če mislite, da bi lahko dobili HBV.</w:t>
      </w:r>
    </w:p>
    <w:p w14:paraId="50B6F5EC" w14:textId="77777777" w:rsidR="00E04C8A" w:rsidRDefault="008E1817">
      <w:pPr>
        <w:pStyle w:val="a3"/>
        <w:numPr>
          <w:ilvl w:val="1"/>
          <w:numId w:val="4"/>
        </w:numPr>
        <w:ind w:left="998" w:hanging="340"/>
        <w:rPr>
          <w:lang w:val="sl-SI"/>
        </w:rPr>
      </w:pPr>
      <w:r>
        <w:rPr>
          <w:rFonts w:eastAsia="Times New Roman"/>
          <w:lang w:val="sl-SI"/>
        </w:rPr>
        <w:t>Vaš zdravnik vas mora testirati na HBV. Zdravilo Yuflyma lahko pri nosilcih HBV povzroči reaktivacijo tega virusa.</w:t>
      </w:r>
    </w:p>
    <w:p w14:paraId="160550B4" w14:textId="77777777" w:rsidR="00E04C8A" w:rsidRDefault="008E1817">
      <w:pPr>
        <w:pStyle w:val="a3"/>
        <w:numPr>
          <w:ilvl w:val="1"/>
          <w:numId w:val="4"/>
        </w:numPr>
        <w:ind w:left="998" w:hanging="340"/>
        <w:rPr>
          <w:lang w:val="sl-SI"/>
        </w:rPr>
      </w:pPr>
      <w:r>
        <w:rPr>
          <w:rFonts w:eastAsia="Times New Roman"/>
          <w:lang w:val="sl-SI"/>
        </w:rPr>
        <w:t>V redkih primerih, zlasti če jemljete druga zdravila, ki zavirajo imunski sistem, je lahko ponovna aktivacija HBV smrtno nevarna.</w:t>
      </w:r>
    </w:p>
    <w:p w14:paraId="64F5C76E" w14:textId="77777777" w:rsidR="00E04C8A" w:rsidRDefault="00E04C8A">
      <w:pPr>
        <w:spacing w:before="11" w:line="240" w:lineRule="exact"/>
        <w:rPr>
          <w:sz w:val="24"/>
          <w:szCs w:val="24"/>
          <w:lang w:val="sl-SI"/>
        </w:rPr>
      </w:pPr>
    </w:p>
    <w:p w14:paraId="43F0B016" w14:textId="77777777" w:rsidR="00E04C8A" w:rsidRDefault="008E1817">
      <w:pPr>
        <w:pStyle w:val="a3"/>
        <w:rPr>
          <w:u w:val="single"/>
          <w:lang w:val="sl-SI"/>
        </w:rPr>
      </w:pPr>
      <w:r>
        <w:rPr>
          <w:rFonts w:eastAsia="Times New Roman"/>
          <w:u w:val="single" w:color="000000"/>
          <w:lang w:val="sl-SI"/>
        </w:rPr>
        <w:t>Kirurški poseg ali poseg na zobeh</w:t>
      </w:r>
    </w:p>
    <w:p w14:paraId="03A00FC4" w14:textId="77777777" w:rsidR="00E04C8A" w:rsidRDefault="00E04C8A">
      <w:pPr>
        <w:spacing w:before="4" w:line="190" w:lineRule="exact"/>
        <w:rPr>
          <w:sz w:val="19"/>
          <w:szCs w:val="19"/>
          <w:lang w:val="sl-SI"/>
        </w:rPr>
      </w:pPr>
    </w:p>
    <w:p w14:paraId="2E898887" w14:textId="77777777" w:rsidR="00E04C8A" w:rsidRDefault="008E1817">
      <w:pPr>
        <w:pStyle w:val="a3"/>
        <w:numPr>
          <w:ilvl w:val="1"/>
          <w:numId w:val="4"/>
        </w:numPr>
        <w:ind w:left="660" w:hanging="660"/>
        <w:rPr>
          <w:lang w:val="sl-SI"/>
        </w:rPr>
      </w:pPr>
      <w:r>
        <w:rPr>
          <w:rFonts w:eastAsia="Times New Roman"/>
          <w:lang w:val="sl-SI"/>
        </w:rPr>
        <w:t>Če boste imeli kirurški poseg ali poseg na zobeh, prosimo, povejte svojemu zdravniku, da jemljete zdravilo Yuflyma. Zdravnik vam bo morda priporočil začasno prekinitev zdravljenja z zdravilom Yuflyma.</w:t>
      </w:r>
    </w:p>
    <w:p w14:paraId="6D4770F7" w14:textId="77777777" w:rsidR="00E04C8A" w:rsidRDefault="00E04C8A">
      <w:pPr>
        <w:spacing w:before="8" w:line="240" w:lineRule="exact"/>
        <w:rPr>
          <w:sz w:val="24"/>
          <w:szCs w:val="24"/>
          <w:lang w:val="sl-SI"/>
        </w:rPr>
      </w:pPr>
    </w:p>
    <w:p w14:paraId="68C5B056" w14:textId="77777777" w:rsidR="00E04C8A" w:rsidRDefault="008E1817">
      <w:pPr>
        <w:pStyle w:val="a3"/>
        <w:rPr>
          <w:u w:val="single"/>
          <w:lang w:val="sl-SI"/>
        </w:rPr>
      </w:pPr>
      <w:r>
        <w:rPr>
          <w:rFonts w:eastAsia="Times New Roman"/>
          <w:u w:val="single" w:color="000000"/>
          <w:lang w:val="sl-SI"/>
        </w:rPr>
        <w:t>Demielinizirajoča bolezen</w:t>
      </w:r>
    </w:p>
    <w:p w14:paraId="030AAFC8" w14:textId="77777777" w:rsidR="00E04C8A" w:rsidRDefault="00E04C8A">
      <w:pPr>
        <w:spacing w:before="4" w:line="190" w:lineRule="exact"/>
        <w:rPr>
          <w:sz w:val="19"/>
          <w:szCs w:val="19"/>
          <w:lang w:val="sl-SI"/>
        </w:rPr>
      </w:pPr>
    </w:p>
    <w:p w14:paraId="4C064BA5" w14:textId="77777777" w:rsidR="00E04C8A" w:rsidRDefault="008E1817">
      <w:pPr>
        <w:pStyle w:val="a3"/>
        <w:numPr>
          <w:ilvl w:val="1"/>
          <w:numId w:val="4"/>
        </w:numPr>
        <w:ind w:left="660" w:hanging="660"/>
        <w:rPr>
          <w:lang w:val="sl-SI"/>
        </w:rPr>
      </w:pPr>
      <w:r>
        <w:rPr>
          <w:rFonts w:eastAsia="Times New Roman"/>
          <w:lang w:val="sl-SI"/>
        </w:rPr>
        <w:t>Če imate ali pa se pri vas razvija demielinizirajoča bolezen (bolezen, ki prizadene izolacijsko plast okrog živcev, kot je multipla skleroza), bo zdravnik presodil, ali lahko dobivate oziroma tudi še nadalje dobivate zdravilo Yuflyma. Če opazite simptome, kot so spremembe vida, šibkost rok ali nog, otrplost ali mravljinčenje v katerem koli delu telesa, o tem nemudoma obvestite zdravnika.</w:t>
      </w:r>
    </w:p>
    <w:p w14:paraId="2890D76E" w14:textId="77777777" w:rsidR="00E04C8A" w:rsidRDefault="00E04C8A">
      <w:pPr>
        <w:spacing w:before="14" w:line="240" w:lineRule="exact"/>
        <w:rPr>
          <w:sz w:val="24"/>
          <w:szCs w:val="24"/>
          <w:lang w:val="sl-SI"/>
        </w:rPr>
      </w:pPr>
    </w:p>
    <w:p w14:paraId="57A56350" w14:textId="77777777" w:rsidR="00E04C8A" w:rsidRDefault="008E1817">
      <w:pPr>
        <w:pStyle w:val="a3"/>
        <w:rPr>
          <w:u w:val="single"/>
          <w:lang w:val="sl-SI"/>
        </w:rPr>
      </w:pPr>
      <w:r>
        <w:rPr>
          <w:rFonts w:eastAsia="Times New Roman"/>
          <w:u w:val="single" w:color="000000"/>
          <w:lang w:val="sl-SI"/>
        </w:rPr>
        <w:t>Cepljenja</w:t>
      </w:r>
    </w:p>
    <w:p w14:paraId="7EDFD16B" w14:textId="77777777" w:rsidR="00E04C8A" w:rsidRDefault="00E04C8A">
      <w:pPr>
        <w:spacing w:before="4" w:line="190" w:lineRule="exact"/>
        <w:rPr>
          <w:sz w:val="19"/>
          <w:szCs w:val="19"/>
          <w:lang w:val="sl-SI"/>
        </w:rPr>
      </w:pPr>
    </w:p>
    <w:p w14:paraId="6B720282" w14:textId="77777777" w:rsidR="00E04C8A" w:rsidRDefault="008E1817">
      <w:pPr>
        <w:pStyle w:val="a3"/>
        <w:numPr>
          <w:ilvl w:val="1"/>
          <w:numId w:val="4"/>
        </w:numPr>
        <w:ind w:left="660" w:hanging="660"/>
        <w:rPr>
          <w:lang w:val="sl-SI"/>
        </w:rPr>
      </w:pPr>
      <w:r>
        <w:rPr>
          <w:rFonts w:eastAsia="Times New Roman"/>
          <w:lang w:val="sl-SI"/>
        </w:rPr>
        <w:t>Določena cepiva lahko povzročijo okužbe, zato se jih med zdravljenjem z zdravilom Yuflyma ne sme uporabljati.</w:t>
      </w:r>
    </w:p>
    <w:p w14:paraId="0FD7332F" w14:textId="77777777" w:rsidR="00E04C8A" w:rsidRDefault="00E04C8A">
      <w:pPr>
        <w:spacing w:before="11" w:line="240" w:lineRule="exact"/>
        <w:rPr>
          <w:sz w:val="24"/>
          <w:szCs w:val="24"/>
          <w:lang w:val="sl-SI"/>
        </w:rPr>
      </w:pPr>
    </w:p>
    <w:p w14:paraId="4DD35296" w14:textId="77777777" w:rsidR="00E04C8A" w:rsidRDefault="008E1817">
      <w:pPr>
        <w:pStyle w:val="a3"/>
        <w:numPr>
          <w:ilvl w:val="1"/>
          <w:numId w:val="4"/>
        </w:numPr>
        <w:ind w:left="998" w:hanging="340"/>
        <w:rPr>
          <w:lang w:val="sl-SI"/>
        </w:rPr>
      </w:pPr>
      <w:r>
        <w:rPr>
          <w:rFonts w:eastAsia="Times New Roman"/>
          <w:lang w:val="sl-SI"/>
        </w:rPr>
        <w:t>Preden opravite kakršno koli cepljenje, se posvetujte z zdravnikom.</w:t>
      </w:r>
    </w:p>
    <w:p w14:paraId="3F142D64" w14:textId="77777777" w:rsidR="00E04C8A" w:rsidRDefault="008E1817">
      <w:pPr>
        <w:pStyle w:val="a3"/>
        <w:numPr>
          <w:ilvl w:val="1"/>
          <w:numId w:val="4"/>
        </w:numPr>
        <w:ind w:left="998" w:hanging="340"/>
        <w:rPr>
          <w:lang w:val="sl-SI"/>
        </w:rPr>
      </w:pPr>
      <w:r>
        <w:rPr>
          <w:rFonts w:eastAsia="Times New Roman"/>
          <w:lang w:val="sl-SI"/>
        </w:rPr>
        <w:t>Priporočljivo je, če je le mogoče, da otroci pred začetkom zdravljenja z zdravilom Yuflyma opravijo vsa cepljenja za svojo starost.</w:t>
      </w:r>
    </w:p>
    <w:p w14:paraId="041E3A8F" w14:textId="77777777" w:rsidR="00E04C8A" w:rsidRDefault="008E1817">
      <w:pPr>
        <w:pStyle w:val="a3"/>
        <w:numPr>
          <w:ilvl w:val="1"/>
          <w:numId w:val="4"/>
        </w:numPr>
        <w:ind w:left="998" w:hanging="340"/>
        <w:rPr>
          <w:lang w:val="sl-SI"/>
        </w:rPr>
      </w:pPr>
      <w:r>
        <w:rPr>
          <w:rFonts w:eastAsia="Times New Roman"/>
          <w:lang w:val="sl-SI"/>
        </w:rPr>
        <w:t>Če ste prejemali zdravilo Yuflyma med nosečnostjo, obstaja večje tveganje, da bo vaš otrok dobil takšno okužbo do približno pet mesecev po zadnjem odmerku zdravila Yuflyma, ki ste ga prejeli med nosečnostjo. Pomembno je, da o uporabi zdravila Yuflyma med nosečnostjo obvestite otrokove zdravnike in druge zdravstvene delavce, da se bodo lahko odločili, kdaj bo vaš otrok prejel katero koli cepivo.</w:t>
      </w:r>
    </w:p>
    <w:p w14:paraId="16B942A3" w14:textId="77777777" w:rsidR="00E04C8A" w:rsidRDefault="00E04C8A">
      <w:pPr>
        <w:spacing w:before="14" w:line="240" w:lineRule="exact"/>
        <w:rPr>
          <w:sz w:val="24"/>
          <w:szCs w:val="24"/>
          <w:lang w:val="sl-SI"/>
        </w:rPr>
      </w:pPr>
    </w:p>
    <w:p w14:paraId="5C3E3404" w14:textId="77777777" w:rsidR="00E04C8A" w:rsidRDefault="008E1817">
      <w:pPr>
        <w:pStyle w:val="a3"/>
        <w:rPr>
          <w:u w:val="single"/>
          <w:lang w:val="sl-SI"/>
        </w:rPr>
      </w:pPr>
      <w:r>
        <w:rPr>
          <w:rFonts w:eastAsia="Times New Roman"/>
          <w:u w:val="single" w:color="000000"/>
          <w:lang w:val="sl-SI"/>
        </w:rPr>
        <w:lastRenderedPageBreak/>
        <w:t>Srčno popuščanje</w:t>
      </w:r>
    </w:p>
    <w:p w14:paraId="595E5E42" w14:textId="77777777" w:rsidR="00E04C8A" w:rsidRDefault="00E04C8A">
      <w:pPr>
        <w:spacing w:before="4" w:line="190" w:lineRule="exact"/>
        <w:rPr>
          <w:sz w:val="19"/>
          <w:szCs w:val="19"/>
          <w:lang w:val="sl-SI"/>
        </w:rPr>
      </w:pPr>
    </w:p>
    <w:p w14:paraId="1452FDE5" w14:textId="77777777" w:rsidR="00E04C8A" w:rsidRDefault="008E1817">
      <w:pPr>
        <w:pStyle w:val="a3"/>
        <w:numPr>
          <w:ilvl w:val="1"/>
          <w:numId w:val="4"/>
        </w:numPr>
        <w:ind w:left="660" w:hanging="660"/>
        <w:rPr>
          <w:lang w:val="sl-SI"/>
        </w:rPr>
      </w:pPr>
      <w:r>
        <w:rPr>
          <w:rFonts w:eastAsia="Times New Roman"/>
          <w:lang w:val="sl-SI"/>
        </w:rPr>
        <w:t>Če imate blago srčno popuščanje in se zdravite z zdravilom Yuflyma, mora zdravnik natančno spremljati stanje vašega srčnega popuščanja. Pomembno je, da zdravniku poveste, če ste imeli ali imate resnejše težave s srcem. Če se simptomi srčnega popuščanja (npr. težko dihanje ali otekanje nog) pojavijo na novo ali se poslabšajo, se morate takoj obrniti na svojega zdravnika. Ta bo presodil, ali lahko dobivate zdravilo Yuflyma.</w:t>
      </w:r>
    </w:p>
    <w:p w14:paraId="4EE2ED97" w14:textId="77777777" w:rsidR="00E04C8A" w:rsidRDefault="00E04C8A">
      <w:pPr>
        <w:spacing w:before="14" w:line="240" w:lineRule="exact"/>
        <w:rPr>
          <w:sz w:val="24"/>
          <w:szCs w:val="24"/>
          <w:lang w:val="sl-SI"/>
        </w:rPr>
      </w:pPr>
    </w:p>
    <w:p w14:paraId="72C1AAEB" w14:textId="77777777" w:rsidR="00E04C8A" w:rsidRDefault="008E1817">
      <w:pPr>
        <w:pStyle w:val="a3"/>
        <w:rPr>
          <w:u w:val="single"/>
          <w:lang w:val="sl-SI"/>
        </w:rPr>
      </w:pPr>
      <w:r>
        <w:rPr>
          <w:rFonts w:eastAsia="Times New Roman"/>
          <w:u w:val="single" w:color="000000"/>
          <w:lang w:val="sl-SI"/>
        </w:rPr>
        <w:t>Zvišana telesna temperatura, podplutbe, krvavitve ali bledica</w:t>
      </w:r>
    </w:p>
    <w:p w14:paraId="0AC6FD40" w14:textId="77777777" w:rsidR="00E04C8A" w:rsidRDefault="00E04C8A">
      <w:pPr>
        <w:spacing w:before="4" w:line="190" w:lineRule="exact"/>
        <w:rPr>
          <w:sz w:val="19"/>
          <w:szCs w:val="19"/>
          <w:lang w:val="sl-SI"/>
        </w:rPr>
      </w:pPr>
    </w:p>
    <w:p w14:paraId="0EEE27BE" w14:textId="77777777" w:rsidR="00E04C8A" w:rsidRDefault="008E1817">
      <w:pPr>
        <w:pStyle w:val="a3"/>
        <w:numPr>
          <w:ilvl w:val="1"/>
          <w:numId w:val="4"/>
        </w:numPr>
        <w:ind w:left="660" w:hanging="660"/>
        <w:rPr>
          <w:lang w:val="sl-SI"/>
        </w:rPr>
      </w:pPr>
      <w:r>
        <w:rPr>
          <w:rFonts w:eastAsia="Times New Roman"/>
          <w:lang w:val="sl-SI"/>
        </w:rPr>
        <w:t>Pri nekaterih bolnikih telo ne ustvari dovolj krvnih celic, ki pomagajo pri premagovanju okužbe ali ustavitvi krvavitve. Vaš zdravnik se bo morda odločil, da vaše zdravljenje prekine. Če dobite zvišano telesno temperaturo, ki ne mine, če se vam pojavljajo podplutbe, zlahka zakrvavite ali ste zelo bledi, se takoj posvetujte z zdravnikom.</w:t>
      </w:r>
    </w:p>
    <w:p w14:paraId="61774CEF" w14:textId="77777777" w:rsidR="00E04C8A" w:rsidRDefault="00E04C8A">
      <w:pPr>
        <w:pStyle w:val="a3"/>
        <w:rPr>
          <w:u w:val="single"/>
          <w:lang w:val="sl-SI"/>
        </w:rPr>
      </w:pPr>
    </w:p>
    <w:p w14:paraId="38CF4D68" w14:textId="77777777" w:rsidR="00E04C8A" w:rsidRDefault="008E1817">
      <w:pPr>
        <w:pStyle w:val="a3"/>
        <w:rPr>
          <w:u w:val="single"/>
          <w:lang w:val="sl-SI"/>
        </w:rPr>
      </w:pPr>
      <w:r>
        <w:rPr>
          <w:rFonts w:eastAsia="Times New Roman"/>
          <w:u w:val="single"/>
          <w:lang w:val="sl-SI"/>
        </w:rPr>
        <w:t>Rak</w:t>
      </w:r>
    </w:p>
    <w:p w14:paraId="03D96DCB" w14:textId="77777777" w:rsidR="00E04C8A" w:rsidRDefault="00E04C8A">
      <w:pPr>
        <w:pStyle w:val="a3"/>
        <w:rPr>
          <w:u w:val="single"/>
          <w:lang w:val="sl-SI"/>
        </w:rPr>
      </w:pPr>
    </w:p>
    <w:p w14:paraId="4755C483" w14:textId="77777777" w:rsidR="00E04C8A" w:rsidRDefault="008E1817">
      <w:pPr>
        <w:pStyle w:val="a3"/>
        <w:numPr>
          <w:ilvl w:val="1"/>
          <w:numId w:val="4"/>
        </w:numPr>
        <w:ind w:left="660" w:hanging="660"/>
        <w:rPr>
          <w:lang w:val="sl-SI"/>
        </w:rPr>
      </w:pPr>
      <w:r>
        <w:rPr>
          <w:rFonts w:eastAsia="Times New Roman"/>
          <w:lang w:val="sl-SI"/>
        </w:rPr>
        <w:t>Med bolniki (otroci in odraslimi), ki so jemali zdravilo Yuflyma ali druge zaviralce TNF, so se pojavili zelo redki primeri določenih vrst raka.</w:t>
      </w:r>
    </w:p>
    <w:p w14:paraId="40609F2B" w14:textId="77777777" w:rsidR="00E04C8A" w:rsidRDefault="00E04C8A">
      <w:pPr>
        <w:pStyle w:val="a3"/>
        <w:rPr>
          <w:lang w:val="sl-SI"/>
        </w:rPr>
      </w:pPr>
    </w:p>
    <w:p w14:paraId="55C71CB2" w14:textId="77777777" w:rsidR="00E04C8A" w:rsidRDefault="008E1817">
      <w:pPr>
        <w:pStyle w:val="a3"/>
        <w:numPr>
          <w:ilvl w:val="1"/>
          <w:numId w:val="4"/>
        </w:numPr>
        <w:ind w:left="998" w:hanging="340"/>
        <w:rPr>
          <w:lang w:val="sl-SI"/>
        </w:rPr>
      </w:pPr>
      <w:r>
        <w:rPr>
          <w:rFonts w:eastAsia="Times New Roman"/>
          <w:lang w:val="sl-SI"/>
        </w:rPr>
        <w:t>Pri bolnikih z resnejšim revmatoidnim artritisom, ki imajo bolezen že dolgo, obstaja povečana verjetnost, da zbolijo za limfomom (rak, ki prizadene limfatični sistem) in levkemijo (rak, ki prizadene kri in kostni mozeg).</w:t>
      </w:r>
    </w:p>
    <w:p w14:paraId="52A4BDF7" w14:textId="77777777" w:rsidR="00E04C8A" w:rsidRDefault="008E1817">
      <w:pPr>
        <w:pStyle w:val="a3"/>
        <w:numPr>
          <w:ilvl w:val="1"/>
          <w:numId w:val="4"/>
        </w:numPr>
        <w:ind w:left="998" w:hanging="340"/>
        <w:rPr>
          <w:lang w:val="sl-SI"/>
        </w:rPr>
      </w:pPr>
      <w:r>
        <w:rPr>
          <w:rFonts w:eastAsia="Times New Roman"/>
          <w:lang w:val="sl-SI"/>
        </w:rPr>
        <w:t>Če uporabljate zdravilo Yuflyma, se vam lahko poveča tveganje za pojav limfoma, levkemije ali drugih vrst raka. V redkih primerih so pri bolnikih, ki dobivajo zdravilo Yuflyma, opazili specifično in resno obliko limfoma. Nekateri od teh bolnikov so bili zdravljeni tudi z azatioprinom ali 6-merkaptopurinom.</w:t>
      </w:r>
    </w:p>
    <w:p w14:paraId="15189CC0" w14:textId="77777777" w:rsidR="00E04C8A" w:rsidRDefault="008E1817">
      <w:pPr>
        <w:pStyle w:val="a3"/>
        <w:numPr>
          <w:ilvl w:val="1"/>
          <w:numId w:val="4"/>
        </w:numPr>
        <w:ind w:left="998" w:hanging="340"/>
        <w:rPr>
          <w:lang w:val="sl-SI"/>
        </w:rPr>
      </w:pPr>
      <w:r>
        <w:rPr>
          <w:rFonts w:eastAsia="Times New Roman"/>
          <w:lang w:val="sl-SI"/>
        </w:rPr>
        <w:t>Povejte zdravniku, če prejemate azatioprin ali 6-merkaptopurin sočasno z zdravilom Yuflyma.</w:t>
      </w:r>
    </w:p>
    <w:p w14:paraId="6C423A6E" w14:textId="77777777" w:rsidR="00E04C8A" w:rsidRDefault="008E1817">
      <w:pPr>
        <w:pStyle w:val="a3"/>
        <w:numPr>
          <w:ilvl w:val="1"/>
          <w:numId w:val="4"/>
        </w:numPr>
        <w:ind w:left="998" w:hanging="340"/>
        <w:rPr>
          <w:lang w:val="sl-SI"/>
        </w:rPr>
      </w:pPr>
      <w:r>
        <w:rPr>
          <w:rFonts w:eastAsia="Times New Roman"/>
          <w:lang w:val="sl-SI"/>
        </w:rPr>
        <w:t>Poleg tega so pri bolnikih, zdravljenih z zdravilom Yuflyma, opazili primere nemelanomskega kožnega raka.</w:t>
      </w:r>
    </w:p>
    <w:p w14:paraId="43C86F25" w14:textId="77777777" w:rsidR="00E04C8A" w:rsidRDefault="008E1817">
      <w:pPr>
        <w:pStyle w:val="a3"/>
        <w:numPr>
          <w:ilvl w:val="1"/>
          <w:numId w:val="4"/>
        </w:numPr>
        <w:ind w:left="998" w:hanging="340"/>
        <w:rPr>
          <w:lang w:val="sl-SI"/>
        </w:rPr>
      </w:pPr>
      <w:r>
        <w:rPr>
          <w:rFonts w:eastAsia="Times New Roman"/>
          <w:lang w:val="sl-SI"/>
        </w:rPr>
        <w:t>Če se vam med zdravljenjem ali po njem pojavijo nove spremembe na koži, ali če se vam spremeni videz obstoječih sprememb, morate to povedati zdravniku.</w:t>
      </w:r>
    </w:p>
    <w:p w14:paraId="7B5CA88B" w14:textId="77777777" w:rsidR="00E04C8A" w:rsidRDefault="00E04C8A">
      <w:pPr>
        <w:pStyle w:val="a3"/>
        <w:rPr>
          <w:lang w:val="sl-SI"/>
        </w:rPr>
      </w:pPr>
    </w:p>
    <w:p w14:paraId="2CBACEFD" w14:textId="77777777" w:rsidR="00E04C8A" w:rsidRDefault="008E1817">
      <w:pPr>
        <w:pStyle w:val="a3"/>
        <w:numPr>
          <w:ilvl w:val="1"/>
          <w:numId w:val="4"/>
        </w:numPr>
        <w:ind w:left="660" w:hanging="660"/>
        <w:rPr>
          <w:lang w:val="sl-SI"/>
        </w:rPr>
      </w:pPr>
      <w:r>
        <w:rPr>
          <w:rFonts w:eastAsia="Times New Roman"/>
          <w:lang w:val="sl-SI"/>
        </w:rPr>
        <w:t>Pri bolnikih s posebno boleznijo pljuč, t.i. kronično obstruktivno pljučno boleznijo (KOPB), zdravljenih z nekim drugim zaviralcem TNF, so bili primeri rakov, ki niso bili limfomi. Če imate KOPB ali če veliko kadite, se morate z zdravnikom posvetovati, ali je zdravljenje z zaviralcem TNF za vas primerno.</w:t>
      </w:r>
    </w:p>
    <w:p w14:paraId="15A3885E" w14:textId="77777777" w:rsidR="00E04C8A" w:rsidRDefault="00E04C8A">
      <w:pPr>
        <w:spacing w:before="11" w:line="240" w:lineRule="exact"/>
        <w:rPr>
          <w:sz w:val="24"/>
          <w:szCs w:val="24"/>
          <w:lang w:val="sl-SI"/>
        </w:rPr>
      </w:pPr>
    </w:p>
    <w:p w14:paraId="3DB34A6D" w14:textId="77777777" w:rsidR="00E04C8A" w:rsidRDefault="008E1817">
      <w:pPr>
        <w:pStyle w:val="a3"/>
        <w:rPr>
          <w:u w:val="single"/>
          <w:lang w:val="sl-SI"/>
        </w:rPr>
      </w:pPr>
      <w:r>
        <w:rPr>
          <w:rFonts w:eastAsia="Times New Roman"/>
          <w:u w:val="single" w:color="000000"/>
          <w:lang w:val="sl-SI"/>
        </w:rPr>
        <w:t>Avtoimunska bolezen</w:t>
      </w:r>
    </w:p>
    <w:p w14:paraId="223B0DFE" w14:textId="77777777" w:rsidR="00E04C8A" w:rsidRDefault="00E04C8A">
      <w:pPr>
        <w:spacing w:before="4" w:line="190" w:lineRule="exact"/>
        <w:rPr>
          <w:sz w:val="19"/>
          <w:szCs w:val="19"/>
          <w:lang w:val="sl-SI"/>
        </w:rPr>
      </w:pPr>
    </w:p>
    <w:p w14:paraId="4E948D4F" w14:textId="77777777" w:rsidR="00E04C8A" w:rsidRDefault="008E1817">
      <w:pPr>
        <w:pStyle w:val="a3"/>
        <w:numPr>
          <w:ilvl w:val="1"/>
          <w:numId w:val="4"/>
        </w:numPr>
        <w:ind w:left="660" w:hanging="660"/>
        <w:rPr>
          <w:lang w:val="sl-SI"/>
        </w:rPr>
      </w:pPr>
      <w:r>
        <w:rPr>
          <w:rFonts w:eastAsia="Times New Roman"/>
          <w:lang w:val="sl-SI"/>
        </w:rPr>
        <w:t>V redkih primerih lahko zdravljenje z zdravilom Yuflyma povzroči lupusu podoben sindrom. Če se pojavijo simptomi, kot so trdovratni nepojasnjeni izpuščaji, zvišana telesna temperatura, bolečine v sklepih ali utrujenost, se posvetujte z zdravnikom.</w:t>
      </w:r>
    </w:p>
    <w:p w14:paraId="33FDE6D8" w14:textId="77777777" w:rsidR="00E04C8A" w:rsidRDefault="00E04C8A">
      <w:pPr>
        <w:spacing w:before="15" w:line="240" w:lineRule="exact"/>
        <w:rPr>
          <w:sz w:val="24"/>
          <w:szCs w:val="24"/>
          <w:lang w:val="sl-SI"/>
        </w:rPr>
      </w:pPr>
    </w:p>
    <w:p w14:paraId="2E8DA976" w14:textId="77777777" w:rsidR="00E04C8A" w:rsidRPr="006F3477" w:rsidRDefault="008E1817">
      <w:pPr>
        <w:pStyle w:val="a3"/>
        <w:rPr>
          <w:rFonts w:eastAsia="Times New Roman"/>
          <w:b/>
          <w:bCs/>
          <w:lang w:val="sl-SI"/>
        </w:rPr>
      </w:pPr>
      <w:r w:rsidRPr="006F3477">
        <w:rPr>
          <w:rFonts w:eastAsia="Times New Roman"/>
          <w:b/>
          <w:bCs/>
          <w:lang w:val="sl-SI"/>
        </w:rPr>
        <w:t>Otroci in mladostniki</w:t>
      </w:r>
    </w:p>
    <w:p w14:paraId="0BAAE82A" w14:textId="77777777" w:rsidR="00E04C8A" w:rsidRDefault="00E04C8A">
      <w:pPr>
        <w:spacing w:before="10" w:line="240" w:lineRule="exact"/>
        <w:rPr>
          <w:sz w:val="24"/>
          <w:szCs w:val="24"/>
          <w:lang w:val="sl-SI"/>
        </w:rPr>
      </w:pPr>
    </w:p>
    <w:p w14:paraId="369953FF" w14:textId="38F44361" w:rsidR="00E04C8A" w:rsidRDefault="008E1817">
      <w:pPr>
        <w:pStyle w:val="a3"/>
        <w:numPr>
          <w:ilvl w:val="1"/>
          <w:numId w:val="4"/>
        </w:numPr>
        <w:ind w:left="660" w:hanging="660"/>
        <w:rPr>
          <w:lang w:val="sl-SI"/>
        </w:rPr>
      </w:pPr>
      <w:r>
        <w:rPr>
          <w:rFonts w:eastAsia="Times New Roman"/>
          <w:lang w:val="sl-SI"/>
        </w:rPr>
        <w:t xml:space="preserve">Cepljenje: če je mogoče, naj imajo </w:t>
      </w:r>
      <w:r w:rsidR="00881170">
        <w:rPr>
          <w:rFonts w:eastAsia="Times New Roman"/>
          <w:lang w:val="sl-SI"/>
        </w:rPr>
        <w:t>otroci</w:t>
      </w:r>
      <w:r>
        <w:rPr>
          <w:rFonts w:eastAsia="Times New Roman"/>
          <w:lang w:val="sl-SI"/>
        </w:rPr>
        <w:t xml:space="preserve"> pred začetkom uporabe zdravila Yuflyma opravljena vsa potrebna cepljenja.</w:t>
      </w:r>
    </w:p>
    <w:p w14:paraId="33383514" w14:textId="77777777" w:rsidR="00E04C8A" w:rsidRDefault="00E04C8A">
      <w:pPr>
        <w:pStyle w:val="a3"/>
        <w:numPr>
          <w:ilvl w:val="0"/>
          <w:numId w:val="0"/>
        </w:numPr>
        <w:rPr>
          <w:lang w:val="sl-SI"/>
        </w:rPr>
      </w:pPr>
    </w:p>
    <w:p w14:paraId="0E591922" w14:textId="77777777" w:rsidR="00E04C8A" w:rsidRDefault="008E1817">
      <w:pPr>
        <w:pStyle w:val="a3"/>
        <w:rPr>
          <w:b/>
          <w:lang w:val="sl-SI"/>
        </w:rPr>
      </w:pPr>
      <w:r>
        <w:rPr>
          <w:rFonts w:eastAsia="Times New Roman"/>
          <w:b/>
          <w:bCs/>
          <w:lang w:val="sl-SI"/>
        </w:rPr>
        <w:t>Druga zdravila in zdravilo Yuflyma</w:t>
      </w:r>
    </w:p>
    <w:p w14:paraId="0B25F12A" w14:textId="77777777" w:rsidR="00E04C8A" w:rsidRDefault="00E04C8A">
      <w:pPr>
        <w:pStyle w:val="a3"/>
        <w:rPr>
          <w:b/>
          <w:lang w:val="sl-SI"/>
        </w:rPr>
      </w:pPr>
    </w:p>
    <w:p w14:paraId="49A19A7F" w14:textId="77777777" w:rsidR="00E04C8A" w:rsidRDefault="008E1817">
      <w:pPr>
        <w:pStyle w:val="a3"/>
        <w:rPr>
          <w:lang w:val="sl-SI"/>
        </w:rPr>
      </w:pPr>
      <w:r>
        <w:rPr>
          <w:rFonts w:eastAsia="Times New Roman"/>
          <w:lang w:val="sl-SI"/>
        </w:rPr>
        <w:t>Obvestite zdravnika ali farmacevta, če jemljete, ste pred kratkim jemali ali pa boste morda začeli jemati katero koli drugo zdravilo. Zdravila Yuflyma ne smete uporabljati skupaj z zdravili, ki vsebujejo naslednje učinkovine, saj lahko povečajo tveganje za resne okužbe:</w:t>
      </w:r>
    </w:p>
    <w:p w14:paraId="33488BF2" w14:textId="77777777" w:rsidR="00E04C8A" w:rsidRDefault="008E1817">
      <w:pPr>
        <w:pStyle w:val="a3"/>
        <w:numPr>
          <w:ilvl w:val="1"/>
          <w:numId w:val="4"/>
        </w:numPr>
        <w:ind w:left="660" w:hanging="660"/>
        <w:rPr>
          <w:lang w:val="sl-SI"/>
        </w:rPr>
      </w:pPr>
      <w:r>
        <w:rPr>
          <w:rFonts w:eastAsia="Times New Roman"/>
          <w:lang w:val="sl-SI"/>
        </w:rPr>
        <w:lastRenderedPageBreak/>
        <w:t>anakinra,</w:t>
      </w:r>
    </w:p>
    <w:p w14:paraId="012D8E39" w14:textId="77777777" w:rsidR="00E04C8A" w:rsidRDefault="008E1817">
      <w:pPr>
        <w:pStyle w:val="a3"/>
        <w:numPr>
          <w:ilvl w:val="1"/>
          <w:numId w:val="4"/>
        </w:numPr>
        <w:ind w:left="660" w:hanging="660"/>
        <w:rPr>
          <w:lang w:val="sl-SI"/>
        </w:rPr>
      </w:pPr>
      <w:r>
        <w:rPr>
          <w:rFonts w:eastAsia="Times New Roman"/>
          <w:lang w:val="sl-SI"/>
        </w:rPr>
        <w:t>abatacept.</w:t>
      </w:r>
    </w:p>
    <w:p w14:paraId="4BB5C2E0" w14:textId="77777777" w:rsidR="00E04C8A" w:rsidRDefault="00E04C8A">
      <w:pPr>
        <w:pStyle w:val="a3"/>
        <w:rPr>
          <w:lang w:val="sl-SI"/>
        </w:rPr>
      </w:pPr>
    </w:p>
    <w:p w14:paraId="1701DEA0" w14:textId="77777777" w:rsidR="00E04C8A" w:rsidRDefault="008E1817">
      <w:pPr>
        <w:pStyle w:val="a3"/>
        <w:rPr>
          <w:lang w:val="sl-SI"/>
        </w:rPr>
      </w:pPr>
      <w:r>
        <w:rPr>
          <w:rFonts w:eastAsia="Times New Roman"/>
          <w:lang w:val="sl-SI"/>
        </w:rPr>
        <w:t>Zdravilo Yuflyma se lahko jemlje skupaj z:</w:t>
      </w:r>
    </w:p>
    <w:p w14:paraId="3DC6577F" w14:textId="77777777" w:rsidR="00E04C8A" w:rsidRDefault="008E1817">
      <w:pPr>
        <w:pStyle w:val="a3"/>
        <w:numPr>
          <w:ilvl w:val="1"/>
          <w:numId w:val="4"/>
        </w:numPr>
        <w:ind w:left="660" w:hanging="660"/>
        <w:rPr>
          <w:lang w:val="sl-SI"/>
        </w:rPr>
      </w:pPr>
      <w:r>
        <w:rPr>
          <w:rFonts w:eastAsia="Times New Roman"/>
          <w:lang w:val="sl-SI"/>
        </w:rPr>
        <w:t>metotreksatom</w:t>
      </w:r>
    </w:p>
    <w:p w14:paraId="7D1785E4" w14:textId="77777777" w:rsidR="00E04C8A" w:rsidRDefault="008E1817">
      <w:pPr>
        <w:pStyle w:val="a3"/>
        <w:numPr>
          <w:ilvl w:val="1"/>
          <w:numId w:val="4"/>
        </w:numPr>
        <w:ind w:left="660" w:hanging="660"/>
        <w:rPr>
          <w:lang w:val="sl-SI"/>
        </w:rPr>
      </w:pPr>
      <w:r>
        <w:rPr>
          <w:rFonts w:eastAsia="Times New Roman"/>
          <w:lang w:val="sl-SI"/>
        </w:rPr>
        <w:t>nekaterimi antirevmatičnimi učinkovinami, ki spreminjajo potek bolezni (na primer sulfalasazin, hidroksiklorokin, leflunomid in pripravki zlata za injiciranje)</w:t>
      </w:r>
    </w:p>
    <w:p w14:paraId="0A78651B" w14:textId="77777777" w:rsidR="00E04C8A" w:rsidRDefault="008E1817">
      <w:pPr>
        <w:pStyle w:val="a3"/>
        <w:numPr>
          <w:ilvl w:val="1"/>
          <w:numId w:val="4"/>
        </w:numPr>
        <w:ind w:left="660" w:hanging="660"/>
        <w:rPr>
          <w:lang w:val="sl-SI"/>
        </w:rPr>
      </w:pPr>
      <w:r>
        <w:rPr>
          <w:rFonts w:eastAsia="Times New Roman"/>
          <w:lang w:val="sl-SI"/>
        </w:rPr>
        <w:t>steroidi ali zdravili proti bolečinam, vključno z nesteroidnimi protivnetnimi zdravili.</w:t>
      </w:r>
    </w:p>
    <w:p w14:paraId="47CB783A" w14:textId="77777777" w:rsidR="00E04C8A" w:rsidRDefault="00E04C8A">
      <w:pPr>
        <w:pStyle w:val="a3"/>
        <w:rPr>
          <w:lang w:val="sl-SI"/>
        </w:rPr>
      </w:pPr>
    </w:p>
    <w:p w14:paraId="63D0247B" w14:textId="77777777" w:rsidR="00E04C8A" w:rsidRDefault="008E1817">
      <w:pPr>
        <w:pStyle w:val="a3"/>
        <w:rPr>
          <w:lang w:val="sl-SI"/>
        </w:rPr>
      </w:pPr>
      <w:r>
        <w:rPr>
          <w:rFonts w:eastAsia="Times New Roman"/>
          <w:lang w:val="sl-SI"/>
        </w:rPr>
        <w:t>Če imate dodatna vprašanja, se posvetujte z zdravnikom.</w:t>
      </w:r>
    </w:p>
    <w:p w14:paraId="4314739A" w14:textId="77777777" w:rsidR="00E04C8A" w:rsidRDefault="00E04C8A">
      <w:pPr>
        <w:spacing w:before="18" w:line="240" w:lineRule="exact"/>
        <w:rPr>
          <w:sz w:val="24"/>
          <w:szCs w:val="24"/>
          <w:lang w:val="sl-SI"/>
        </w:rPr>
      </w:pPr>
    </w:p>
    <w:p w14:paraId="02A3AA86" w14:textId="77777777" w:rsidR="00E04C8A" w:rsidRDefault="008E1817">
      <w:pPr>
        <w:pStyle w:val="a3"/>
        <w:rPr>
          <w:b/>
          <w:lang w:val="sl-SI"/>
        </w:rPr>
      </w:pPr>
      <w:r>
        <w:rPr>
          <w:rFonts w:eastAsia="Times New Roman"/>
          <w:b/>
          <w:bCs/>
          <w:lang w:val="sl-SI"/>
        </w:rPr>
        <w:t>Nosečnost in dojenje</w:t>
      </w:r>
    </w:p>
    <w:p w14:paraId="5BD18668" w14:textId="77777777" w:rsidR="00E04C8A" w:rsidRDefault="00E04C8A">
      <w:pPr>
        <w:spacing w:before="9" w:line="260" w:lineRule="exact"/>
        <w:rPr>
          <w:sz w:val="26"/>
          <w:szCs w:val="26"/>
          <w:lang w:val="sl-SI"/>
        </w:rPr>
      </w:pPr>
    </w:p>
    <w:p w14:paraId="101E38AD" w14:textId="77777777" w:rsidR="00E04C8A" w:rsidRDefault="008E1817">
      <w:pPr>
        <w:pStyle w:val="a3"/>
        <w:numPr>
          <w:ilvl w:val="1"/>
          <w:numId w:val="4"/>
        </w:numPr>
        <w:ind w:left="660" w:hanging="660"/>
        <w:rPr>
          <w:lang w:val="sl-SI"/>
        </w:rPr>
      </w:pPr>
      <w:r>
        <w:rPr>
          <w:rFonts w:eastAsia="Times New Roman"/>
          <w:lang w:val="sl-SI"/>
        </w:rPr>
        <w:t>Premisliti morate o uporabi ustrezne kontracepcijske zaščite za preprečitev nosečnosti in z njo nadaljevati vsaj še 5 mesecev po zadnjem zdravljenju z zdravilom Yuflyma.</w:t>
      </w:r>
    </w:p>
    <w:p w14:paraId="7270F6BF" w14:textId="77777777" w:rsidR="00E04C8A" w:rsidRDefault="008E1817">
      <w:pPr>
        <w:pStyle w:val="a3"/>
        <w:numPr>
          <w:ilvl w:val="1"/>
          <w:numId w:val="4"/>
        </w:numPr>
        <w:ind w:left="660" w:hanging="660"/>
        <w:rPr>
          <w:lang w:val="sl-SI"/>
        </w:rPr>
      </w:pPr>
      <w:r>
        <w:rPr>
          <w:rFonts w:eastAsia="Times New Roman"/>
          <w:lang w:val="sl-SI"/>
        </w:rPr>
        <w:t>Če ste noseči, mislite, da bi lahko bili noseči ali načrtujete zanositev, se posvetujte z zdravnikom, preden uporabite to zdravilo.</w:t>
      </w:r>
    </w:p>
    <w:p w14:paraId="72B6FC8A" w14:textId="77777777" w:rsidR="00E04C8A" w:rsidRDefault="008E1817">
      <w:pPr>
        <w:pStyle w:val="a3"/>
        <w:numPr>
          <w:ilvl w:val="1"/>
          <w:numId w:val="4"/>
        </w:numPr>
        <w:ind w:left="660" w:hanging="660"/>
        <w:rPr>
          <w:lang w:val="sl-SI"/>
        </w:rPr>
      </w:pPr>
      <w:r>
        <w:rPr>
          <w:rFonts w:eastAsia="Times New Roman"/>
          <w:lang w:val="sl-SI"/>
        </w:rPr>
        <w:t>Zdravilo Yuflyma se sme med nosečnostjo uporabljati le, če je to potrebno.</w:t>
      </w:r>
    </w:p>
    <w:p w14:paraId="71031D69" w14:textId="77777777" w:rsidR="00E04C8A" w:rsidRDefault="008E1817">
      <w:pPr>
        <w:pStyle w:val="a3"/>
        <w:numPr>
          <w:ilvl w:val="1"/>
          <w:numId w:val="4"/>
        </w:numPr>
        <w:ind w:left="660" w:hanging="660"/>
        <w:rPr>
          <w:lang w:val="sl-SI"/>
        </w:rPr>
      </w:pPr>
      <w:r>
        <w:rPr>
          <w:rFonts w:eastAsia="Times New Roman"/>
          <w:lang w:val="sl-SI"/>
        </w:rPr>
        <w:t>Glede na študijo nosečnosti ni bilo povečanega tveganja za prirojene okvare, če je mati med nosečnostjo prejemala zdravilo Yuflyma, v primerjavi z materami z isto boleznijo, ki zdravila Yuflyma niso prejemale.</w:t>
      </w:r>
    </w:p>
    <w:p w14:paraId="1F8C38E9" w14:textId="77777777" w:rsidR="00E04C8A" w:rsidRDefault="008E1817">
      <w:pPr>
        <w:pStyle w:val="a3"/>
        <w:numPr>
          <w:ilvl w:val="1"/>
          <w:numId w:val="4"/>
        </w:numPr>
        <w:ind w:left="660" w:hanging="660"/>
        <w:rPr>
          <w:lang w:val="sl-SI"/>
        </w:rPr>
      </w:pPr>
      <w:r>
        <w:rPr>
          <w:rFonts w:eastAsia="Times New Roman"/>
          <w:lang w:val="sl-SI"/>
        </w:rPr>
        <w:t>Zdravilo Yuflyma se lahko uporablja med dojenjem.</w:t>
      </w:r>
    </w:p>
    <w:p w14:paraId="61700E8C" w14:textId="77777777" w:rsidR="00E04C8A" w:rsidRDefault="008E1817">
      <w:pPr>
        <w:pStyle w:val="a3"/>
        <w:numPr>
          <w:ilvl w:val="1"/>
          <w:numId w:val="4"/>
        </w:numPr>
        <w:ind w:left="660" w:hanging="660"/>
        <w:rPr>
          <w:lang w:val="sl-SI"/>
        </w:rPr>
      </w:pPr>
      <w:r>
        <w:rPr>
          <w:rFonts w:eastAsia="Times New Roman"/>
          <w:lang w:val="sl-SI"/>
        </w:rPr>
        <w:t>Če med nosečnostjo prejemate zdravilo Yuflyma, je lahko tveganje za okužbo pri vašem otroku večje.</w:t>
      </w:r>
    </w:p>
    <w:p w14:paraId="22EAEAC7" w14:textId="77777777" w:rsidR="00E04C8A" w:rsidRDefault="008E1817">
      <w:pPr>
        <w:pStyle w:val="a3"/>
        <w:numPr>
          <w:ilvl w:val="1"/>
          <w:numId w:val="4"/>
        </w:numPr>
        <w:ind w:left="660" w:hanging="660"/>
        <w:rPr>
          <w:lang w:val="sl-SI"/>
        </w:rPr>
      </w:pPr>
      <w:r>
        <w:rPr>
          <w:rFonts w:eastAsia="Times New Roman"/>
          <w:lang w:val="sl-SI"/>
        </w:rPr>
        <w:t>Pomembno je, da o uporabi zdravila Yuflyma med nosečnostjo obvestite otrokove zdravnike in druge zdravstvene delavce, da se bodo lahko odločili, kdaj bo vaš otrok prejel katero koli cepivo. Za več informacij o cepivih glejte poglavje "Opozorila in previdnostni ukrepi".</w:t>
      </w:r>
    </w:p>
    <w:p w14:paraId="293D8692" w14:textId="77777777" w:rsidR="00E04C8A" w:rsidRDefault="00E04C8A">
      <w:pPr>
        <w:spacing w:before="15" w:line="240" w:lineRule="exact"/>
        <w:rPr>
          <w:b/>
          <w:sz w:val="24"/>
          <w:szCs w:val="24"/>
          <w:lang w:val="sl-SI"/>
        </w:rPr>
      </w:pPr>
    </w:p>
    <w:p w14:paraId="3860644F" w14:textId="77777777" w:rsidR="00E04C8A" w:rsidRDefault="008E1817">
      <w:pPr>
        <w:pStyle w:val="a3"/>
        <w:rPr>
          <w:b/>
          <w:lang w:val="sl-SI"/>
        </w:rPr>
      </w:pPr>
      <w:r>
        <w:rPr>
          <w:rFonts w:eastAsia="Times New Roman"/>
          <w:b/>
          <w:bCs/>
          <w:lang w:val="sl-SI"/>
        </w:rPr>
        <w:t>Vpliv na sposobnost upravljanja vozil in strojev</w:t>
      </w:r>
    </w:p>
    <w:p w14:paraId="64F4F94C" w14:textId="77777777" w:rsidR="00E04C8A" w:rsidRDefault="00E04C8A">
      <w:pPr>
        <w:spacing w:before="12" w:line="240" w:lineRule="exact"/>
        <w:rPr>
          <w:sz w:val="24"/>
          <w:szCs w:val="24"/>
          <w:lang w:val="sl-SI"/>
        </w:rPr>
      </w:pPr>
    </w:p>
    <w:p w14:paraId="250CC735" w14:textId="77777777" w:rsidR="00E04C8A" w:rsidRDefault="008E1817">
      <w:pPr>
        <w:pStyle w:val="a3"/>
        <w:rPr>
          <w:lang w:val="sl-SI"/>
        </w:rPr>
      </w:pPr>
      <w:r>
        <w:rPr>
          <w:rFonts w:eastAsia="Times New Roman"/>
          <w:lang w:val="sl-SI"/>
        </w:rPr>
        <w:t>Zdravilo Yuflyma ima lahko blag vpliv na sposobnost vožnje, kolesarjenja ali upravljanja strojev. Po jemanju zdravila Yuflyma se lahko pojavita vrtoglavica in poslabšanje vida.</w:t>
      </w:r>
    </w:p>
    <w:p w14:paraId="7642F39F" w14:textId="77777777" w:rsidR="00E04C8A" w:rsidRDefault="00E04C8A">
      <w:pPr>
        <w:pStyle w:val="a3"/>
        <w:rPr>
          <w:lang w:val="sl-SI"/>
        </w:rPr>
      </w:pPr>
    </w:p>
    <w:p w14:paraId="018923E2" w14:textId="5D40A2E1" w:rsidR="00E04C8A" w:rsidRDefault="008E1817">
      <w:pPr>
        <w:pStyle w:val="a3"/>
        <w:rPr>
          <w:b/>
          <w:lang w:val="sl-SI"/>
        </w:rPr>
      </w:pPr>
      <w:r w:rsidRPr="00366D10">
        <w:rPr>
          <w:rFonts w:eastAsia="Times New Roman"/>
          <w:b/>
          <w:lang w:val="sl-SI"/>
        </w:rPr>
        <w:t xml:space="preserve">Zdravilo </w:t>
      </w:r>
      <w:r w:rsidR="000E0F22">
        <w:rPr>
          <w:rFonts w:hint="eastAsia"/>
          <w:b/>
          <w:lang w:val="sl-SI" w:eastAsia="ko-KR"/>
        </w:rPr>
        <w:t>Yuflyma</w:t>
      </w:r>
      <w:r>
        <w:rPr>
          <w:rFonts w:eastAsia="Times New Roman"/>
          <w:b/>
          <w:bCs/>
          <w:lang w:val="sl-SI"/>
        </w:rPr>
        <w:t xml:space="preserve"> vsebuje natrij</w:t>
      </w:r>
    </w:p>
    <w:p w14:paraId="0532582B" w14:textId="77777777" w:rsidR="00E04C8A" w:rsidRDefault="00E04C8A">
      <w:pPr>
        <w:spacing w:before="12" w:line="240" w:lineRule="exact"/>
        <w:rPr>
          <w:sz w:val="24"/>
          <w:szCs w:val="24"/>
          <w:lang w:val="sl-SI"/>
        </w:rPr>
      </w:pPr>
    </w:p>
    <w:p w14:paraId="776D0C89" w14:textId="77777777" w:rsidR="00E04C8A" w:rsidRDefault="008E1817">
      <w:pPr>
        <w:spacing w:line="200" w:lineRule="exact"/>
        <w:rPr>
          <w:sz w:val="20"/>
          <w:szCs w:val="20"/>
          <w:lang w:val="sl-SI"/>
        </w:rPr>
      </w:pPr>
      <w:r>
        <w:rPr>
          <w:rFonts w:ascii="Times New Roman" w:eastAsia="Times New Roman" w:hAnsi="Times New Roman" w:cs="Times New Roman"/>
          <w:lang w:val="sl-SI"/>
        </w:rPr>
        <w:t>To zdravilo vsebuje manj kot 1 mmol natrija (23</w:t>
      </w:r>
      <w:r>
        <w:rPr>
          <w:rFonts w:ascii="Calibri" w:eastAsia="Calibri" w:hAnsi="Calibri" w:cs="Calibri"/>
          <w:lang w:val="sl-SI"/>
        </w:rPr>
        <w:t> </w:t>
      </w:r>
      <w:r>
        <w:rPr>
          <w:rFonts w:ascii="Times New Roman" w:eastAsia="Times New Roman" w:hAnsi="Times New Roman" w:cs="Times New Roman"/>
          <w:lang w:val="sl-SI"/>
        </w:rPr>
        <w:t>mg) na odmerek 0,4</w:t>
      </w:r>
      <w:r>
        <w:rPr>
          <w:rFonts w:ascii="Calibri" w:eastAsia="Calibri" w:hAnsi="Calibri" w:cs="Calibri"/>
          <w:lang w:val="sl-SI"/>
        </w:rPr>
        <w:t> </w:t>
      </w:r>
      <w:r>
        <w:rPr>
          <w:rFonts w:ascii="Times New Roman" w:eastAsia="Times New Roman" w:hAnsi="Times New Roman" w:cs="Times New Roman"/>
          <w:lang w:val="sl-SI"/>
        </w:rPr>
        <w:t>ml, kar v bistvu pomeni ‛brez natrija’.</w:t>
      </w:r>
    </w:p>
    <w:p w14:paraId="2D86E1D5" w14:textId="77777777" w:rsidR="00E04C8A" w:rsidRDefault="00E04C8A">
      <w:pPr>
        <w:spacing w:line="200" w:lineRule="exact"/>
        <w:rPr>
          <w:sz w:val="20"/>
          <w:szCs w:val="20"/>
          <w:lang w:val="sl-SI"/>
        </w:rPr>
      </w:pPr>
    </w:p>
    <w:p w14:paraId="2A927EEC" w14:textId="77777777" w:rsidR="00E04C8A" w:rsidRDefault="00E04C8A">
      <w:pPr>
        <w:spacing w:line="200" w:lineRule="exact"/>
        <w:rPr>
          <w:sz w:val="20"/>
          <w:szCs w:val="20"/>
          <w:lang w:val="sl-SI"/>
        </w:rPr>
      </w:pPr>
    </w:p>
    <w:p w14:paraId="511BF5B5" w14:textId="77777777" w:rsidR="00E04C8A" w:rsidRDefault="008E1817">
      <w:pPr>
        <w:pStyle w:val="a4"/>
        <w:numPr>
          <w:ilvl w:val="0"/>
          <w:numId w:val="33"/>
        </w:numPr>
        <w:spacing w:before="18" w:line="240" w:lineRule="exact"/>
        <w:ind w:left="357" w:hanging="357"/>
        <w:rPr>
          <w:rFonts w:ascii="Times New Roman" w:hAnsi="Times New Roman" w:cs="Times New Roman"/>
          <w:b/>
          <w:lang w:val="sl-SI"/>
        </w:rPr>
      </w:pPr>
      <w:r>
        <w:rPr>
          <w:rFonts w:ascii="Times New Roman" w:eastAsia="Times New Roman" w:hAnsi="Times New Roman" w:cs="Times New Roman"/>
          <w:b/>
          <w:bCs/>
          <w:lang w:val="sl-SI"/>
        </w:rPr>
        <w:t>Kako uporabljati zdravilo Yuflyma</w:t>
      </w:r>
    </w:p>
    <w:p w14:paraId="38ADEFA7" w14:textId="77777777" w:rsidR="00E04C8A" w:rsidRDefault="00E04C8A">
      <w:pPr>
        <w:spacing w:before="9" w:line="240" w:lineRule="exact"/>
        <w:rPr>
          <w:sz w:val="24"/>
          <w:szCs w:val="24"/>
          <w:lang w:val="sl-SI"/>
        </w:rPr>
      </w:pPr>
    </w:p>
    <w:p w14:paraId="03CFBDC7" w14:textId="77777777" w:rsidR="00E04C8A" w:rsidRDefault="008E1817">
      <w:pPr>
        <w:pStyle w:val="a3"/>
        <w:rPr>
          <w:lang w:val="sl-SI"/>
        </w:rPr>
      </w:pPr>
      <w:r>
        <w:rPr>
          <w:rFonts w:eastAsia="Times New Roman"/>
          <w:lang w:val="sl-SI"/>
        </w:rPr>
        <w:t>Pri uporabi tega zdravila natančno upoštevajte navodila zdravnika ali farmacevta. Če ste negotovi, se posvetujte z zdravnikom ali farmacevtom.</w:t>
      </w:r>
    </w:p>
    <w:p w14:paraId="53B0222E" w14:textId="77777777" w:rsidR="00E04C8A" w:rsidRDefault="00E04C8A">
      <w:pPr>
        <w:spacing w:before="10" w:line="240" w:lineRule="exact"/>
        <w:rPr>
          <w:sz w:val="24"/>
          <w:szCs w:val="24"/>
          <w:lang w:val="sl-SI"/>
        </w:rPr>
      </w:pPr>
    </w:p>
    <w:p w14:paraId="29A80FDD" w14:textId="77777777" w:rsidR="00BE3BDD" w:rsidRPr="00BE3BDD" w:rsidRDefault="00BE3BDD" w:rsidP="00BE3BDD">
      <w:pPr>
        <w:rPr>
          <w:rFonts w:ascii="Times New Roman" w:hAnsi="Times New Roman" w:cs="Times New Roman"/>
          <w:lang w:val="sl-SI"/>
        </w:rPr>
      </w:pPr>
      <w:r w:rsidRPr="00BE3BDD">
        <w:rPr>
          <w:rFonts w:ascii="Times New Roman" w:hAnsi="Times New Roman" w:cs="Times New Roman"/>
          <w:lang w:val="sl-SI"/>
        </w:rPr>
        <w:t xml:space="preserve">Priporočeni odmerki zdravila </w:t>
      </w:r>
      <w:r>
        <w:rPr>
          <w:rFonts w:ascii="Times New Roman" w:hAnsi="Times New Roman" w:cs="Times New Roman" w:hint="eastAsia"/>
          <w:lang w:val="sl-SI" w:eastAsia="ko-KR"/>
        </w:rPr>
        <w:t>Y</w:t>
      </w:r>
      <w:r>
        <w:rPr>
          <w:rFonts w:ascii="Times New Roman" w:hAnsi="Times New Roman" w:cs="Times New Roman"/>
          <w:lang w:val="sl-SI" w:eastAsia="ko-KR"/>
        </w:rPr>
        <w:t>uflyma</w:t>
      </w:r>
      <w:r w:rsidRPr="00BE3BDD">
        <w:rPr>
          <w:rFonts w:ascii="Times New Roman" w:hAnsi="Times New Roman" w:cs="Times New Roman"/>
          <w:lang w:val="sl-SI"/>
        </w:rPr>
        <w:t xml:space="preserve"> za vsako odobreno uporabo so prikazani v naslednji tabeli.</w:t>
      </w:r>
    </w:p>
    <w:p w14:paraId="271C22F8" w14:textId="48525CB2" w:rsidR="00E04C8A" w:rsidRDefault="00BE3BDD" w:rsidP="00BE3BDD">
      <w:pPr>
        <w:pStyle w:val="a3"/>
        <w:rPr>
          <w:lang w:val="sl-SI"/>
        </w:rPr>
      </w:pPr>
      <w:r w:rsidRPr="00BE3BDD">
        <w:rPr>
          <w:lang w:val="sl-SI"/>
        </w:rPr>
        <w:t xml:space="preserve">Zdravnik vam lahko predpiše drugo jakost zdravila </w:t>
      </w:r>
      <w:r>
        <w:rPr>
          <w:rFonts w:hint="eastAsia"/>
          <w:lang w:val="sl-SI" w:eastAsia="ko-KR"/>
        </w:rPr>
        <w:t>Y</w:t>
      </w:r>
      <w:r>
        <w:rPr>
          <w:lang w:val="sl-SI" w:eastAsia="ko-KR"/>
        </w:rPr>
        <w:t>uflyma</w:t>
      </w:r>
      <w:r w:rsidRPr="00BE3BDD">
        <w:rPr>
          <w:lang w:val="sl-SI"/>
        </w:rPr>
        <w:t>, če boste potrebovali drugačen odmerek.</w:t>
      </w:r>
    </w:p>
    <w:p w14:paraId="7D7638EA" w14:textId="77777777" w:rsidR="00E04C8A" w:rsidRDefault="008E1817">
      <w:pPr>
        <w:rPr>
          <w:rFonts w:ascii="Times New Roman" w:hAnsi="Times New Roman" w:cs="Times New Roman"/>
          <w:lang w:val="sl-SI"/>
        </w:rPr>
      </w:pPr>
      <w:r>
        <w:rPr>
          <w:lang w:val="sl-SI"/>
        </w:rPr>
        <w:br w:type="page"/>
      </w:r>
    </w:p>
    <w:p w14:paraId="3B726B62" w14:textId="77777777" w:rsidR="00E04C8A" w:rsidRDefault="00E04C8A">
      <w:pPr>
        <w:spacing w:before="7" w:line="90" w:lineRule="exact"/>
        <w:rPr>
          <w:sz w:val="9"/>
          <w:szCs w:val="9"/>
          <w:lang w:val="sl-SI"/>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04C8A" w:rsidRPr="00652F18" w14:paraId="00C28F8A" w14:textId="77777777" w:rsidTr="00337BB0">
        <w:trPr>
          <w:trHeight w:val="20"/>
        </w:trPr>
        <w:tc>
          <w:tcPr>
            <w:tcW w:w="9288" w:type="dxa"/>
            <w:gridSpan w:val="3"/>
            <w:tcBorders>
              <w:top w:val="single" w:sz="5" w:space="0" w:color="000000"/>
              <w:left w:val="single" w:sz="5" w:space="0" w:color="000000"/>
              <w:bottom w:val="single" w:sz="5" w:space="0" w:color="000000"/>
              <w:right w:val="single" w:sz="5" w:space="0" w:color="000000"/>
            </w:tcBorders>
          </w:tcPr>
          <w:p w14:paraId="2F8E6A8A" w14:textId="77777777" w:rsidR="00E04C8A" w:rsidRDefault="008E1817">
            <w:pPr>
              <w:pStyle w:val="TableParagraph"/>
              <w:spacing w:line="251"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Revmatoidni artritis, psoriatični artritis, ankilozirajoči spondilitis ali aksialni spondiloartritis</w:t>
            </w:r>
          </w:p>
          <w:p w14:paraId="059A051B" w14:textId="77777777" w:rsidR="00E04C8A" w:rsidRDefault="008E1817">
            <w:pPr>
              <w:pStyle w:val="TableParagraph"/>
              <w:spacing w:before="1"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brez radiografskega dokaza za ankilozirajoči spondilitis</w:t>
            </w:r>
          </w:p>
        </w:tc>
      </w:tr>
      <w:tr w:rsidR="00E04C8A" w14:paraId="2225D0CC" w14:textId="77777777" w:rsidTr="00337BB0">
        <w:trPr>
          <w:trHeight w:val="20"/>
        </w:trPr>
        <w:tc>
          <w:tcPr>
            <w:tcW w:w="3096" w:type="dxa"/>
            <w:tcBorders>
              <w:top w:val="single" w:sz="5" w:space="0" w:color="000000"/>
              <w:left w:val="single" w:sz="5" w:space="0" w:color="000000"/>
              <w:bottom w:val="single" w:sz="5" w:space="0" w:color="000000"/>
              <w:right w:val="single" w:sz="5" w:space="0" w:color="000000"/>
            </w:tcBorders>
          </w:tcPr>
          <w:p w14:paraId="4309537C"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096" w:type="dxa"/>
            <w:tcBorders>
              <w:top w:val="single" w:sz="5" w:space="0" w:color="000000"/>
              <w:left w:val="single" w:sz="5" w:space="0" w:color="000000"/>
              <w:bottom w:val="single" w:sz="5" w:space="0" w:color="000000"/>
              <w:right w:val="single" w:sz="5" w:space="0" w:color="000000"/>
            </w:tcBorders>
          </w:tcPr>
          <w:p w14:paraId="57D49849"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11E2FE77" w14:textId="77777777" w:rsidR="00E04C8A" w:rsidRDefault="008E1817">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096" w:type="dxa"/>
            <w:tcBorders>
              <w:top w:val="single" w:sz="5" w:space="0" w:color="000000"/>
              <w:left w:val="single" w:sz="5" w:space="0" w:color="000000"/>
              <w:bottom w:val="single" w:sz="5" w:space="0" w:color="000000"/>
              <w:right w:val="single" w:sz="5" w:space="0" w:color="000000"/>
            </w:tcBorders>
          </w:tcPr>
          <w:p w14:paraId="4C48DBD1"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E04C8A" w:rsidRPr="00652F18" w14:paraId="45AB92E0" w14:textId="77777777" w:rsidTr="00337BB0">
        <w:trPr>
          <w:trHeight w:val="20"/>
        </w:trPr>
        <w:tc>
          <w:tcPr>
            <w:tcW w:w="3096" w:type="dxa"/>
            <w:tcBorders>
              <w:top w:val="single" w:sz="5" w:space="0" w:color="000000"/>
              <w:left w:val="single" w:sz="5" w:space="0" w:color="000000"/>
              <w:bottom w:val="single" w:sz="5" w:space="0" w:color="000000"/>
              <w:right w:val="single" w:sz="5" w:space="0" w:color="000000"/>
            </w:tcBorders>
          </w:tcPr>
          <w:p w14:paraId="1FC7DCDB"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Odrasli</w:t>
            </w:r>
          </w:p>
        </w:tc>
        <w:tc>
          <w:tcPr>
            <w:tcW w:w="3096" w:type="dxa"/>
            <w:tcBorders>
              <w:top w:val="single" w:sz="5" w:space="0" w:color="000000"/>
              <w:left w:val="single" w:sz="5" w:space="0" w:color="000000"/>
              <w:bottom w:val="single" w:sz="5" w:space="0" w:color="000000"/>
              <w:right w:val="single" w:sz="5" w:space="0" w:color="000000"/>
            </w:tcBorders>
          </w:tcPr>
          <w:p w14:paraId="5170809E"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40 mg vsak drugi teden</w:t>
            </w:r>
          </w:p>
        </w:tc>
        <w:tc>
          <w:tcPr>
            <w:tcW w:w="3096" w:type="dxa"/>
            <w:tcBorders>
              <w:top w:val="single" w:sz="5" w:space="0" w:color="000000"/>
              <w:left w:val="single" w:sz="5" w:space="0" w:color="000000"/>
              <w:bottom w:val="single" w:sz="5" w:space="0" w:color="000000"/>
              <w:right w:val="single" w:sz="5" w:space="0" w:color="000000"/>
            </w:tcBorders>
          </w:tcPr>
          <w:p w14:paraId="667DFB32" w14:textId="74E1E2C3" w:rsidR="00E04C8A" w:rsidRDefault="008E1817" w:rsidP="001452D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Pri revmatoidnem artritisu</w:t>
            </w:r>
            <w:r w:rsidR="00472D63">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se uporaba metotreksata med uporabo zdravila Yuflyma nadaljuje. Če vaš zdravnik ugotovi, da metotreksat ni primeren, lahko zdravilo Yuflyma dobivate samo.</w:t>
            </w:r>
          </w:p>
          <w:p w14:paraId="0A1AA2F4" w14:textId="77777777" w:rsidR="00E04C8A" w:rsidRDefault="00E04C8A">
            <w:pPr>
              <w:pStyle w:val="TableParagraph"/>
              <w:spacing w:before="13" w:line="240" w:lineRule="exact"/>
              <w:rPr>
                <w:sz w:val="24"/>
                <w:szCs w:val="24"/>
                <w:lang w:val="sl-SI"/>
              </w:rPr>
            </w:pPr>
          </w:p>
          <w:p w14:paraId="3AEA32CC" w14:textId="77777777" w:rsidR="00E04C8A" w:rsidRDefault="008E1817">
            <w:pPr>
              <w:pStyle w:val="TableParagraph"/>
              <w:ind w:left="102" w:right="127"/>
              <w:rPr>
                <w:rFonts w:ascii="Times New Roman" w:eastAsia="Times New Roman" w:hAnsi="Times New Roman" w:cs="Times New Roman"/>
                <w:lang w:val="sl-SI"/>
              </w:rPr>
            </w:pPr>
            <w:r>
              <w:rPr>
                <w:rFonts w:ascii="Times New Roman" w:eastAsia="Times New Roman" w:hAnsi="Times New Roman" w:cs="Times New Roman"/>
                <w:spacing w:val="-1"/>
                <w:lang w:val="sl-SI"/>
              </w:rPr>
              <w:t>Če imate revmatoidni artritis in hkrati z zdravilom Yuflyma ne dobivate metotreksata, vam bo zdravnik morda predpisal zdravilo Yuflyma 40 mg vsak teden ali 80 mg vsak drugi teden.</w:t>
            </w:r>
          </w:p>
        </w:tc>
      </w:tr>
    </w:tbl>
    <w:p w14:paraId="622E8240" w14:textId="77777777" w:rsidR="00E04C8A" w:rsidRDefault="00E04C8A">
      <w:pPr>
        <w:spacing w:before="12"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04C8A" w14:paraId="33BD2909" w14:textId="77777777" w:rsidTr="001452D7">
        <w:tc>
          <w:tcPr>
            <w:tcW w:w="9288" w:type="dxa"/>
            <w:gridSpan w:val="3"/>
            <w:tcBorders>
              <w:top w:val="single" w:sz="5" w:space="0" w:color="000000"/>
              <w:left w:val="single" w:sz="5" w:space="0" w:color="000000"/>
              <w:bottom w:val="single" w:sz="5" w:space="0" w:color="000000"/>
              <w:right w:val="single" w:sz="5" w:space="0" w:color="000000"/>
            </w:tcBorders>
          </w:tcPr>
          <w:p w14:paraId="2D47BA27" w14:textId="77777777" w:rsidR="00E04C8A" w:rsidRDefault="008E1817">
            <w:pPr>
              <w:pStyle w:val="TableParagraph"/>
              <w:spacing w:line="250"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Poliartikularni juvenilni idiopatski artritis</w:t>
            </w:r>
          </w:p>
        </w:tc>
      </w:tr>
      <w:tr w:rsidR="00E04C8A" w14:paraId="1B59B66E"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7ADC00F4"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096" w:type="dxa"/>
            <w:tcBorders>
              <w:top w:val="single" w:sz="5" w:space="0" w:color="000000"/>
              <w:left w:val="single" w:sz="5" w:space="0" w:color="000000"/>
              <w:bottom w:val="single" w:sz="5" w:space="0" w:color="000000"/>
              <w:right w:val="single" w:sz="5" w:space="0" w:color="000000"/>
            </w:tcBorders>
          </w:tcPr>
          <w:p w14:paraId="651D83CE"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385656B8" w14:textId="77777777" w:rsidR="00E04C8A" w:rsidRDefault="008E1817">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096" w:type="dxa"/>
            <w:tcBorders>
              <w:top w:val="single" w:sz="5" w:space="0" w:color="000000"/>
              <w:left w:val="single" w:sz="5" w:space="0" w:color="000000"/>
              <w:bottom w:val="single" w:sz="5" w:space="0" w:color="000000"/>
              <w:right w:val="single" w:sz="5" w:space="0" w:color="000000"/>
            </w:tcBorders>
          </w:tcPr>
          <w:p w14:paraId="6349A55C"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E04C8A" w14:paraId="36DC985F" w14:textId="77777777" w:rsidTr="0029364E">
        <w:trPr>
          <w:trHeight w:val="868"/>
        </w:trPr>
        <w:tc>
          <w:tcPr>
            <w:tcW w:w="3096" w:type="dxa"/>
            <w:tcBorders>
              <w:top w:val="single" w:sz="5" w:space="0" w:color="000000"/>
              <w:left w:val="single" w:sz="5" w:space="0" w:color="000000"/>
              <w:bottom w:val="single" w:sz="5" w:space="0" w:color="000000"/>
              <w:right w:val="single" w:sz="5" w:space="0" w:color="000000"/>
            </w:tcBorders>
          </w:tcPr>
          <w:p w14:paraId="4C090A9F" w14:textId="18C538E5" w:rsidR="00E04C8A" w:rsidRDefault="008E1817">
            <w:pPr>
              <w:pStyle w:val="TableParagraph"/>
              <w:spacing w:before="5" w:line="252"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Otroci, mladostniki in odrasli</w:t>
            </w:r>
            <w:r w:rsidR="00472D63">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starejši od 2 let, s telesno maso 30 kg ali več</w:t>
            </w:r>
          </w:p>
        </w:tc>
        <w:tc>
          <w:tcPr>
            <w:tcW w:w="3096" w:type="dxa"/>
            <w:tcBorders>
              <w:top w:val="single" w:sz="5" w:space="0" w:color="000000"/>
              <w:left w:val="single" w:sz="5" w:space="0" w:color="000000"/>
              <w:bottom w:val="single" w:sz="5" w:space="0" w:color="000000"/>
              <w:right w:val="single" w:sz="5" w:space="0" w:color="000000"/>
            </w:tcBorders>
          </w:tcPr>
          <w:p w14:paraId="11E95560"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40 mg vsak drugi teden</w:t>
            </w:r>
          </w:p>
        </w:tc>
        <w:tc>
          <w:tcPr>
            <w:tcW w:w="3096" w:type="dxa"/>
            <w:tcBorders>
              <w:top w:val="single" w:sz="5" w:space="0" w:color="000000"/>
              <w:left w:val="single" w:sz="5" w:space="0" w:color="000000"/>
              <w:bottom w:val="single" w:sz="5" w:space="0" w:color="000000"/>
              <w:right w:val="single" w:sz="5" w:space="0" w:color="000000"/>
            </w:tcBorders>
          </w:tcPr>
          <w:p w14:paraId="3F7CEEA9"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Navedba smiselno ni potrebna.</w:t>
            </w:r>
          </w:p>
        </w:tc>
      </w:tr>
      <w:tr w:rsidR="00BE3BDD" w14:paraId="72CFEF26" w14:textId="77777777" w:rsidTr="0029364E">
        <w:trPr>
          <w:trHeight w:val="850"/>
        </w:trPr>
        <w:tc>
          <w:tcPr>
            <w:tcW w:w="3096" w:type="dxa"/>
            <w:tcBorders>
              <w:top w:val="single" w:sz="5" w:space="0" w:color="000000"/>
              <w:left w:val="single" w:sz="5" w:space="0" w:color="000000"/>
              <w:bottom w:val="single" w:sz="5" w:space="0" w:color="000000"/>
              <w:right w:val="single" w:sz="5" w:space="0" w:color="000000"/>
            </w:tcBorders>
          </w:tcPr>
          <w:p w14:paraId="4124EF22" w14:textId="6137080B" w:rsidR="00BE3BDD" w:rsidRDefault="00BE3BDD" w:rsidP="00BE3BDD">
            <w:pPr>
              <w:pStyle w:val="TableParagraph"/>
              <w:spacing w:before="5" w:line="252" w:lineRule="exact"/>
              <w:ind w:left="102"/>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Otroci in mladostniki, starejši od 2 let, ki tehtajo od 10 kg do manj kot 30 kg</w:t>
            </w:r>
          </w:p>
        </w:tc>
        <w:tc>
          <w:tcPr>
            <w:tcW w:w="3096" w:type="dxa"/>
            <w:tcBorders>
              <w:top w:val="single" w:sz="5" w:space="0" w:color="000000"/>
              <w:left w:val="single" w:sz="5" w:space="0" w:color="000000"/>
              <w:bottom w:val="single" w:sz="5" w:space="0" w:color="000000"/>
              <w:right w:val="single" w:sz="5" w:space="0" w:color="000000"/>
            </w:tcBorders>
          </w:tcPr>
          <w:p w14:paraId="40F6B382" w14:textId="0313DC7E" w:rsidR="00BE3BDD" w:rsidRDefault="00BE3BDD" w:rsidP="00BE3BDD">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20 mg vsak drugi teden</w:t>
            </w:r>
          </w:p>
        </w:tc>
        <w:tc>
          <w:tcPr>
            <w:tcW w:w="3096" w:type="dxa"/>
            <w:tcBorders>
              <w:top w:val="single" w:sz="5" w:space="0" w:color="000000"/>
              <w:left w:val="single" w:sz="5" w:space="0" w:color="000000"/>
              <w:bottom w:val="single" w:sz="5" w:space="0" w:color="000000"/>
              <w:right w:val="single" w:sz="5" w:space="0" w:color="000000"/>
            </w:tcBorders>
          </w:tcPr>
          <w:p w14:paraId="535158FE" w14:textId="345CDA9F" w:rsidR="00BE3BDD" w:rsidRDefault="00BE3BDD" w:rsidP="00BE3BDD">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Navedba smiselno ni potrebna.</w:t>
            </w:r>
          </w:p>
        </w:tc>
      </w:tr>
    </w:tbl>
    <w:p w14:paraId="47CE3939" w14:textId="77777777" w:rsidR="00E04C8A" w:rsidRDefault="00E04C8A">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04C8A" w14:paraId="443DDE5F" w14:textId="77777777" w:rsidTr="001452D7">
        <w:tc>
          <w:tcPr>
            <w:tcW w:w="9288" w:type="dxa"/>
            <w:gridSpan w:val="3"/>
            <w:tcBorders>
              <w:top w:val="single" w:sz="5" w:space="0" w:color="000000"/>
              <w:left w:val="single" w:sz="5" w:space="0" w:color="000000"/>
              <w:bottom w:val="single" w:sz="5" w:space="0" w:color="000000"/>
              <w:right w:val="single" w:sz="5" w:space="0" w:color="000000"/>
            </w:tcBorders>
          </w:tcPr>
          <w:p w14:paraId="4D7608D6" w14:textId="77777777" w:rsidR="00E04C8A" w:rsidRDefault="008E1817">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Artritis, povezan z entezitisom</w:t>
            </w:r>
          </w:p>
        </w:tc>
      </w:tr>
      <w:tr w:rsidR="00E04C8A" w14:paraId="4FC5E479"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1488BA2E"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096" w:type="dxa"/>
            <w:tcBorders>
              <w:top w:val="single" w:sz="5" w:space="0" w:color="000000"/>
              <w:left w:val="single" w:sz="5" w:space="0" w:color="000000"/>
              <w:bottom w:val="single" w:sz="5" w:space="0" w:color="000000"/>
              <w:right w:val="single" w:sz="5" w:space="0" w:color="000000"/>
            </w:tcBorders>
          </w:tcPr>
          <w:p w14:paraId="5C5B3E1E"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336AE2B6" w14:textId="77777777" w:rsidR="00E04C8A" w:rsidRDefault="008E1817">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096" w:type="dxa"/>
            <w:tcBorders>
              <w:top w:val="single" w:sz="5" w:space="0" w:color="000000"/>
              <w:left w:val="single" w:sz="5" w:space="0" w:color="000000"/>
              <w:bottom w:val="single" w:sz="5" w:space="0" w:color="000000"/>
              <w:right w:val="single" w:sz="5" w:space="0" w:color="000000"/>
            </w:tcBorders>
          </w:tcPr>
          <w:p w14:paraId="2688237B"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E04C8A" w14:paraId="3A2F92D6" w14:textId="77777777" w:rsidTr="0029364E">
        <w:trPr>
          <w:trHeight w:val="850"/>
        </w:trPr>
        <w:tc>
          <w:tcPr>
            <w:tcW w:w="3096" w:type="dxa"/>
            <w:tcBorders>
              <w:top w:val="single" w:sz="5" w:space="0" w:color="000000"/>
              <w:left w:val="single" w:sz="5" w:space="0" w:color="000000"/>
              <w:bottom w:val="single" w:sz="5" w:space="0" w:color="000000"/>
              <w:right w:val="single" w:sz="5" w:space="0" w:color="000000"/>
            </w:tcBorders>
          </w:tcPr>
          <w:p w14:paraId="679EC88E" w14:textId="61246BF3" w:rsidR="00E04C8A" w:rsidRDefault="008E1817">
            <w:pPr>
              <w:pStyle w:val="TableParagraph"/>
              <w:spacing w:before="5" w:line="252"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Otroci, mladostniki in odrasli</w:t>
            </w:r>
            <w:r w:rsidR="00472D63">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starejši od 6 let, s telesno maso 30 kg ali več</w:t>
            </w:r>
          </w:p>
        </w:tc>
        <w:tc>
          <w:tcPr>
            <w:tcW w:w="3096" w:type="dxa"/>
            <w:tcBorders>
              <w:top w:val="single" w:sz="5" w:space="0" w:color="000000"/>
              <w:left w:val="single" w:sz="5" w:space="0" w:color="000000"/>
              <w:bottom w:val="single" w:sz="5" w:space="0" w:color="000000"/>
              <w:right w:val="single" w:sz="5" w:space="0" w:color="000000"/>
            </w:tcBorders>
          </w:tcPr>
          <w:p w14:paraId="5180D005"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40 mg vsak drugi teden</w:t>
            </w:r>
          </w:p>
        </w:tc>
        <w:tc>
          <w:tcPr>
            <w:tcW w:w="3096" w:type="dxa"/>
            <w:tcBorders>
              <w:top w:val="single" w:sz="5" w:space="0" w:color="000000"/>
              <w:left w:val="single" w:sz="5" w:space="0" w:color="000000"/>
              <w:bottom w:val="single" w:sz="5" w:space="0" w:color="000000"/>
              <w:right w:val="single" w:sz="5" w:space="0" w:color="000000"/>
            </w:tcBorders>
          </w:tcPr>
          <w:p w14:paraId="55B920E3"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Navedba smiselno ni potrebna.</w:t>
            </w:r>
          </w:p>
        </w:tc>
      </w:tr>
      <w:tr w:rsidR="00BE3BDD" w14:paraId="5D97331F" w14:textId="77777777" w:rsidTr="0029364E">
        <w:trPr>
          <w:trHeight w:val="850"/>
        </w:trPr>
        <w:tc>
          <w:tcPr>
            <w:tcW w:w="3096" w:type="dxa"/>
            <w:tcBorders>
              <w:top w:val="single" w:sz="5" w:space="0" w:color="000000"/>
              <w:left w:val="single" w:sz="5" w:space="0" w:color="000000"/>
              <w:bottom w:val="single" w:sz="5" w:space="0" w:color="000000"/>
              <w:right w:val="single" w:sz="5" w:space="0" w:color="000000"/>
            </w:tcBorders>
          </w:tcPr>
          <w:p w14:paraId="413D1F86" w14:textId="2B61B439" w:rsidR="00BE3BDD" w:rsidRDefault="00BE3BDD" w:rsidP="00BE3BDD">
            <w:pPr>
              <w:pStyle w:val="TableParagraph"/>
              <w:spacing w:before="5" w:line="252" w:lineRule="exact"/>
              <w:ind w:left="102"/>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Otroci in mladostniki, starejši od 6 let, ki tehtajo od 15 kg do manj kot 30 kg</w:t>
            </w:r>
          </w:p>
        </w:tc>
        <w:tc>
          <w:tcPr>
            <w:tcW w:w="3096" w:type="dxa"/>
            <w:tcBorders>
              <w:top w:val="single" w:sz="5" w:space="0" w:color="000000"/>
              <w:left w:val="single" w:sz="5" w:space="0" w:color="000000"/>
              <w:bottom w:val="single" w:sz="5" w:space="0" w:color="000000"/>
              <w:right w:val="single" w:sz="5" w:space="0" w:color="000000"/>
            </w:tcBorders>
          </w:tcPr>
          <w:p w14:paraId="60EF254E" w14:textId="37C29CA8" w:rsidR="00BE3BDD" w:rsidRDefault="00BE3BDD" w:rsidP="00BE3BDD">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20 mg vsak drugi teden</w:t>
            </w:r>
          </w:p>
        </w:tc>
        <w:tc>
          <w:tcPr>
            <w:tcW w:w="3096" w:type="dxa"/>
            <w:tcBorders>
              <w:top w:val="single" w:sz="5" w:space="0" w:color="000000"/>
              <w:left w:val="single" w:sz="5" w:space="0" w:color="000000"/>
              <w:bottom w:val="single" w:sz="5" w:space="0" w:color="000000"/>
              <w:right w:val="single" w:sz="5" w:space="0" w:color="000000"/>
            </w:tcBorders>
          </w:tcPr>
          <w:p w14:paraId="51770211" w14:textId="40009E7D" w:rsidR="00BE3BDD" w:rsidRDefault="00BE3BDD" w:rsidP="00BE3BDD">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Navedba smiselno ni potrebna.</w:t>
            </w:r>
          </w:p>
        </w:tc>
      </w:tr>
    </w:tbl>
    <w:p w14:paraId="4E20E492" w14:textId="77777777" w:rsidR="00E04C8A" w:rsidRDefault="00E04C8A">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04C8A" w14:paraId="5DBF7AAE" w14:textId="77777777" w:rsidTr="001452D7">
        <w:tc>
          <w:tcPr>
            <w:tcW w:w="9288" w:type="dxa"/>
            <w:gridSpan w:val="3"/>
            <w:tcBorders>
              <w:top w:val="single" w:sz="5" w:space="0" w:color="000000"/>
              <w:left w:val="single" w:sz="5" w:space="0" w:color="000000"/>
              <w:bottom w:val="single" w:sz="5" w:space="0" w:color="000000"/>
              <w:right w:val="single" w:sz="5" w:space="0" w:color="000000"/>
            </w:tcBorders>
          </w:tcPr>
          <w:p w14:paraId="5EEDA428" w14:textId="77777777" w:rsidR="00E04C8A" w:rsidRDefault="008E1817">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Luskavica (psoriaza) v plakih</w:t>
            </w:r>
          </w:p>
        </w:tc>
      </w:tr>
      <w:tr w:rsidR="00E04C8A" w14:paraId="0706F83D"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15D2517C"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096" w:type="dxa"/>
            <w:tcBorders>
              <w:top w:val="single" w:sz="5" w:space="0" w:color="000000"/>
              <w:left w:val="single" w:sz="5" w:space="0" w:color="000000"/>
              <w:bottom w:val="single" w:sz="5" w:space="0" w:color="000000"/>
              <w:right w:val="single" w:sz="5" w:space="0" w:color="000000"/>
            </w:tcBorders>
          </w:tcPr>
          <w:p w14:paraId="408CC795"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73D1682E" w14:textId="77777777" w:rsidR="00E04C8A" w:rsidRDefault="008E1817">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096" w:type="dxa"/>
            <w:tcBorders>
              <w:top w:val="single" w:sz="5" w:space="0" w:color="000000"/>
              <w:left w:val="single" w:sz="5" w:space="0" w:color="000000"/>
              <w:bottom w:val="single" w:sz="5" w:space="0" w:color="000000"/>
              <w:right w:val="single" w:sz="5" w:space="0" w:color="000000"/>
            </w:tcBorders>
          </w:tcPr>
          <w:p w14:paraId="4396B0BC"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E04C8A" w:rsidRPr="00652F18" w14:paraId="3DF185FD"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316DEAC4"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Odrasli</w:t>
            </w:r>
          </w:p>
        </w:tc>
        <w:tc>
          <w:tcPr>
            <w:tcW w:w="3096" w:type="dxa"/>
            <w:tcBorders>
              <w:top w:val="single" w:sz="5" w:space="0" w:color="000000"/>
              <w:left w:val="single" w:sz="5" w:space="0" w:color="000000"/>
              <w:bottom w:val="single" w:sz="5" w:space="0" w:color="000000"/>
              <w:right w:val="single" w:sz="5" w:space="0" w:color="000000"/>
            </w:tcBorders>
          </w:tcPr>
          <w:p w14:paraId="48CD27F6" w14:textId="740AD758" w:rsidR="00E04C8A" w:rsidRDefault="008E1817" w:rsidP="00E95755">
            <w:pPr>
              <w:pStyle w:val="TableParagraph"/>
              <w:spacing w:before="1" w:line="239" w:lineRule="auto"/>
              <w:ind w:left="102" w:right="51"/>
              <w:rPr>
                <w:rFonts w:ascii="Times New Roman" w:eastAsia="Times New Roman" w:hAnsi="Times New Roman" w:cs="Times New Roman"/>
                <w:lang w:val="sl-SI"/>
              </w:rPr>
            </w:pPr>
            <w:r>
              <w:rPr>
                <w:rFonts w:ascii="Times New Roman" w:eastAsia="Times New Roman" w:hAnsi="Times New Roman" w:cs="Times New Roman"/>
                <w:spacing w:val="-1"/>
                <w:lang w:val="sl-SI"/>
              </w:rPr>
              <w:t>Prvi odmerek 80 mg (dve 40</w:t>
            </w:r>
            <w:r w:rsidR="00E95755">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w:t>
            </w:r>
            <w:r w:rsidR="00472D63">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injekciji v enem dnevu), nato pa 40 mg vsak drugi teden, z začetkom en teden po začetnem odmerku.</w:t>
            </w:r>
          </w:p>
        </w:tc>
        <w:tc>
          <w:tcPr>
            <w:tcW w:w="3096" w:type="dxa"/>
            <w:tcBorders>
              <w:top w:val="single" w:sz="5" w:space="0" w:color="000000"/>
              <w:left w:val="single" w:sz="5" w:space="0" w:color="000000"/>
              <w:bottom w:val="single" w:sz="5" w:space="0" w:color="000000"/>
              <w:right w:val="single" w:sz="5" w:space="0" w:color="000000"/>
            </w:tcBorders>
          </w:tcPr>
          <w:p w14:paraId="1588D8CA" w14:textId="4E7CEFD5" w:rsidR="00E04C8A" w:rsidRDefault="008E1817">
            <w:pPr>
              <w:pStyle w:val="TableParagraph"/>
              <w:spacing w:before="1" w:line="239" w:lineRule="auto"/>
              <w:ind w:left="102" w:right="193"/>
              <w:rPr>
                <w:rFonts w:ascii="Times New Roman" w:eastAsia="Times New Roman" w:hAnsi="Times New Roman" w:cs="Times New Roman"/>
                <w:lang w:val="sl-SI"/>
              </w:rPr>
            </w:pPr>
            <w:r>
              <w:rPr>
                <w:rFonts w:ascii="Times New Roman" w:eastAsia="Times New Roman" w:hAnsi="Times New Roman" w:cs="Times New Roman"/>
                <w:spacing w:val="-1"/>
                <w:lang w:val="sl-SI"/>
              </w:rPr>
              <w:t>Če imate neustrezen odziv, lahko zdravnik poveča odmerek na 40 mg vsak teden ali 80 mg vsak drugi teden.</w:t>
            </w:r>
          </w:p>
        </w:tc>
      </w:tr>
      <w:tr w:rsidR="00E04C8A" w14:paraId="6615D734"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342676E3" w14:textId="1ABAFCEC" w:rsidR="00E04C8A" w:rsidRDefault="008E1817">
            <w:pPr>
              <w:pStyle w:val="TableParagraph"/>
              <w:spacing w:before="1" w:line="254" w:lineRule="exact"/>
              <w:ind w:left="102" w:right="55"/>
              <w:rPr>
                <w:rFonts w:ascii="Times New Roman" w:eastAsia="Times New Roman" w:hAnsi="Times New Roman" w:cs="Times New Roman"/>
                <w:lang w:val="sl-SI"/>
              </w:rPr>
            </w:pPr>
            <w:r>
              <w:rPr>
                <w:rFonts w:ascii="Times New Roman" w:eastAsia="Times New Roman" w:hAnsi="Times New Roman" w:cs="Times New Roman"/>
                <w:spacing w:val="-1"/>
                <w:lang w:val="sl-SI"/>
              </w:rPr>
              <w:t>Otroci in mladostniki, stari od 4 do</w:t>
            </w:r>
            <w:r w:rsidR="00472D63">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17 let</w:t>
            </w:r>
            <w:r w:rsidR="00C85A7C">
              <w:rPr>
                <w:rFonts w:ascii="Times New Roman" w:eastAsia="Times New Roman" w:hAnsi="Times New Roman" w:cs="Times New Roman"/>
                <w:spacing w:val="-1"/>
                <w:lang w:val="sl-SI"/>
              </w:rPr>
              <w:t>, ki tehtajo</w:t>
            </w:r>
            <w:r>
              <w:rPr>
                <w:rFonts w:ascii="Times New Roman" w:eastAsia="Times New Roman" w:hAnsi="Times New Roman" w:cs="Times New Roman"/>
                <w:spacing w:val="-1"/>
                <w:lang w:val="sl-SI"/>
              </w:rPr>
              <w:t xml:space="preserve"> 30 kg ali več</w:t>
            </w:r>
          </w:p>
        </w:tc>
        <w:tc>
          <w:tcPr>
            <w:tcW w:w="3096" w:type="dxa"/>
            <w:tcBorders>
              <w:top w:val="single" w:sz="5" w:space="0" w:color="000000"/>
              <w:left w:val="single" w:sz="5" w:space="0" w:color="000000"/>
              <w:bottom w:val="single" w:sz="5" w:space="0" w:color="000000"/>
              <w:right w:val="single" w:sz="5" w:space="0" w:color="000000"/>
            </w:tcBorders>
          </w:tcPr>
          <w:p w14:paraId="50ABD649" w14:textId="12859E90" w:rsidR="00E04C8A" w:rsidRDefault="008E1817" w:rsidP="001452D7">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Prvi odmerek 40 mg, </w:t>
            </w:r>
            <w:r w:rsidR="00C85A7C">
              <w:rPr>
                <w:rFonts w:ascii="Times New Roman" w:eastAsia="Times New Roman" w:hAnsi="Times New Roman" w:cs="Times New Roman"/>
                <w:spacing w:val="-1"/>
                <w:lang w:val="sl-SI"/>
              </w:rPr>
              <w:t xml:space="preserve">kateremu  </w:t>
            </w:r>
            <w:r>
              <w:rPr>
                <w:rFonts w:ascii="Times New Roman" w:eastAsia="Times New Roman" w:hAnsi="Times New Roman" w:cs="Times New Roman"/>
                <w:spacing w:val="-1"/>
                <w:lang w:val="sl-SI"/>
              </w:rPr>
              <w:t>sledi</w:t>
            </w:r>
            <w:r w:rsidR="00472D63">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40 mg en teden kasneje.</w:t>
            </w:r>
          </w:p>
          <w:p w14:paraId="0F51876B" w14:textId="77777777" w:rsidR="00C85A7C" w:rsidRDefault="00C85A7C" w:rsidP="001452D7">
            <w:pPr>
              <w:pStyle w:val="TableParagraph"/>
              <w:spacing w:line="246" w:lineRule="exact"/>
              <w:ind w:left="102" w:right="57"/>
              <w:rPr>
                <w:rFonts w:ascii="Times New Roman" w:eastAsia="Times New Roman" w:hAnsi="Times New Roman" w:cs="Times New Roman"/>
                <w:spacing w:val="-1"/>
                <w:lang w:val="sl-SI"/>
              </w:rPr>
            </w:pPr>
          </w:p>
          <w:p w14:paraId="57DACC25" w14:textId="310B2475" w:rsidR="00E04C8A" w:rsidRDefault="008E1817">
            <w:pPr>
              <w:pStyle w:val="TableParagraph"/>
              <w:spacing w:line="252" w:lineRule="exact"/>
              <w:ind w:left="102" w:right="57"/>
              <w:rPr>
                <w:rFonts w:ascii="Times New Roman" w:eastAsia="Times New Roman" w:hAnsi="Times New Roman" w:cs="Times New Roman"/>
                <w:lang w:val="sl-SI"/>
              </w:rPr>
            </w:pPr>
            <w:r>
              <w:rPr>
                <w:rFonts w:ascii="Times New Roman" w:eastAsia="Times New Roman" w:hAnsi="Times New Roman" w:cs="Times New Roman"/>
                <w:lang w:val="sl-SI"/>
              </w:rPr>
              <w:t>Nato je običajni odmerek 40 </w:t>
            </w:r>
            <w:r>
              <w:rPr>
                <w:rFonts w:ascii="Times New Roman" w:eastAsia="Times New Roman" w:hAnsi="Times New Roman" w:cs="Times New Roman"/>
                <w:spacing w:val="-1"/>
                <w:lang w:val="sl-SI"/>
              </w:rPr>
              <w:t xml:space="preserve">mg </w:t>
            </w:r>
            <w:r>
              <w:rPr>
                <w:rFonts w:ascii="Times New Roman" w:eastAsia="Times New Roman" w:hAnsi="Times New Roman" w:cs="Times New Roman"/>
                <w:spacing w:val="-1"/>
                <w:lang w:val="sl-SI"/>
              </w:rPr>
              <w:lastRenderedPageBreak/>
              <w:t>vsak drugi teden.</w:t>
            </w:r>
          </w:p>
        </w:tc>
        <w:tc>
          <w:tcPr>
            <w:tcW w:w="3096" w:type="dxa"/>
            <w:tcBorders>
              <w:top w:val="single" w:sz="5" w:space="0" w:color="000000"/>
              <w:left w:val="single" w:sz="5" w:space="0" w:color="000000"/>
              <w:bottom w:val="single" w:sz="5" w:space="0" w:color="000000"/>
              <w:right w:val="single" w:sz="5" w:space="0" w:color="000000"/>
            </w:tcBorders>
          </w:tcPr>
          <w:p w14:paraId="7FD694C2" w14:textId="2B20AFF6"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lastRenderedPageBreak/>
              <w:t xml:space="preserve">Navedba </w:t>
            </w:r>
            <w:r w:rsidR="00C85A7C">
              <w:rPr>
                <w:rFonts w:ascii="Times New Roman" w:eastAsia="Times New Roman" w:hAnsi="Times New Roman" w:cs="Times New Roman"/>
                <w:spacing w:val="-1"/>
                <w:lang w:val="sl-SI"/>
              </w:rPr>
              <w:t xml:space="preserve">ni </w:t>
            </w:r>
            <w:r>
              <w:rPr>
                <w:rFonts w:ascii="Times New Roman" w:eastAsia="Times New Roman" w:hAnsi="Times New Roman" w:cs="Times New Roman"/>
                <w:spacing w:val="-1"/>
                <w:lang w:val="sl-SI"/>
              </w:rPr>
              <w:t>smiseln</w:t>
            </w:r>
            <w:r w:rsidR="00C85A7C">
              <w:rPr>
                <w:rFonts w:ascii="Times New Roman" w:eastAsia="Times New Roman" w:hAnsi="Times New Roman" w:cs="Times New Roman"/>
                <w:spacing w:val="-1"/>
                <w:lang w:val="sl-SI"/>
              </w:rPr>
              <w:t>a</w:t>
            </w:r>
            <w:r>
              <w:rPr>
                <w:rFonts w:ascii="Times New Roman" w:eastAsia="Times New Roman" w:hAnsi="Times New Roman" w:cs="Times New Roman"/>
                <w:spacing w:val="-1"/>
                <w:lang w:val="sl-SI"/>
              </w:rPr>
              <w:t>.</w:t>
            </w:r>
          </w:p>
        </w:tc>
      </w:tr>
      <w:tr w:rsidR="00C85A7C" w14:paraId="272D7C13"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2B311F6D" w14:textId="7D5A39A0" w:rsidR="00C85A7C" w:rsidRDefault="00C85A7C" w:rsidP="00C85A7C">
            <w:pPr>
              <w:pStyle w:val="TableParagraph"/>
              <w:spacing w:before="1" w:line="254" w:lineRule="exact"/>
              <w:ind w:left="102" w:right="55"/>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Otroci in mladostniki, stari od 4 do 17 let, ki tehtajo od 150 kg do manj kot 30 kg</w:t>
            </w:r>
          </w:p>
        </w:tc>
        <w:tc>
          <w:tcPr>
            <w:tcW w:w="3096" w:type="dxa"/>
            <w:tcBorders>
              <w:top w:val="single" w:sz="5" w:space="0" w:color="000000"/>
              <w:left w:val="single" w:sz="5" w:space="0" w:color="000000"/>
              <w:bottom w:val="single" w:sz="5" w:space="0" w:color="000000"/>
              <w:right w:val="single" w:sz="5" w:space="0" w:color="000000"/>
            </w:tcBorders>
          </w:tcPr>
          <w:p w14:paraId="48E58B57" w14:textId="22092232" w:rsidR="00C85A7C" w:rsidRDefault="00C85A7C" w:rsidP="00C85A7C">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Prvi odmerek je 20 mg, kateremu  sledi 20 mg en teden kasneje.</w:t>
            </w:r>
          </w:p>
          <w:p w14:paraId="291F58B5" w14:textId="77777777" w:rsidR="00C85A7C" w:rsidRPr="00C85A7C" w:rsidRDefault="00C85A7C" w:rsidP="00C85A7C">
            <w:pPr>
              <w:pStyle w:val="TableParagraph"/>
              <w:spacing w:line="246" w:lineRule="exact"/>
              <w:ind w:left="102" w:right="57"/>
              <w:rPr>
                <w:rFonts w:ascii="Times New Roman" w:eastAsia="Times New Roman" w:hAnsi="Times New Roman" w:cs="Times New Roman"/>
                <w:spacing w:val="-1"/>
                <w:lang w:val="sl-SI"/>
              </w:rPr>
            </w:pPr>
          </w:p>
          <w:p w14:paraId="168F6AB9" w14:textId="61B0048D" w:rsidR="00C85A7C" w:rsidRDefault="00C85A7C" w:rsidP="00C85A7C">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lang w:val="sl-SI"/>
              </w:rPr>
              <w:t>Nato je običajni odmerek 20 </w:t>
            </w:r>
            <w:r>
              <w:rPr>
                <w:rFonts w:ascii="Times New Roman" w:eastAsia="Times New Roman" w:hAnsi="Times New Roman" w:cs="Times New Roman"/>
                <w:spacing w:val="-1"/>
                <w:lang w:val="sl-SI"/>
              </w:rPr>
              <w:t>mg vsak drugi teden.</w:t>
            </w:r>
          </w:p>
        </w:tc>
        <w:tc>
          <w:tcPr>
            <w:tcW w:w="3096" w:type="dxa"/>
            <w:tcBorders>
              <w:top w:val="single" w:sz="5" w:space="0" w:color="000000"/>
              <w:left w:val="single" w:sz="5" w:space="0" w:color="000000"/>
              <w:bottom w:val="single" w:sz="5" w:space="0" w:color="000000"/>
              <w:right w:val="single" w:sz="5" w:space="0" w:color="000000"/>
            </w:tcBorders>
          </w:tcPr>
          <w:p w14:paraId="16FDF1AF" w14:textId="2FF11000" w:rsidR="00C85A7C" w:rsidRDefault="00C85A7C" w:rsidP="00C85A7C">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Navedba ni smiselna.</w:t>
            </w:r>
          </w:p>
        </w:tc>
      </w:tr>
    </w:tbl>
    <w:p w14:paraId="6EEDC220" w14:textId="77777777" w:rsidR="00E04C8A" w:rsidRDefault="00E04C8A">
      <w:pPr>
        <w:spacing w:before="7" w:line="90" w:lineRule="exact"/>
        <w:rPr>
          <w:sz w:val="9"/>
          <w:szCs w:val="9"/>
          <w:lang w:val="sl-SI"/>
        </w:rPr>
      </w:pPr>
    </w:p>
    <w:p w14:paraId="323D3678" w14:textId="77777777" w:rsidR="00E04C8A" w:rsidRDefault="00E04C8A">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04C8A" w14:paraId="734CD87B" w14:textId="77777777" w:rsidTr="001452D7">
        <w:tc>
          <w:tcPr>
            <w:tcW w:w="9288" w:type="dxa"/>
            <w:gridSpan w:val="3"/>
            <w:tcBorders>
              <w:top w:val="single" w:sz="5" w:space="0" w:color="000000"/>
              <w:left w:val="single" w:sz="5" w:space="0" w:color="000000"/>
              <w:bottom w:val="single" w:sz="5" w:space="0" w:color="000000"/>
              <w:right w:val="single" w:sz="5" w:space="0" w:color="000000"/>
            </w:tcBorders>
          </w:tcPr>
          <w:p w14:paraId="715F6259" w14:textId="77777777" w:rsidR="00E04C8A" w:rsidRDefault="008E1817">
            <w:pPr>
              <w:pStyle w:val="TableParagraph"/>
              <w:spacing w:line="251"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Hidradenitis suppurativa</w:t>
            </w:r>
          </w:p>
        </w:tc>
      </w:tr>
      <w:tr w:rsidR="00E04C8A" w14:paraId="09BCCA66"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6619D31A"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096" w:type="dxa"/>
            <w:tcBorders>
              <w:top w:val="single" w:sz="5" w:space="0" w:color="000000"/>
              <w:left w:val="single" w:sz="5" w:space="0" w:color="000000"/>
              <w:bottom w:val="single" w:sz="5" w:space="0" w:color="000000"/>
              <w:right w:val="single" w:sz="5" w:space="0" w:color="000000"/>
            </w:tcBorders>
          </w:tcPr>
          <w:p w14:paraId="07C4865B" w14:textId="77777777" w:rsidR="00E04C8A" w:rsidRDefault="008E1817">
            <w:pPr>
              <w:pStyle w:val="TableParagraph"/>
              <w:spacing w:before="1"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 vzeti?</w:t>
            </w:r>
          </w:p>
        </w:tc>
        <w:tc>
          <w:tcPr>
            <w:tcW w:w="3096" w:type="dxa"/>
            <w:tcBorders>
              <w:top w:val="single" w:sz="5" w:space="0" w:color="000000"/>
              <w:left w:val="single" w:sz="5" w:space="0" w:color="000000"/>
              <w:bottom w:val="single" w:sz="5" w:space="0" w:color="000000"/>
              <w:right w:val="single" w:sz="5" w:space="0" w:color="000000"/>
            </w:tcBorders>
          </w:tcPr>
          <w:p w14:paraId="196318D8"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E04C8A" w:rsidRPr="00652F18" w14:paraId="5187D495"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2AAD59D0" w14:textId="77777777" w:rsidR="00E04C8A" w:rsidRDefault="008E1817">
            <w:pPr>
              <w:pStyle w:val="TableParagraph"/>
              <w:spacing w:line="248"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Odrasli</w:t>
            </w:r>
          </w:p>
        </w:tc>
        <w:tc>
          <w:tcPr>
            <w:tcW w:w="3096" w:type="dxa"/>
            <w:tcBorders>
              <w:top w:val="single" w:sz="5" w:space="0" w:color="000000"/>
              <w:left w:val="single" w:sz="5" w:space="0" w:color="000000"/>
              <w:bottom w:val="single" w:sz="5" w:space="0" w:color="000000"/>
              <w:right w:val="single" w:sz="5" w:space="0" w:color="000000"/>
            </w:tcBorders>
          </w:tcPr>
          <w:p w14:paraId="6C52337B" w14:textId="35682913" w:rsidR="00E04C8A" w:rsidRDefault="008E1817" w:rsidP="001452D7">
            <w:pPr>
              <w:pStyle w:val="TableParagraph"/>
              <w:spacing w:line="248"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Prvi 160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odmerek (štiri 40</w:t>
            </w:r>
            <w:r w:rsidR="00E95755">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injekcije v enem dnevu ali dve 40</w:t>
            </w:r>
            <w:r w:rsidR="00E95755">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injekciji na dan dva</w:t>
            </w:r>
            <w:r w:rsidR="00472D63">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zaporedna dneva), ki mu sledi odmerek 80 mg (dve 40</w:t>
            </w:r>
            <w:r w:rsidR="00E95755">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w:t>
            </w:r>
            <w:r w:rsidR="00472D63">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injekciji v enem dnevu) dva tedna kasneje. Po dveh dodatnih</w:t>
            </w:r>
            <w:r w:rsidR="00472D63">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tednih nadaljujte z odmerkom 40 mg vsak teden ali 80 mg vsak drugi teden, kot vam je predpisal</w:t>
            </w:r>
          </w:p>
          <w:p w14:paraId="288DE1CF" w14:textId="77777777" w:rsidR="00E04C8A" w:rsidRDefault="008E1817">
            <w:pPr>
              <w:pStyle w:val="TableParagraph"/>
              <w:spacing w:line="252"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zdravnik.</w:t>
            </w:r>
          </w:p>
        </w:tc>
        <w:tc>
          <w:tcPr>
            <w:tcW w:w="3096" w:type="dxa"/>
            <w:tcBorders>
              <w:top w:val="single" w:sz="5" w:space="0" w:color="000000"/>
              <w:left w:val="single" w:sz="5" w:space="0" w:color="000000"/>
              <w:bottom w:val="single" w:sz="5" w:space="0" w:color="000000"/>
              <w:right w:val="single" w:sz="5" w:space="0" w:color="000000"/>
            </w:tcBorders>
          </w:tcPr>
          <w:p w14:paraId="6D7C3846" w14:textId="37F68B3A" w:rsidR="00E04C8A" w:rsidRDefault="008E1817">
            <w:pPr>
              <w:pStyle w:val="TableParagraph"/>
              <w:spacing w:before="3" w:line="252" w:lineRule="exact"/>
              <w:ind w:left="102"/>
              <w:rPr>
                <w:rFonts w:ascii="Times New Roman" w:eastAsia="Times New Roman" w:hAnsi="Times New Roman" w:cs="Times New Roman"/>
                <w:lang w:val="sl-SI"/>
              </w:rPr>
            </w:pPr>
            <w:r>
              <w:rPr>
                <w:rFonts w:ascii="Times New Roman" w:eastAsia="Times New Roman" w:hAnsi="Times New Roman" w:cs="Times New Roman"/>
                <w:spacing w:val="-4"/>
                <w:lang w:val="sl-SI"/>
              </w:rPr>
              <w:t xml:space="preserve">Priporočamo je, da </w:t>
            </w:r>
            <w:r>
              <w:rPr>
                <w:rFonts w:ascii="Times New Roman" w:eastAsia="Times New Roman" w:hAnsi="Times New Roman" w:cs="Times New Roman"/>
                <w:spacing w:val="-1"/>
                <w:lang w:val="sl-SI"/>
              </w:rPr>
              <w:t>na prizadetih področjih vsak dan uporabite antiseptično čistilno sredstvo.</w:t>
            </w:r>
          </w:p>
        </w:tc>
      </w:tr>
      <w:tr w:rsidR="00E04C8A" w:rsidRPr="00652F18" w14:paraId="4F8121D4"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283AF879" w14:textId="77FC90EB" w:rsidR="00E04C8A" w:rsidRDefault="008E1817" w:rsidP="006F347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Mladostniki, stari od 12 do 17. let</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s telesno maso 30 kg ali več</w:t>
            </w:r>
          </w:p>
        </w:tc>
        <w:tc>
          <w:tcPr>
            <w:tcW w:w="3096" w:type="dxa"/>
            <w:tcBorders>
              <w:top w:val="single" w:sz="5" w:space="0" w:color="000000"/>
              <w:left w:val="single" w:sz="5" w:space="0" w:color="000000"/>
              <w:bottom w:val="single" w:sz="5" w:space="0" w:color="000000"/>
              <w:right w:val="single" w:sz="5" w:space="0" w:color="000000"/>
            </w:tcBorders>
          </w:tcPr>
          <w:p w14:paraId="32EE6EFE" w14:textId="2F509177" w:rsidR="00E04C8A" w:rsidRDefault="008E1817" w:rsidP="00E95755">
            <w:pPr>
              <w:pStyle w:val="TableParagraph"/>
              <w:spacing w:before="1"/>
              <w:ind w:left="102" w:right="51"/>
              <w:rPr>
                <w:rFonts w:ascii="Times New Roman" w:eastAsia="Times New Roman" w:hAnsi="Times New Roman" w:cs="Times New Roman"/>
                <w:lang w:val="sl-SI"/>
              </w:rPr>
            </w:pPr>
            <w:r>
              <w:rPr>
                <w:rFonts w:ascii="Times New Roman" w:eastAsia="Times New Roman" w:hAnsi="Times New Roman" w:cs="Times New Roman"/>
                <w:spacing w:val="-1"/>
                <w:lang w:val="sl-SI"/>
              </w:rPr>
              <w:t>Prvi odmerek 80 mg (dve 40</w:t>
            </w:r>
            <w:r w:rsidR="00E95755">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w:t>
            </w:r>
            <w:r w:rsidR="00472D63">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injekciji v enem dnevu), čemur sledi 40 mg vsak drugi teden, z začetkom en teden po začetnem odmerku.</w:t>
            </w:r>
          </w:p>
        </w:tc>
        <w:tc>
          <w:tcPr>
            <w:tcW w:w="3096" w:type="dxa"/>
            <w:tcBorders>
              <w:top w:val="single" w:sz="5" w:space="0" w:color="000000"/>
              <w:left w:val="single" w:sz="5" w:space="0" w:color="000000"/>
              <w:bottom w:val="single" w:sz="5" w:space="0" w:color="000000"/>
              <w:right w:val="single" w:sz="5" w:space="0" w:color="000000"/>
            </w:tcBorders>
          </w:tcPr>
          <w:p w14:paraId="221E058E" w14:textId="4E12E86E" w:rsidR="00E04C8A" w:rsidRDefault="008E1817" w:rsidP="001452D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Če imate neustrezen </w:t>
            </w:r>
            <w:r>
              <w:rPr>
                <w:rFonts w:ascii="Times New Roman" w:eastAsia="Times New Roman" w:hAnsi="Times New Roman" w:cs="Times New Roman"/>
                <w:lang w:val="sl-SI"/>
              </w:rPr>
              <w:t xml:space="preserve">odziv na zdravilo Yuflyma 40 mg vsak drugi teden, lahko zdravnik poveča odmerek na 40 mg vsak teden ali 80 mg vsak </w:t>
            </w:r>
          </w:p>
          <w:p w14:paraId="74C7D0B5" w14:textId="77777777" w:rsidR="00E04C8A" w:rsidRDefault="008E1817">
            <w:pPr>
              <w:pStyle w:val="TableParagraph"/>
              <w:spacing w:line="252"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drugi teden.</w:t>
            </w:r>
          </w:p>
          <w:p w14:paraId="309E99DB" w14:textId="77777777" w:rsidR="00E04C8A" w:rsidRDefault="008E1817">
            <w:pPr>
              <w:pStyle w:val="TableParagraph"/>
              <w:spacing w:before="1"/>
              <w:ind w:left="102" w:right="223"/>
              <w:jc w:val="both"/>
              <w:rPr>
                <w:rFonts w:ascii="Times New Roman" w:eastAsia="Times New Roman" w:hAnsi="Times New Roman" w:cs="Times New Roman"/>
                <w:lang w:val="sl-SI"/>
              </w:rPr>
            </w:pPr>
            <w:r>
              <w:rPr>
                <w:rFonts w:ascii="Times New Roman" w:eastAsia="Times New Roman" w:hAnsi="Times New Roman" w:cs="Times New Roman"/>
                <w:spacing w:val="-4"/>
                <w:lang w:val="sl-SI"/>
              </w:rPr>
              <w:t>Priporočljivo je, da na prizadetih predelih vsak dan uporabite antiseptično čistilno sredstvo.</w:t>
            </w:r>
          </w:p>
        </w:tc>
      </w:tr>
    </w:tbl>
    <w:p w14:paraId="27FB8F7E" w14:textId="77777777" w:rsidR="00E04C8A" w:rsidRDefault="00E04C8A">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04C8A" w14:paraId="78755ADC" w14:textId="77777777" w:rsidTr="001452D7">
        <w:tc>
          <w:tcPr>
            <w:tcW w:w="9288" w:type="dxa"/>
            <w:gridSpan w:val="3"/>
            <w:tcBorders>
              <w:top w:val="single" w:sz="5" w:space="0" w:color="000000"/>
              <w:left w:val="single" w:sz="5" w:space="0" w:color="000000"/>
              <w:bottom w:val="single" w:sz="5" w:space="0" w:color="000000"/>
              <w:right w:val="single" w:sz="5" w:space="0" w:color="000000"/>
            </w:tcBorders>
          </w:tcPr>
          <w:p w14:paraId="78BCA791" w14:textId="77777777" w:rsidR="00E04C8A" w:rsidRDefault="008E1817">
            <w:pPr>
              <w:pStyle w:val="TableParagraph"/>
              <w:spacing w:line="251"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Crohnova bolezen</w:t>
            </w:r>
          </w:p>
        </w:tc>
      </w:tr>
      <w:tr w:rsidR="00E04C8A" w14:paraId="18B4C10A"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492BAD6C"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096" w:type="dxa"/>
            <w:tcBorders>
              <w:top w:val="single" w:sz="5" w:space="0" w:color="000000"/>
              <w:left w:val="single" w:sz="5" w:space="0" w:color="000000"/>
              <w:bottom w:val="single" w:sz="5" w:space="0" w:color="000000"/>
              <w:right w:val="single" w:sz="5" w:space="0" w:color="000000"/>
            </w:tcBorders>
          </w:tcPr>
          <w:p w14:paraId="2BA8D9AF" w14:textId="77777777" w:rsidR="00E04C8A" w:rsidRDefault="008E1817">
            <w:pPr>
              <w:pStyle w:val="TableParagraph"/>
              <w:spacing w:before="1"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 vzeti?</w:t>
            </w:r>
          </w:p>
        </w:tc>
        <w:tc>
          <w:tcPr>
            <w:tcW w:w="3096" w:type="dxa"/>
            <w:tcBorders>
              <w:top w:val="single" w:sz="5" w:space="0" w:color="000000"/>
              <w:left w:val="single" w:sz="5" w:space="0" w:color="000000"/>
              <w:bottom w:val="single" w:sz="5" w:space="0" w:color="000000"/>
              <w:right w:val="single" w:sz="5" w:space="0" w:color="000000"/>
            </w:tcBorders>
          </w:tcPr>
          <w:p w14:paraId="07B3D310"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E04C8A" w:rsidRPr="00652F18" w14:paraId="7FF7294A"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65AC4BE1" w14:textId="466B99D4" w:rsidR="00E04C8A" w:rsidRDefault="008E1817">
            <w:pPr>
              <w:pStyle w:val="TableParagraph"/>
              <w:spacing w:before="3" w:line="252"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t>Otroci, mladostniki in odrasli</w:t>
            </w:r>
            <w:r w:rsidR="00472D63">
              <w:rPr>
                <w:rFonts w:ascii="Times New Roman" w:eastAsia="Times New Roman" w:hAnsi="Times New Roman" w:cs="Times New Roman"/>
                <w:lang w:val="sl-SI"/>
              </w:rPr>
              <w:t xml:space="preserve"> </w:t>
            </w:r>
            <w:r>
              <w:rPr>
                <w:rFonts w:ascii="Times New Roman" w:eastAsia="Times New Roman" w:hAnsi="Times New Roman" w:cs="Times New Roman"/>
                <w:spacing w:val="-1"/>
                <w:lang w:val="sl-SI"/>
              </w:rPr>
              <w:t>od starosti 6 let s telesno maso 40 kg ali več</w:t>
            </w:r>
          </w:p>
        </w:tc>
        <w:tc>
          <w:tcPr>
            <w:tcW w:w="3096" w:type="dxa"/>
            <w:tcBorders>
              <w:top w:val="single" w:sz="5" w:space="0" w:color="000000"/>
              <w:left w:val="single" w:sz="5" w:space="0" w:color="000000"/>
              <w:bottom w:val="single" w:sz="5" w:space="0" w:color="000000"/>
              <w:right w:val="single" w:sz="5" w:space="0" w:color="000000"/>
            </w:tcBorders>
          </w:tcPr>
          <w:p w14:paraId="65CB7ACD" w14:textId="40E95314" w:rsidR="00E04C8A" w:rsidRDefault="008E1817" w:rsidP="001452D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Prvi odmerek 80 mg (dve 40</w:t>
            </w:r>
            <w:r w:rsidR="00E95755">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w:t>
            </w:r>
            <w:r w:rsidR="00472D63">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injekciji v enem dnevu), ki mu sledi 40 mg dva tedna kasneje.</w:t>
            </w:r>
          </w:p>
          <w:p w14:paraId="4A32EE94" w14:textId="77777777" w:rsidR="00E04C8A" w:rsidRDefault="00E04C8A">
            <w:pPr>
              <w:pStyle w:val="TableParagraph"/>
              <w:spacing w:before="11" w:line="240" w:lineRule="exact"/>
              <w:rPr>
                <w:sz w:val="24"/>
                <w:szCs w:val="24"/>
                <w:lang w:val="sl-SI"/>
              </w:rPr>
            </w:pPr>
          </w:p>
          <w:p w14:paraId="1EF77105" w14:textId="22BEC31E" w:rsidR="00E04C8A" w:rsidRDefault="008E1817">
            <w:pPr>
              <w:pStyle w:val="TableParagraph"/>
              <w:ind w:left="102" w:right="76"/>
              <w:rPr>
                <w:rFonts w:ascii="Times New Roman" w:eastAsia="Times New Roman" w:hAnsi="Times New Roman" w:cs="Times New Roman"/>
                <w:lang w:val="sl-SI"/>
              </w:rPr>
            </w:pPr>
            <w:r>
              <w:rPr>
                <w:rFonts w:ascii="Times New Roman" w:eastAsia="Times New Roman" w:hAnsi="Times New Roman" w:cs="Times New Roman"/>
                <w:spacing w:val="-1"/>
                <w:lang w:val="sl-SI"/>
              </w:rPr>
              <w:t>Če je potreben hitrejši odziv, lahko zdravnik predpiše prvi odmerek 160 mg (štiri 40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injekcije v enem dnevu ali dve 40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injekciji na dan v dveh zaporednih dneh), čemur sledi 80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(dve 40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injekciji v enem dnevu) dva tedna kasneje.</w:t>
            </w:r>
          </w:p>
          <w:p w14:paraId="15B78AB6" w14:textId="77777777" w:rsidR="00E04C8A" w:rsidRDefault="00E04C8A">
            <w:pPr>
              <w:pStyle w:val="TableParagraph"/>
              <w:spacing w:before="17" w:line="240" w:lineRule="exact"/>
              <w:rPr>
                <w:sz w:val="24"/>
                <w:szCs w:val="24"/>
                <w:lang w:val="sl-SI"/>
              </w:rPr>
            </w:pPr>
          </w:p>
          <w:p w14:paraId="3D511CF1" w14:textId="0B500CE6" w:rsidR="00E04C8A" w:rsidRDefault="001D5155">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Nato </w:t>
            </w:r>
            <w:r w:rsidR="008E1817">
              <w:rPr>
                <w:rFonts w:ascii="Times New Roman" w:eastAsia="Times New Roman" w:hAnsi="Times New Roman" w:cs="Times New Roman"/>
                <w:spacing w:val="-1"/>
                <w:lang w:val="sl-SI"/>
              </w:rPr>
              <w:t>je običajni odmerek 40 mg vsak drugi teden.</w:t>
            </w:r>
          </w:p>
        </w:tc>
        <w:tc>
          <w:tcPr>
            <w:tcW w:w="3096" w:type="dxa"/>
            <w:tcBorders>
              <w:top w:val="single" w:sz="5" w:space="0" w:color="000000"/>
              <w:left w:val="single" w:sz="5" w:space="0" w:color="000000"/>
              <w:bottom w:val="single" w:sz="5" w:space="0" w:color="000000"/>
              <w:right w:val="single" w:sz="5" w:space="0" w:color="000000"/>
            </w:tcBorders>
          </w:tcPr>
          <w:p w14:paraId="2B3DE140" w14:textId="200B4C4E" w:rsidR="00E04C8A" w:rsidRDefault="00C85A7C">
            <w:pPr>
              <w:pStyle w:val="TableParagraph"/>
              <w:spacing w:before="3" w:line="252" w:lineRule="exact"/>
              <w:ind w:left="102" w:right="55"/>
              <w:rPr>
                <w:rFonts w:ascii="Times New Roman" w:eastAsia="Times New Roman" w:hAnsi="Times New Roman" w:cs="Times New Roman"/>
                <w:lang w:val="sl-SI"/>
              </w:rPr>
            </w:pPr>
            <w:r w:rsidRPr="00C85A7C">
              <w:rPr>
                <w:rFonts w:ascii="Times New Roman" w:eastAsia="Times New Roman" w:hAnsi="Times New Roman" w:cs="Times New Roman"/>
                <w:spacing w:val="-1"/>
                <w:lang w:val="sl-SI"/>
              </w:rPr>
              <w:t>Vaš zdravnik</w:t>
            </w:r>
            <w:r w:rsidR="008E1817">
              <w:rPr>
                <w:rFonts w:ascii="Times New Roman" w:eastAsia="Times New Roman" w:hAnsi="Times New Roman" w:cs="Times New Roman"/>
                <w:spacing w:val="-1"/>
                <w:lang w:val="sl-SI"/>
              </w:rPr>
              <w:t xml:space="preserve"> vam lahko</w:t>
            </w:r>
            <w:r w:rsidR="00472D63">
              <w:rPr>
                <w:rFonts w:ascii="Times New Roman" w:eastAsia="Times New Roman" w:hAnsi="Times New Roman" w:cs="Times New Roman"/>
                <w:spacing w:val="-1"/>
                <w:lang w:val="sl-SI"/>
              </w:rPr>
              <w:t xml:space="preserve"> </w:t>
            </w:r>
            <w:r w:rsidR="008E1817">
              <w:rPr>
                <w:rFonts w:ascii="Times New Roman" w:eastAsia="Times New Roman" w:hAnsi="Times New Roman" w:cs="Times New Roman"/>
                <w:spacing w:val="-1"/>
                <w:lang w:val="sl-SI"/>
              </w:rPr>
              <w:t>odmerek poveča na 40 mg vsak teden ali 80 mg vsak drugi teden.</w:t>
            </w:r>
          </w:p>
        </w:tc>
      </w:tr>
      <w:tr w:rsidR="00C85A7C" w:rsidRPr="00652F18" w14:paraId="73145C12"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57649658" w14:textId="6201292E" w:rsidR="00C85A7C" w:rsidRDefault="00C85A7C" w:rsidP="00C85A7C">
            <w:pPr>
              <w:pStyle w:val="TableParagraph"/>
              <w:spacing w:before="3" w:line="252" w:lineRule="exact"/>
              <w:ind w:left="102"/>
              <w:rPr>
                <w:rFonts w:ascii="Times New Roman" w:eastAsia="Times New Roman" w:hAnsi="Times New Roman" w:cs="Times New Roman"/>
                <w:lang w:val="sl-SI"/>
              </w:rPr>
            </w:pPr>
            <w:r w:rsidRPr="00C85A7C">
              <w:rPr>
                <w:rFonts w:ascii="Times New Roman" w:eastAsia="Times New Roman" w:hAnsi="Times New Roman" w:cs="Times New Roman"/>
                <w:lang w:val="sl-SI"/>
              </w:rPr>
              <w:t>Otroci in mladostniki, stari od</w:t>
            </w:r>
            <w:r>
              <w:rPr>
                <w:rFonts w:ascii="Times New Roman" w:eastAsia="Times New Roman" w:hAnsi="Times New Roman" w:cs="Times New Roman"/>
                <w:lang w:val="sl-SI"/>
              </w:rPr>
              <w:t xml:space="preserve"> </w:t>
            </w:r>
            <w:r w:rsidRPr="00C85A7C">
              <w:rPr>
                <w:rFonts w:ascii="Times New Roman" w:eastAsia="Times New Roman" w:hAnsi="Times New Roman" w:cs="Times New Roman"/>
                <w:lang w:val="sl-SI"/>
              </w:rPr>
              <w:t>6 do 17 let, ki tehtajo manj kot</w:t>
            </w:r>
            <w:r>
              <w:rPr>
                <w:rFonts w:ascii="Times New Roman" w:eastAsia="Times New Roman" w:hAnsi="Times New Roman" w:cs="Times New Roman"/>
                <w:lang w:val="sl-SI"/>
              </w:rPr>
              <w:t xml:space="preserve"> </w:t>
            </w:r>
            <w:r w:rsidRPr="00C85A7C">
              <w:rPr>
                <w:rFonts w:ascii="Times New Roman" w:eastAsia="Times New Roman" w:hAnsi="Times New Roman" w:cs="Times New Roman"/>
                <w:lang w:val="sl-SI"/>
              </w:rPr>
              <w:t>40 kg</w:t>
            </w:r>
          </w:p>
        </w:tc>
        <w:tc>
          <w:tcPr>
            <w:tcW w:w="3096" w:type="dxa"/>
            <w:tcBorders>
              <w:top w:val="single" w:sz="5" w:space="0" w:color="000000"/>
              <w:left w:val="single" w:sz="5" w:space="0" w:color="000000"/>
              <w:bottom w:val="single" w:sz="5" w:space="0" w:color="000000"/>
              <w:right w:val="single" w:sz="5" w:space="0" w:color="000000"/>
            </w:tcBorders>
          </w:tcPr>
          <w:p w14:paraId="4E13F517" w14:textId="1BC982FF" w:rsidR="00C85A7C" w:rsidRDefault="00C85A7C" w:rsidP="0029364E">
            <w:pPr>
              <w:pStyle w:val="TableParagraph"/>
              <w:spacing w:line="246" w:lineRule="exact"/>
              <w:ind w:left="102" w:right="57"/>
              <w:rPr>
                <w:sz w:val="24"/>
                <w:szCs w:val="24"/>
                <w:lang w:val="sl-SI"/>
              </w:rPr>
            </w:pPr>
            <w:r w:rsidRPr="00C85A7C">
              <w:rPr>
                <w:rFonts w:ascii="Times New Roman" w:eastAsia="Times New Roman" w:hAnsi="Times New Roman" w:cs="Times New Roman"/>
                <w:spacing w:val="-1"/>
                <w:lang w:val="sl-SI"/>
              </w:rPr>
              <w:t>Prvi odmerek je 40 mg, čemur</w:t>
            </w:r>
            <w:r>
              <w:rPr>
                <w:rFonts w:ascii="Times New Roman" w:eastAsia="Times New Roman" w:hAnsi="Times New Roman" w:cs="Times New Roman"/>
                <w:spacing w:val="-1"/>
                <w:lang w:val="sl-SI"/>
              </w:rPr>
              <w:t xml:space="preserve"> </w:t>
            </w:r>
            <w:r w:rsidRPr="00C85A7C">
              <w:rPr>
                <w:rFonts w:ascii="Times New Roman" w:eastAsia="Times New Roman" w:hAnsi="Times New Roman" w:cs="Times New Roman"/>
                <w:spacing w:val="-1"/>
                <w:lang w:val="sl-SI"/>
              </w:rPr>
              <w:t>sledi 20 mg dva tedna kasneje.</w:t>
            </w:r>
          </w:p>
          <w:p w14:paraId="0C386869" w14:textId="77777777" w:rsidR="00C85A7C" w:rsidRDefault="00C85A7C" w:rsidP="00C85A7C">
            <w:pPr>
              <w:pStyle w:val="TableParagraph"/>
              <w:ind w:left="102" w:right="76"/>
              <w:rPr>
                <w:rFonts w:ascii="Times New Roman" w:eastAsia="Times New Roman" w:hAnsi="Times New Roman" w:cs="Times New Roman"/>
                <w:spacing w:val="-1"/>
                <w:lang w:val="sl-SI"/>
              </w:rPr>
            </w:pPr>
          </w:p>
          <w:p w14:paraId="6EAE5090" w14:textId="4E25DD6A" w:rsidR="00C85A7C" w:rsidRDefault="00C85A7C" w:rsidP="00C85A7C">
            <w:pPr>
              <w:pStyle w:val="TableParagraph"/>
              <w:ind w:left="102" w:right="76"/>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Če je potreben hitrejši odziv, lahko zdravnik predpiše prvi odmerek 80 mg (dve 40 mg injekcije v enem dnevu), čemur </w:t>
            </w:r>
            <w:r>
              <w:rPr>
                <w:rFonts w:ascii="Times New Roman" w:eastAsia="Times New Roman" w:hAnsi="Times New Roman" w:cs="Times New Roman"/>
                <w:spacing w:val="-1"/>
                <w:lang w:val="sl-SI"/>
              </w:rPr>
              <w:lastRenderedPageBreak/>
              <w:t>sledi 40 mg dva tedna kasneje.</w:t>
            </w:r>
          </w:p>
          <w:p w14:paraId="3055A304" w14:textId="77777777" w:rsidR="00C85A7C" w:rsidRPr="00C85A7C" w:rsidRDefault="00C85A7C" w:rsidP="00C85A7C">
            <w:pPr>
              <w:pStyle w:val="TableParagraph"/>
              <w:spacing w:before="17" w:line="240" w:lineRule="exact"/>
              <w:rPr>
                <w:sz w:val="24"/>
                <w:szCs w:val="24"/>
                <w:lang w:val="sl-SI"/>
              </w:rPr>
            </w:pPr>
          </w:p>
          <w:p w14:paraId="48E8A421" w14:textId="479446E8" w:rsidR="00C85A7C" w:rsidRDefault="00C85A7C" w:rsidP="00C85A7C">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Nato je običajni odmerek 20 mg vsak drugi teden.</w:t>
            </w:r>
          </w:p>
        </w:tc>
        <w:tc>
          <w:tcPr>
            <w:tcW w:w="3096" w:type="dxa"/>
            <w:tcBorders>
              <w:top w:val="single" w:sz="5" w:space="0" w:color="000000"/>
              <w:left w:val="single" w:sz="5" w:space="0" w:color="000000"/>
              <w:bottom w:val="single" w:sz="5" w:space="0" w:color="000000"/>
              <w:right w:val="single" w:sz="5" w:space="0" w:color="000000"/>
            </w:tcBorders>
          </w:tcPr>
          <w:p w14:paraId="1FED70FD" w14:textId="28DF436D" w:rsidR="00C85A7C" w:rsidRDefault="00C85A7C" w:rsidP="00C85A7C">
            <w:pPr>
              <w:pStyle w:val="TableParagraph"/>
              <w:spacing w:before="3" w:line="252" w:lineRule="exact"/>
              <w:ind w:left="102" w:right="55"/>
              <w:rPr>
                <w:rFonts w:ascii="Times New Roman" w:eastAsia="Times New Roman" w:hAnsi="Times New Roman" w:cs="Times New Roman"/>
                <w:spacing w:val="-1"/>
                <w:lang w:val="sl-SI"/>
              </w:rPr>
            </w:pPr>
            <w:r w:rsidRPr="00C85A7C">
              <w:rPr>
                <w:rFonts w:ascii="Times New Roman" w:eastAsia="Times New Roman" w:hAnsi="Times New Roman" w:cs="Times New Roman"/>
                <w:spacing w:val="-1"/>
                <w:lang w:val="sl-SI"/>
              </w:rPr>
              <w:lastRenderedPageBreak/>
              <w:t>Vaš zdravnik vam lahko</w:t>
            </w:r>
            <w:r>
              <w:rPr>
                <w:rFonts w:ascii="Times New Roman" w:eastAsia="Times New Roman" w:hAnsi="Times New Roman" w:cs="Times New Roman"/>
                <w:spacing w:val="-1"/>
                <w:lang w:val="sl-SI"/>
              </w:rPr>
              <w:t xml:space="preserve"> </w:t>
            </w:r>
            <w:r w:rsidRPr="00C85A7C">
              <w:rPr>
                <w:rFonts w:ascii="Times New Roman" w:eastAsia="Times New Roman" w:hAnsi="Times New Roman" w:cs="Times New Roman"/>
                <w:spacing w:val="-1"/>
                <w:lang w:val="sl-SI"/>
              </w:rPr>
              <w:t>poveča pogostnost odmerjanja</w:t>
            </w:r>
            <w:r>
              <w:rPr>
                <w:rFonts w:ascii="Times New Roman" w:eastAsia="Times New Roman" w:hAnsi="Times New Roman" w:cs="Times New Roman"/>
                <w:spacing w:val="-1"/>
                <w:lang w:val="sl-SI"/>
              </w:rPr>
              <w:t xml:space="preserve"> </w:t>
            </w:r>
            <w:r w:rsidRPr="00C85A7C">
              <w:rPr>
                <w:rFonts w:ascii="Times New Roman" w:eastAsia="Times New Roman" w:hAnsi="Times New Roman" w:cs="Times New Roman"/>
                <w:spacing w:val="-1"/>
                <w:lang w:val="sl-SI"/>
              </w:rPr>
              <w:t>na 20 mg vsak teden</w:t>
            </w:r>
          </w:p>
        </w:tc>
      </w:tr>
    </w:tbl>
    <w:p w14:paraId="47F8024E" w14:textId="77777777" w:rsidR="00E04C8A" w:rsidRDefault="00E04C8A">
      <w:pPr>
        <w:spacing w:before="7" w:line="90" w:lineRule="exact"/>
        <w:rPr>
          <w:sz w:val="9"/>
          <w:szCs w:val="9"/>
          <w:lang w:val="sl-SI"/>
        </w:rPr>
      </w:pPr>
    </w:p>
    <w:p w14:paraId="107D3F15" w14:textId="77777777" w:rsidR="00E04C8A" w:rsidRDefault="00E04C8A">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04C8A" w14:paraId="37632CA4" w14:textId="77777777" w:rsidTr="00337BB0">
        <w:trPr>
          <w:trHeight w:val="20"/>
        </w:trPr>
        <w:tc>
          <w:tcPr>
            <w:tcW w:w="9288" w:type="dxa"/>
            <w:gridSpan w:val="3"/>
            <w:tcBorders>
              <w:top w:val="single" w:sz="5" w:space="0" w:color="000000"/>
              <w:left w:val="single" w:sz="5" w:space="0" w:color="000000"/>
              <w:bottom w:val="single" w:sz="5" w:space="0" w:color="000000"/>
              <w:right w:val="single" w:sz="5" w:space="0" w:color="000000"/>
            </w:tcBorders>
          </w:tcPr>
          <w:p w14:paraId="2FE9CCD1" w14:textId="77777777" w:rsidR="00E04C8A" w:rsidRDefault="008E1817">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Ulcerozni kolitis</w:t>
            </w:r>
          </w:p>
        </w:tc>
      </w:tr>
      <w:tr w:rsidR="00E04C8A" w14:paraId="25DD2338" w14:textId="77777777" w:rsidTr="00337BB0">
        <w:trPr>
          <w:trHeight w:val="20"/>
        </w:trPr>
        <w:tc>
          <w:tcPr>
            <w:tcW w:w="3096" w:type="dxa"/>
            <w:tcBorders>
              <w:top w:val="single" w:sz="5" w:space="0" w:color="000000"/>
              <w:left w:val="single" w:sz="5" w:space="0" w:color="000000"/>
              <w:bottom w:val="single" w:sz="5" w:space="0" w:color="000000"/>
              <w:right w:val="single" w:sz="5" w:space="0" w:color="000000"/>
            </w:tcBorders>
          </w:tcPr>
          <w:p w14:paraId="72B46AB0"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096" w:type="dxa"/>
            <w:tcBorders>
              <w:top w:val="single" w:sz="5" w:space="0" w:color="000000"/>
              <w:left w:val="single" w:sz="5" w:space="0" w:color="000000"/>
              <w:bottom w:val="single" w:sz="5" w:space="0" w:color="000000"/>
              <w:right w:val="single" w:sz="5" w:space="0" w:color="000000"/>
            </w:tcBorders>
          </w:tcPr>
          <w:p w14:paraId="0E6DDD59"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27D1591B" w14:textId="77777777" w:rsidR="00E04C8A" w:rsidRDefault="008E1817">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096" w:type="dxa"/>
            <w:tcBorders>
              <w:top w:val="single" w:sz="5" w:space="0" w:color="000000"/>
              <w:left w:val="single" w:sz="5" w:space="0" w:color="000000"/>
              <w:bottom w:val="single" w:sz="5" w:space="0" w:color="000000"/>
              <w:right w:val="single" w:sz="5" w:space="0" w:color="000000"/>
            </w:tcBorders>
          </w:tcPr>
          <w:p w14:paraId="25541602"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E04C8A" w:rsidRPr="00652F18" w14:paraId="6DC2C3AF" w14:textId="77777777" w:rsidTr="00337BB0">
        <w:trPr>
          <w:trHeight w:val="20"/>
        </w:trPr>
        <w:tc>
          <w:tcPr>
            <w:tcW w:w="3096" w:type="dxa"/>
            <w:tcBorders>
              <w:top w:val="single" w:sz="5" w:space="0" w:color="000000"/>
              <w:left w:val="single" w:sz="5" w:space="0" w:color="000000"/>
              <w:bottom w:val="single" w:sz="5" w:space="0" w:color="000000"/>
              <w:right w:val="single" w:sz="5" w:space="0" w:color="000000"/>
            </w:tcBorders>
          </w:tcPr>
          <w:p w14:paraId="2F9CE2AD"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Odrasli</w:t>
            </w:r>
          </w:p>
        </w:tc>
        <w:tc>
          <w:tcPr>
            <w:tcW w:w="3096" w:type="dxa"/>
            <w:tcBorders>
              <w:top w:val="single" w:sz="5" w:space="0" w:color="000000"/>
              <w:left w:val="single" w:sz="5" w:space="0" w:color="000000"/>
              <w:bottom w:val="single" w:sz="5" w:space="0" w:color="000000"/>
              <w:right w:val="single" w:sz="5" w:space="0" w:color="000000"/>
            </w:tcBorders>
          </w:tcPr>
          <w:p w14:paraId="0C3596C9" w14:textId="27604B6E" w:rsidR="00E04C8A" w:rsidRDefault="008E1817" w:rsidP="001452D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Prvi 160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odmerek (štiri 40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w:t>
            </w:r>
            <w:r w:rsidR="00472D63">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injekcije v enem dnevu ali dve 40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injekciji na dan v dveh zaporednih dneh), čemur sledi 80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(dve 40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injekciji v enem dnevu) dva tedna kasneje.</w:t>
            </w:r>
          </w:p>
          <w:p w14:paraId="7EE65B6E" w14:textId="77777777" w:rsidR="00E04C8A" w:rsidRDefault="00E04C8A">
            <w:pPr>
              <w:pStyle w:val="TableParagraph"/>
              <w:spacing w:before="17" w:line="240" w:lineRule="exact"/>
              <w:rPr>
                <w:sz w:val="24"/>
                <w:szCs w:val="24"/>
                <w:lang w:val="sl-SI"/>
              </w:rPr>
            </w:pPr>
          </w:p>
          <w:p w14:paraId="664E96ED" w14:textId="343A83A4" w:rsidR="00E04C8A" w:rsidRDefault="001D5155">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Nato </w:t>
            </w:r>
            <w:r w:rsidR="008E1817">
              <w:rPr>
                <w:rFonts w:ascii="Times New Roman" w:eastAsia="Times New Roman" w:hAnsi="Times New Roman" w:cs="Times New Roman"/>
                <w:spacing w:val="-1"/>
                <w:lang w:val="sl-SI"/>
              </w:rPr>
              <w:t>je običajni odmerek 40 mg vsak drugi teden.</w:t>
            </w:r>
          </w:p>
        </w:tc>
        <w:tc>
          <w:tcPr>
            <w:tcW w:w="3096" w:type="dxa"/>
            <w:tcBorders>
              <w:top w:val="single" w:sz="5" w:space="0" w:color="000000"/>
              <w:left w:val="single" w:sz="5" w:space="0" w:color="000000"/>
              <w:bottom w:val="single" w:sz="5" w:space="0" w:color="000000"/>
              <w:right w:val="single" w:sz="5" w:space="0" w:color="000000"/>
            </w:tcBorders>
          </w:tcPr>
          <w:p w14:paraId="7000E79F"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Zdravnik vam poveča odmerek na 40 mg vsak teden ali 80 mg vsak drugi teden.</w:t>
            </w:r>
          </w:p>
        </w:tc>
      </w:tr>
      <w:tr w:rsidR="009D62D5" w:rsidRPr="00652F18" w14:paraId="33B828ED" w14:textId="77777777" w:rsidTr="00337BB0">
        <w:trPr>
          <w:trHeight w:val="20"/>
        </w:trPr>
        <w:tc>
          <w:tcPr>
            <w:tcW w:w="3096" w:type="dxa"/>
            <w:tcBorders>
              <w:top w:val="single" w:sz="5" w:space="0" w:color="000000"/>
              <w:left w:val="single" w:sz="5" w:space="0" w:color="000000"/>
              <w:bottom w:val="single" w:sz="5" w:space="0" w:color="000000"/>
              <w:right w:val="single" w:sz="5" w:space="0" w:color="000000"/>
            </w:tcBorders>
          </w:tcPr>
          <w:p w14:paraId="7590DF40" w14:textId="23BC64A3" w:rsidR="009D62D5" w:rsidRPr="009D62D5" w:rsidRDefault="009D62D5" w:rsidP="009D62D5">
            <w:pPr>
              <w:pStyle w:val="TableParagraph"/>
              <w:spacing w:line="246" w:lineRule="exact"/>
              <w:ind w:left="102" w:right="57"/>
              <w:rPr>
                <w:rFonts w:ascii="Times New Roman" w:eastAsia="Times New Roman" w:hAnsi="Times New Roman" w:cs="Times New Roman"/>
                <w:spacing w:val="-1"/>
                <w:lang w:val="sl-SI"/>
              </w:rPr>
            </w:pPr>
            <w:r w:rsidRPr="009D62D5">
              <w:rPr>
                <w:rFonts w:ascii="Times New Roman" w:hAnsi="Times New Roman" w:cs="Times New Roman"/>
                <w:lang w:val="sl-SI"/>
              </w:rPr>
              <w:t>Otroci in mladostniki, starejši od 6 leta starosti, ki tehtajo manj kot 40 kg</w:t>
            </w:r>
          </w:p>
        </w:tc>
        <w:tc>
          <w:tcPr>
            <w:tcW w:w="3096" w:type="dxa"/>
            <w:tcBorders>
              <w:top w:val="single" w:sz="5" w:space="0" w:color="000000"/>
              <w:left w:val="single" w:sz="5" w:space="0" w:color="000000"/>
              <w:bottom w:val="single" w:sz="5" w:space="0" w:color="000000"/>
              <w:right w:val="single" w:sz="5" w:space="0" w:color="000000"/>
            </w:tcBorders>
          </w:tcPr>
          <w:p w14:paraId="0D6D8B2C" w14:textId="77777777" w:rsidR="009D62D5" w:rsidRPr="009D62D5" w:rsidRDefault="009D62D5" w:rsidP="009D62D5">
            <w:pPr>
              <w:numPr>
                <w:ilvl w:val="12"/>
                <w:numId w:val="0"/>
              </w:numPr>
              <w:rPr>
                <w:rFonts w:ascii="Times New Roman" w:hAnsi="Times New Roman" w:cs="Times New Roman"/>
                <w:lang w:val="sl-SI"/>
              </w:rPr>
            </w:pPr>
            <w:r w:rsidRPr="009D62D5">
              <w:rPr>
                <w:rFonts w:ascii="Times New Roman" w:hAnsi="Times New Roman" w:cs="Times New Roman"/>
                <w:lang w:val="sl-SI"/>
              </w:rPr>
              <w:t>Prvi odmerek je 80 mg (dve 40 mg injekciji v enem dnevu), čemur sledi 40 mg (ena 40 mg injekcija) dva tedna pozneje.</w:t>
            </w:r>
          </w:p>
          <w:p w14:paraId="3E80D52D" w14:textId="77777777" w:rsidR="009D62D5" w:rsidRPr="009D62D5" w:rsidRDefault="009D62D5" w:rsidP="009D62D5">
            <w:pPr>
              <w:numPr>
                <w:ilvl w:val="12"/>
                <w:numId w:val="0"/>
              </w:numPr>
              <w:rPr>
                <w:rFonts w:ascii="Times New Roman" w:hAnsi="Times New Roman" w:cs="Times New Roman"/>
                <w:lang w:val="sl-SI"/>
              </w:rPr>
            </w:pPr>
          </w:p>
          <w:p w14:paraId="51D19163" w14:textId="43D90BC3" w:rsidR="009D62D5" w:rsidRPr="009D62D5" w:rsidRDefault="009D62D5" w:rsidP="004E161B">
            <w:pPr>
              <w:pStyle w:val="TableParagraph"/>
              <w:spacing w:line="246" w:lineRule="exact"/>
              <w:ind w:right="57"/>
              <w:rPr>
                <w:rFonts w:ascii="Times New Roman" w:eastAsia="Times New Roman" w:hAnsi="Times New Roman" w:cs="Times New Roman"/>
                <w:spacing w:val="-1"/>
                <w:lang w:val="sl-SI"/>
              </w:rPr>
            </w:pPr>
            <w:r w:rsidRPr="009D62D5">
              <w:rPr>
                <w:rFonts w:ascii="Times New Roman" w:hAnsi="Times New Roman" w:cs="Times New Roman"/>
                <w:lang w:val="sl-SI"/>
              </w:rPr>
              <w:t>Nato je običajni odmerek 40 mg vsak drugi teden.</w:t>
            </w:r>
          </w:p>
        </w:tc>
        <w:tc>
          <w:tcPr>
            <w:tcW w:w="3096" w:type="dxa"/>
            <w:tcBorders>
              <w:top w:val="single" w:sz="5" w:space="0" w:color="000000"/>
              <w:left w:val="single" w:sz="5" w:space="0" w:color="000000"/>
              <w:bottom w:val="single" w:sz="5" w:space="0" w:color="000000"/>
              <w:right w:val="single" w:sz="5" w:space="0" w:color="000000"/>
            </w:tcBorders>
          </w:tcPr>
          <w:p w14:paraId="6FC3559C" w14:textId="487243E7" w:rsidR="009D62D5" w:rsidRPr="009D62D5" w:rsidRDefault="009D62D5" w:rsidP="009D62D5">
            <w:pPr>
              <w:pStyle w:val="TableParagraph"/>
              <w:spacing w:line="246" w:lineRule="exact"/>
              <w:ind w:left="102" w:right="57"/>
              <w:rPr>
                <w:rFonts w:ascii="Times New Roman" w:eastAsia="Times New Roman" w:hAnsi="Times New Roman" w:cs="Times New Roman"/>
                <w:spacing w:val="-1"/>
                <w:lang w:val="sl-SI"/>
              </w:rPr>
            </w:pPr>
            <w:r w:rsidRPr="009D62D5">
              <w:rPr>
                <w:rFonts w:ascii="Times New Roman" w:hAnsi="Times New Roman" w:cs="Times New Roman"/>
                <w:lang w:val="sl-SI"/>
              </w:rPr>
              <w:t xml:space="preserve">Tudi po dopolnjenem 18. letu starosti še naprej jemljite zdravilo </w:t>
            </w:r>
            <w:r w:rsidR="009812C7">
              <w:rPr>
                <w:rFonts w:ascii="Times New Roman" w:hAnsi="Times New Roman" w:cs="Times New Roman"/>
                <w:lang w:val="sl-SI"/>
              </w:rPr>
              <w:t>Yuflyma</w:t>
            </w:r>
            <w:r w:rsidRPr="009D62D5">
              <w:rPr>
                <w:rFonts w:ascii="Times New Roman" w:hAnsi="Times New Roman" w:cs="Times New Roman"/>
                <w:lang w:val="sl-SI"/>
              </w:rPr>
              <w:t xml:space="preserve"> v svojem običajnem odmerku.</w:t>
            </w:r>
          </w:p>
        </w:tc>
      </w:tr>
      <w:tr w:rsidR="009D62D5" w:rsidRPr="00652F18" w14:paraId="0393DBA4" w14:textId="77777777" w:rsidTr="00337BB0">
        <w:trPr>
          <w:trHeight w:val="20"/>
        </w:trPr>
        <w:tc>
          <w:tcPr>
            <w:tcW w:w="3096" w:type="dxa"/>
            <w:tcBorders>
              <w:top w:val="single" w:sz="5" w:space="0" w:color="000000"/>
              <w:left w:val="single" w:sz="5" w:space="0" w:color="000000"/>
              <w:bottom w:val="single" w:sz="5" w:space="0" w:color="000000"/>
              <w:right w:val="single" w:sz="5" w:space="0" w:color="000000"/>
            </w:tcBorders>
          </w:tcPr>
          <w:p w14:paraId="576D2A65" w14:textId="6BC02CE6" w:rsidR="009D62D5" w:rsidRPr="009D62D5" w:rsidRDefault="009D62D5" w:rsidP="009D62D5">
            <w:pPr>
              <w:pStyle w:val="TableParagraph"/>
              <w:spacing w:line="246" w:lineRule="exact"/>
              <w:ind w:left="102" w:right="57"/>
              <w:rPr>
                <w:rFonts w:ascii="Times New Roman" w:eastAsia="Times New Roman" w:hAnsi="Times New Roman" w:cs="Times New Roman"/>
                <w:spacing w:val="-1"/>
                <w:lang w:val="sl-SI"/>
              </w:rPr>
            </w:pPr>
            <w:r w:rsidRPr="009D62D5">
              <w:rPr>
                <w:rFonts w:ascii="Times New Roman" w:hAnsi="Times New Roman" w:cs="Times New Roman"/>
                <w:lang w:val="sl-SI"/>
              </w:rPr>
              <w:t>Otroci in mladostniki, starejši od 6 letod 6 leta starosti, ki tehtajo 40 kg ali več</w:t>
            </w:r>
          </w:p>
        </w:tc>
        <w:tc>
          <w:tcPr>
            <w:tcW w:w="3096" w:type="dxa"/>
            <w:tcBorders>
              <w:top w:val="single" w:sz="5" w:space="0" w:color="000000"/>
              <w:left w:val="single" w:sz="5" w:space="0" w:color="000000"/>
              <w:bottom w:val="single" w:sz="5" w:space="0" w:color="000000"/>
              <w:right w:val="single" w:sz="5" w:space="0" w:color="000000"/>
            </w:tcBorders>
          </w:tcPr>
          <w:p w14:paraId="468760E0" w14:textId="77777777" w:rsidR="009D62D5" w:rsidRPr="009D62D5" w:rsidRDefault="009D62D5" w:rsidP="009D62D5">
            <w:pPr>
              <w:numPr>
                <w:ilvl w:val="12"/>
                <w:numId w:val="0"/>
              </w:numPr>
              <w:rPr>
                <w:rFonts w:ascii="Times New Roman" w:hAnsi="Times New Roman" w:cs="Times New Roman"/>
                <w:lang w:val="sl-SI"/>
              </w:rPr>
            </w:pPr>
            <w:r w:rsidRPr="009D62D5">
              <w:rPr>
                <w:rFonts w:ascii="Times New Roman" w:hAnsi="Times New Roman" w:cs="Times New Roman"/>
                <w:lang w:val="sl-SI"/>
              </w:rPr>
              <w:t>Prvi odmerek je 160 mg (štiri 40 mg injekcije v enem dnevu ali dve 40 mg injekciji na dan dva zaporedna dneva), čemur sledi 80 mg (dve 40 mg injekciji v enem dnevu) dva tedna pozneje.</w:t>
            </w:r>
          </w:p>
          <w:p w14:paraId="529C4BD0" w14:textId="77777777" w:rsidR="009D62D5" w:rsidRPr="009D62D5" w:rsidRDefault="009D62D5" w:rsidP="009D62D5">
            <w:pPr>
              <w:numPr>
                <w:ilvl w:val="12"/>
                <w:numId w:val="0"/>
              </w:numPr>
              <w:rPr>
                <w:rFonts w:ascii="Times New Roman" w:hAnsi="Times New Roman" w:cs="Times New Roman"/>
                <w:lang w:val="sl-SI"/>
              </w:rPr>
            </w:pPr>
          </w:p>
          <w:p w14:paraId="12003910" w14:textId="78A501DE" w:rsidR="009D62D5" w:rsidRPr="009D62D5" w:rsidRDefault="009D62D5" w:rsidP="009D62D5">
            <w:pPr>
              <w:pStyle w:val="TableParagraph"/>
              <w:spacing w:line="246" w:lineRule="exact"/>
              <w:ind w:right="57"/>
              <w:rPr>
                <w:rFonts w:ascii="Times New Roman" w:eastAsia="Times New Roman" w:hAnsi="Times New Roman" w:cs="Times New Roman"/>
                <w:spacing w:val="-1"/>
                <w:lang w:val="sl-SI"/>
              </w:rPr>
            </w:pPr>
            <w:r w:rsidRPr="009D62D5">
              <w:rPr>
                <w:rFonts w:ascii="Times New Roman" w:hAnsi="Times New Roman" w:cs="Times New Roman"/>
                <w:lang w:val="sl-SI"/>
              </w:rPr>
              <w:t>Nato je običajni odmerek 80 mg vsak drugi teden.</w:t>
            </w:r>
          </w:p>
        </w:tc>
        <w:tc>
          <w:tcPr>
            <w:tcW w:w="3096" w:type="dxa"/>
            <w:tcBorders>
              <w:top w:val="single" w:sz="5" w:space="0" w:color="000000"/>
              <w:left w:val="single" w:sz="5" w:space="0" w:color="000000"/>
              <w:bottom w:val="single" w:sz="5" w:space="0" w:color="000000"/>
              <w:right w:val="single" w:sz="5" w:space="0" w:color="000000"/>
            </w:tcBorders>
          </w:tcPr>
          <w:p w14:paraId="2D99E285" w14:textId="3F3A516D" w:rsidR="009D62D5" w:rsidRPr="009D62D5" w:rsidRDefault="009D62D5" w:rsidP="009D62D5">
            <w:pPr>
              <w:pStyle w:val="TableParagraph"/>
              <w:spacing w:line="246" w:lineRule="exact"/>
              <w:ind w:left="102" w:right="57"/>
              <w:rPr>
                <w:rFonts w:ascii="Times New Roman" w:eastAsia="Times New Roman" w:hAnsi="Times New Roman" w:cs="Times New Roman"/>
                <w:spacing w:val="-1"/>
                <w:lang w:val="sl-SI"/>
              </w:rPr>
            </w:pPr>
            <w:r w:rsidRPr="009D62D5">
              <w:rPr>
                <w:rFonts w:ascii="Times New Roman" w:hAnsi="Times New Roman" w:cs="Times New Roman"/>
                <w:lang w:val="sl-SI"/>
              </w:rPr>
              <w:t xml:space="preserve">Tudi po dopolnjenem 18. letu starosti še naprej jemljite zdravilo </w:t>
            </w:r>
            <w:r w:rsidR="009812C7">
              <w:rPr>
                <w:rFonts w:ascii="Times New Roman" w:hAnsi="Times New Roman" w:cs="Times New Roman"/>
                <w:lang w:val="sl-SI"/>
              </w:rPr>
              <w:t>Yuflyma</w:t>
            </w:r>
            <w:r w:rsidRPr="009D62D5">
              <w:rPr>
                <w:rFonts w:ascii="Times New Roman" w:hAnsi="Times New Roman" w:cs="Times New Roman"/>
                <w:lang w:val="sl-SI"/>
              </w:rPr>
              <w:t xml:space="preserve"> v svojem običajnem odmerku.</w:t>
            </w:r>
          </w:p>
        </w:tc>
      </w:tr>
    </w:tbl>
    <w:p w14:paraId="63D9F367" w14:textId="77777777" w:rsidR="00E04C8A" w:rsidRDefault="00E04C8A">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04C8A" w14:paraId="46185EDA" w14:textId="77777777" w:rsidTr="00337BB0">
        <w:trPr>
          <w:trHeight w:val="20"/>
        </w:trPr>
        <w:tc>
          <w:tcPr>
            <w:tcW w:w="9288" w:type="dxa"/>
            <w:gridSpan w:val="3"/>
            <w:tcBorders>
              <w:top w:val="single" w:sz="5" w:space="0" w:color="000000"/>
              <w:left w:val="single" w:sz="5" w:space="0" w:color="000000"/>
              <w:bottom w:val="single" w:sz="5" w:space="0" w:color="000000"/>
              <w:right w:val="single" w:sz="5" w:space="0" w:color="000000"/>
            </w:tcBorders>
          </w:tcPr>
          <w:p w14:paraId="3B5BA6BC" w14:textId="77777777" w:rsidR="00E04C8A" w:rsidRDefault="008E1817">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Neinfekcijski uveitis</w:t>
            </w:r>
          </w:p>
        </w:tc>
      </w:tr>
      <w:tr w:rsidR="00E04C8A" w14:paraId="2394ED08" w14:textId="77777777" w:rsidTr="00337BB0">
        <w:trPr>
          <w:trHeight w:val="20"/>
        </w:trPr>
        <w:tc>
          <w:tcPr>
            <w:tcW w:w="3096" w:type="dxa"/>
            <w:tcBorders>
              <w:top w:val="single" w:sz="5" w:space="0" w:color="000000"/>
              <w:left w:val="single" w:sz="5" w:space="0" w:color="000000"/>
              <w:bottom w:val="single" w:sz="5" w:space="0" w:color="000000"/>
              <w:right w:val="single" w:sz="5" w:space="0" w:color="000000"/>
            </w:tcBorders>
          </w:tcPr>
          <w:p w14:paraId="2FFBA1E5"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096" w:type="dxa"/>
            <w:tcBorders>
              <w:top w:val="single" w:sz="5" w:space="0" w:color="000000"/>
              <w:left w:val="single" w:sz="5" w:space="0" w:color="000000"/>
              <w:bottom w:val="single" w:sz="5" w:space="0" w:color="000000"/>
              <w:right w:val="single" w:sz="5" w:space="0" w:color="000000"/>
            </w:tcBorders>
          </w:tcPr>
          <w:p w14:paraId="637E99B8"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0ADC0548" w14:textId="77777777" w:rsidR="00E04C8A" w:rsidRDefault="008E1817">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096" w:type="dxa"/>
            <w:tcBorders>
              <w:top w:val="single" w:sz="5" w:space="0" w:color="000000"/>
              <w:left w:val="single" w:sz="5" w:space="0" w:color="000000"/>
              <w:bottom w:val="single" w:sz="5" w:space="0" w:color="000000"/>
              <w:right w:val="single" w:sz="5" w:space="0" w:color="000000"/>
            </w:tcBorders>
          </w:tcPr>
          <w:p w14:paraId="35C3620A"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E04C8A" w:rsidRPr="00652F18" w14:paraId="1901C8E9" w14:textId="77777777" w:rsidTr="00337BB0">
        <w:trPr>
          <w:trHeight w:val="20"/>
        </w:trPr>
        <w:tc>
          <w:tcPr>
            <w:tcW w:w="3096" w:type="dxa"/>
            <w:tcBorders>
              <w:top w:val="single" w:sz="5" w:space="0" w:color="000000"/>
              <w:left w:val="single" w:sz="5" w:space="0" w:color="000000"/>
              <w:bottom w:val="single" w:sz="5" w:space="0" w:color="000000"/>
              <w:right w:val="single" w:sz="5" w:space="0" w:color="000000"/>
            </w:tcBorders>
          </w:tcPr>
          <w:p w14:paraId="235605C1"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Odrasli</w:t>
            </w:r>
          </w:p>
        </w:tc>
        <w:tc>
          <w:tcPr>
            <w:tcW w:w="3096" w:type="dxa"/>
            <w:tcBorders>
              <w:top w:val="single" w:sz="5" w:space="0" w:color="000000"/>
              <w:left w:val="single" w:sz="5" w:space="0" w:color="000000"/>
              <w:bottom w:val="single" w:sz="5" w:space="0" w:color="000000"/>
              <w:right w:val="single" w:sz="5" w:space="0" w:color="000000"/>
            </w:tcBorders>
          </w:tcPr>
          <w:p w14:paraId="36277948" w14:textId="6D458D2B"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Prvi odmerek 80 mg (dve 40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w:t>
            </w:r>
          </w:p>
          <w:p w14:paraId="647C69BF" w14:textId="63810794" w:rsidR="00E04C8A" w:rsidRDefault="008E1817" w:rsidP="001452D7">
            <w:pPr>
              <w:pStyle w:val="TableParagraph"/>
              <w:spacing w:before="1" w:line="254" w:lineRule="exact"/>
              <w:ind w:left="102" w:right="51"/>
              <w:rPr>
                <w:rFonts w:ascii="Times New Roman" w:eastAsia="Times New Roman" w:hAnsi="Times New Roman" w:cs="Times New Roman"/>
                <w:lang w:val="sl-SI"/>
              </w:rPr>
            </w:pPr>
            <w:r>
              <w:rPr>
                <w:rFonts w:ascii="Times New Roman" w:eastAsia="Times New Roman" w:hAnsi="Times New Roman" w:cs="Times New Roman"/>
                <w:spacing w:val="-1"/>
                <w:lang w:val="sl-SI"/>
              </w:rPr>
              <w:t>injekciji v enem dnevu), ki mu sledi 40 mg vsak drugi teden,</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z začetkom en teden po začetnem</w:t>
            </w:r>
          </w:p>
          <w:p w14:paraId="13F1BE13" w14:textId="77777777" w:rsidR="00E04C8A" w:rsidRDefault="008E1817">
            <w:pPr>
              <w:pStyle w:val="TableParagraph"/>
              <w:spacing w:before="1"/>
              <w:ind w:left="102" w:right="57"/>
              <w:rPr>
                <w:rFonts w:ascii="Times New Roman" w:eastAsia="Times New Roman" w:hAnsi="Times New Roman" w:cs="Times New Roman"/>
                <w:lang w:val="sl-SI"/>
              </w:rPr>
            </w:pPr>
            <w:r>
              <w:rPr>
                <w:rFonts w:ascii="Times New Roman" w:eastAsia="Times New Roman" w:hAnsi="Times New Roman" w:cs="Times New Roman"/>
                <w:lang w:val="sl-SI"/>
              </w:rPr>
              <w:t>odmerku.</w:t>
            </w:r>
          </w:p>
        </w:tc>
        <w:tc>
          <w:tcPr>
            <w:tcW w:w="3096" w:type="dxa"/>
            <w:tcBorders>
              <w:top w:val="single" w:sz="5" w:space="0" w:color="000000"/>
              <w:left w:val="single" w:sz="5" w:space="0" w:color="000000"/>
              <w:bottom w:val="single" w:sz="5" w:space="0" w:color="000000"/>
              <w:right w:val="single" w:sz="5" w:space="0" w:color="000000"/>
            </w:tcBorders>
          </w:tcPr>
          <w:p w14:paraId="3C1591C7"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Kortikosteroidi ali druga zdravila, ki vplivajo na imunski sistem, se lahko še nadalje uporabljajo ob uporabi zdravila Yuflyma.</w:t>
            </w:r>
          </w:p>
          <w:p w14:paraId="228665F2" w14:textId="77777777" w:rsidR="00E04C8A" w:rsidRDefault="008E1817">
            <w:pPr>
              <w:pStyle w:val="TableParagraph"/>
              <w:spacing w:before="1"/>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Zdravilo Yuflyma se lahko daje tudi samostojno.</w:t>
            </w:r>
          </w:p>
        </w:tc>
      </w:tr>
      <w:tr w:rsidR="00C85A7C" w:rsidRPr="00652F18" w14:paraId="6E3E4D65" w14:textId="77777777" w:rsidTr="00337BB0">
        <w:trPr>
          <w:trHeight w:val="20"/>
        </w:trPr>
        <w:tc>
          <w:tcPr>
            <w:tcW w:w="3096" w:type="dxa"/>
            <w:tcBorders>
              <w:top w:val="single" w:sz="5" w:space="0" w:color="000000"/>
              <w:left w:val="single" w:sz="5" w:space="0" w:color="000000"/>
              <w:bottom w:val="single" w:sz="5" w:space="0" w:color="000000"/>
              <w:right w:val="single" w:sz="5" w:space="0" w:color="000000"/>
            </w:tcBorders>
          </w:tcPr>
          <w:p w14:paraId="19CAA17D" w14:textId="30B54F4F" w:rsidR="00C85A7C" w:rsidRDefault="0029364E" w:rsidP="0029364E">
            <w:pPr>
              <w:pStyle w:val="TableParagraph"/>
              <w:spacing w:line="246" w:lineRule="exact"/>
              <w:ind w:left="102" w:right="57"/>
              <w:rPr>
                <w:rFonts w:ascii="Times New Roman" w:eastAsia="Times New Roman" w:hAnsi="Times New Roman" w:cs="Times New Roman"/>
                <w:spacing w:val="-1"/>
                <w:lang w:val="sl-SI"/>
              </w:rPr>
            </w:pPr>
            <w:r w:rsidRPr="0029364E">
              <w:rPr>
                <w:rFonts w:ascii="Times New Roman" w:eastAsia="Times New Roman" w:hAnsi="Times New Roman" w:cs="Times New Roman"/>
                <w:spacing w:val="-1"/>
                <w:lang w:val="sl-SI"/>
              </w:rPr>
              <w:t>Otroci in mladostniki, starejši</w:t>
            </w:r>
            <w:r>
              <w:rPr>
                <w:rFonts w:ascii="Times New Roman" w:eastAsia="Times New Roman" w:hAnsi="Times New Roman" w:cs="Times New Roman"/>
                <w:spacing w:val="-1"/>
                <w:lang w:val="sl-SI"/>
              </w:rPr>
              <w:t xml:space="preserve"> </w:t>
            </w:r>
            <w:r w:rsidRPr="0029364E">
              <w:rPr>
                <w:rFonts w:ascii="Times New Roman" w:eastAsia="Times New Roman" w:hAnsi="Times New Roman" w:cs="Times New Roman"/>
                <w:spacing w:val="-1"/>
                <w:lang w:val="sl-SI"/>
              </w:rPr>
              <w:t>od 2 let, ki tehtajo manj kot</w:t>
            </w:r>
            <w:r>
              <w:rPr>
                <w:rFonts w:ascii="Times New Roman" w:eastAsia="Times New Roman" w:hAnsi="Times New Roman" w:cs="Times New Roman"/>
                <w:spacing w:val="-1"/>
                <w:lang w:val="sl-SI"/>
              </w:rPr>
              <w:t xml:space="preserve"> </w:t>
            </w:r>
            <w:r w:rsidRPr="0029364E">
              <w:rPr>
                <w:rFonts w:ascii="Times New Roman" w:eastAsia="Times New Roman" w:hAnsi="Times New Roman" w:cs="Times New Roman"/>
                <w:spacing w:val="-1"/>
                <w:lang w:val="sl-SI"/>
              </w:rPr>
              <w:t>30 kg</w:t>
            </w:r>
          </w:p>
        </w:tc>
        <w:tc>
          <w:tcPr>
            <w:tcW w:w="3096" w:type="dxa"/>
            <w:tcBorders>
              <w:top w:val="single" w:sz="5" w:space="0" w:color="000000"/>
              <w:left w:val="single" w:sz="5" w:space="0" w:color="000000"/>
              <w:bottom w:val="single" w:sz="5" w:space="0" w:color="000000"/>
              <w:right w:val="single" w:sz="5" w:space="0" w:color="000000"/>
            </w:tcBorders>
          </w:tcPr>
          <w:p w14:paraId="0DA2019E" w14:textId="20E4A182" w:rsidR="00C85A7C" w:rsidRDefault="0029364E" w:rsidP="00C85A7C">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lang w:val="sl-SI"/>
              </w:rPr>
              <w:t>2</w:t>
            </w:r>
            <w:r w:rsidR="00C85A7C">
              <w:rPr>
                <w:rFonts w:ascii="Times New Roman" w:eastAsia="Times New Roman" w:hAnsi="Times New Roman" w:cs="Times New Roman"/>
                <w:lang w:val="sl-SI"/>
              </w:rPr>
              <w:t>0 mg vsak drugi teden</w:t>
            </w:r>
          </w:p>
        </w:tc>
        <w:tc>
          <w:tcPr>
            <w:tcW w:w="3096" w:type="dxa"/>
            <w:tcBorders>
              <w:top w:val="single" w:sz="5" w:space="0" w:color="000000"/>
              <w:left w:val="single" w:sz="5" w:space="0" w:color="000000"/>
              <w:bottom w:val="single" w:sz="5" w:space="0" w:color="000000"/>
              <w:right w:val="single" w:sz="5" w:space="0" w:color="000000"/>
            </w:tcBorders>
          </w:tcPr>
          <w:p w14:paraId="1B24CFA2" w14:textId="704EAB56" w:rsidR="00C85A7C" w:rsidRDefault="00C85A7C" w:rsidP="00C85A7C">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Zdravnik lahko predpiše začetni odmerek </w:t>
            </w:r>
            <w:r w:rsidR="0029364E">
              <w:rPr>
                <w:rFonts w:ascii="Times New Roman" w:eastAsia="Times New Roman" w:hAnsi="Times New Roman" w:cs="Times New Roman"/>
                <w:spacing w:val="-1"/>
                <w:lang w:val="sl-SI"/>
              </w:rPr>
              <w:t>4</w:t>
            </w:r>
            <w:r>
              <w:rPr>
                <w:rFonts w:ascii="Times New Roman" w:eastAsia="Times New Roman" w:hAnsi="Times New Roman" w:cs="Times New Roman"/>
                <w:spacing w:val="-1"/>
                <w:lang w:val="sl-SI"/>
              </w:rPr>
              <w:t xml:space="preserve">0 mg, ki se ga lahko uporabi en teden pred začetkom zdravljenja z običajnim odmerkom </w:t>
            </w:r>
            <w:r w:rsidR="0029364E">
              <w:rPr>
                <w:rFonts w:ascii="Times New Roman" w:eastAsia="Times New Roman" w:hAnsi="Times New Roman" w:cs="Times New Roman"/>
                <w:lang w:val="sl-SI"/>
              </w:rPr>
              <w:t>2</w:t>
            </w:r>
            <w:r>
              <w:rPr>
                <w:rFonts w:ascii="Times New Roman" w:eastAsia="Times New Roman" w:hAnsi="Times New Roman" w:cs="Times New Roman"/>
                <w:lang w:val="sl-SI"/>
              </w:rPr>
              <w:t>0 mg vsak drugi teden</w:t>
            </w:r>
            <w:r w:rsidR="00966ABA">
              <w:rPr>
                <w:rFonts w:ascii="Times New Roman" w:eastAsia="Times New Roman" w:hAnsi="Times New Roman" w:cs="Times New Roman"/>
                <w:lang w:val="sl-SI"/>
              </w:rPr>
              <w:t>.</w:t>
            </w:r>
            <w:r>
              <w:rPr>
                <w:rFonts w:ascii="Times New Roman" w:eastAsia="Times New Roman" w:hAnsi="Times New Roman" w:cs="Times New Roman"/>
                <w:lang w:val="sl-SI"/>
              </w:rPr>
              <w:t xml:space="preserve"> Zdravilo Yuflyma se priporoča za uporabo v kombinaciji z metotreksatom.</w:t>
            </w:r>
          </w:p>
        </w:tc>
      </w:tr>
      <w:tr w:rsidR="00E04C8A" w:rsidRPr="00652F18" w14:paraId="4AD1E27B" w14:textId="77777777" w:rsidTr="00337BB0">
        <w:trPr>
          <w:trHeight w:val="20"/>
        </w:trPr>
        <w:tc>
          <w:tcPr>
            <w:tcW w:w="3096" w:type="dxa"/>
            <w:tcBorders>
              <w:top w:val="single" w:sz="5" w:space="0" w:color="000000"/>
              <w:left w:val="single" w:sz="5" w:space="0" w:color="000000"/>
              <w:bottom w:val="single" w:sz="5" w:space="0" w:color="000000"/>
              <w:right w:val="single" w:sz="5" w:space="0" w:color="000000"/>
            </w:tcBorders>
          </w:tcPr>
          <w:p w14:paraId="74855DDF"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Otroci in mladostniki, starejši od</w:t>
            </w:r>
          </w:p>
          <w:p w14:paraId="3B6F1BF0" w14:textId="77777777" w:rsidR="00E04C8A" w:rsidRDefault="008E1817">
            <w:pPr>
              <w:pStyle w:val="TableParagraph"/>
              <w:spacing w:before="1" w:line="254" w:lineRule="exact"/>
              <w:ind w:left="102" w:right="168"/>
              <w:rPr>
                <w:rFonts w:ascii="Times New Roman" w:eastAsia="Times New Roman" w:hAnsi="Times New Roman" w:cs="Times New Roman"/>
                <w:lang w:val="sl-SI"/>
              </w:rPr>
            </w:pPr>
            <w:r>
              <w:rPr>
                <w:rFonts w:ascii="Times New Roman" w:eastAsia="Times New Roman" w:hAnsi="Times New Roman" w:cs="Times New Roman"/>
                <w:lang w:val="sl-SI"/>
              </w:rPr>
              <w:lastRenderedPageBreak/>
              <w:t>2 let, s telesno maso vsaj 30 kg</w:t>
            </w:r>
          </w:p>
        </w:tc>
        <w:tc>
          <w:tcPr>
            <w:tcW w:w="3096" w:type="dxa"/>
            <w:tcBorders>
              <w:top w:val="single" w:sz="5" w:space="0" w:color="000000"/>
              <w:left w:val="single" w:sz="5" w:space="0" w:color="000000"/>
              <w:bottom w:val="single" w:sz="5" w:space="0" w:color="000000"/>
              <w:right w:val="single" w:sz="5" w:space="0" w:color="000000"/>
            </w:tcBorders>
          </w:tcPr>
          <w:p w14:paraId="308F9DA1"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lang w:val="sl-SI"/>
              </w:rPr>
              <w:lastRenderedPageBreak/>
              <w:t>40 mg vsak drugi teden</w:t>
            </w:r>
          </w:p>
        </w:tc>
        <w:tc>
          <w:tcPr>
            <w:tcW w:w="3096" w:type="dxa"/>
            <w:tcBorders>
              <w:top w:val="single" w:sz="5" w:space="0" w:color="000000"/>
              <w:left w:val="single" w:sz="5" w:space="0" w:color="000000"/>
              <w:bottom w:val="single" w:sz="5" w:space="0" w:color="000000"/>
              <w:right w:val="single" w:sz="5" w:space="0" w:color="000000"/>
            </w:tcBorders>
          </w:tcPr>
          <w:p w14:paraId="673DD99A" w14:textId="0B03E581" w:rsidR="00E04C8A" w:rsidRDefault="008E1817" w:rsidP="001452D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Zdravnik lahko predpiše</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 xml:space="preserve">začetni </w:t>
            </w:r>
            <w:r>
              <w:rPr>
                <w:rFonts w:ascii="Times New Roman" w:eastAsia="Times New Roman" w:hAnsi="Times New Roman" w:cs="Times New Roman"/>
                <w:spacing w:val="-1"/>
                <w:lang w:val="sl-SI"/>
              </w:rPr>
              <w:lastRenderedPageBreak/>
              <w:t>odmerek 80 mg, ki se ga lahko uporabi en teden pred</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začetkom zdravljenja z običajnim odmerkom</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lang w:val="sl-SI"/>
              </w:rPr>
              <w:t>40 mg vsak drugi teden Zdravilo Yuflyma se priporoča za uporabo v kombinaciji z metotreksatom.</w:t>
            </w:r>
          </w:p>
        </w:tc>
      </w:tr>
    </w:tbl>
    <w:p w14:paraId="70EA53FC" w14:textId="77777777" w:rsidR="00E04C8A" w:rsidRDefault="00E04C8A">
      <w:pPr>
        <w:pStyle w:val="a3"/>
        <w:rPr>
          <w:lang w:val="sl-SI"/>
        </w:rPr>
      </w:pPr>
    </w:p>
    <w:p w14:paraId="68A4D970" w14:textId="77777777" w:rsidR="00E04C8A" w:rsidRDefault="008E1817">
      <w:pPr>
        <w:pStyle w:val="a3"/>
        <w:rPr>
          <w:b/>
          <w:lang w:val="sl-SI"/>
        </w:rPr>
      </w:pPr>
      <w:r>
        <w:rPr>
          <w:rFonts w:eastAsia="Times New Roman"/>
          <w:b/>
          <w:bCs/>
          <w:lang w:val="sl-SI"/>
        </w:rPr>
        <w:t>Postopek in pot uporabe zdravila</w:t>
      </w:r>
    </w:p>
    <w:p w14:paraId="1736974D" w14:textId="77777777" w:rsidR="00E04C8A" w:rsidRDefault="00E04C8A">
      <w:pPr>
        <w:spacing w:before="9" w:line="240" w:lineRule="exact"/>
        <w:rPr>
          <w:sz w:val="24"/>
          <w:szCs w:val="24"/>
          <w:lang w:val="sl-SI"/>
        </w:rPr>
      </w:pPr>
    </w:p>
    <w:p w14:paraId="245710E2" w14:textId="77777777" w:rsidR="00E04C8A" w:rsidRDefault="008E1817">
      <w:pPr>
        <w:pStyle w:val="a3"/>
        <w:rPr>
          <w:lang w:val="sl-SI"/>
        </w:rPr>
      </w:pPr>
      <w:r>
        <w:rPr>
          <w:rFonts w:eastAsia="Times New Roman"/>
          <w:lang w:val="sl-SI"/>
        </w:rPr>
        <w:t>Zdravilo Yuflyma se injicira pod kožo (s subkutano injekcijo).</w:t>
      </w:r>
    </w:p>
    <w:p w14:paraId="3B2F7283" w14:textId="77777777" w:rsidR="00E04C8A" w:rsidRDefault="00E04C8A">
      <w:pPr>
        <w:spacing w:before="18" w:line="240" w:lineRule="exact"/>
        <w:rPr>
          <w:sz w:val="24"/>
          <w:szCs w:val="24"/>
          <w:lang w:val="sl-SI"/>
        </w:rPr>
      </w:pPr>
    </w:p>
    <w:p w14:paraId="2648DF36" w14:textId="20459DA3" w:rsidR="00E04C8A" w:rsidRDefault="008E1817" w:rsidP="00BD2B8A">
      <w:pPr>
        <w:pStyle w:val="a3"/>
        <w:rPr>
          <w:b/>
          <w:lang w:val="sl-SI"/>
        </w:rPr>
      </w:pPr>
      <w:r>
        <w:rPr>
          <w:rFonts w:eastAsia="Times New Roman"/>
          <w:b/>
          <w:bCs/>
          <w:lang w:val="sl-SI"/>
        </w:rPr>
        <w:t>Podrobna navodila o tem injiciranju zdravila Yuflyma so navedena v poglavju 7 „</w:t>
      </w:r>
      <w:r w:rsidR="007F6B22" w:rsidRPr="00366D10">
        <w:rPr>
          <w:lang w:val="sl-SI"/>
        </w:rPr>
        <w:t xml:space="preserve"> </w:t>
      </w:r>
      <w:r w:rsidR="007F6B22" w:rsidRPr="007F6B22">
        <w:rPr>
          <w:rFonts w:eastAsia="Times New Roman"/>
          <w:b/>
          <w:bCs/>
          <w:lang w:val="sl-SI"/>
        </w:rPr>
        <w:t>Navodila za uporabo</w:t>
      </w:r>
      <w:r>
        <w:rPr>
          <w:rFonts w:eastAsia="Times New Roman"/>
          <w:b/>
          <w:bCs/>
          <w:lang w:val="sl-SI"/>
        </w:rPr>
        <w:t>“.</w:t>
      </w:r>
    </w:p>
    <w:p w14:paraId="54A7E95E" w14:textId="77777777" w:rsidR="00E04C8A" w:rsidRDefault="00E04C8A">
      <w:pPr>
        <w:pStyle w:val="a3"/>
        <w:rPr>
          <w:b/>
          <w:lang w:val="sl-SI"/>
        </w:rPr>
      </w:pPr>
    </w:p>
    <w:p w14:paraId="48B09151" w14:textId="77777777" w:rsidR="00E04C8A" w:rsidRDefault="008E1817">
      <w:pPr>
        <w:pStyle w:val="a3"/>
        <w:rPr>
          <w:b/>
          <w:lang w:val="sl-SI"/>
        </w:rPr>
      </w:pPr>
      <w:r>
        <w:rPr>
          <w:rFonts w:eastAsia="Times New Roman"/>
          <w:b/>
          <w:bCs/>
          <w:lang w:val="sl-SI"/>
        </w:rPr>
        <w:t>Če ste uporabili večji odmerek zdravila Yuflyma, kot bi smeli</w:t>
      </w:r>
    </w:p>
    <w:p w14:paraId="38C3A5EB" w14:textId="77777777" w:rsidR="00E04C8A" w:rsidRDefault="00E04C8A">
      <w:pPr>
        <w:pStyle w:val="a3"/>
        <w:rPr>
          <w:lang w:val="sl-SI"/>
        </w:rPr>
      </w:pPr>
    </w:p>
    <w:p w14:paraId="44C10BE0" w14:textId="77777777" w:rsidR="00E04C8A" w:rsidRDefault="008E1817">
      <w:pPr>
        <w:pStyle w:val="a3"/>
        <w:rPr>
          <w:lang w:val="sl-SI"/>
        </w:rPr>
      </w:pPr>
      <w:r>
        <w:rPr>
          <w:rFonts w:eastAsia="Times New Roman"/>
          <w:lang w:val="sl-SI"/>
        </w:rPr>
        <w:t>Če pomotoma injicirate zdravilo Yuflyma pogosteje, kot vam je naročil zdravnik ali farmacevt, se morate posvetovati z njim ali s farmacevtom in mu povedati, da ste uporabili večji odmerek. Vedno vzemite s seboj zunanjo ovojnino zdravila, tudi če je prazna.</w:t>
      </w:r>
    </w:p>
    <w:p w14:paraId="3CF1729B" w14:textId="77777777" w:rsidR="00E04C8A" w:rsidRDefault="00E04C8A">
      <w:pPr>
        <w:spacing w:before="18" w:line="240" w:lineRule="exact"/>
        <w:rPr>
          <w:b/>
          <w:sz w:val="24"/>
          <w:szCs w:val="24"/>
          <w:lang w:val="sl-SI"/>
        </w:rPr>
      </w:pPr>
    </w:p>
    <w:p w14:paraId="15C6832C" w14:textId="77777777" w:rsidR="00E04C8A" w:rsidRDefault="008E1817">
      <w:pPr>
        <w:pStyle w:val="a3"/>
        <w:rPr>
          <w:b/>
          <w:lang w:val="sl-SI"/>
        </w:rPr>
      </w:pPr>
      <w:r>
        <w:rPr>
          <w:rFonts w:eastAsia="Times New Roman"/>
          <w:b/>
          <w:bCs/>
          <w:lang w:val="sl-SI"/>
        </w:rPr>
        <w:t>Če ste pozabili uporabiti zdravilo Yuflyma</w:t>
      </w:r>
    </w:p>
    <w:p w14:paraId="7BA2E0CF" w14:textId="77777777" w:rsidR="00E04C8A" w:rsidRDefault="00E04C8A">
      <w:pPr>
        <w:spacing w:before="9" w:line="240" w:lineRule="exact"/>
        <w:rPr>
          <w:sz w:val="24"/>
          <w:szCs w:val="24"/>
          <w:lang w:val="sl-SI"/>
        </w:rPr>
      </w:pPr>
    </w:p>
    <w:p w14:paraId="32975D63" w14:textId="77777777" w:rsidR="00E04C8A" w:rsidRDefault="008E1817">
      <w:pPr>
        <w:pStyle w:val="a3"/>
        <w:rPr>
          <w:lang w:val="sl-SI"/>
        </w:rPr>
      </w:pPr>
      <w:r>
        <w:rPr>
          <w:rFonts w:eastAsia="Times New Roman"/>
          <w:lang w:val="sl-SI"/>
        </w:rPr>
        <w:t>Če si pozabite dati injekcijo, si morate naslednji odmerek zdravila Yuflyma injicirati, čim se spomnite. Nato uporabite naslednji odmerek, kot bi ga uporabili po prvotnem urniku injiciranja, če ne bi pozabili odmerka.</w:t>
      </w:r>
    </w:p>
    <w:p w14:paraId="73E65FED" w14:textId="77777777" w:rsidR="00E04C8A" w:rsidRDefault="00E04C8A">
      <w:pPr>
        <w:spacing w:before="18" w:line="240" w:lineRule="exact"/>
        <w:rPr>
          <w:sz w:val="24"/>
          <w:szCs w:val="24"/>
          <w:lang w:val="sl-SI"/>
        </w:rPr>
      </w:pPr>
    </w:p>
    <w:p w14:paraId="67FAF371" w14:textId="77777777" w:rsidR="00E04C8A" w:rsidRDefault="008E1817">
      <w:pPr>
        <w:pStyle w:val="a3"/>
        <w:rPr>
          <w:b/>
          <w:lang w:val="sl-SI"/>
        </w:rPr>
      </w:pPr>
      <w:r>
        <w:rPr>
          <w:rFonts w:eastAsia="Times New Roman"/>
          <w:b/>
          <w:bCs/>
          <w:lang w:val="sl-SI"/>
        </w:rPr>
        <w:t>Če ste prenehali uporabljati zdravilo Yuflyma</w:t>
      </w:r>
    </w:p>
    <w:p w14:paraId="215A2911" w14:textId="77777777" w:rsidR="00E04C8A" w:rsidRDefault="00E04C8A">
      <w:pPr>
        <w:spacing w:before="6" w:line="240" w:lineRule="exact"/>
        <w:rPr>
          <w:sz w:val="24"/>
          <w:szCs w:val="24"/>
          <w:lang w:val="sl-SI"/>
        </w:rPr>
      </w:pPr>
    </w:p>
    <w:p w14:paraId="1AE6440D" w14:textId="64DC4F26" w:rsidR="00E04C8A" w:rsidRDefault="008E1817">
      <w:pPr>
        <w:pStyle w:val="a3"/>
        <w:rPr>
          <w:lang w:val="sl-SI"/>
        </w:rPr>
      </w:pPr>
      <w:r>
        <w:rPr>
          <w:rFonts w:eastAsia="Times New Roman"/>
          <w:lang w:val="sl-SI"/>
        </w:rPr>
        <w:t xml:space="preserve">O odločitvi, da bi prenehali uporabljati zdravilo </w:t>
      </w:r>
      <w:r w:rsidR="007F6B22">
        <w:rPr>
          <w:rFonts w:eastAsia="Times New Roman"/>
          <w:lang w:val="sl-SI"/>
        </w:rPr>
        <w:t>Yuflyma</w:t>
      </w:r>
      <w:r>
        <w:rPr>
          <w:rFonts w:eastAsia="Times New Roman"/>
          <w:lang w:val="sl-SI"/>
        </w:rPr>
        <w:t>, se morate posvetovati s svojim zdravnikom. Vaši simptomi se lahko po prekinitvi uporabe zdravila Yuflyma povrnejo.</w:t>
      </w:r>
    </w:p>
    <w:p w14:paraId="0ECD5628" w14:textId="77777777" w:rsidR="00E04C8A" w:rsidRDefault="00E04C8A">
      <w:pPr>
        <w:spacing w:before="12" w:line="240" w:lineRule="exact"/>
        <w:rPr>
          <w:sz w:val="24"/>
          <w:szCs w:val="24"/>
          <w:lang w:val="sl-SI"/>
        </w:rPr>
      </w:pPr>
    </w:p>
    <w:p w14:paraId="766EEF2E" w14:textId="77777777" w:rsidR="00E04C8A" w:rsidRDefault="008E1817">
      <w:pPr>
        <w:pStyle w:val="a3"/>
        <w:rPr>
          <w:lang w:val="sl-SI"/>
        </w:rPr>
      </w:pPr>
      <w:r>
        <w:rPr>
          <w:rFonts w:eastAsia="Times New Roman"/>
          <w:lang w:val="sl-SI"/>
        </w:rPr>
        <w:t>Če imate dodatna vprašanja o uporabi zdravila, se posvetujte z zdravnikom ali farmacevtom.</w:t>
      </w:r>
    </w:p>
    <w:p w14:paraId="18DAAFD3" w14:textId="77777777" w:rsidR="00E04C8A" w:rsidRDefault="00E04C8A">
      <w:pPr>
        <w:spacing w:line="110" w:lineRule="exact"/>
        <w:rPr>
          <w:sz w:val="11"/>
          <w:szCs w:val="11"/>
          <w:lang w:val="sl-SI"/>
        </w:rPr>
      </w:pPr>
    </w:p>
    <w:p w14:paraId="1897EBB9" w14:textId="77777777" w:rsidR="00E04C8A" w:rsidRDefault="00E04C8A">
      <w:pPr>
        <w:spacing w:line="200" w:lineRule="exact"/>
        <w:rPr>
          <w:sz w:val="20"/>
          <w:szCs w:val="20"/>
          <w:lang w:val="sl-SI"/>
        </w:rPr>
      </w:pPr>
    </w:p>
    <w:p w14:paraId="173AE948" w14:textId="77777777" w:rsidR="00E04C8A" w:rsidRDefault="008E1817">
      <w:pPr>
        <w:pStyle w:val="a4"/>
        <w:numPr>
          <w:ilvl w:val="0"/>
          <w:numId w:val="33"/>
        </w:numPr>
        <w:spacing w:before="18" w:line="240" w:lineRule="exact"/>
        <w:ind w:left="357" w:hanging="357"/>
        <w:rPr>
          <w:rFonts w:ascii="Times New Roman" w:hAnsi="Times New Roman" w:cs="Times New Roman"/>
          <w:b/>
          <w:lang w:val="sl-SI"/>
        </w:rPr>
      </w:pPr>
      <w:r>
        <w:rPr>
          <w:rFonts w:ascii="Times New Roman" w:eastAsia="Times New Roman" w:hAnsi="Times New Roman" w:cs="Times New Roman"/>
          <w:b/>
          <w:bCs/>
          <w:lang w:val="sl-SI"/>
        </w:rPr>
        <w:t>Možni neželeni učinki</w:t>
      </w:r>
    </w:p>
    <w:p w14:paraId="4A143729" w14:textId="77777777" w:rsidR="00E04C8A" w:rsidRDefault="00E04C8A">
      <w:pPr>
        <w:spacing w:before="12" w:line="240" w:lineRule="exact"/>
        <w:rPr>
          <w:sz w:val="24"/>
          <w:szCs w:val="24"/>
          <w:lang w:val="sl-SI"/>
        </w:rPr>
      </w:pPr>
    </w:p>
    <w:p w14:paraId="04950F18" w14:textId="77777777" w:rsidR="00E04C8A" w:rsidRDefault="008E1817">
      <w:pPr>
        <w:pStyle w:val="a3"/>
        <w:rPr>
          <w:lang w:val="sl-SI"/>
        </w:rPr>
      </w:pPr>
      <w:r>
        <w:rPr>
          <w:rFonts w:eastAsia="Times New Roman"/>
          <w:lang w:val="sl-SI"/>
        </w:rPr>
        <w:t>Kot vsa zdravila ima lahko tudi to zdravilo neželene učinke, ki pa se ne pojavijo pri vseh bolnikih. Večina neželenih učinkov je blagih do zmernih. Vendar pa so lahko nekateri resni in zahtevajo zdravljenje. Neželeni učinki se lahko pojavijo vsaj še 4 mesece po zadnji injekciji zdravila Yuflyma.</w:t>
      </w:r>
    </w:p>
    <w:p w14:paraId="6570AE1C" w14:textId="77777777" w:rsidR="00E04C8A" w:rsidRDefault="00E04C8A">
      <w:pPr>
        <w:spacing w:before="15" w:line="240" w:lineRule="exact"/>
        <w:rPr>
          <w:sz w:val="24"/>
          <w:szCs w:val="24"/>
          <w:lang w:val="sl-SI"/>
        </w:rPr>
      </w:pPr>
    </w:p>
    <w:p w14:paraId="2ED45053" w14:textId="77777777" w:rsidR="00E04C8A" w:rsidRDefault="008E1817">
      <w:pPr>
        <w:pStyle w:val="a3"/>
        <w:rPr>
          <w:b/>
          <w:lang w:val="sl-SI"/>
        </w:rPr>
      </w:pPr>
      <w:r>
        <w:rPr>
          <w:rFonts w:eastAsia="Times New Roman"/>
          <w:b/>
          <w:bCs/>
          <w:lang w:val="sl-SI"/>
        </w:rPr>
        <w:t>Zdravniku takoj povejte, če opazite kaj od naslednjega:</w:t>
      </w:r>
    </w:p>
    <w:p w14:paraId="221A4610" w14:textId="77777777" w:rsidR="00E04C8A" w:rsidRDefault="00E04C8A">
      <w:pPr>
        <w:spacing w:before="10" w:line="240" w:lineRule="exact"/>
        <w:rPr>
          <w:sz w:val="24"/>
          <w:szCs w:val="24"/>
          <w:lang w:val="sl-SI"/>
        </w:rPr>
      </w:pPr>
    </w:p>
    <w:p w14:paraId="64FE9958" w14:textId="77777777" w:rsidR="00E04C8A" w:rsidRDefault="008E1817">
      <w:pPr>
        <w:pStyle w:val="a3"/>
        <w:numPr>
          <w:ilvl w:val="0"/>
          <w:numId w:val="16"/>
        </w:numPr>
        <w:ind w:left="660" w:hanging="660"/>
        <w:rPr>
          <w:lang w:val="sl-SI"/>
        </w:rPr>
      </w:pPr>
      <w:r>
        <w:rPr>
          <w:rFonts w:eastAsia="Times New Roman"/>
          <w:lang w:val="sl-SI"/>
        </w:rPr>
        <w:t>hud izpuščaj, koprivnico ali druge znake alergijske reakcije;</w:t>
      </w:r>
    </w:p>
    <w:p w14:paraId="164DB464" w14:textId="77777777" w:rsidR="00E04C8A" w:rsidRDefault="008E1817">
      <w:pPr>
        <w:pStyle w:val="a3"/>
        <w:numPr>
          <w:ilvl w:val="0"/>
          <w:numId w:val="16"/>
        </w:numPr>
        <w:ind w:left="660" w:hanging="660"/>
        <w:rPr>
          <w:lang w:val="sl-SI"/>
        </w:rPr>
      </w:pPr>
      <w:r>
        <w:rPr>
          <w:rFonts w:eastAsia="Times New Roman"/>
          <w:lang w:val="sl-SI"/>
        </w:rPr>
        <w:t>oteklost obraza, dlani in stopal;</w:t>
      </w:r>
    </w:p>
    <w:p w14:paraId="3E0E17A0" w14:textId="77777777" w:rsidR="00E04C8A" w:rsidRDefault="008E1817">
      <w:pPr>
        <w:pStyle w:val="a3"/>
        <w:numPr>
          <w:ilvl w:val="0"/>
          <w:numId w:val="16"/>
        </w:numPr>
        <w:ind w:left="660" w:hanging="660"/>
        <w:rPr>
          <w:lang w:val="sl-SI"/>
        </w:rPr>
      </w:pPr>
      <w:r>
        <w:rPr>
          <w:rFonts w:eastAsia="Times New Roman"/>
          <w:lang w:val="sl-SI"/>
        </w:rPr>
        <w:t>težave pri dihanju, požiranju;</w:t>
      </w:r>
    </w:p>
    <w:p w14:paraId="3DAD30EA" w14:textId="77777777" w:rsidR="00E04C8A" w:rsidRDefault="008E1817">
      <w:pPr>
        <w:pStyle w:val="a3"/>
        <w:numPr>
          <w:ilvl w:val="0"/>
          <w:numId w:val="16"/>
        </w:numPr>
        <w:ind w:left="660" w:hanging="660"/>
        <w:rPr>
          <w:lang w:val="sl-SI"/>
        </w:rPr>
      </w:pPr>
      <w:r>
        <w:rPr>
          <w:rFonts w:eastAsia="Times New Roman"/>
          <w:lang w:val="sl-SI"/>
        </w:rPr>
        <w:t>težko dihanje ob naporu ali med ležanjem ali otekanje stopal.</w:t>
      </w:r>
    </w:p>
    <w:p w14:paraId="383A480A" w14:textId="77777777" w:rsidR="00E04C8A" w:rsidRDefault="00E04C8A">
      <w:pPr>
        <w:spacing w:before="15" w:line="240" w:lineRule="exact"/>
        <w:rPr>
          <w:sz w:val="24"/>
          <w:szCs w:val="24"/>
          <w:lang w:val="sl-SI"/>
        </w:rPr>
      </w:pPr>
    </w:p>
    <w:p w14:paraId="2EEA88F7" w14:textId="77777777" w:rsidR="00E04C8A" w:rsidRDefault="008E1817">
      <w:pPr>
        <w:pStyle w:val="a3"/>
        <w:rPr>
          <w:b/>
          <w:lang w:val="sl-SI"/>
        </w:rPr>
      </w:pPr>
      <w:r>
        <w:rPr>
          <w:rFonts w:eastAsia="Times New Roman"/>
          <w:b/>
          <w:bCs/>
          <w:lang w:val="sl-SI"/>
        </w:rPr>
        <w:t>Zdravniku čim prej povejte, če opazite kaj od naslednjega:</w:t>
      </w:r>
    </w:p>
    <w:p w14:paraId="769543B1" w14:textId="77777777" w:rsidR="00E04C8A" w:rsidRDefault="00E04C8A">
      <w:pPr>
        <w:spacing w:before="10" w:line="240" w:lineRule="exact"/>
        <w:rPr>
          <w:sz w:val="24"/>
          <w:szCs w:val="24"/>
          <w:lang w:val="sl-SI"/>
        </w:rPr>
      </w:pPr>
    </w:p>
    <w:p w14:paraId="5752E6F1" w14:textId="77777777" w:rsidR="00E04C8A" w:rsidRDefault="008E1817">
      <w:pPr>
        <w:pStyle w:val="a3"/>
        <w:numPr>
          <w:ilvl w:val="0"/>
          <w:numId w:val="16"/>
        </w:numPr>
        <w:ind w:left="660" w:hanging="660"/>
        <w:rPr>
          <w:lang w:val="sl-SI"/>
        </w:rPr>
      </w:pPr>
      <w:r>
        <w:rPr>
          <w:rFonts w:eastAsia="Times New Roman"/>
          <w:lang w:val="sl-SI"/>
        </w:rPr>
        <w:t>znake okužbe, npr. zvišano telesno temperaturo, splošno slabo počutje, rane, težave z zobmi, pekoč občutek med uriniranjem;</w:t>
      </w:r>
    </w:p>
    <w:p w14:paraId="22729F51" w14:textId="77777777" w:rsidR="00E04C8A" w:rsidRDefault="008E1817">
      <w:pPr>
        <w:pStyle w:val="a3"/>
        <w:numPr>
          <w:ilvl w:val="0"/>
          <w:numId w:val="16"/>
        </w:numPr>
        <w:ind w:left="660" w:hanging="660"/>
        <w:rPr>
          <w:lang w:val="sl-SI"/>
        </w:rPr>
      </w:pPr>
      <w:r>
        <w:rPr>
          <w:rFonts w:eastAsia="Times New Roman"/>
          <w:lang w:val="sl-SI"/>
        </w:rPr>
        <w:t>občutek šibkosti ali utrujenosti;</w:t>
      </w:r>
    </w:p>
    <w:p w14:paraId="2256B241" w14:textId="77777777" w:rsidR="00E04C8A" w:rsidRDefault="008E1817">
      <w:pPr>
        <w:pStyle w:val="a3"/>
        <w:numPr>
          <w:ilvl w:val="0"/>
          <w:numId w:val="16"/>
        </w:numPr>
        <w:ind w:left="660" w:hanging="660"/>
        <w:rPr>
          <w:lang w:val="sl-SI"/>
        </w:rPr>
      </w:pPr>
      <w:r>
        <w:rPr>
          <w:rFonts w:eastAsia="Times New Roman"/>
          <w:lang w:val="sl-SI"/>
        </w:rPr>
        <w:t>kašelj;</w:t>
      </w:r>
    </w:p>
    <w:p w14:paraId="73013A8E" w14:textId="77777777" w:rsidR="00E04C8A" w:rsidRDefault="008E1817">
      <w:pPr>
        <w:pStyle w:val="a3"/>
        <w:numPr>
          <w:ilvl w:val="0"/>
          <w:numId w:val="16"/>
        </w:numPr>
        <w:ind w:left="660" w:hanging="660"/>
        <w:rPr>
          <w:lang w:val="sl-SI"/>
        </w:rPr>
      </w:pPr>
      <w:r>
        <w:rPr>
          <w:rFonts w:eastAsia="Times New Roman"/>
          <w:lang w:val="sl-SI"/>
        </w:rPr>
        <w:t>mravljinčenje;</w:t>
      </w:r>
    </w:p>
    <w:p w14:paraId="11305CB7" w14:textId="77777777" w:rsidR="00E04C8A" w:rsidRDefault="008E1817">
      <w:pPr>
        <w:pStyle w:val="a3"/>
        <w:numPr>
          <w:ilvl w:val="0"/>
          <w:numId w:val="16"/>
        </w:numPr>
        <w:ind w:left="660" w:hanging="660"/>
        <w:rPr>
          <w:lang w:val="sl-SI"/>
        </w:rPr>
      </w:pPr>
      <w:r>
        <w:rPr>
          <w:rFonts w:eastAsia="Times New Roman"/>
          <w:lang w:val="sl-SI"/>
        </w:rPr>
        <w:t>omrtvelost;</w:t>
      </w:r>
    </w:p>
    <w:p w14:paraId="0761872A" w14:textId="77777777" w:rsidR="00E04C8A" w:rsidRDefault="008E1817">
      <w:pPr>
        <w:pStyle w:val="a3"/>
        <w:numPr>
          <w:ilvl w:val="0"/>
          <w:numId w:val="16"/>
        </w:numPr>
        <w:ind w:left="660" w:hanging="660"/>
        <w:rPr>
          <w:lang w:val="sl-SI"/>
        </w:rPr>
      </w:pPr>
      <w:r>
        <w:rPr>
          <w:rFonts w:eastAsia="Times New Roman"/>
          <w:lang w:val="sl-SI"/>
        </w:rPr>
        <w:lastRenderedPageBreak/>
        <w:t>dvojni vid;</w:t>
      </w:r>
    </w:p>
    <w:p w14:paraId="438B0FF4" w14:textId="77777777" w:rsidR="00E04C8A" w:rsidRDefault="008E1817">
      <w:pPr>
        <w:pStyle w:val="a3"/>
        <w:numPr>
          <w:ilvl w:val="0"/>
          <w:numId w:val="16"/>
        </w:numPr>
        <w:ind w:left="660" w:hanging="660"/>
        <w:rPr>
          <w:lang w:val="sl-SI"/>
        </w:rPr>
      </w:pPr>
      <w:r>
        <w:rPr>
          <w:rFonts w:eastAsia="Times New Roman"/>
          <w:lang w:val="sl-SI"/>
        </w:rPr>
        <w:t>šibkost rok ali nog;</w:t>
      </w:r>
    </w:p>
    <w:p w14:paraId="48EFD83C" w14:textId="77777777" w:rsidR="00E04C8A" w:rsidRDefault="008E1817">
      <w:pPr>
        <w:pStyle w:val="a3"/>
        <w:numPr>
          <w:ilvl w:val="0"/>
          <w:numId w:val="16"/>
        </w:numPr>
        <w:ind w:left="660" w:hanging="660"/>
        <w:rPr>
          <w:lang w:val="sl-SI"/>
        </w:rPr>
      </w:pPr>
      <w:r>
        <w:rPr>
          <w:rFonts w:eastAsia="Times New Roman"/>
          <w:lang w:val="sl-SI"/>
        </w:rPr>
        <w:t>bulo ali odprto rano, ki se ne zaceli;</w:t>
      </w:r>
    </w:p>
    <w:p w14:paraId="34475269" w14:textId="77777777" w:rsidR="00E04C8A" w:rsidRDefault="008E1817">
      <w:pPr>
        <w:pStyle w:val="a3"/>
        <w:numPr>
          <w:ilvl w:val="0"/>
          <w:numId w:val="16"/>
        </w:numPr>
        <w:ind w:left="660" w:hanging="660"/>
        <w:rPr>
          <w:lang w:val="sl-SI"/>
        </w:rPr>
      </w:pPr>
      <w:r>
        <w:rPr>
          <w:rFonts w:eastAsia="Times New Roman"/>
          <w:lang w:val="sl-SI"/>
        </w:rPr>
        <w:t>znake in simptome, ki nakazujejo bolezni krvi, npr. dolgotrajno zvišana telesna temperatura, modrice, krvavitve, bledica.</w:t>
      </w:r>
    </w:p>
    <w:p w14:paraId="2F314D1A" w14:textId="77777777" w:rsidR="00E04C8A" w:rsidRDefault="00E04C8A">
      <w:pPr>
        <w:pStyle w:val="a3"/>
        <w:numPr>
          <w:ilvl w:val="0"/>
          <w:numId w:val="0"/>
        </w:numPr>
        <w:ind w:left="660"/>
        <w:rPr>
          <w:lang w:val="sl-SI"/>
        </w:rPr>
      </w:pPr>
    </w:p>
    <w:p w14:paraId="1167B8D0" w14:textId="77777777" w:rsidR="00E04C8A" w:rsidRDefault="008E1817">
      <w:pPr>
        <w:pStyle w:val="a3"/>
        <w:rPr>
          <w:lang w:val="sl-SI"/>
        </w:rPr>
      </w:pPr>
      <w:r>
        <w:rPr>
          <w:rFonts w:eastAsia="Times New Roman"/>
          <w:lang w:val="sl-SI"/>
        </w:rPr>
        <w:t>Zgoraj opisani simptomi so lahko znaki spodaj navedenih neželenih učinkov, ki so jih opazili med uporabo zdravila Yuflyma.</w:t>
      </w:r>
    </w:p>
    <w:p w14:paraId="5329B949" w14:textId="77777777" w:rsidR="00E04C8A" w:rsidRDefault="00E04C8A">
      <w:pPr>
        <w:spacing w:before="10" w:line="240" w:lineRule="exact"/>
        <w:rPr>
          <w:sz w:val="24"/>
          <w:szCs w:val="24"/>
          <w:lang w:val="sl-SI"/>
        </w:rPr>
      </w:pPr>
    </w:p>
    <w:p w14:paraId="02B6086E" w14:textId="77777777" w:rsidR="00E04C8A" w:rsidRDefault="008E1817">
      <w:pPr>
        <w:pStyle w:val="a3"/>
        <w:rPr>
          <w:lang w:val="sl-SI"/>
        </w:rPr>
      </w:pPr>
      <w:r>
        <w:rPr>
          <w:rFonts w:eastAsia="Times New Roman"/>
          <w:b/>
          <w:bCs/>
          <w:lang w:val="sl-SI"/>
        </w:rPr>
        <w:t xml:space="preserve">Zelo pogosti </w:t>
      </w:r>
      <w:r>
        <w:rPr>
          <w:rFonts w:eastAsia="Times New Roman"/>
          <w:lang w:val="sl-SI"/>
        </w:rPr>
        <w:t>(pojavijo se lahko pri več kot 1 od 10 bolnikov)</w:t>
      </w:r>
    </w:p>
    <w:p w14:paraId="1C6E0E73" w14:textId="77777777" w:rsidR="00E04C8A" w:rsidRDefault="00E04C8A">
      <w:pPr>
        <w:spacing w:before="14" w:line="240" w:lineRule="exact"/>
        <w:rPr>
          <w:sz w:val="24"/>
          <w:szCs w:val="24"/>
          <w:lang w:val="sl-SI"/>
        </w:rPr>
      </w:pPr>
    </w:p>
    <w:p w14:paraId="452D04E1" w14:textId="77777777" w:rsidR="00E04C8A" w:rsidRDefault="008E1817">
      <w:pPr>
        <w:pStyle w:val="a3"/>
        <w:numPr>
          <w:ilvl w:val="0"/>
          <w:numId w:val="16"/>
        </w:numPr>
        <w:ind w:left="660" w:hanging="660"/>
        <w:rPr>
          <w:lang w:val="sl-SI"/>
        </w:rPr>
      </w:pPr>
      <w:r>
        <w:rPr>
          <w:rFonts w:eastAsia="Times New Roman"/>
          <w:lang w:val="sl-SI"/>
        </w:rPr>
        <w:t>reakcije na mestu injiciranja (vključno z bolečino, otekanjem, pordelostjo ali srbenjem);</w:t>
      </w:r>
    </w:p>
    <w:p w14:paraId="6B2117EF" w14:textId="77777777" w:rsidR="00E04C8A" w:rsidRDefault="008E1817">
      <w:pPr>
        <w:pStyle w:val="a3"/>
        <w:numPr>
          <w:ilvl w:val="0"/>
          <w:numId w:val="16"/>
        </w:numPr>
        <w:ind w:left="660" w:hanging="660"/>
        <w:rPr>
          <w:lang w:val="sl-SI"/>
        </w:rPr>
      </w:pPr>
      <w:r>
        <w:rPr>
          <w:rFonts w:eastAsia="Times New Roman"/>
          <w:lang w:val="sl-SI"/>
        </w:rPr>
        <w:t>okužbe dihal (vključno s prehladom, izcedkom iz nosu, okužbo sinusov, pljučnico);</w:t>
      </w:r>
    </w:p>
    <w:p w14:paraId="6FA010C0" w14:textId="77777777" w:rsidR="00E04C8A" w:rsidRDefault="008E1817">
      <w:pPr>
        <w:pStyle w:val="a3"/>
        <w:numPr>
          <w:ilvl w:val="0"/>
          <w:numId w:val="16"/>
        </w:numPr>
        <w:ind w:left="660" w:hanging="660"/>
        <w:rPr>
          <w:lang w:val="sl-SI"/>
        </w:rPr>
      </w:pPr>
      <w:r>
        <w:rPr>
          <w:rFonts w:eastAsia="Times New Roman"/>
          <w:lang w:val="sl-SI"/>
        </w:rPr>
        <w:t>glavobol;</w:t>
      </w:r>
    </w:p>
    <w:p w14:paraId="6AAF895D" w14:textId="77777777" w:rsidR="00E04C8A" w:rsidRDefault="008E1817">
      <w:pPr>
        <w:pStyle w:val="a3"/>
        <w:numPr>
          <w:ilvl w:val="0"/>
          <w:numId w:val="16"/>
        </w:numPr>
        <w:ind w:left="660" w:hanging="660"/>
        <w:rPr>
          <w:lang w:val="sl-SI"/>
        </w:rPr>
      </w:pPr>
      <w:r>
        <w:rPr>
          <w:rFonts w:eastAsia="Times New Roman"/>
          <w:lang w:val="sl-SI"/>
        </w:rPr>
        <w:t>bolečine v trebuhu;</w:t>
      </w:r>
    </w:p>
    <w:p w14:paraId="6B35991D" w14:textId="77777777" w:rsidR="00E04C8A" w:rsidRDefault="008E1817">
      <w:pPr>
        <w:pStyle w:val="a3"/>
        <w:numPr>
          <w:ilvl w:val="0"/>
          <w:numId w:val="16"/>
        </w:numPr>
        <w:ind w:left="660" w:hanging="660"/>
        <w:rPr>
          <w:lang w:val="sl-SI"/>
        </w:rPr>
      </w:pPr>
      <w:r>
        <w:rPr>
          <w:rFonts w:eastAsia="Times New Roman"/>
          <w:lang w:val="sl-SI"/>
        </w:rPr>
        <w:t>siljenje na bruhanje in bruhanje;</w:t>
      </w:r>
    </w:p>
    <w:p w14:paraId="023FCFB2" w14:textId="77777777" w:rsidR="00E04C8A" w:rsidRDefault="008E1817">
      <w:pPr>
        <w:pStyle w:val="a3"/>
        <w:numPr>
          <w:ilvl w:val="0"/>
          <w:numId w:val="16"/>
        </w:numPr>
        <w:ind w:left="660" w:hanging="660"/>
        <w:rPr>
          <w:lang w:val="sl-SI"/>
        </w:rPr>
      </w:pPr>
      <w:r>
        <w:rPr>
          <w:rFonts w:eastAsia="Times New Roman"/>
          <w:lang w:val="sl-SI"/>
        </w:rPr>
        <w:t>izpuščaj;</w:t>
      </w:r>
    </w:p>
    <w:p w14:paraId="650F9157" w14:textId="77777777" w:rsidR="00E04C8A" w:rsidRDefault="008E1817">
      <w:pPr>
        <w:pStyle w:val="a3"/>
        <w:numPr>
          <w:ilvl w:val="0"/>
          <w:numId w:val="16"/>
        </w:numPr>
        <w:ind w:left="660" w:hanging="660"/>
        <w:rPr>
          <w:lang w:val="sl-SI"/>
        </w:rPr>
      </w:pPr>
      <w:r>
        <w:rPr>
          <w:rFonts w:eastAsia="Times New Roman"/>
          <w:lang w:val="sl-SI"/>
        </w:rPr>
        <w:t>mišičnoskeletne bolečine.</w:t>
      </w:r>
    </w:p>
    <w:p w14:paraId="2147A0DC" w14:textId="77777777" w:rsidR="00E04C8A" w:rsidRDefault="00E04C8A">
      <w:pPr>
        <w:spacing w:before="9" w:line="220" w:lineRule="exact"/>
        <w:rPr>
          <w:lang w:val="sl-SI"/>
        </w:rPr>
      </w:pPr>
    </w:p>
    <w:p w14:paraId="53F2D1C4" w14:textId="77777777" w:rsidR="00E04C8A" w:rsidRDefault="008E1817">
      <w:pPr>
        <w:pStyle w:val="a3"/>
        <w:rPr>
          <w:lang w:val="sl-SI"/>
        </w:rPr>
      </w:pPr>
      <w:r>
        <w:rPr>
          <w:rFonts w:eastAsia="Times New Roman"/>
          <w:b/>
          <w:bCs/>
          <w:lang w:val="sl-SI"/>
        </w:rPr>
        <w:t xml:space="preserve">Pogosti </w:t>
      </w:r>
      <w:r>
        <w:rPr>
          <w:rFonts w:eastAsia="Times New Roman"/>
          <w:lang w:val="sl-SI"/>
        </w:rPr>
        <w:t>(pojavijo se lahko pri največ 1 od 10 bolnikov)</w:t>
      </w:r>
    </w:p>
    <w:p w14:paraId="25662EBC" w14:textId="77777777" w:rsidR="00E04C8A" w:rsidRDefault="00E04C8A">
      <w:pPr>
        <w:spacing w:before="14" w:line="240" w:lineRule="exact"/>
        <w:rPr>
          <w:sz w:val="24"/>
          <w:szCs w:val="24"/>
          <w:lang w:val="sl-SI"/>
        </w:rPr>
      </w:pPr>
    </w:p>
    <w:p w14:paraId="5C1BB6AA" w14:textId="77777777" w:rsidR="00E04C8A" w:rsidRDefault="008E1817">
      <w:pPr>
        <w:pStyle w:val="a3"/>
        <w:numPr>
          <w:ilvl w:val="0"/>
          <w:numId w:val="16"/>
        </w:numPr>
        <w:ind w:left="660" w:hanging="660"/>
        <w:rPr>
          <w:lang w:val="sl-SI"/>
        </w:rPr>
      </w:pPr>
      <w:r>
        <w:rPr>
          <w:rFonts w:eastAsia="Times New Roman"/>
          <w:lang w:val="sl-SI"/>
        </w:rPr>
        <w:t>resne okužbe (vključno z zastrupitvijo krvi in gripo);</w:t>
      </w:r>
    </w:p>
    <w:p w14:paraId="2E3B85D4" w14:textId="77777777" w:rsidR="00E04C8A" w:rsidRDefault="008E1817">
      <w:pPr>
        <w:pStyle w:val="a3"/>
        <w:numPr>
          <w:ilvl w:val="0"/>
          <w:numId w:val="16"/>
        </w:numPr>
        <w:ind w:left="660" w:hanging="660"/>
        <w:rPr>
          <w:lang w:val="sl-SI"/>
        </w:rPr>
      </w:pPr>
      <w:r>
        <w:rPr>
          <w:rFonts w:eastAsia="Times New Roman"/>
          <w:lang w:val="sl-SI"/>
        </w:rPr>
        <w:t>črevesne okužbe (vključno z gastroenteritisom);</w:t>
      </w:r>
    </w:p>
    <w:p w14:paraId="3C89E956" w14:textId="77777777" w:rsidR="00E04C8A" w:rsidRDefault="008E1817">
      <w:pPr>
        <w:pStyle w:val="a3"/>
        <w:numPr>
          <w:ilvl w:val="0"/>
          <w:numId w:val="16"/>
        </w:numPr>
        <w:ind w:left="660" w:hanging="660"/>
        <w:rPr>
          <w:lang w:val="sl-SI"/>
        </w:rPr>
      </w:pPr>
      <w:r>
        <w:rPr>
          <w:rFonts w:eastAsia="Times New Roman"/>
          <w:lang w:val="sl-SI"/>
        </w:rPr>
        <w:t>okužbe kože (vključno s celulitisom in pasovcem);</w:t>
      </w:r>
    </w:p>
    <w:p w14:paraId="11C9617C" w14:textId="77777777" w:rsidR="00E04C8A" w:rsidRDefault="008E1817">
      <w:pPr>
        <w:pStyle w:val="a3"/>
        <w:numPr>
          <w:ilvl w:val="0"/>
          <w:numId w:val="16"/>
        </w:numPr>
        <w:ind w:left="660" w:hanging="660"/>
        <w:rPr>
          <w:lang w:val="sl-SI"/>
        </w:rPr>
      </w:pPr>
      <w:r>
        <w:rPr>
          <w:rFonts w:eastAsia="Times New Roman"/>
          <w:lang w:val="sl-SI"/>
        </w:rPr>
        <w:t>okužbe ušesa;</w:t>
      </w:r>
    </w:p>
    <w:p w14:paraId="75AD9255" w14:textId="77777777" w:rsidR="00E04C8A" w:rsidRDefault="008E1817">
      <w:pPr>
        <w:pStyle w:val="a3"/>
        <w:numPr>
          <w:ilvl w:val="0"/>
          <w:numId w:val="16"/>
        </w:numPr>
        <w:ind w:left="660" w:hanging="660"/>
        <w:rPr>
          <w:lang w:val="sl-SI"/>
        </w:rPr>
      </w:pPr>
      <w:r>
        <w:rPr>
          <w:rFonts w:eastAsia="Times New Roman"/>
          <w:lang w:val="sl-SI"/>
        </w:rPr>
        <w:t>okužbe ustne votline (vključno z okužbami zob in herpesom);</w:t>
      </w:r>
    </w:p>
    <w:p w14:paraId="1ED3C13D" w14:textId="77777777" w:rsidR="00E04C8A" w:rsidRDefault="008E1817">
      <w:pPr>
        <w:pStyle w:val="a3"/>
        <w:numPr>
          <w:ilvl w:val="0"/>
          <w:numId w:val="16"/>
        </w:numPr>
        <w:ind w:left="660" w:hanging="660"/>
        <w:rPr>
          <w:lang w:val="sl-SI"/>
        </w:rPr>
      </w:pPr>
      <w:r>
        <w:rPr>
          <w:rFonts w:eastAsia="Times New Roman"/>
          <w:lang w:val="sl-SI"/>
        </w:rPr>
        <w:t>okužbe rodil;</w:t>
      </w:r>
    </w:p>
    <w:p w14:paraId="3CA90C77" w14:textId="77777777" w:rsidR="00E04C8A" w:rsidRDefault="008E1817">
      <w:pPr>
        <w:pStyle w:val="a3"/>
        <w:numPr>
          <w:ilvl w:val="0"/>
          <w:numId w:val="16"/>
        </w:numPr>
        <w:ind w:left="660" w:hanging="660"/>
        <w:rPr>
          <w:lang w:val="sl-SI"/>
        </w:rPr>
      </w:pPr>
      <w:r>
        <w:rPr>
          <w:rFonts w:eastAsia="Times New Roman"/>
          <w:lang w:val="sl-SI"/>
        </w:rPr>
        <w:t>okužbe sečil;</w:t>
      </w:r>
    </w:p>
    <w:p w14:paraId="3C4FF9C3" w14:textId="77777777" w:rsidR="00E04C8A" w:rsidRDefault="008E1817">
      <w:pPr>
        <w:pStyle w:val="a3"/>
        <w:numPr>
          <w:ilvl w:val="0"/>
          <w:numId w:val="16"/>
        </w:numPr>
        <w:ind w:left="660" w:hanging="660"/>
        <w:rPr>
          <w:lang w:val="sl-SI"/>
        </w:rPr>
      </w:pPr>
      <w:r>
        <w:rPr>
          <w:rFonts w:eastAsia="Times New Roman"/>
          <w:lang w:val="sl-SI"/>
        </w:rPr>
        <w:t>glivične okužbe;</w:t>
      </w:r>
    </w:p>
    <w:p w14:paraId="632D8115" w14:textId="77777777" w:rsidR="00E04C8A" w:rsidRDefault="008E1817">
      <w:pPr>
        <w:pStyle w:val="a3"/>
        <w:numPr>
          <w:ilvl w:val="0"/>
          <w:numId w:val="16"/>
        </w:numPr>
        <w:ind w:left="660" w:hanging="660"/>
        <w:rPr>
          <w:lang w:val="sl-SI"/>
        </w:rPr>
      </w:pPr>
      <w:r>
        <w:rPr>
          <w:rFonts w:eastAsia="Times New Roman"/>
          <w:lang w:val="sl-SI"/>
        </w:rPr>
        <w:t>okužbe sklepov;</w:t>
      </w:r>
    </w:p>
    <w:p w14:paraId="63BDFB43" w14:textId="77777777" w:rsidR="00E04C8A" w:rsidRDefault="008E1817">
      <w:pPr>
        <w:pStyle w:val="a3"/>
        <w:numPr>
          <w:ilvl w:val="0"/>
          <w:numId w:val="16"/>
        </w:numPr>
        <w:ind w:left="660" w:hanging="660"/>
        <w:rPr>
          <w:lang w:val="sl-SI"/>
        </w:rPr>
      </w:pPr>
      <w:r>
        <w:rPr>
          <w:rFonts w:eastAsia="Times New Roman"/>
          <w:lang w:val="sl-SI"/>
        </w:rPr>
        <w:t>benigni tumorji;</w:t>
      </w:r>
    </w:p>
    <w:p w14:paraId="0A5D241E" w14:textId="77777777" w:rsidR="00E04C8A" w:rsidRDefault="008E1817">
      <w:pPr>
        <w:pStyle w:val="a3"/>
        <w:numPr>
          <w:ilvl w:val="0"/>
          <w:numId w:val="16"/>
        </w:numPr>
        <w:ind w:left="660" w:hanging="660"/>
        <w:rPr>
          <w:lang w:val="sl-SI"/>
        </w:rPr>
      </w:pPr>
      <w:r>
        <w:rPr>
          <w:rFonts w:eastAsia="Times New Roman"/>
          <w:lang w:val="sl-SI"/>
        </w:rPr>
        <w:t>kožni rak;</w:t>
      </w:r>
    </w:p>
    <w:p w14:paraId="323F4028" w14:textId="77777777" w:rsidR="00E04C8A" w:rsidRDefault="008E1817">
      <w:pPr>
        <w:pStyle w:val="a3"/>
        <w:numPr>
          <w:ilvl w:val="0"/>
          <w:numId w:val="16"/>
        </w:numPr>
        <w:ind w:left="660" w:hanging="660"/>
        <w:rPr>
          <w:lang w:val="sl-SI"/>
        </w:rPr>
      </w:pPr>
      <w:r>
        <w:rPr>
          <w:rFonts w:eastAsia="Times New Roman"/>
          <w:lang w:val="sl-SI"/>
        </w:rPr>
        <w:t>alergijske reakcije (vključno s sezonskimi alergijami);</w:t>
      </w:r>
    </w:p>
    <w:p w14:paraId="3F8D0D48" w14:textId="77777777" w:rsidR="00E04C8A" w:rsidRDefault="008E1817">
      <w:pPr>
        <w:pStyle w:val="a3"/>
        <w:numPr>
          <w:ilvl w:val="0"/>
          <w:numId w:val="16"/>
        </w:numPr>
        <w:ind w:left="660" w:hanging="660"/>
        <w:rPr>
          <w:lang w:val="sl-SI"/>
        </w:rPr>
      </w:pPr>
      <w:r>
        <w:rPr>
          <w:rFonts w:eastAsia="Times New Roman"/>
          <w:lang w:val="sl-SI"/>
        </w:rPr>
        <w:t>dehidracija;</w:t>
      </w:r>
    </w:p>
    <w:p w14:paraId="21435953" w14:textId="77777777" w:rsidR="00E04C8A" w:rsidRDefault="008E1817">
      <w:pPr>
        <w:pStyle w:val="a3"/>
        <w:numPr>
          <w:ilvl w:val="0"/>
          <w:numId w:val="16"/>
        </w:numPr>
        <w:ind w:left="660" w:hanging="660"/>
        <w:rPr>
          <w:lang w:val="sl-SI"/>
        </w:rPr>
      </w:pPr>
      <w:r>
        <w:rPr>
          <w:rFonts w:eastAsia="Times New Roman"/>
          <w:lang w:val="sl-SI"/>
        </w:rPr>
        <w:t>spremenljivo razpoloženje (vključno z depresijo);</w:t>
      </w:r>
    </w:p>
    <w:p w14:paraId="2FC69AA6" w14:textId="77777777" w:rsidR="00E04C8A" w:rsidRDefault="008E1817">
      <w:pPr>
        <w:pStyle w:val="a3"/>
        <w:numPr>
          <w:ilvl w:val="0"/>
          <w:numId w:val="16"/>
        </w:numPr>
        <w:ind w:left="660" w:hanging="660"/>
        <w:rPr>
          <w:lang w:val="sl-SI"/>
        </w:rPr>
      </w:pPr>
      <w:r>
        <w:rPr>
          <w:rFonts w:eastAsia="Times New Roman"/>
          <w:lang w:val="sl-SI"/>
        </w:rPr>
        <w:t>anksioznost;</w:t>
      </w:r>
    </w:p>
    <w:p w14:paraId="71278F72" w14:textId="77777777" w:rsidR="00E04C8A" w:rsidRDefault="008E1817">
      <w:pPr>
        <w:pStyle w:val="a3"/>
        <w:numPr>
          <w:ilvl w:val="0"/>
          <w:numId w:val="16"/>
        </w:numPr>
        <w:ind w:left="660" w:hanging="660"/>
        <w:rPr>
          <w:lang w:val="sl-SI"/>
        </w:rPr>
      </w:pPr>
      <w:r>
        <w:rPr>
          <w:rFonts w:eastAsia="Times New Roman"/>
          <w:lang w:val="sl-SI"/>
        </w:rPr>
        <w:t>težave s spanjem;</w:t>
      </w:r>
    </w:p>
    <w:p w14:paraId="15B6EAA6" w14:textId="77777777" w:rsidR="00E04C8A" w:rsidRDefault="008E1817">
      <w:pPr>
        <w:pStyle w:val="a3"/>
        <w:numPr>
          <w:ilvl w:val="0"/>
          <w:numId w:val="16"/>
        </w:numPr>
        <w:ind w:left="660" w:hanging="660"/>
        <w:rPr>
          <w:lang w:val="sl-SI"/>
        </w:rPr>
      </w:pPr>
      <w:r>
        <w:rPr>
          <w:rFonts w:eastAsia="Times New Roman"/>
          <w:lang w:val="sl-SI"/>
        </w:rPr>
        <w:t>motnje v občutenju kot so ščemenje, zbadanje ali omrtvelost;</w:t>
      </w:r>
    </w:p>
    <w:p w14:paraId="25549AE1" w14:textId="77777777" w:rsidR="00E04C8A" w:rsidRDefault="008E1817">
      <w:pPr>
        <w:pStyle w:val="a3"/>
        <w:numPr>
          <w:ilvl w:val="0"/>
          <w:numId w:val="16"/>
        </w:numPr>
        <w:ind w:left="660" w:hanging="660"/>
        <w:rPr>
          <w:lang w:val="sl-SI"/>
        </w:rPr>
      </w:pPr>
      <w:r>
        <w:rPr>
          <w:rFonts w:eastAsia="Times New Roman"/>
          <w:lang w:val="sl-SI"/>
        </w:rPr>
        <w:t>migrena;</w:t>
      </w:r>
    </w:p>
    <w:p w14:paraId="39C66289" w14:textId="29BD492A" w:rsidR="00E04C8A" w:rsidRDefault="008E1817">
      <w:pPr>
        <w:pStyle w:val="a3"/>
        <w:numPr>
          <w:ilvl w:val="0"/>
          <w:numId w:val="16"/>
        </w:numPr>
        <w:ind w:left="660" w:hanging="660"/>
        <w:rPr>
          <w:lang w:val="sl-SI"/>
        </w:rPr>
      </w:pPr>
      <w:r>
        <w:rPr>
          <w:rFonts w:eastAsia="Times New Roman"/>
          <w:lang w:val="sl-SI"/>
        </w:rPr>
        <w:t>stisnenje živčnih korenin (vključno z bolečino v spodnjem delu hrbta in nogah);</w:t>
      </w:r>
    </w:p>
    <w:p w14:paraId="0ABEEF79" w14:textId="77777777" w:rsidR="00E04C8A" w:rsidRDefault="008E1817">
      <w:pPr>
        <w:pStyle w:val="a3"/>
        <w:numPr>
          <w:ilvl w:val="0"/>
          <w:numId w:val="16"/>
        </w:numPr>
        <w:ind w:left="660" w:hanging="660"/>
        <w:rPr>
          <w:lang w:val="sl-SI"/>
        </w:rPr>
      </w:pPr>
      <w:r>
        <w:rPr>
          <w:rFonts w:eastAsia="Times New Roman"/>
          <w:lang w:val="sl-SI"/>
        </w:rPr>
        <w:t>motnje vida;</w:t>
      </w:r>
    </w:p>
    <w:p w14:paraId="59F5B64B" w14:textId="77777777" w:rsidR="00E04C8A" w:rsidRDefault="008E1817">
      <w:pPr>
        <w:pStyle w:val="a3"/>
        <w:numPr>
          <w:ilvl w:val="0"/>
          <w:numId w:val="16"/>
        </w:numPr>
        <w:ind w:left="660" w:hanging="660"/>
        <w:rPr>
          <w:lang w:val="sl-SI"/>
        </w:rPr>
      </w:pPr>
      <w:r>
        <w:rPr>
          <w:rFonts w:eastAsia="Times New Roman"/>
          <w:lang w:val="sl-SI"/>
        </w:rPr>
        <w:t>vnetje oči;</w:t>
      </w:r>
    </w:p>
    <w:p w14:paraId="425F4412" w14:textId="77777777" w:rsidR="00E04C8A" w:rsidRDefault="008E1817">
      <w:pPr>
        <w:pStyle w:val="a3"/>
        <w:numPr>
          <w:ilvl w:val="0"/>
          <w:numId w:val="16"/>
        </w:numPr>
        <w:ind w:left="660" w:hanging="660"/>
        <w:rPr>
          <w:lang w:val="sl-SI"/>
        </w:rPr>
      </w:pPr>
      <w:r>
        <w:rPr>
          <w:rFonts w:eastAsia="Times New Roman"/>
          <w:lang w:val="sl-SI"/>
        </w:rPr>
        <w:t>vnetje očesnih vek in otekanje oči;</w:t>
      </w:r>
    </w:p>
    <w:p w14:paraId="5BC344CC" w14:textId="77777777" w:rsidR="00E04C8A" w:rsidRDefault="008E1817">
      <w:pPr>
        <w:pStyle w:val="a3"/>
        <w:numPr>
          <w:ilvl w:val="0"/>
          <w:numId w:val="16"/>
        </w:numPr>
        <w:ind w:left="660" w:hanging="660"/>
        <w:rPr>
          <w:lang w:val="sl-SI"/>
        </w:rPr>
      </w:pPr>
      <w:r>
        <w:rPr>
          <w:rFonts w:eastAsia="Times New Roman"/>
          <w:lang w:val="sl-SI"/>
        </w:rPr>
        <w:t>vrtoglavica (občutek omotice ali vrtenja);</w:t>
      </w:r>
    </w:p>
    <w:p w14:paraId="6D333347" w14:textId="77777777" w:rsidR="00E04C8A" w:rsidRDefault="008E1817">
      <w:pPr>
        <w:pStyle w:val="a3"/>
        <w:numPr>
          <w:ilvl w:val="0"/>
          <w:numId w:val="16"/>
        </w:numPr>
        <w:ind w:left="660" w:hanging="660"/>
        <w:rPr>
          <w:lang w:val="sl-SI"/>
        </w:rPr>
      </w:pPr>
      <w:r>
        <w:rPr>
          <w:rFonts w:eastAsia="Times New Roman"/>
          <w:lang w:val="sl-SI"/>
        </w:rPr>
        <w:t>občutek hitrega bitja srca;</w:t>
      </w:r>
    </w:p>
    <w:p w14:paraId="60431D95" w14:textId="77777777" w:rsidR="00E04C8A" w:rsidRDefault="008E1817">
      <w:pPr>
        <w:pStyle w:val="a3"/>
        <w:numPr>
          <w:ilvl w:val="0"/>
          <w:numId w:val="16"/>
        </w:numPr>
        <w:ind w:left="660" w:hanging="660"/>
        <w:rPr>
          <w:lang w:val="sl-SI"/>
        </w:rPr>
      </w:pPr>
      <w:r>
        <w:rPr>
          <w:rFonts w:eastAsia="Times New Roman"/>
          <w:lang w:val="sl-SI"/>
        </w:rPr>
        <w:t>visok krvni tlak;</w:t>
      </w:r>
    </w:p>
    <w:p w14:paraId="09D2C176" w14:textId="77777777" w:rsidR="00E04C8A" w:rsidRDefault="008E1817">
      <w:pPr>
        <w:pStyle w:val="a3"/>
        <w:numPr>
          <w:ilvl w:val="0"/>
          <w:numId w:val="16"/>
        </w:numPr>
        <w:ind w:left="660" w:hanging="660"/>
        <w:rPr>
          <w:lang w:val="sl-SI"/>
        </w:rPr>
      </w:pPr>
      <w:r>
        <w:rPr>
          <w:rFonts w:eastAsia="Times New Roman"/>
          <w:lang w:val="sl-SI"/>
        </w:rPr>
        <w:t>zardevanje;</w:t>
      </w:r>
    </w:p>
    <w:p w14:paraId="755487A8" w14:textId="77777777" w:rsidR="00E04C8A" w:rsidRDefault="008E1817">
      <w:pPr>
        <w:pStyle w:val="a3"/>
        <w:numPr>
          <w:ilvl w:val="0"/>
          <w:numId w:val="16"/>
        </w:numPr>
        <w:ind w:left="660" w:hanging="660"/>
        <w:rPr>
          <w:lang w:val="sl-SI"/>
        </w:rPr>
      </w:pPr>
      <w:r>
        <w:rPr>
          <w:rFonts w:eastAsia="Times New Roman"/>
          <w:lang w:val="sl-SI"/>
        </w:rPr>
        <w:t>hematom (nabiranje krvi zunaj krvnih žil);</w:t>
      </w:r>
    </w:p>
    <w:p w14:paraId="46E53649" w14:textId="77777777" w:rsidR="00E04C8A" w:rsidRDefault="008E1817">
      <w:pPr>
        <w:pStyle w:val="a3"/>
        <w:numPr>
          <w:ilvl w:val="0"/>
          <w:numId w:val="16"/>
        </w:numPr>
        <w:ind w:left="660" w:hanging="660"/>
        <w:rPr>
          <w:lang w:val="sl-SI"/>
        </w:rPr>
      </w:pPr>
      <w:r>
        <w:rPr>
          <w:rFonts w:eastAsia="Times New Roman"/>
          <w:lang w:val="sl-SI"/>
        </w:rPr>
        <w:t>kašelj;</w:t>
      </w:r>
    </w:p>
    <w:p w14:paraId="62606AE8" w14:textId="77777777" w:rsidR="00E04C8A" w:rsidRDefault="008E1817">
      <w:pPr>
        <w:pStyle w:val="a3"/>
        <w:numPr>
          <w:ilvl w:val="0"/>
          <w:numId w:val="16"/>
        </w:numPr>
        <w:ind w:left="660" w:hanging="660"/>
        <w:rPr>
          <w:lang w:val="sl-SI"/>
        </w:rPr>
      </w:pPr>
      <w:r>
        <w:rPr>
          <w:rFonts w:eastAsia="Times New Roman"/>
          <w:lang w:val="sl-SI"/>
        </w:rPr>
        <w:t>astma;</w:t>
      </w:r>
    </w:p>
    <w:p w14:paraId="27F21EB3" w14:textId="77777777" w:rsidR="00E04C8A" w:rsidRDefault="008E1817">
      <w:pPr>
        <w:pStyle w:val="a3"/>
        <w:numPr>
          <w:ilvl w:val="0"/>
          <w:numId w:val="16"/>
        </w:numPr>
        <w:ind w:left="660" w:hanging="660"/>
        <w:rPr>
          <w:lang w:val="sl-SI"/>
        </w:rPr>
      </w:pPr>
      <w:r>
        <w:rPr>
          <w:rFonts w:eastAsia="Times New Roman"/>
          <w:lang w:val="sl-SI"/>
        </w:rPr>
        <w:t>kratka sapa;</w:t>
      </w:r>
    </w:p>
    <w:p w14:paraId="0E907965" w14:textId="77777777" w:rsidR="00E04C8A" w:rsidRDefault="008E1817">
      <w:pPr>
        <w:pStyle w:val="a3"/>
        <w:numPr>
          <w:ilvl w:val="0"/>
          <w:numId w:val="16"/>
        </w:numPr>
        <w:ind w:left="660" w:hanging="660"/>
        <w:rPr>
          <w:lang w:val="sl-SI"/>
        </w:rPr>
      </w:pPr>
      <w:r>
        <w:rPr>
          <w:rFonts w:eastAsia="Times New Roman"/>
          <w:lang w:val="sl-SI"/>
        </w:rPr>
        <w:t>krvavitev v prebavilih;</w:t>
      </w:r>
    </w:p>
    <w:p w14:paraId="578DCC4A" w14:textId="77777777" w:rsidR="00E04C8A" w:rsidRDefault="008E1817">
      <w:pPr>
        <w:pStyle w:val="a3"/>
        <w:numPr>
          <w:ilvl w:val="0"/>
          <w:numId w:val="16"/>
        </w:numPr>
        <w:ind w:left="660" w:hanging="660"/>
        <w:rPr>
          <w:lang w:val="sl-SI"/>
        </w:rPr>
      </w:pPr>
      <w:r>
        <w:rPr>
          <w:rFonts w:eastAsia="Times New Roman"/>
          <w:lang w:val="sl-SI"/>
        </w:rPr>
        <w:lastRenderedPageBreak/>
        <w:t>dispepsija (prebavne motnje, napihnjenost, zgaga);</w:t>
      </w:r>
    </w:p>
    <w:p w14:paraId="75E3205A" w14:textId="77777777" w:rsidR="00E04C8A" w:rsidRDefault="008E1817">
      <w:pPr>
        <w:pStyle w:val="a3"/>
        <w:numPr>
          <w:ilvl w:val="0"/>
          <w:numId w:val="16"/>
        </w:numPr>
        <w:ind w:left="660" w:hanging="660"/>
        <w:rPr>
          <w:lang w:val="sl-SI"/>
        </w:rPr>
      </w:pPr>
      <w:r>
        <w:rPr>
          <w:rFonts w:eastAsia="Times New Roman"/>
          <w:lang w:val="sl-SI"/>
        </w:rPr>
        <w:t>bolezen refluksa kisline;</w:t>
      </w:r>
    </w:p>
    <w:p w14:paraId="255D04FF" w14:textId="77777777" w:rsidR="00E04C8A" w:rsidRDefault="008E1817">
      <w:pPr>
        <w:pStyle w:val="a3"/>
        <w:numPr>
          <w:ilvl w:val="0"/>
          <w:numId w:val="16"/>
        </w:numPr>
        <w:ind w:left="660" w:hanging="660"/>
        <w:rPr>
          <w:lang w:val="sl-SI"/>
        </w:rPr>
      </w:pPr>
      <w:r>
        <w:rPr>
          <w:rFonts w:eastAsia="Times New Roman"/>
          <w:lang w:val="sl-SI"/>
        </w:rPr>
        <w:t>Sjögrenov sindrom (vključno s suhimi očmi in suhimi usti);</w:t>
      </w:r>
    </w:p>
    <w:p w14:paraId="7C957E7A" w14:textId="77777777" w:rsidR="00E04C8A" w:rsidRDefault="008E1817">
      <w:pPr>
        <w:pStyle w:val="a3"/>
        <w:numPr>
          <w:ilvl w:val="0"/>
          <w:numId w:val="16"/>
        </w:numPr>
        <w:ind w:left="660" w:hanging="660"/>
        <w:rPr>
          <w:lang w:val="sl-SI"/>
        </w:rPr>
      </w:pPr>
      <w:r>
        <w:rPr>
          <w:rFonts w:eastAsia="Times New Roman"/>
          <w:lang w:val="sl-SI"/>
        </w:rPr>
        <w:t>srbenje;</w:t>
      </w:r>
    </w:p>
    <w:p w14:paraId="0E221857" w14:textId="77777777" w:rsidR="00E04C8A" w:rsidRDefault="008E1817">
      <w:pPr>
        <w:pStyle w:val="a3"/>
        <w:numPr>
          <w:ilvl w:val="0"/>
          <w:numId w:val="16"/>
        </w:numPr>
        <w:ind w:left="660" w:hanging="660"/>
        <w:rPr>
          <w:rFonts w:eastAsia="Times New Roman"/>
          <w:spacing w:val="-1"/>
          <w:lang w:val="sl-SI"/>
        </w:rPr>
      </w:pPr>
      <w:r>
        <w:rPr>
          <w:rFonts w:eastAsia="Times New Roman"/>
          <w:lang w:val="sl-SI"/>
        </w:rPr>
        <w:t>srbeč izpuščaj;</w:t>
      </w:r>
    </w:p>
    <w:p w14:paraId="4D0C8B8F" w14:textId="77777777" w:rsidR="00E04C8A" w:rsidRDefault="008E1817">
      <w:pPr>
        <w:pStyle w:val="a3"/>
        <w:numPr>
          <w:ilvl w:val="0"/>
          <w:numId w:val="16"/>
        </w:numPr>
        <w:ind w:left="660" w:hanging="660"/>
        <w:rPr>
          <w:lang w:val="sl-SI"/>
        </w:rPr>
      </w:pPr>
      <w:r>
        <w:rPr>
          <w:rFonts w:eastAsia="Times New Roman"/>
          <w:lang w:val="sl-SI"/>
        </w:rPr>
        <w:t>modrice;</w:t>
      </w:r>
    </w:p>
    <w:p w14:paraId="7552D180" w14:textId="77777777" w:rsidR="00E04C8A" w:rsidRDefault="008E1817">
      <w:pPr>
        <w:pStyle w:val="a3"/>
        <w:numPr>
          <w:ilvl w:val="0"/>
          <w:numId w:val="16"/>
        </w:numPr>
        <w:ind w:left="660" w:hanging="660"/>
        <w:rPr>
          <w:lang w:val="sl-SI"/>
        </w:rPr>
      </w:pPr>
      <w:r>
        <w:rPr>
          <w:rFonts w:eastAsia="Times New Roman"/>
          <w:lang w:val="sl-SI"/>
        </w:rPr>
        <w:t>vnetje kože (npr. ekcem);</w:t>
      </w:r>
    </w:p>
    <w:p w14:paraId="053C1291" w14:textId="77777777" w:rsidR="00E04C8A" w:rsidRDefault="008E1817">
      <w:pPr>
        <w:pStyle w:val="a3"/>
        <w:numPr>
          <w:ilvl w:val="0"/>
          <w:numId w:val="16"/>
        </w:numPr>
        <w:ind w:left="660" w:hanging="660"/>
        <w:rPr>
          <w:lang w:val="sl-SI"/>
        </w:rPr>
      </w:pPr>
      <w:r>
        <w:rPr>
          <w:rFonts w:eastAsia="Times New Roman"/>
          <w:lang w:val="sl-SI"/>
        </w:rPr>
        <w:t>lomljivost nohtov na rokah in nogah;</w:t>
      </w:r>
    </w:p>
    <w:p w14:paraId="6CA0E9EA" w14:textId="77777777" w:rsidR="00E04C8A" w:rsidRDefault="008E1817">
      <w:pPr>
        <w:pStyle w:val="a3"/>
        <w:numPr>
          <w:ilvl w:val="0"/>
          <w:numId w:val="16"/>
        </w:numPr>
        <w:ind w:left="660" w:hanging="660"/>
        <w:rPr>
          <w:lang w:val="sl-SI"/>
        </w:rPr>
      </w:pPr>
      <w:r>
        <w:rPr>
          <w:rFonts w:eastAsia="Times New Roman"/>
          <w:lang w:val="sl-SI"/>
        </w:rPr>
        <w:t>povečano potenje;</w:t>
      </w:r>
    </w:p>
    <w:p w14:paraId="743A9A69" w14:textId="77777777" w:rsidR="00E04C8A" w:rsidRDefault="008E1817">
      <w:pPr>
        <w:pStyle w:val="a3"/>
        <w:numPr>
          <w:ilvl w:val="0"/>
          <w:numId w:val="16"/>
        </w:numPr>
        <w:ind w:left="660" w:hanging="660"/>
        <w:rPr>
          <w:lang w:val="sl-SI"/>
        </w:rPr>
      </w:pPr>
      <w:r>
        <w:rPr>
          <w:rFonts w:eastAsia="Times New Roman"/>
          <w:lang w:val="sl-SI"/>
        </w:rPr>
        <w:t>izpadanje las;</w:t>
      </w:r>
    </w:p>
    <w:p w14:paraId="07429746" w14:textId="5DAC86A7" w:rsidR="00E04C8A" w:rsidRDefault="008E1817">
      <w:pPr>
        <w:pStyle w:val="a3"/>
        <w:numPr>
          <w:ilvl w:val="0"/>
          <w:numId w:val="16"/>
        </w:numPr>
        <w:ind w:left="660" w:hanging="660"/>
        <w:rPr>
          <w:lang w:val="sl-SI"/>
        </w:rPr>
      </w:pPr>
      <w:r>
        <w:rPr>
          <w:rFonts w:eastAsia="Times New Roman"/>
          <w:lang w:val="sl-SI"/>
        </w:rPr>
        <w:t>pojav ali poslabšanje psoriaze;</w:t>
      </w:r>
    </w:p>
    <w:p w14:paraId="20B205EA" w14:textId="77777777" w:rsidR="00E04C8A" w:rsidRDefault="008E1817">
      <w:pPr>
        <w:pStyle w:val="a3"/>
        <w:numPr>
          <w:ilvl w:val="0"/>
          <w:numId w:val="16"/>
        </w:numPr>
        <w:ind w:left="660" w:hanging="660"/>
        <w:rPr>
          <w:lang w:val="sl-SI"/>
        </w:rPr>
      </w:pPr>
      <w:r>
        <w:rPr>
          <w:rFonts w:eastAsia="Times New Roman"/>
          <w:lang w:val="sl-SI"/>
        </w:rPr>
        <w:t>mišični krči;</w:t>
      </w:r>
    </w:p>
    <w:p w14:paraId="68999F4C" w14:textId="77777777" w:rsidR="00E04C8A" w:rsidRDefault="008E1817">
      <w:pPr>
        <w:pStyle w:val="a3"/>
        <w:numPr>
          <w:ilvl w:val="0"/>
          <w:numId w:val="16"/>
        </w:numPr>
        <w:ind w:left="660" w:hanging="660"/>
        <w:rPr>
          <w:lang w:val="sl-SI"/>
        </w:rPr>
      </w:pPr>
      <w:r>
        <w:rPr>
          <w:rFonts w:eastAsia="Times New Roman"/>
          <w:lang w:val="sl-SI"/>
        </w:rPr>
        <w:t>kri v urinu;</w:t>
      </w:r>
    </w:p>
    <w:p w14:paraId="688116C6" w14:textId="77777777" w:rsidR="00E04C8A" w:rsidRDefault="008E1817">
      <w:pPr>
        <w:pStyle w:val="a3"/>
        <w:numPr>
          <w:ilvl w:val="0"/>
          <w:numId w:val="16"/>
        </w:numPr>
        <w:ind w:left="660" w:hanging="660"/>
        <w:rPr>
          <w:lang w:val="sl-SI"/>
        </w:rPr>
      </w:pPr>
      <w:r>
        <w:rPr>
          <w:rFonts w:eastAsia="Times New Roman"/>
          <w:lang w:val="sl-SI"/>
        </w:rPr>
        <w:t>težave z ledvicami;</w:t>
      </w:r>
    </w:p>
    <w:p w14:paraId="3B53A6E9" w14:textId="77777777" w:rsidR="00E04C8A" w:rsidRDefault="008E1817">
      <w:pPr>
        <w:pStyle w:val="a3"/>
        <w:numPr>
          <w:ilvl w:val="0"/>
          <w:numId w:val="16"/>
        </w:numPr>
        <w:ind w:left="660" w:hanging="660"/>
        <w:rPr>
          <w:lang w:val="sl-SI"/>
        </w:rPr>
      </w:pPr>
      <w:r>
        <w:rPr>
          <w:rFonts w:eastAsia="Times New Roman"/>
          <w:lang w:val="sl-SI"/>
        </w:rPr>
        <w:t>bolečina v prsnem košu;</w:t>
      </w:r>
    </w:p>
    <w:p w14:paraId="13371196" w14:textId="77777777" w:rsidR="00E04C8A" w:rsidRDefault="008E1817">
      <w:pPr>
        <w:pStyle w:val="a3"/>
        <w:numPr>
          <w:ilvl w:val="0"/>
          <w:numId w:val="16"/>
        </w:numPr>
        <w:ind w:left="660" w:hanging="660"/>
        <w:rPr>
          <w:lang w:val="sl-SI"/>
        </w:rPr>
      </w:pPr>
      <w:r>
        <w:rPr>
          <w:rFonts w:eastAsia="Times New Roman"/>
          <w:lang w:val="sl-SI"/>
        </w:rPr>
        <w:t>edem (otekanje);</w:t>
      </w:r>
    </w:p>
    <w:p w14:paraId="42AA7245" w14:textId="77777777" w:rsidR="00E04C8A" w:rsidRDefault="008E1817">
      <w:pPr>
        <w:pStyle w:val="a3"/>
        <w:numPr>
          <w:ilvl w:val="0"/>
          <w:numId w:val="16"/>
        </w:numPr>
        <w:ind w:left="660" w:hanging="660"/>
        <w:rPr>
          <w:lang w:val="sl-SI"/>
        </w:rPr>
      </w:pPr>
      <w:r>
        <w:rPr>
          <w:rFonts w:eastAsia="Times New Roman"/>
          <w:lang w:val="sl-SI"/>
        </w:rPr>
        <w:t>zvišana telesna temperatura;</w:t>
      </w:r>
    </w:p>
    <w:p w14:paraId="1FEEA58C" w14:textId="77777777" w:rsidR="00E04C8A" w:rsidRDefault="008E1817">
      <w:pPr>
        <w:pStyle w:val="a3"/>
        <w:numPr>
          <w:ilvl w:val="0"/>
          <w:numId w:val="16"/>
        </w:numPr>
        <w:ind w:left="660" w:hanging="660"/>
        <w:rPr>
          <w:lang w:val="sl-SI"/>
        </w:rPr>
      </w:pPr>
      <w:r>
        <w:rPr>
          <w:rFonts w:eastAsia="Times New Roman"/>
          <w:lang w:val="sl-SI"/>
        </w:rPr>
        <w:t>zmanjšanje števila krvnih ploščic, kar poveča tveganje za krvavitev ali podplutbe;</w:t>
      </w:r>
    </w:p>
    <w:p w14:paraId="2151B597" w14:textId="77777777" w:rsidR="00E04C8A" w:rsidRDefault="008E1817">
      <w:pPr>
        <w:pStyle w:val="a3"/>
        <w:numPr>
          <w:ilvl w:val="0"/>
          <w:numId w:val="16"/>
        </w:numPr>
        <w:ind w:left="660" w:hanging="660"/>
        <w:rPr>
          <w:lang w:val="sl-SI"/>
        </w:rPr>
      </w:pPr>
      <w:r>
        <w:rPr>
          <w:rFonts w:eastAsia="Times New Roman"/>
          <w:lang w:val="sl-SI"/>
        </w:rPr>
        <w:t>slabše celjenje.</w:t>
      </w:r>
    </w:p>
    <w:p w14:paraId="56B03181" w14:textId="77777777" w:rsidR="00E04C8A" w:rsidRDefault="00E04C8A">
      <w:pPr>
        <w:spacing w:before="10" w:line="240" w:lineRule="exact"/>
        <w:rPr>
          <w:sz w:val="24"/>
          <w:szCs w:val="24"/>
          <w:lang w:val="sl-SI"/>
        </w:rPr>
      </w:pPr>
    </w:p>
    <w:p w14:paraId="4067FEED" w14:textId="77777777" w:rsidR="00E04C8A" w:rsidRDefault="008E1817">
      <w:pPr>
        <w:rPr>
          <w:rFonts w:ascii="Times New Roman" w:eastAsia="Times New Roman" w:hAnsi="Times New Roman" w:cs="Times New Roman"/>
          <w:lang w:val="sl-SI"/>
        </w:rPr>
      </w:pPr>
      <w:r>
        <w:rPr>
          <w:rFonts w:ascii="Times New Roman" w:eastAsia="Times New Roman" w:hAnsi="Times New Roman" w:cs="Times New Roman"/>
          <w:b/>
          <w:bCs/>
          <w:spacing w:val="-1"/>
          <w:lang w:val="sl-SI"/>
        </w:rPr>
        <w:t xml:space="preserve">Občasni </w:t>
      </w:r>
      <w:r>
        <w:rPr>
          <w:rFonts w:ascii="Times New Roman" w:eastAsia="Times New Roman" w:hAnsi="Times New Roman" w:cs="Times New Roman"/>
          <w:spacing w:val="-1"/>
          <w:lang w:val="sl-SI"/>
        </w:rPr>
        <w:t>(pojavijo se lahko pri največ 1 od 100 bolnikov)</w:t>
      </w:r>
    </w:p>
    <w:p w14:paraId="70AB9480" w14:textId="77777777" w:rsidR="00E04C8A" w:rsidRDefault="00E04C8A">
      <w:pPr>
        <w:spacing w:before="14" w:line="260" w:lineRule="exact"/>
        <w:rPr>
          <w:sz w:val="26"/>
          <w:szCs w:val="26"/>
          <w:lang w:val="sl-SI"/>
        </w:rPr>
      </w:pPr>
    </w:p>
    <w:p w14:paraId="016CDA81" w14:textId="77777777" w:rsidR="00E04C8A" w:rsidRDefault="008E1817">
      <w:pPr>
        <w:pStyle w:val="a3"/>
        <w:numPr>
          <w:ilvl w:val="0"/>
          <w:numId w:val="16"/>
        </w:numPr>
        <w:ind w:left="660" w:hanging="660"/>
        <w:rPr>
          <w:lang w:val="sl-SI"/>
        </w:rPr>
      </w:pPr>
      <w:r>
        <w:rPr>
          <w:rFonts w:eastAsia="Times New Roman"/>
          <w:lang w:val="sl-SI"/>
        </w:rPr>
        <w:t>oportunistične okužbe (ki vključujejo tuberkulozo in druge okužbe, ki se pojavijo ob slabši odpornosti proti bolezni);</w:t>
      </w:r>
    </w:p>
    <w:p w14:paraId="48073ED6" w14:textId="77777777" w:rsidR="00E04C8A" w:rsidRDefault="008E1817">
      <w:pPr>
        <w:pStyle w:val="a3"/>
        <w:numPr>
          <w:ilvl w:val="0"/>
          <w:numId w:val="16"/>
        </w:numPr>
        <w:ind w:left="660" w:hanging="660"/>
        <w:rPr>
          <w:lang w:val="sl-SI"/>
        </w:rPr>
      </w:pPr>
      <w:r>
        <w:rPr>
          <w:rFonts w:eastAsia="Times New Roman"/>
          <w:lang w:val="sl-SI"/>
        </w:rPr>
        <w:t>nevrološke okužbe (vključno s virusnim meningitisom);</w:t>
      </w:r>
    </w:p>
    <w:p w14:paraId="59026585" w14:textId="77777777" w:rsidR="00E04C8A" w:rsidRDefault="008E1817">
      <w:pPr>
        <w:pStyle w:val="a3"/>
        <w:numPr>
          <w:ilvl w:val="0"/>
          <w:numId w:val="16"/>
        </w:numPr>
        <w:ind w:left="660" w:hanging="660"/>
        <w:rPr>
          <w:lang w:val="sl-SI"/>
        </w:rPr>
      </w:pPr>
      <w:r>
        <w:rPr>
          <w:rFonts w:eastAsia="Times New Roman"/>
          <w:lang w:val="sl-SI"/>
        </w:rPr>
        <w:t>okužbe oči;</w:t>
      </w:r>
    </w:p>
    <w:p w14:paraId="4BFD7316" w14:textId="77777777" w:rsidR="00E04C8A" w:rsidRDefault="008E1817">
      <w:pPr>
        <w:pStyle w:val="a3"/>
        <w:numPr>
          <w:ilvl w:val="0"/>
          <w:numId w:val="16"/>
        </w:numPr>
        <w:ind w:left="660" w:hanging="660"/>
        <w:rPr>
          <w:lang w:val="sl-SI"/>
        </w:rPr>
      </w:pPr>
      <w:r>
        <w:rPr>
          <w:rFonts w:eastAsia="Times New Roman"/>
          <w:lang w:val="sl-SI"/>
        </w:rPr>
        <w:t>bakterijske okužbe;</w:t>
      </w:r>
    </w:p>
    <w:p w14:paraId="5534EFAD" w14:textId="77777777" w:rsidR="00E04C8A" w:rsidRDefault="008E1817">
      <w:pPr>
        <w:pStyle w:val="a3"/>
        <w:numPr>
          <w:ilvl w:val="0"/>
          <w:numId w:val="16"/>
        </w:numPr>
        <w:ind w:left="660" w:hanging="660"/>
        <w:rPr>
          <w:lang w:val="sl-SI"/>
        </w:rPr>
      </w:pPr>
      <w:r>
        <w:rPr>
          <w:rFonts w:eastAsia="Times New Roman"/>
          <w:lang w:val="sl-SI"/>
        </w:rPr>
        <w:t>divertikulitis (vnetje in okužba debelega črevesa);</w:t>
      </w:r>
    </w:p>
    <w:p w14:paraId="6ADBB422" w14:textId="77777777" w:rsidR="00E04C8A" w:rsidRDefault="008E1817">
      <w:pPr>
        <w:pStyle w:val="a3"/>
        <w:numPr>
          <w:ilvl w:val="0"/>
          <w:numId w:val="16"/>
        </w:numPr>
        <w:ind w:left="660" w:hanging="660"/>
        <w:rPr>
          <w:lang w:val="sl-SI"/>
        </w:rPr>
      </w:pPr>
      <w:r>
        <w:rPr>
          <w:rFonts w:eastAsia="Times New Roman"/>
          <w:lang w:val="sl-SI"/>
        </w:rPr>
        <w:t>rak;</w:t>
      </w:r>
    </w:p>
    <w:p w14:paraId="099A78F6" w14:textId="77777777" w:rsidR="00E04C8A" w:rsidRDefault="008E1817">
      <w:pPr>
        <w:pStyle w:val="a3"/>
        <w:numPr>
          <w:ilvl w:val="0"/>
          <w:numId w:val="16"/>
        </w:numPr>
        <w:ind w:left="660" w:hanging="660"/>
        <w:rPr>
          <w:lang w:val="sl-SI"/>
        </w:rPr>
      </w:pPr>
      <w:r>
        <w:rPr>
          <w:rFonts w:eastAsia="Times New Roman"/>
          <w:lang w:val="sl-SI"/>
        </w:rPr>
        <w:t>rak, ki zajame limfni sistem;</w:t>
      </w:r>
    </w:p>
    <w:p w14:paraId="061F2B8B" w14:textId="77777777" w:rsidR="00E04C8A" w:rsidRDefault="008E1817">
      <w:pPr>
        <w:pStyle w:val="a3"/>
        <w:numPr>
          <w:ilvl w:val="0"/>
          <w:numId w:val="16"/>
        </w:numPr>
        <w:ind w:left="660" w:hanging="660"/>
        <w:rPr>
          <w:lang w:val="sl-SI"/>
        </w:rPr>
      </w:pPr>
      <w:r>
        <w:rPr>
          <w:rFonts w:eastAsia="Times New Roman"/>
          <w:lang w:val="sl-SI"/>
        </w:rPr>
        <w:t>melanom;</w:t>
      </w:r>
    </w:p>
    <w:p w14:paraId="74D6337B" w14:textId="77777777" w:rsidR="00E04C8A" w:rsidRDefault="008E1817">
      <w:pPr>
        <w:pStyle w:val="a3"/>
        <w:numPr>
          <w:ilvl w:val="0"/>
          <w:numId w:val="16"/>
        </w:numPr>
        <w:ind w:left="660" w:hanging="660"/>
        <w:rPr>
          <w:lang w:val="sl-SI"/>
        </w:rPr>
      </w:pPr>
      <w:r>
        <w:rPr>
          <w:rFonts w:eastAsia="Times New Roman"/>
          <w:lang w:val="sl-SI"/>
        </w:rPr>
        <w:t>imunske bolezni, ki lahko prizadenejo pljuča, kožo in bezgavke (najpogosteje kot sarkoidoza);</w:t>
      </w:r>
    </w:p>
    <w:p w14:paraId="5881FA88" w14:textId="77777777" w:rsidR="00E04C8A" w:rsidRDefault="008E1817">
      <w:pPr>
        <w:pStyle w:val="a3"/>
        <w:numPr>
          <w:ilvl w:val="0"/>
          <w:numId w:val="16"/>
        </w:numPr>
        <w:ind w:left="660" w:hanging="660"/>
        <w:rPr>
          <w:lang w:val="sl-SI"/>
        </w:rPr>
      </w:pPr>
      <w:r>
        <w:rPr>
          <w:rFonts w:eastAsia="Times New Roman"/>
          <w:lang w:val="sl-SI"/>
        </w:rPr>
        <w:t>vaskulitis (vnetje krvnih žil);</w:t>
      </w:r>
    </w:p>
    <w:p w14:paraId="0D750F32" w14:textId="77777777" w:rsidR="00E04C8A" w:rsidRDefault="008E1817">
      <w:pPr>
        <w:pStyle w:val="a3"/>
        <w:numPr>
          <w:ilvl w:val="0"/>
          <w:numId w:val="16"/>
        </w:numPr>
        <w:ind w:left="660" w:hanging="660"/>
        <w:rPr>
          <w:lang w:val="sl-SI"/>
        </w:rPr>
      </w:pPr>
      <w:r>
        <w:rPr>
          <w:rFonts w:eastAsia="Times New Roman"/>
          <w:lang w:val="sl-SI"/>
        </w:rPr>
        <w:t>tremor (tresenje);</w:t>
      </w:r>
    </w:p>
    <w:p w14:paraId="5ED4B832" w14:textId="77777777" w:rsidR="00E04C8A" w:rsidRDefault="008E1817">
      <w:pPr>
        <w:pStyle w:val="a3"/>
        <w:numPr>
          <w:ilvl w:val="0"/>
          <w:numId w:val="16"/>
        </w:numPr>
        <w:ind w:left="660" w:hanging="660"/>
        <w:rPr>
          <w:lang w:val="sl-SI"/>
        </w:rPr>
      </w:pPr>
      <w:r>
        <w:rPr>
          <w:rFonts w:eastAsia="Times New Roman"/>
          <w:lang w:val="sl-SI"/>
        </w:rPr>
        <w:t>nevropatija (bolezen živcev);</w:t>
      </w:r>
    </w:p>
    <w:p w14:paraId="21AB3780" w14:textId="77777777" w:rsidR="00E04C8A" w:rsidRDefault="008E1817">
      <w:pPr>
        <w:pStyle w:val="a3"/>
        <w:numPr>
          <w:ilvl w:val="0"/>
          <w:numId w:val="16"/>
        </w:numPr>
        <w:ind w:left="660" w:hanging="660"/>
        <w:rPr>
          <w:lang w:val="sl-SI"/>
        </w:rPr>
      </w:pPr>
      <w:r>
        <w:rPr>
          <w:rFonts w:eastAsia="Times New Roman"/>
          <w:lang w:val="sl-SI"/>
        </w:rPr>
        <w:t>možganska kap;</w:t>
      </w:r>
    </w:p>
    <w:p w14:paraId="407CDB1A" w14:textId="77777777" w:rsidR="00E04C8A" w:rsidRDefault="008E1817">
      <w:pPr>
        <w:pStyle w:val="a3"/>
        <w:numPr>
          <w:ilvl w:val="0"/>
          <w:numId w:val="16"/>
        </w:numPr>
        <w:ind w:left="660" w:hanging="660"/>
        <w:rPr>
          <w:lang w:val="sl-SI"/>
        </w:rPr>
      </w:pPr>
      <w:r>
        <w:rPr>
          <w:rFonts w:eastAsia="Times New Roman"/>
          <w:lang w:val="sl-SI"/>
        </w:rPr>
        <w:t>izguba sluha, šumenje v ušesih;</w:t>
      </w:r>
    </w:p>
    <w:p w14:paraId="10EE57BA" w14:textId="77777777" w:rsidR="00E04C8A" w:rsidRDefault="008E1817">
      <w:pPr>
        <w:pStyle w:val="a3"/>
        <w:numPr>
          <w:ilvl w:val="0"/>
          <w:numId w:val="16"/>
        </w:numPr>
        <w:ind w:left="660" w:hanging="660"/>
        <w:rPr>
          <w:lang w:val="sl-SI"/>
        </w:rPr>
      </w:pPr>
      <w:r>
        <w:rPr>
          <w:rFonts w:eastAsia="Times New Roman"/>
          <w:lang w:val="sl-SI"/>
        </w:rPr>
        <w:t>občutek neenakomernega bitja srca kot je preskakovanje utripov;</w:t>
      </w:r>
    </w:p>
    <w:p w14:paraId="22A847E6" w14:textId="77777777" w:rsidR="00E04C8A" w:rsidRDefault="008E1817">
      <w:pPr>
        <w:pStyle w:val="a3"/>
        <w:numPr>
          <w:ilvl w:val="0"/>
          <w:numId w:val="16"/>
        </w:numPr>
        <w:ind w:left="660" w:hanging="660"/>
        <w:rPr>
          <w:lang w:val="sl-SI"/>
        </w:rPr>
      </w:pPr>
      <w:r>
        <w:rPr>
          <w:rFonts w:eastAsia="Times New Roman"/>
          <w:lang w:val="sl-SI"/>
        </w:rPr>
        <w:t>težave s srcem, ki lahko povzročijo kratko sapo ali otekanje gležnjev;</w:t>
      </w:r>
    </w:p>
    <w:p w14:paraId="2CDB076A" w14:textId="77777777" w:rsidR="00E04C8A" w:rsidRDefault="008E1817">
      <w:pPr>
        <w:pStyle w:val="a3"/>
        <w:numPr>
          <w:ilvl w:val="0"/>
          <w:numId w:val="16"/>
        </w:numPr>
        <w:ind w:left="660" w:hanging="660"/>
        <w:rPr>
          <w:lang w:val="sl-SI"/>
        </w:rPr>
      </w:pPr>
      <w:r>
        <w:rPr>
          <w:rFonts w:eastAsia="Times New Roman"/>
          <w:lang w:val="sl-SI"/>
        </w:rPr>
        <w:t>srčni napad;</w:t>
      </w:r>
    </w:p>
    <w:p w14:paraId="69B84493" w14:textId="77777777" w:rsidR="00E04C8A" w:rsidRDefault="008E1817">
      <w:pPr>
        <w:pStyle w:val="a3"/>
        <w:numPr>
          <w:ilvl w:val="0"/>
          <w:numId w:val="16"/>
        </w:numPr>
        <w:ind w:left="660" w:hanging="660"/>
        <w:rPr>
          <w:lang w:val="sl-SI"/>
        </w:rPr>
      </w:pPr>
      <w:r>
        <w:rPr>
          <w:rFonts w:eastAsia="Times New Roman"/>
          <w:lang w:val="sl-SI"/>
        </w:rPr>
        <w:t>razširitev v steni večje arterije, vnetje in krvni strdek v veni, zamašitev žile;</w:t>
      </w:r>
    </w:p>
    <w:p w14:paraId="5D2B97CA" w14:textId="77777777" w:rsidR="00E04C8A" w:rsidRDefault="008E1817">
      <w:pPr>
        <w:pStyle w:val="a3"/>
        <w:numPr>
          <w:ilvl w:val="0"/>
          <w:numId w:val="16"/>
        </w:numPr>
        <w:ind w:left="660" w:hanging="660"/>
        <w:rPr>
          <w:lang w:val="sl-SI"/>
        </w:rPr>
      </w:pPr>
      <w:r>
        <w:rPr>
          <w:rFonts w:eastAsia="Times New Roman"/>
          <w:lang w:val="sl-SI"/>
        </w:rPr>
        <w:t>pljučne bolezni, ki povzročajo kratko sapo (vključno z vnetjem);</w:t>
      </w:r>
    </w:p>
    <w:p w14:paraId="6C6AF8CC" w14:textId="77777777" w:rsidR="00E04C8A" w:rsidRDefault="008E1817">
      <w:pPr>
        <w:pStyle w:val="a3"/>
        <w:numPr>
          <w:ilvl w:val="0"/>
          <w:numId w:val="16"/>
        </w:numPr>
        <w:ind w:left="660" w:hanging="660"/>
        <w:rPr>
          <w:lang w:val="sl-SI"/>
        </w:rPr>
      </w:pPr>
      <w:r>
        <w:rPr>
          <w:rFonts w:eastAsia="Times New Roman"/>
          <w:lang w:val="sl-SI"/>
        </w:rPr>
        <w:t>pljučna embolija (zamašitev arterije v pljučih);</w:t>
      </w:r>
    </w:p>
    <w:p w14:paraId="5ED790D6" w14:textId="77777777" w:rsidR="00E04C8A" w:rsidRDefault="008E1817">
      <w:pPr>
        <w:pStyle w:val="a3"/>
        <w:numPr>
          <w:ilvl w:val="0"/>
          <w:numId w:val="16"/>
        </w:numPr>
        <w:ind w:left="660" w:hanging="660"/>
        <w:rPr>
          <w:lang w:val="sl-SI"/>
        </w:rPr>
      </w:pPr>
      <w:r>
        <w:rPr>
          <w:rFonts w:eastAsia="Times New Roman"/>
          <w:lang w:val="sl-SI"/>
        </w:rPr>
        <w:t>plevralni izliv (nenormalno kopičenje tekočine v plevralnem prostoru);</w:t>
      </w:r>
    </w:p>
    <w:p w14:paraId="0EDC3CC9" w14:textId="77777777" w:rsidR="00E04C8A" w:rsidRDefault="008E1817">
      <w:pPr>
        <w:pStyle w:val="a3"/>
        <w:numPr>
          <w:ilvl w:val="0"/>
          <w:numId w:val="16"/>
        </w:numPr>
        <w:ind w:left="660" w:hanging="660"/>
        <w:rPr>
          <w:lang w:val="sl-SI"/>
        </w:rPr>
      </w:pPr>
      <w:r>
        <w:rPr>
          <w:rFonts w:eastAsia="Times New Roman"/>
          <w:lang w:val="sl-SI"/>
        </w:rPr>
        <w:t>vnetje trebušne slinavke, ki povzroča hude bolečine v trebuhu in hrbtu;</w:t>
      </w:r>
    </w:p>
    <w:p w14:paraId="321492BC" w14:textId="77777777" w:rsidR="00E04C8A" w:rsidRDefault="008E1817">
      <w:pPr>
        <w:pStyle w:val="a3"/>
        <w:numPr>
          <w:ilvl w:val="0"/>
          <w:numId w:val="16"/>
        </w:numPr>
        <w:ind w:left="660" w:hanging="660"/>
        <w:rPr>
          <w:lang w:val="sl-SI"/>
        </w:rPr>
      </w:pPr>
      <w:r>
        <w:rPr>
          <w:rFonts w:eastAsia="Times New Roman"/>
          <w:lang w:val="sl-SI"/>
        </w:rPr>
        <w:t>težave s požiranjem;</w:t>
      </w:r>
    </w:p>
    <w:p w14:paraId="5A4DF41D" w14:textId="77777777" w:rsidR="00E04C8A" w:rsidRDefault="008E1817">
      <w:pPr>
        <w:pStyle w:val="a3"/>
        <w:numPr>
          <w:ilvl w:val="0"/>
          <w:numId w:val="16"/>
        </w:numPr>
        <w:ind w:left="660" w:hanging="660"/>
        <w:rPr>
          <w:lang w:val="sl-SI"/>
        </w:rPr>
      </w:pPr>
      <w:r>
        <w:rPr>
          <w:rFonts w:eastAsia="Times New Roman"/>
          <w:lang w:val="sl-SI"/>
        </w:rPr>
        <w:t>edem obraza (otekanje obraza);</w:t>
      </w:r>
    </w:p>
    <w:p w14:paraId="7B9AD0C0" w14:textId="77777777" w:rsidR="00E04C8A" w:rsidRDefault="008E1817">
      <w:pPr>
        <w:pStyle w:val="a3"/>
        <w:numPr>
          <w:ilvl w:val="0"/>
          <w:numId w:val="16"/>
        </w:numPr>
        <w:ind w:left="660" w:hanging="660"/>
        <w:rPr>
          <w:lang w:val="sl-SI"/>
        </w:rPr>
      </w:pPr>
      <w:r>
        <w:rPr>
          <w:rFonts w:eastAsia="Times New Roman"/>
          <w:lang w:val="sl-SI"/>
        </w:rPr>
        <w:t>vnetje žolčnika, žolčni kamni;</w:t>
      </w:r>
    </w:p>
    <w:p w14:paraId="7D475C3E" w14:textId="77777777" w:rsidR="00E04C8A" w:rsidRDefault="008E1817">
      <w:pPr>
        <w:pStyle w:val="a3"/>
        <w:numPr>
          <w:ilvl w:val="0"/>
          <w:numId w:val="16"/>
        </w:numPr>
        <w:ind w:left="660" w:hanging="660"/>
        <w:rPr>
          <w:lang w:val="sl-SI"/>
        </w:rPr>
      </w:pPr>
      <w:r>
        <w:rPr>
          <w:rFonts w:eastAsia="Times New Roman"/>
          <w:lang w:val="sl-SI"/>
        </w:rPr>
        <w:t>zamaščena jetra;</w:t>
      </w:r>
    </w:p>
    <w:p w14:paraId="35AAB886" w14:textId="77777777" w:rsidR="00E04C8A" w:rsidRDefault="008E1817">
      <w:pPr>
        <w:pStyle w:val="a3"/>
        <w:numPr>
          <w:ilvl w:val="0"/>
          <w:numId w:val="16"/>
        </w:numPr>
        <w:ind w:left="660" w:hanging="660"/>
        <w:rPr>
          <w:lang w:val="sl-SI"/>
        </w:rPr>
      </w:pPr>
      <w:r>
        <w:rPr>
          <w:rFonts w:eastAsia="Times New Roman"/>
          <w:lang w:val="sl-SI"/>
        </w:rPr>
        <w:t>nočno potenje;</w:t>
      </w:r>
    </w:p>
    <w:p w14:paraId="7175CC36" w14:textId="77777777" w:rsidR="00E04C8A" w:rsidRDefault="008E1817">
      <w:pPr>
        <w:pStyle w:val="a3"/>
        <w:numPr>
          <w:ilvl w:val="0"/>
          <w:numId w:val="16"/>
        </w:numPr>
        <w:ind w:left="660" w:hanging="660"/>
        <w:rPr>
          <w:lang w:val="sl-SI"/>
        </w:rPr>
      </w:pPr>
      <w:r>
        <w:rPr>
          <w:rFonts w:eastAsia="Times New Roman"/>
          <w:lang w:val="sl-SI"/>
        </w:rPr>
        <w:t>brazgotinjenje;</w:t>
      </w:r>
    </w:p>
    <w:p w14:paraId="4F282429" w14:textId="77777777" w:rsidR="00E04C8A" w:rsidRDefault="008E1817">
      <w:pPr>
        <w:pStyle w:val="a3"/>
        <w:numPr>
          <w:ilvl w:val="0"/>
          <w:numId w:val="16"/>
        </w:numPr>
        <w:ind w:left="660" w:hanging="660"/>
        <w:rPr>
          <w:lang w:val="sl-SI"/>
        </w:rPr>
      </w:pPr>
      <w:r>
        <w:rPr>
          <w:rFonts w:eastAsia="Times New Roman"/>
          <w:lang w:val="sl-SI"/>
        </w:rPr>
        <w:lastRenderedPageBreak/>
        <w:t>neobičajen razpad mišic;</w:t>
      </w:r>
    </w:p>
    <w:p w14:paraId="52000C24" w14:textId="77777777" w:rsidR="00E04C8A" w:rsidRDefault="008E1817">
      <w:pPr>
        <w:pStyle w:val="a3"/>
        <w:numPr>
          <w:ilvl w:val="0"/>
          <w:numId w:val="16"/>
        </w:numPr>
        <w:ind w:left="660" w:hanging="660"/>
        <w:rPr>
          <w:rFonts w:eastAsia="Times New Roman"/>
          <w:spacing w:val="-1"/>
          <w:lang w:val="sl-SI"/>
        </w:rPr>
      </w:pPr>
      <w:r>
        <w:rPr>
          <w:rFonts w:eastAsia="Times New Roman"/>
          <w:lang w:val="sl-SI"/>
        </w:rPr>
        <w:t>sistemski eritematozni lupus (vključno z vnetjem kože, srca, pljuč, sklepov in drugih organskih sistemov);</w:t>
      </w:r>
    </w:p>
    <w:p w14:paraId="66DE9359" w14:textId="77777777" w:rsidR="00E04C8A" w:rsidRDefault="008E1817">
      <w:pPr>
        <w:pStyle w:val="a3"/>
        <w:numPr>
          <w:ilvl w:val="0"/>
          <w:numId w:val="16"/>
        </w:numPr>
        <w:ind w:left="660" w:hanging="660"/>
        <w:rPr>
          <w:lang w:val="sl-SI"/>
        </w:rPr>
      </w:pPr>
      <w:r>
        <w:rPr>
          <w:rFonts w:eastAsia="Times New Roman"/>
          <w:lang w:val="sl-SI"/>
        </w:rPr>
        <w:t>motnje spanja;</w:t>
      </w:r>
    </w:p>
    <w:p w14:paraId="03C7A81C" w14:textId="77777777" w:rsidR="00E04C8A" w:rsidRDefault="008E1817">
      <w:pPr>
        <w:pStyle w:val="a3"/>
        <w:numPr>
          <w:ilvl w:val="0"/>
          <w:numId w:val="16"/>
        </w:numPr>
        <w:ind w:left="660" w:hanging="660"/>
        <w:rPr>
          <w:lang w:val="sl-SI"/>
        </w:rPr>
      </w:pPr>
      <w:r>
        <w:rPr>
          <w:rFonts w:eastAsia="Times New Roman"/>
          <w:lang w:val="sl-SI"/>
        </w:rPr>
        <w:t>impotenca;</w:t>
      </w:r>
    </w:p>
    <w:p w14:paraId="1D88E76E" w14:textId="77777777" w:rsidR="00E04C8A" w:rsidRDefault="008E1817">
      <w:pPr>
        <w:pStyle w:val="a3"/>
        <w:numPr>
          <w:ilvl w:val="0"/>
          <w:numId w:val="16"/>
        </w:numPr>
        <w:ind w:left="660" w:hanging="660"/>
        <w:rPr>
          <w:lang w:val="sl-SI"/>
        </w:rPr>
      </w:pPr>
      <w:r>
        <w:rPr>
          <w:rFonts w:eastAsia="Times New Roman"/>
          <w:lang w:val="sl-SI"/>
        </w:rPr>
        <w:t>vnetja.</w:t>
      </w:r>
    </w:p>
    <w:p w14:paraId="282335B6" w14:textId="77777777" w:rsidR="00E04C8A" w:rsidRDefault="00E04C8A">
      <w:pPr>
        <w:spacing w:before="13" w:line="240" w:lineRule="exact"/>
        <w:rPr>
          <w:sz w:val="24"/>
          <w:szCs w:val="24"/>
          <w:lang w:val="sl-SI"/>
        </w:rPr>
      </w:pPr>
    </w:p>
    <w:p w14:paraId="69D05D48" w14:textId="77777777" w:rsidR="00E04C8A" w:rsidRDefault="008E1817">
      <w:pPr>
        <w:pStyle w:val="a3"/>
        <w:rPr>
          <w:lang w:val="sl-SI"/>
        </w:rPr>
      </w:pPr>
      <w:r>
        <w:rPr>
          <w:rFonts w:eastAsia="Times New Roman"/>
          <w:b/>
          <w:bCs/>
          <w:lang w:val="sl-SI"/>
        </w:rPr>
        <w:t xml:space="preserve">Redki </w:t>
      </w:r>
      <w:r>
        <w:rPr>
          <w:rFonts w:eastAsia="Times New Roman"/>
          <w:lang w:val="sl-SI"/>
        </w:rPr>
        <w:t>(pojavijo se lahko pri največ 1 od 1.000 bolnikov)</w:t>
      </w:r>
    </w:p>
    <w:p w14:paraId="79978F02" w14:textId="77777777" w:rsidR="00E04C8A" w:rsidRDefault="00E04C8A">
      <w:pPr>
        <w:spacing w:before="12" w:line="240" w:lineRule="exact"/>
        <w:rPr>
          <w:sz w:val="24"/>
          <w:szCs w:val="24"/>
          <w:lang w:val="sl-SI"/>
        </w:rPr>
      </w:pPr>
    </w:p>
    <w:p w14:paraId="46564998" w14:textId="77777777" w:rsidR="00E04C8A" w:rsidRDefault="008E1817">
      <w:pPr>
        <w:pStyle w:val="a3"/>
        <w:numPr>
          <w:ilvl w:val="0"/>
          <w:numId w:val="16"/>
        </w:numPr>
        <w:ind w:left="660" w:hanging="660"/>
        <w:rPr>
          <w:lang w:val="sl-SI"/>
        </w:rPr>
      </w:pPr>
      <w:r>
        <w:rPr>
          <w:rFonts w:eastAsia="Times New Roman"/>
          <w:lang w:val="sl-SI"/>
        </w:rPr>
        <w:t>levkemija (rak, ki prizadene kri in kostni mozeg);</w:t>
      </w:r>
    </w:p>
    <w:p w14:paraId="77522E72" w14:textId="77777777" w:rsidR="00E04C8A" w:rsidRDefault="008E1817">
      <w:pPr>
        <w:pStyle w:val="a3"/>
        <w:numPr>
          <w:ilvl w:val="0"/>
          <w:numId w:val="16"/>
        </w:numPr>
        <w:ind w:left="660" w:hanging="660"/>
        <w:rPr>
          <w:lang w:val="sl-SI"/>
        </w:rPr>
      </w:pPr>
      <w:r>
        <w:rPr>
          <w:rFonts w:eastAsia="Times New Roman"/>
          <w:lang w:val="sl-SI"/>
        </w:rPr>
        <w:t>huda alergijska reakcija s šokom;</w:t>
      </w:r>
    </w:p>
    <w:p w14:paraId="26CCD0A3" w14:textId="77777777" w:rsidR="00E04C8A" w:rsidRDefault="008E1817">
      <w:pPr>
        <w:pStyle w:val="a3"/>
        <w:numPr>
          <w:ilvl w:val="0"/>
          <w:numId w:val="16"/>
        </w:numPr>
        <w:ind w:left="660" w:hanging="660"/>
        <w:rPr>
          <w:lang w:val="sl-SI"/>
        </w:rPr>
      </w:pPr>
      <w:r>
        <w:rPr>
          <w:rFonts w:eastAsia="Times New Roman"/>
          <w:lang w:val="sl-SI"/>
        </w:rPr>
        <w:t>multipla skleroza;</w:t>
      </w:r>
    </w:p>
    <w:p w14:paraId="1A6CD58F" w14:textId="77777777" w:rsidR="00E04C8A" w:rsidRDefault="008E1817">
      <w:pPr>
        <w:pStyle w:val="a3"/>
        <w:numPr>
          <w:ilvl w:val="0"/>
          <w:numId w:val="16"/>
        </w:numPr>
        <w:ind w:left="660" w:hanging="660"/>
        <w:rPr>
          <w:lang w:val="sl-SI"/>
        </w:rPr>
      </w:pPr>
      <w:r>
        <w:rPr>
          <w:rFonts w:eastAsia="Times New Roman"/>
          <w:lang w:val="sl-SI"/>
        </w:rPr>
        <w:t>bolezni živčevja (kot je vnetje očesnega živca in sindrom Guillain-Barré, ki lahko povzroči šibkost mišic, nenormalna občutenja, mravljinčenje v rokah in zgornjem delu telesa);</w:t>
      </w:r>
    </w:p>
    <w:p w14:paraId="5C498858" w14:textId="77777777" w:rsidR="00E04C8A" w:rsidRDefault="008E1817">
      <w:pPr>
        <w:pStyle w:val="a3"/>
        <w:numPr>
          <w:ilvl w:val="0"/>
          <w:numId w:val="16"/>
        </w:numPr>
        <w:ind w:left="660" w:hanging="660"/>
        <w:rPr>
          <w:lang w:val="sl-SI"/>
        </w:rPr>
      </w:pPr>
      <w:r>
        <w:rPr>
          <w:rFonts w:eastAsia="Times New Roman"/>
          <w:lang w:val="sl-SI"/>
        </w:rPr>
        <w:t>srce preneha črpati kri;</w:t>
      </w:r>
    </w:p>
    <w:p w14:paraId="0C00770E" w14:textId="77777777" w:rsidR="00E04C8A" w:rsidRDefault="008E1817">
      <w:pPr>
        <w:pStyle w:val="a3"/>
        <w:numPr>
          <w:ilvl w:val="0"/>
          <w:numId w:val="16"/>
        </w:numPr>
        <w:ind w:left="660" w:hanging="660"/>
        <w:rPr>
          <w:lang w:val="sl-SI"/>
        </w:rPr>
      </w:pPr>
      <w:r>
        <w:rPr>
          <w:rFonts w:eastAsia="Times New Roman"/>
          <w:lang w:val="sl-SI"/>
        </w:rPr>
        <w:t>pljučna fibroza (brazgotinjenje pljuč);</w:t>
      </w:r>
    </w:p>
    <w:p w14:paraId="08E41AD2" w14:textId="77777777" w:rsidR="00E04C8A" w:rsidRDefault="008E1817">
      <w:pPr>
        <w:pStyle w:val="a3"/>
        <w:numPr>
          <w:ilvl w:val="0"/>
          <w:numId w:val="16"/>
        </w:numPr>
        <w:ind w:left="660" w:hanging="660"/>
        <w:rPr>
          <w:lang w:val="sl-SI"/>
        </w:rPr>
      </w:pPr>
      <w:r>
        <w:rPr>
          <w:rFonts w:eastAsia="Times New Roman"/>
          <w:lang w:val="sl-SI"/>
        </w:rPr>
        <w:t>perforacija črevesja (luknja v črevesju);</w:t>
      </w:r>
    </w:p>
    <w:p w14:paraId="31E5AFC0" w14:textId="77777777" w:rsidR="00E04C8A" w:rsidRDefault="008E1817">
      <w:pPr>
        <w:pStyle w:val="a3"/>
        <w:numPr>
          <w:ilvl w:val="0"/>
          <w:numId w:val="16"/>
        </w:numPr>
        <w:ind w:left="660" w:hanging="660"/>
        <w:rPr>
          <w:lang w:val="sl-SI"/>
        </w:rPr>
      </w:pPr>
      <w:r>
        <w:rPr>
          <w:rFonts w:eastAsia="Times New Roman"/>
          <w:lang w:val="sl-SI"/>
        </w:rPr>
        <w:t>hepatitis;</w:t>
      </w:r>
    </w:p>
    <w:p w14:paraId="53941AD6" w14:textId="77777777" w:rsidR="00E04C8A" w:rsidRDefault="008E1817">
      <w:pPr>
        <w:pStyle w:val="a3"/>
        <w:numPr>
          <w:ilvl w:val="0"/>
          <w:numId w:val="16"/>
        </w:numPr>
        <w:ind w:left="660" w:hanging="660"/>
        <w:rPr>
          <w:lang w:val="sl-SI"/>
        </w:rPr>
      </w:pPr>
      <w:r>
        <w:rPr>
          <w:rFonts w:eastAsia="Times New Roman"/>
          <w:lang w:val="sl-SI"/>
        </w:rPr>
        <w:t>ponovna aktivacija hepatitisa B;</w:t>
      </w:r>
    </w:p>
    <w:p w14:paraId="73D66585" w14:textId="77777777" w:rsidR="00E04C8A" w:rsidRDefault="008E1817">
      <w:pPr>
        <w:pStyle w:val="a3"/>
        <w:numPr>
          <w:ilvl w:val="0"/>
          <w:numId w:val="16"/>
        </w:numPr>
        <w:ind w:left="660" w:hanging="660"/>
        <w:rPr>
          <w:lang w:val="sl-SI"/>
        </w:rPr>
      </w:pPr>
      <w:r>
        <w:rPr>
          <w:rFonts w:eastAsia="Times New Roman"/>
          <w:lang w:val="sl-SI"/>
        </w:rPr>
        <w:t>avtoimunski hepatitis (vnetje jeter, ki ga povzroči lastni imunski sistem);</w:t>
      </w:r>
    </w:p>
    <w:p w14:paraId="0301A119" w14:textId="77777777" w:rsidR="00E04C8A" w:rsidRDefault="008E1817">
      <w:pPr>
        <w:pStyle w:val="a3"/>
        <w:numPr>
          <w:ilvl w:val="0"/>
          <w:numId w:val="16"/>
        </w:numPr>
        <w:ind w:left="660" w:hanging="660"/>
        <w:rPr>
          <w:lang w:val="sl-SI"/>
        </w:rPr>
      </w:pPr>
      <w:r>
        <w:rPr>
          <w:rFonts w:eastAsia="Times New Roman"/>
          <w:lang w:val="sl-SI"/>
        </w:rPr>
        <w:t>kožni vaskulitis (vnetje krvnih žil v koži);</w:t>
      </w:r>
    </w:p>
    <w:p w14:paraId="708DE045" w14:textId="77777777" w:rsidR="00E04C8A" w:rsidRDefault="008E1817">
      <w:pPr>
        <w:pStyle w:val="a3"/>
        <w:numPr>
          <w:ilvl w:val="0"/>
          <w:numId w:val="16"/>
        </w:numPr>
        <w:ind w:left="660" w:hanging="660"/>
        <w:rPr>
          <w:lang w:val="sl-SI"/>
        </w:rPr>
      </w:pPr>
      <w:r>
        <w:rPr>
          <w:rFonts w:eastAsia="Times New Roman"/>
          <w:lang w:val="sl-SI"/>
        </w:rPr>
        <w:t>Stevens-Johnsonov sindrom (zgodnji znaki vključujejo slabo počutje, povišano telesno temperaturo, glavobol in izpuščaj);</w:t>
      </w:r>
    </w:p>
    <w:p w14:paraId="0DE1AD02" w14:textId="77777777" w:rsidR="00E04C8A" w:rsidRDefault="008E1817">
      <w:pPr>
        <w:pStyle w:val="a3"/>
        <w:numPr>
          <w:ilvl w:val="0"/>
          <w:numId w:val="16"/>
        </w:numPr>
        <w:ind w:left="660" w:hanging="660"/>
        <w:rPr>
          <w:lang w:val="sl-SI"/>
        </w:rPr>
      </w:pPr>
      <w:r>
        <w:rPr>
          <w:rFonts w:eastAsia="Times New Roman"/>
          <w:lang w:val="sl-SI"/>
        </w:rPr>
        <w:t>edem obraza (otekanje obraza), ki je povezano z alergijskimi reakcijami;</w:t>
      </w:r>
    </w:p>
    <w:p w14:paraId="25B6EC89" w14:textId="77777777" w:rsidR="00E04C8A" w:rsidRDefault="008E1817">
      <w:pPr>
        <w:pStyle w:val="a3"/>
        <w:numPr>
          <w:ilvl w:val="0"/>
          <w:numId w:val="16"/>
        </w:numPr>
        <w:ind w:left="660" w:hanging="660"/>
        <w:rPr>
          <w:lang w:val="sl-SI"/>
        </w:rPr>
      </w:pPr>
      <w:r>
        <w:rPr>
          <w:rFonts w:eastAsia="Times New Roman"/>
          <w:lang w:val="sl-SI"/>
        </w:rPr>
        <w:t>multiformni eritem (vnetni kožni izpuščaj);</w:t>
      </w:r>
    </w:p>
    <w:p w14:paraId="759D1032" w14:textId="77777777" w:rsidR="00E04C8A" w:rsidRDefault="008E1817">
      <w:pPr>
        <w:pStyle w:val="a3"/>
        <w:numPr>
          <w:ilvl w:val="0"/>
          <w:numId w:val="16"/>
        </w:numPr>
        <w:ind w:left="660" w:hanging="660"/>
        <w:rPr>
          <w:lang w:val="sl-SI"/>
        </w:rPr>
      </w:pPr>
      <w:r>
        <w:rPr>
          <w:rFonts w:eastAsia="Times New Roman"/>
          <w:lang w:val="sl-SI"/>
        </w:rPr>
        <w:t>lupusu podoben sindrom;</w:t>
      </w:r>
    </w:p>
    <w:p w14:paraId="2583327F" w14:textId="77777777" w:rsidR="00E04C8A" w:rsidRDefault="008E1817">
      <w:pPr>
        <w:pStyle w:val="a3"/>
        <w:numPr>
          <w:ilvl w:val="0"/>
          <w:numId w:val="16"/>
        </w:numPr>
        <w:ind w:left="660" w:hanging="660"/>
        <w:rPr>
          <w:lang w:val="sl-SI"/>
        </w:rPr>
      </w:pPr>
      <w:r>
        <w:rPr>
          <w:rFonts w:eastAsia="Times New Roman"/>
          <w:lang w:val="sl-SI"/>
        </w:rPr>
        <w:t>angioedem (lokalizirano otekanje kože);</w:t>
      </w:r>
    </w:p>
    <w:p w14:paraId="3534EE01" w14:textId="77777777" w:rsidR="00E04C8A" w:rsidRDefault="008E1817">
      <w:pPr>
        <w:pStyle w:val="a3"/>
        <w:numPr>
          <w:ilvl w:val="0"/>
          <w:numId w:val="16"/>
        </w:numPr>
        <w:ind w:left="660" w:hanging="660"/>
        <w:rPr>
          <w:lang w:val="sl-SI"/>
        </w:rPr>
      </w:pPr>
      <w:r>
        <w:rPr>
          <w:rFonts w:eastAsia="Times New Roman"/>
          <w:lang w:val="sl-SI"/>
        </w:rPr>
        <w:t>lihenoidna reakcija kože (srbeč rdeče-vijolični kožni izpuščaj).</w:t>
      </w:r>
    </w:p>
    <w:p w14:paraId="4A9B7B39" w14:textId="77777777" w:rsidR="00E04C8A" w:rsidRDefault="00E04C8A">
      <w:pPr>
        <w:spacing w:before="10" w:line="240" w:lineRule="exact"/>
        <w:rPr>
          <w:sz w:val="24"/>
          <w:szCs w:val="24"/>
          <w:lang w:val="sl-SI"/>
        </w:rPr>
      </w:pPr>
    </w:p>
    <w:p w14:paraId="49D311E6" w14:textId="3A830144" w:rsidR="00E04C8A" w:rsidRDefault="008E1817">
      <w:pPr>
        <w:pStyle w:val="a3"/>
        <w:rPr>
          <w:lang w:val="sl-SI"/>
        </w:rPr>
      </w:pPr>
      <w:r>
        <w:rPr>
          <w:rFonts w:eastAsia="Times New Roman"/>
          <w:b/>
          <w:bCs/>
          <w:lang w:val="sl-SI"/>
        </w:rPr>
        <w:t>Neznana</w:t>
      </w:r>
      <w:r>
        <w:rPr>
          <w:rFonts w:eastAsia="Times New Roman"/>
          <w:lang w:val="sl-SI"/>
        </w:rPr>
        <w:t xml:space="preserve"> </w:t>
      </w:r>
      <w:r w:rsidR="006238AA" w:rsidRPr="007C415F">
        <w:rPr>
          <w:rFonts w:eastAsia="Times New Roman"/>
          <w:b/>
          <w:bCs/>
          <w:lang w:val="sl-SI"/>
        </w:rPr>
        <w:t>pogostnost</w:t>
      </w:r>
      <w:r w:rsidR="006238AA">
        <w:rPr>
          <w:rFonts w:eastAsia="Times New Roman"/>
          <w:lang w:val="sl-SI"/>
        </w:rPr>
        <w:t xml:space="preserve"> </w:t>
      </w:r>
      <w:r>
        <w:rPr>
          <w:rFonts w:eastAsia="Times New Roman"/>
          <w:lang w:val="sl-SI"/>
        </w:rPr>
        <w:t>(pogostnosti iz razpoložljivih podatkov ni mogoče oceniti)</w:t>
      </w:r>
    </w:p>
    <w:p w14:paraId="41627660" w14:textId="77777777" w:rsidR="00E04C8A" w:rsidRDefault="00E04C8A">
      <w:pPr>
        <w:spacing w:before="14" w:line="240" w:lineRule="exact"/>
        <w:rPr>
          <w:sz w:val="24"/>
          <w:szCs w:val="24"/>
          <w:lang w:val="sl-SI"/>
        </w:rPr>
      </w:pPr>
    </w:p>
    <w:p w14:paraId="79642833" w14:textId="77777777" w:rsidR="00E04C8A" w:rsidRDefault="008E1817">
      <w:pPr>
        <w:pStyle w:val="a3"/>
        <w:numPr>
          <w:ilvl w:val="0"/>
          <w:numId w:val="16"/>
        </w:numPr>
        <w:ind w:left="660" w:hanging="660"/>
        <w:rPr>
          <w:lang w:val="sl-SI"/>
        </w:rPr>
      </w:pPr>
      <w:r>
        <w:rPr>
          <w:rFonts w:eastAsia="Times New Roman"/>
          <w:lang w:val="sl-SI"/>
        </w:rPr>
        <w:t>jetrnovranični limfom celic T (redka oblika krvnega raka, ki je pogosto smrtna);</w:t>
      </w:r>
    </w:p>
    <w:p w14:paraId="126718E0" w14:textId="77777777" w:rsidR="00E04C8A" w:rsidRDefault="008E1817">
      <w:pPr>
        <w:pStyle w:val="a3"/>
        <w:numPr>
          <w:ilvl w:val="0"/>
          <w:numId w:val="16"/>
        </w:numPr>
        <w:ind w:left="660" w:hanging="660"/>
        <w:rPr>
          <w:lang w:val="sl-SI"/>
        </w:rPr>
      </w:pPr>
      <w:r>
        <w:rPr>
          <w:rFonts w:eastAsia="Times New Roman"/>
          <w:lang w:val="sl-SI"/>
        </w:rPr>
        <w:t>karcinom Merklovih celic (vrsta kožnega raka);</w:t>
      </w:r>
    </w:p>
    <w:p w14:paraId="18321608" w14:textId="77777777" w:rsidR="00E04C8A" w:rsidRDefault="008E1817">
      <w:pPr>
        <w:pStyle w:val="a3"/>
        <w:numPr>
          <w:ilvl w:val="0"/>
          <w:numId w:val="16"/>
        </w:numPr>
        <w:ind w:left="660" w:hanging="660"/>
        <w:rPr>
          <w:lang w:val="sl-SI"/>
        </w:rPr>
      </w:pPr>
      <w:r>
        <w:rPr>
          <w:rFonts w:eastAsia="Times New Roman"/>
          <w:lang w:val="sl-SI"/>
        </w:rPr>
        <w:t>Kaposijev sarkom, redek rak, povezan z okužbo s človeškim virusom herpesa 8. Kaposijev sarkom se najpogosteje pojavlja kot vijolične lezije na koži.</w:t>
      </w:r>
    </w:p>
    <w:p w14:paraId="5483DD6A" w14:textId="77777777" w:rsidR="00E04C8A" w:rsidRDefault="008E1817">
      <w:pPr>
        <w:pStyle w:val="a3"/>
        <w:numPr>
          <w:ilvl w:val="0"/>
          <w:numId w:val="16"/>
        </w:numPr>
        <w:ind w:left="660" w:hanging="660"/>
        <w:rPr>
          <w:lang w:val="sl-SI"/>
        </w:rPr>
      </w:pPr>
      <w:r>
        <w:rPr>
          <w:rFonts w:eastAsia="Times New Roman"/>
          <w:lang w:val="sl-SI"/>
        </w:rPr>
        <w:t>odpoved jeter;</w:t>
      </w:r>
    </w:p>
    <w:p w14:paraId="61D2014D" w14:textId="564F2A7F" w:rsidR="00E04C8A" w:rsidRPr="00907360" w:rsidRDefault="008E1817">
      <w:pPr>
        <w:pStyle w:val="a3"/>
        <w:numPr>
          <w:ilvl w:val="0"/>
          <w:numId w:val="16"/>
        </w:numPr>
        <w:ind w:left="660" w:hanging="660"/>
        <w:rPr>
          <w:rFonts w:eastAsia="Times New Roman"/>
          <w:lang w:val="sl-SI"/>
        </w:rPr>
      </w:pPr>
      <w:r>
        <w:rPr>
          <w:rFonts w:eastAsia="Times New Roman"/>
          <w:lang w:val="sl-SI"/>
        </w:rPr>
        <w:t>poslabšanje stanja, imenovanega dermatomiozitis (pojavi se kot kožni izpuščaj, ki spremlja šibkost mišic);</w:t>
      </w:r>
    </w:p>
    <w:p w14:paraId="361E3C7A" w14:textId="30E725B8" w:rsidR="00907360" w:rsidRPr="00DA5D63" w:rsidRDefault="00907360" w:rsidP="00DA5D63">
      <w:pPr>
        <w:pStyle w:val="a3"/>
        <w:numPr>
          <w:ilvl w:val="0"/>
          <w:numId w:val="16"/>
        </w:numPr>
        <w:ind w:left="660" w:hanging="660"/>
        <w:rPr>
          <w:rFonts w:eastAsia="Times New Roman"/>
          <w:lang w:val="sl-SI"/>
        </w:rPr>
      </w:pPr>
      <w:r w:rsidRPr="00DA5D63">
        <w:rPr>
          <w:rFonts w:eastAsia="Times New Roman"/>
          <w:lang w:val="sl-SI"/>
        </w:rPr>
        <w:t>povečanje telesne mase (pri večini bolnikov je bilo povečanje telesne mase majhno)</w:t>
      </w:r>
    </w:p>
    <w:p w14:paraId="5088BFFD" w14:textId="77777777" w:rsidR="00E04C8A" w:rsidRDefault="00E04C8A">
      <w:pPr>
        <w:pStyle w:val="a3"/>
        <w:numPr>
          <w:ilvl w:val="0"/>
          <w:numId w:val="0"/>
        </w:numPr>
        <w:rPr>
          <w:lang w:val="sl-SI"/>
        </w:rPr>
      </w:pPr>
    </w:p>
    <w:p w14:paraId="293A1EA9" w14:textId="77777777" w:rsidR="00E04C8A" w:rsidRDefault="008E1817">
      <w:pPr>
        <w:pStyle w:val="a3"/>
        <w:rPr>
          <w:lang w:val="sl-SI"/>
        </w:rPr>
      </w:pPr>
      <w:r>
        <w:rPr>
          <w:rFonts w:eastAsia="Times New Roman"/>
          <w:lang w:val="sl-SI"/>
        </w:rPr>
        <w:t>Nekateri neželeni učinki, ki so bili opaženi pri uporabi zdravila Yuflyma, nimajo simptomov in se jih lahko odkrije le pri krvnih testih. Med njimi so:</w:t>
      </w:r>
    </w:p>
    <w:p w14:paraId="35B6F364" w14:textId="77777777" w:rsidR="00E04C8A" w:rsidRDefault="00E04C8A">
      <w:pPr>
        <w:pStyle w:val="a3"/>
        <w:rPr>
          <w:lang w:val="sl-SI"/>
        </w:rPr>
      </w:pPr>
    </w:p>
    <w:p w14:paraId="46A40D6F" w14:textId="77777777" w:rsidR="00E04C8A" w:rsidRDefault="008E1817">
      <w:pPr>
        <w:pStyle w:val="a3"/>
        <w:rPr>
          <w:rFonts w:eastAsia="Times New Roman"/>
          <w:lang w:val="sl-SI"/>
        </w:rPr>
      </w:pPr>
      <w:r>
        <w:rPr>
          <w:rFonts w:eastAsia="Times New Roman"/>
          <w:b/>
          <w:bCs/>
          <w:spacing w:val="-1"/>
          <w:lang w:val="sl-SI"/>
        </w:rPr>
        <w:t xml:space="preserve">Zelo pogosti </w:t>
      </w:r>
      <w:r>
        <w:rPr>
          <w:rFonts w:eastAsia="Times New Roman"/>
          <w:spacing w:val="-1"/>
          <w:lang w:val="sl-SI"/>
        </w:rPr>
        <w:t>(pojavijo se lahko pri več kot 1 od 10 bolnikov)</w:t>
      </w:r>
    </w:p>
    <w:p w14:paraId="1EA42774" w14:textId="77777777" w:rsidR="00E04C8A" w:rsidRDefault="00E04C8A">
      <w:pPr>
        <w:pStyle w:val="a3"/>
        <w:rPr>
          <w:lang w:val="sl-SI"/>
        </w:rPr>
      </w:pPr>
    </w:p>
    <w:p w14:paraId="1A8A5599" w14:textId="77777777" w:rsidR="00E04C8A" w:rsidRDefault="008E1817">
      <w:pPr>
        <w:pStyle w:val="a3"/>
        <w:numPr>
          <w:ilvl w:val="0"/>
          <w:numId w:val="16"/>
        </w:numPr>
        <w:ind w:left="660" w:hanging="660"/>
        <w:rPr>
          <w:lang w:val="sl-SI"/>
        </w:rPr>
      </w:pPr>
      <w:r>
        <w:rPr>
          <w:rFonts w:eastAsia="Times New Roman"/>
          <w:lang w:val="sl-SI"/>
        </w:rPr>
        <w:t>nizke krvne vrednosti belih krvnih celic;</w:t>
      </w:r>
    </w:p>
    <w:p w14:paraId="48029ADC" w14:textId="77777777" w:rsidR="00E04C8A" w:rsidRDefault="008E1817">
      <w:pPr>
        <w:pStyle w:val="a3"/>
        <w:numPr>
          <w:ilvl w:val="0"/>
          <w:numId w:val="16"/>
        </w:numPr>
        <w:ind w:left="660" w:hanging="660"/>
        <w:rPr>
          <w:lang w:val="sl-SI"/>
        </w:rPr>
      </w:pPr>
      <w:r>
        <w:rPr>
          <w:rFonts w:eastAsia="Times New Roman"/>
          <w:lang w:val="sl-SI"/>
        </w:rPr>
        <w:t>nizke krvne vrednosti rdečih krvnih celic;</w:t>
      </w:r>
    </w:p>
    <w:p w14:paraId="26FBC051" w14:textId="77777777" w:rsidR="00E04C8A" w:rsidRDefault="008E1817">
      <w:pPr>
        <w:pStyle w:val="a3"/>
        <w:numPr>
          <w:ilvl w:val="0"/>
          <w:numId w:val="16"/>
        </w:numPr>
        <w:ind w:left="660" w:hanging="660"/>
        <w:rPr>
          <w:lang w:val="sl-SI"/>
        </w:rPr>
      </w:pPr>
      <w:r>
        <w:rPr>
          <w:rFonts w:eastAsia="Times New Roman"/>
          <w:lang w:val="sl-SI"/>
        </w:rPr>
        <w:t>zvečanje vrednosti lipidov v krvi;</w:t>
      </w:r>
    </w:p>
    <w:p w14:paraId="230DA776" w14:textId="77777777" w:rsidR="00E04C8A" w:rsidRDefault="008E1817">
      <w:pPr>
        <w:pStyle w:val="a3"/>
        <w:numPr>
          <w:ilvl w:val="0"/>
          <w:numId w:val="16"/>
        </w:numPr>
        <w:ind w:left="660" w:hanging="660"/>
        <w:rPr>
          <w:lang w:val="sl-SI"/>
        </w:rPr>
      </w:pPr>
      <w:r>
        <w:rPr>
          <w:rFonts w:eastAsia="Times New Roman"/>
          <w:lang w:val="sl-SI"/>
        </w:rPr>
        <w:t>zvečanje vrednosti jetrnih encimov.</w:t>
      </w:r>
    </w:p>
    <w:p w14:paraId="5DDE3102" w14:textId="77777777" w:rsidR="00E04C8A" w:rsidRDefault="00E04C8A">
      <w:pPr>
        <w:spacing w:before="10" w:line="240" w:lineRule="exact"/>
        <w:rPr>
          <w:sz w:val="24"/>
          <w:szCs w:val="24"/>
          <w:lang w:val="sl-SI"/>
        </w:rPr>
      </w:pPr>
    </w:p>
    <w:p w14:paraId="300AFD15" w14:textId="77777777" w:rsidR="00E04C8A" w:rsidRDefault="008E1817">
      <w:pPr>
        <w:pStyle w:val="a3"/>
        <w:rPr>
          <w:lang w:val="sl-SI"/>
        </w:rPr>
      </w:pPr>
      <w:r>
        <w:rPr>
          <w:rFonts w:eastAsia="Times New Roman"/>
          <w:b/>
          <w:bCs/>
          <w:lang w:val="sl-SI"/>
        </w:rPr>
        <w:t xml:space="preserve">Pogosti: </w:t>
      </w:r>
      <w:r>
        <w:rPr>
          <w:rFonts w:eastAsia="Times New Roman"/>
          <w:lang w:val="sl-SI"/>
        </w:rPr>
        <w:t>(pojavijo se lahko pri največ 1 od 10 bolnikov)</w:t>
      </w:r>
    </w:p>
    <w:p w14:paraId="309BE2ED" w14:textId="77777777" w:rsidR="00E04C8A" w:rsidRDefault="00E04C8A">
      <w:pPr>
        <w:spacing w:before="14" w:line="240" w:lineRule="exact"/>
        <w:rPr>
          <w:sz w:val="24"/>
          <w:szCs w:val="24"/>
          <w:lang w:val="sl-SI"/>
        </w:rPr>
      </w:pPr>
    </w:p>
    <w:p w14:paraId="675D5ED5" w14:textId="77777777" w:rsidR="00E04C8A" w:rsidRDefault="008E1817">
      <w:pPr>
        <w:pStyle w:val="a3"/>
        <w:numPr>
          <w:ilvl w:val="0"/>
          <w:numId w:val="16"/>
        </w:numPr>
        <w:ind w:left="660" w:hanging="660"/>
        <w:rPr>
          <w:lang w:val="sl-SI"/>
        </w:rPr>
      </w:pPr>
      <w:r>
        <w:rPr>
          <w:rFonts w:eastAsia="Times New Roman"/>
          <w:lang w:val="sl-SI"/>
        </w:rPr>
        <w:lastRenderedPageBreak/>
        <w:t>visoke krvne vrednosti belih krvnih celic;</w:t>
      </w:r>
    </w:p>
    <w:p w14:paraId="040C0F30" w14:textId="77777777" w:rsidR="00E04C8A" w:rsidRDefault="008E1817">
      <w:pPr>
        <w:pStyle w:val="a3"/>
        <w:numPr>
          <w:ilvl w:val="0"/>
          <w:numId w:val="16"/>
        </w:numPr>
        <w:ind w:left="660" w:hanging="660"/>
        <w:rPr>
          <w:lang w:val="sl-SI"/>
        </w:rPr>
      </w:pPr>
      <w:r>
        <w:rPr>
          <w:rFonts w:eastAsia="Times New Roman"/>
          <w:lang w:val="sl-SI"/>
        </w:rPr>
        <w:t>nizke krvne vrednosti krvnih ploščic;</w:t>
      </w:r>
    </w:p>
    <w:p w14:paraId="5DAF56F0" w14:textId="77777777" w:rsidR="00E04C8A" w:rsidRDefault="008E1817">
      <w:pPr>
        <w:pStyle w:val="a3"/>
        <w:numPr>
          <w:ilvl w:val="0"/>
          <w:numId w:val="16"/>
        </w:numPr>
        <w:ind w:left="660" w:hanging="660"/>
        <w:rPr>
          <w:lang w:val="sl-SI"/>
        </w:rPr>
      </w:pPr>
      <w:r>
        <w:rPr>
          <w:rFonts w:eastAsia="Times New Roman"/>
          <w:lang w:val="sl-SI"/>
        </w:rPr>
        <w:t>zvečanje vrednosti sečne kisline v krvi;</w:t>
      </w:r>
    </w:p>
    <w:p w14:paraId="2AA71F5D" w14:textId="77777777" w:rsidR="00E04C8A" w:rsidRDefault="008E1817">
      <w:pPr>
        <w:pStyle w:val="a3"/>
        <w:numPr>
          <w:ilvl w:val="0"/>
          <w:numId w:val="16"/>
        </w:numPr>
        <w:ind w:left="660" w:hanging="660"/>
        <w:rPr>
          <w:lang w:val="sl-SI"/>
        </w:rPr>
      </w:pPr>
      <w:r>
        <w:rPr>
          <w:rFonts w:eastAsia="Times New Roman"/>
          <w:lang w:val="sl-SI"/>
        </w:rPr>
        <w:t>nenormalne izmerjene vrednosti natrija v krvi;</w:t>
      </w:r>
    </w:p>
    <w:p w14:paraId="686AF505" w14:textId="77777777" w:rsidR="00E04C8A" w:rsidRDefault="008E1817">
      <w:pPr>
        <w:pStyle w:val="a3"/>
        <w:numPr>
          <w:ilvl w:val="0"/>
          <w:numId w:val="16"/>
        </w:numPr>
        <w:ind w:left="660" w:hanging="660"/>
        <w:rPr>
          <w:lang w:val="sl-SI"/>
        </w:rPr>
      </w:pPr>
      <w:r>
        <w:rPr>
          <w:rFonts w:eastAsia="Times New Roman"/>
          <w:lang w:val="sl-SI"/>
        </w:rPr>
        <w:t>nizke krvne vrednosti kalcija;</w:t>
      </w:r>
    </w:p>
    <w:p w14:paraId="6A46B088" w14:textId="77777777" w:rsidR="00E04C8A" w:rsidRDefault="008E1817">
      <w:pPr>
        <w:pStyle w:val="a3"/>
        <w:numPr>
          <w:ilvl w:val="0"/>
          <w:numId w:val="16"/>
        </w:numPr>
        <w:ind w:left="660" w:hanging="660"/>
        <w:rPr>
          <w:lang w:val="sl-SI"/>
        </w:rPr>
      </w:pPr>
      <w:r>
        <w:rPr>
          <w:rFonts w:eastAsia="Times New Roman"/>
          <w:lang w:val="sl-SI"/>
        </w:rPr>
        <w:t>nizke krvne vrednosti fosfata;</w:t>
      </w:r>
    </w:p>
    <w:p w14:paraId="34EF4AF1" w14:textId="77777777" w:rsidR="00E04C8A" w:rsidRDefault="008E1817">
      <w:pPr>
        <w:pStyle w:val="a3"/>
        <w:numPr>
          <w:ilvl w:val="0"/>
          <w:numId w:val="16"/>
        </w:numPr>
        <w:ind w:left="660" w:hanging="660"/>
        <w:rPr>
          <w:lang w:val="sl-SI"/>
        </w:rPr>
      </w:pPr>
      <w:r>
        <w:rPr>
          <w:rFonts w:eastAsia="Times New Roman"/>
          <w:lang w:val="sl-SI"/>
        </w:rPr>
        <w:t>visok krvni sladkor;</w:t>
      </w:r>
    </w:p>
    <w:p w14:paraId="5B1ACADA" w14:textId="77777777" w:rsidR="00E04C8A" w:rsidRDefault="008E1817">
      <w:pPr>
        <w:pStyle w:val="a3"/>
        <w:numPr>
          <w:ilvl w:val="0"/>
          <w:numId w:val="16"/>
        </w:numPr>
        <w:ind w:left="660" w:hanging="660"/>
        <w:rPr>
          <w:lang w:val="sl-SI"/>
        </w:rPr>
      </w:pPr>
      <w:r>
        <w:rPr>
          <w:rFonts w:eastAsia="Times New Roman"/>
          <w:lang w:val="sl-SI"/>
        </w:rPr>
        <w:t>visoke krvne vrednosti laktat dehidrogenaze;</w:t>
      </w:r>
    </w:p>
    <w:p w14:paraId="2DE4FC17" w14:textId="77777777" w:rsidR="00E04C8A" w:rsidRDefault="008E1817">
      <w:pPr>
        <w:pStyle w:val="a3"/>
        <w:numPr>
          <w:ilvl w:val="0"/>
          <w:numId w:val="16"/>
        </w:numPr>
        <w:ind w:left="660" w:hanging="660"/>
        <w:rPr>
          <w:lang w:val="sl-SI"/>
        </w:rPr>
      </w:pPr>
      <w:r>
        <w:rPr>
          <w:rFonts w:eastAsia="Times New Roman"/>
          <w:lang w:val="sl-SI"/>
        </w:rPr>
        <w:t>prisotnost avtoprotiteles v krvi;</w:t>
      </w:r>
    </w:p>
    <w:p w14:paraId="44A7D19A" w14:textId="77777777" w:rsidR="00E04C8A" w:rsidRDefault="008E1817">
      <w:pPr>
        <w:pStyle w:val="a3"/>
        <w:numPr>
          <w:ilvl w:val="0"/>
          <w:numId w:val="16"/>
        </w:numPr>
        <w:ind w:left="660" w:hanging="660"/>
        <w:rPr>
          <w:lang w:val="sl-SI"/>
        </w:rPr>
      </w:pPr>
      <w:r>
        <w:rPr>
          <w:rFonts w:eastAsia="Times New Roman"/>
          <w:lang w:val="sl-SI"/>
        </w:rPr>
        <w:t>nizke krvne vrednosti kalija.</w:t>
      </w:r>
    </w:p>
    <w:p w14:paraId="7520D337" w14:textId="77777777" w:rsidR="00E04C8A" w:rsidRDefault="00E04C8A">
      <w:pPr>
        <w:spacing w:before="13" w:line="240" w:lineRule="exact"/>
        <w:rPr>
          <w:sz w:val="24"/>
          <w:szCs w:val="24"/>
          <w:lang w:val="sl-SI"/>
        </w:rPr>
      </w:pPr>
    </w:p>
    <w:p w14:paraId="0753CFC2" w14:textId="77777777" w:rsidR="00E04C8A" w:rsidRDefault="008E1817">
      <w:pPr>
        <w:rPr>
          <w:rFonts w:ascii="Times New Roman" w:eastAsia="Times New Roman" w:hAnsi="Times New Roman" w:cs="Times New Roman"/>
          <w:lang w:val="sl-SI"/>
        </w:rPr>
      </w:pPr>
      <w:r>
        <w:rPr>
          <w:rFonts w:ascii="Times New Roman" w:eastAsia="Times New Roman" w:hAnsi="Times New Roman" w:cs="Times New Roman"/>
          <w:b/>
          <w:bCs/>
          <w:spacing w:val="-1"/>
          <w:lang w:val="sl-SI"/>
        </w:rPr>
        <w:t xml:space="preserve">Občasni </w:t>
      </w:r>
      <w:r>
        <w:rPr>
          <w:rFonts w:ascii="Times New Roman" w:eastAsia="Times New Roman" w:hAnsi="Times New Roman" w:cs="Times New Roman"/>
          <w:spacing w:val="-1"/>
          <w:lang w:val="sl-SI"/>
        </w:rPr>
        <w:t>(pojavijo se lahko pri največ 1 od 100 bolnikov)</w:t>
      </w:r>
    </w:p>
    <w:p w14:paraId="3555F2CF" w14:textId="77777777" w:rsidR="00E04C8A" w:rsidRDefault="00E04C8A">
      <w:pPr>
        <w:spacing w:before="12" w:line="240" w:lineRule="exact"/>
        <w:rPr>
          <w:sz w:val="24"/>
          <w:szCs w:val="24"/>
          <w:lang w:val="sl-SI"/>
        </w:rPr>
      </w:pPr>
    </w:p>
    <w:p w14:paraId="3D50C4EB" w14:textId="77777777" w:rsidR="00E04C8A" w:rsidRDefault="008E1817">
      <w:pPr>
        <w:pStyle w:val="a3"/>
        <w:numPr>
          <w:ilvl w:val="0"/>
          <w:numId w:val="16"/>
        </w:numPr>
        <w:ind w:left="660" w:hanging="660"/>
        <w:rPr>
          <w:lang w:val="sl-SI"/>
        </w:rPr>
      </w:pPr>
      <w:r>
        <w:rPr>
          <w:rFonts w:eastAsia="Times New Roman"/>
          <w:lang w:val="sl-SI"/>
        </w:rPr>
        <w:t>povišane vrednosti bilirubina (jetrne krvne preiskave).</w:t>
      </w:r>
    </w:p>
    <w:p w14:paraId="5E9F3D6B" w14:textId="77777777" w:rsidR="00E04C8A" w:rsidRDefault="00E04C8A">
      <w:pPr>
        <w:spacing w:before="13" w:line="240" w:lineRule="exact"/>
        <w:rPr>
          <w:sz w:val="24"/>
          <w:szCs w:val="24"/>
          <w:lang w:val="sl-SI"/>
        </w:rPr>
      </w:pPr>
    </w:p>
    <w:p w14:paraId="1E0407BE" w14:textId="77777777" w:rsidR="00E04C8A" w:rsidRDefault="008E1817">
      <w:pPr>
        <w:pStyle w:val="a3"/>
        <w:rPr>
          <w:lang w:val="sl-SI"/>
        </w:rPr>
      </w:pPr>
      <w:r>
        <w:rPr>
          <w:rFonts w:eastAsia="Times New Roman"/>
          <w:b/>
          <w:bCs/>
          <w:lang w:val="sl-SI"/>
        </w:rPr>
        <w:t xml:space="preserve">Redki </w:t>
      </w:r>
      <w:r>
        <w:rPr>
          <w:rFonts w:eastAsia="Times New Roman"/>
          <w:lang w:val="sl-SI"/>
        </w:rPr>
        <w:t>(pojavijo se lahko pri največ 1 od 1.000 bolnikov)</w:t>
      </w:r>
    </w:p>
    <w:p w14:paraId="1BA9BDA5" w14:textId="77777777" w:rsidR="00E04C8A" w:rsidRDefault="00E04C8A">
      <w:pPr>
        <w:spacing w:before="14" w:line="240" w:lineRule="exact"/>
        <w:rPr>
          <w:sz w:val="24"/>
          <w:szCs w:val="24"/>
          <w:lang w:val="sl-SI"/>
        </w:rPr>
      </w:pPr>
    </w:p>
    <w:p w14:paraId="59DD3091" w14:textId="77777777" w:rsidR="00E04C8A" w:rsidRDefault="008E1817">
      <w:pPr>
        <w:pStyle w:val="a3"/>
        <w:numPr>
          <w:ilvl w:val="0"/>
          <w:numId w:val="16"/>
        </w:numPr>
        <w:ind w:left="660" w:hanging="660"/>
        <w:rPr>
          <w:lang w:val="sl-SI"/>
        </w:rPr>
      </w:pPr>
      <w:r>
        <w:rPr>
          <w:rFonts w:eastAsia="Times New Roman"/>
          <w:lang w:val="sl-SI"/>
        </w:rPr>
        <w:t>nizke krvne vrednosti števila belih krvnih celic, rdečih krvnih celic in krvnih ploščic,</w:t>
      </w:r>
    </w:p>
    <w:p w14:paraId="159D0B69" w14:textId="77777777" w:rsidR="00E04C8A" w:rsidRDefault="00E04C8A">
      <w:pPr>
        <w:spacing w:before="15" w:line="240" w:lineRule="exact"/>
        <w:rPr>
          <w:sz w:val="24"/>
          <w:szCs w:val="24"/>
          <w:lang w:val="sl-SI"/>
        </w:rPr>
      </w:pPr>
    </w:p>
    <w:p w14:paraId="44CB81BA" w14:textId="77777777" w:rsidR="00E04C8A" w:rsidRDefault="008E1817">
      <w:pPr>
        <w:pStyle w:val="a3"/>
        <w:rPr>
          <w:b/>
          <w:lang w:val="sl-SI"/>
        </w:rPr>
      </w:pPr>
      <w:r>
        <w:rPr>
          <w:rFonts w:eastAsia="Times New Roman"/>
          <w:b/>
          <w:bCs/>
          <w:lang w:val="sl-SI"/>
        </w:rPr>
        <w:t>Poročanje o neželenih učinkih</w:t>
      </w:r>
    </w:p>
    <w:p w14:paraId="4E3C9A74" w14:textId="77777777" w:rsidR="00E04C8A" w:rsidRDefault="00E04C8A">
      <w:pPr>
        <w:pStyle w:val="a3"/>
        <w:rPr>
          <w:sz w:val="10"/>
          <w:szCs w:val="10"/>
          <w:lang w:val="sl-SI"/>
        </w:rPr>
      </w:pPr>
    </w:p>
    <w:p w14:paraId="05FE44D6" w14:textId="77777777" w:rsidR="00E04C8A" w:rsidRDefault="008E1817">
      <w:pPr>
        <w:pStyle w:val="a3"/>
        <w:rPr>
          <w:lang w:val="sl-SI"/>
        </w:rPr>
      </w:pPr>
      <w:r>
        <w:rPr>
          <w:rFonts w:eastAsia="Times New Roman"/>
          <w:lang w:val="sl-SI"/>
        </w:rPr>
        <w:t xml:space="preserve">Če opazite katerega koli izmed neželenih učinkov, se posvetujte z zdravnikom ali farmacevtom. </w:t>
      </w:r>
      <w:r>
        <w:rPr>
          <w:lang w:val="sl-SI"/>
        </w:rPr>
        <w:t xml:space="preserve">Posvetujte se tudi, če opazite neželene učinke, ki niso navedeni v tem navodilu. O neželenih učinkih lahko poročate tudi neposredno na </w:t>
      </w:r>
      <w:r w:rsidRPr="008E1817">
        <w:rPr>
          <w:highlight w:val="lightGray"/>
          <w:lang w:val="sl-SI"/>
        </w:rPr>
        <w:t xml:space="preserve">nacionalni center za poročanje, ki je naveden v </w:t>
      </w:r>
      <w:hyperlink r:id="rId30" w:history="1">
        <w:r w:rsidRPr="008E1817">
          <w:rPr>
            <w:rStyle w:val="Hiperpovezava1"/>
            <w:highlight w:val="lightGray"/>
            <w:lang w:val="sl-SI"/>
          </w:rPr>
          <w:t>Prilogi V</w:t>
        </w:r>
      </w:hyperlink>
      <w:r>
        <w:rPr>
          <w:rFonts w:eastAsia="Times New Roman"/>
          <w:lang w:val="sl-SI"/>
        </w:rPr>
        <w:t>. S tem, ko poročate o neželenih učinkih, lahko prispevate k zagotovitvi več informacij o varnosti tega zdravila.</w:t>
      </w:r>
    </w:p>
    <w:p w14:paraId="06A3806A" w14:textId="77777777" w:rsidR="00E04C8A" w:rsidRDefault="00E04C8A">
      <w:pPr>
        <w:spacing w:line="200" w:lineRule="exact"/>
        <w:rPr>
          <w:sz w:val="20"/>
          <w:szCs w:val="20"/>
          <w:lang w:val="sl-SI"/>
        </w:rPr>
      </w:pPr>
    </w:p>
    <w:p w14:paraId="49821E9A" w14:textId="77777777" w:rsidR="00E04C8A" w:rsidRDefault="00E04C8A">
      <w:pPr>
        <w:spacing w:line="200" w:lineRule="exact"/>
        <w:rPr>
          <w:sz w:val="20"/>
          <w:szCs w:val="20"/>
          <w:lang w:val="sl-SI"/>
        </w:rPr>
      </w:pPr>
    </w:p>
    <w:p w14:paraId="1FDCC759" w14:textId="77777777" w:rsidR="00E04C8A" w:rsidRDefault="008E1817">
      <w:pPr>
        <w:pStyle w:val="a4"/>
        <w:numPr>
          <w:ilvl w:val="0"/>
          <w:numId w:val="33"/>
        </w:numPr>
        <w:spacing w:before="18" w:line="240" w:lineRule="exact"/>
        <w:ind w:hanging="468"/>
        <w:rPr>
          <w:rFonts w:ascii="Times New Roman" w:hAnsi="Times New Roman" w:cs="Times New Roman"/>
          <w:b/>
          <w:lang w:val="sl-SI"/>
        </w:rPr>
      </w:pPr>
      <w:r>
        <w:rPr>
          <w:rFonts w:ascii="Times New Roman" w:eastAsia="Times New Roman" w:hAnsi="Times New Roman" w:cs="Times New Roman"/>
          <w:b/>
          <w:bCs/>
          <w:lang w:val="sl-SI"/>
        </w:rPr>
        <w:t>Shranjevanje zdravila Yuflyma</w:t>
      </w:r>
    </w:p>
    <w:p w14:paraId="73D86D28" w14:textId="77777777" w:rsidR="00E04C8A" w:rsidRDefault="00E04C8A">
      <w:pPr>
        <w:pStyle w:val="a3"/>
        <w:rPr>
          <w:lang w:val="sl-SI"/>
        </w:rPr>
      </w:pPr>
    </w:p>
    <w:p w14:paraId="50E090D7" w14:textId="77777777" w:rsidR="00E04C8A" w:rsidRDefault="008E1817">
      <w:pPr>
        <w:pStyle w:val="a3"/>
        <w:rPr>
          <w:lang w:val="sl-SI"/>
        </w:rPr>
      </w:pPr>
      <w:r>
        <w:rPr>
          <w:rFonts w:eastAsia="Times New Roman"/>
          <w:lang w:val="sl-SI"/>
        </w:rPr>
        <w:t>Zdravilo shranjujte nedosegljivo otrokom!</w:t>
      </w:r>
    </w:p>
    <w:p w14:paraId="522164F1" w14:textId="77777777" w:rsidR="00E04C8A" w:rsidRDefault="00E04C8A">
      <w:pPr>
        <w:pStyle w:val="a3"/>
        <w:rPr>
          <w:lang w:val="sl-SI"/>
        </w:rPr>
      </w:pPr>
    </w:p>
    <w:p w14:paraId="662A4D69" w14:textId="77777777" w:rsidR="00E04C8A" w:rsidRDefault="008E1817">
      <w:pPr>
        <w:pStyle w:val="a3"/>
        <w:rPr>
          <w:lang w:val="sl-SI"/>
        </w:rPr>
      </w:pPr>
      <w:r>
        <w:rPr>
          <w:rFonts w:eastAsia="Times New Roman"/>
          <w:lang w:val="sl-SI"/>
        </w:rPr>
        <w:t>Tega zdravila ne smete uporabljati po datumu izteka roka uporabnosti, ki je naveden na nalepki/škatli poleg oznake EXP.</w:t>
      </w:r>
    </w:p>
    <w:p w14:paraId="7FE8A981" w14:textId="77777777" w:rsidR="00E04C8A" w:rsidRDefault="00E04C8A">
      <w:pPr>
        <w:pStyle w:val="a3"/>
        <w:rPr>
          <w:lang w:val="sl-SI"/>
        </w:rPr>
      </w:pPr>
    </w:p>
    <w:p w14:paraId="1BBBBD71" w14:textId="77777777" w:rsidR="00E04C8A" w:rsidRDefault="008E1817">
      <w:pPr>
        <w:pStyle w:val="a3"/>
        <w:rPr>
          <w:lang w:val="sl-SI"/>
        </w:rPr>
      </w:pPr>
      <w:r>
        <w:rPr>
          <w:rFonts w:eastAsia="Times New Roman"/>
          <w:lang w:val="sl-SI"/>
        </w:rPr>
        <w:t>Shranjujte v hladilniku (2 °C–8 °C). Ne zamrzujte.</w:t>
      </w:r>
    </w:p>
    <w:p w14:paraId="0C5F4A08" w14:textId="77777777" w:rsidR="00E04C8A" w:rsidRDefault="00E04C8A">
      <w:pPr>
        <w:pStyle w:val="a3"/>
        <w:rPr>
          <w:lang w:val="sl-SI"/>
        </w:rPr>
      </w:pPr>
    </w:p>
    <w:p w14:paraId="3EA7CE4D" w14:textId="72D55D23" w:rsidR="00E04C8A" w:rsidRDefault="008E1817">
      <w:pPr>
        <w:pStyle w:val="a3"/>
        <w:rPr>
          <w:lang w:val="sl-SI"/>
        </w:rPr>
      </w:pPr>
      <w:r>
        <w:rPr>
          <w:rFonts w:eastAsia="Times New Roman"/>
          <w:lang w:val="sl-SI"/>
        </w:rPr>
        <w:t xml:space="preserve">Napolnjeno injekcijsko brizgo </w:t>
      </w:r>
      <w:r w:rsidR="00E07158">
        <w:rPr>
          <w:rFonts w:eastAsia="Times New Roman"/>
          <w:highlight w:val="lightGray"/>
          <w:lang w:val="sl-SI"/>
        </w:rPr>
        <w:t>s ščitnikom za iglo</w:t>
      </w:r>
      <w:r>
        <w:rPr>
          <w:rFonts w:eastAsia="Times New Roman"/>
          <w:lang w:val="sl-SI"/>
        </w:rPr>
        <w:t xml:space="preserve"> shranjujte v zunanji ovojnini za zagotovitev zaščite pred svetlobo.</w:t>
      </w:r>
    </w:p>
    <w:p w14:paraId="46A23F0E" w14:textId="77777777" w:rsidR="00E04C8A" w:rsidRDefault="00E04C8A">
      <w:pPr>
        <w:spacing w:before="13" w:line="240" w:lineRule="exact"/>
        <w:rPr>
          <w:sz w:val="24"/>
          <w:szCs w:val="24"/>
          <w:lang w:val="sl-SI"/>
        </w:rPr>
      </w:pPr>
    </w:p>
    <w:p w14:paraId="5959E92E" w14:textId="77777777" w:rsidR="00E04C8A" w:rsidRDefault="008E1817">
      <w:pPr>
        <w:pStyle w:val="a3"/>
        <w:rPr>
          <w:lang w:val="sl-SI"/>
        </w:rPr>
      </w:pPr>
      <w:r>
        <w:rPr>
          <w:rFonts w:eastAsia="Times New Roman"/>
          <w:lang w:val="sl-SI"/>
        </w:rPr>
        <w:t>Druga možnost shranjevanja:</w:t>
      </w:r>
    </w:p>
    <w:p w14:paraId="69537588" w14:textId="77777777" w:rsidR="00E04C8A" w:rsidRDefault="00E04C8A">
      <w:pPr>
        <w:spacing w:before="14" w:line="240" w:lineRule="exact"/>
        <w:rPr>
          <w:sz w:val="24"/>
          <w:szCs w:val="24"/>
          <w:lang w:val="sl-SI"/>
        </w:rPr>
      </w:pPr>
    </w:p>
    <w:p w14:paraId="41D0CADB" w14:textId="11974D58" w:rsidR="00E04C8A" w:rsidRDefault="008E1817">
      <w:pPr>
        <w:pStyle w:val="a3"/>
        <w:rPr>
          <w:lang w:val="sl-SI"/>
        </w:rPr>
      </w:pPr>
      <w:r>
        <w:rPr>
          <w:rFonts w:eastAsia="Times New Roman"/>
          <w:lang w:val="sl-SI"/>
        </w:rPr>
        <w:t xml:space="preserve">Če je treba (na primer kadar potujete), lahko posamezno napolnjeno injekcijsko brizgo zdravila Yuflyma </w:t>
      </w:r>
      <w:r w:rsidR="00E07158">
        <w:rPr>
          <w:rFonts w:eastAsia="Times New Roman"/>
          <w:highlight w:val="lightGray"/>
          <w:lang w:val="sl-SI"/>
        </w:rPr>
        <w:t>s ščitnikom za iglo</w:t>
      </w:r>
      <w:r>
        <w:rPr>
          <w:rFonts w:eastAsia="Times New Roman"/>
          <w:lang w:val="sl-SI"/>
        </w:rPr>
        <w:t xml:space="preserve"> shranjujete pri sobni temperaturi (do 25 ºC) največ do </w:t>
      </w:r>
      <w:r w:rsidR="005D729C">
        <w:rPr>
          <w:rFonts w:eastAsia="Times New Roman"/>
          <w:lang w:val="sl-SI"/>
        </w:rPr>
        <w:t>31 </w:t>
      </w:r>
      <w:r>
        <w:rPr>
          <w:rFonts w:eastAsia="Times New Roman"/>
          <w:lang w:val="sl-SI"/>
        </w:rPr>
        <w:t xml:space="preserve">dni – zagotovite, da bo zaščitena pred svetlobo. Ko injekcijsko brizgo vzamete iz hladilnika za shranjevanje pri sobni temperaturi, jo morate </w:t>
      </w:r>
      <w:r>
        <w:rPr>
          <w:rFonts w:eastAsia="Times New Roman"/>
          <w:b/>
          <w:bCs/>
          <w:lang w:val="sl-SI"/>
        </w:rPr>
        <w:t xml:space="preserve">porabiti v </w:t>
      </w:r>
      <w:r w:rsidR="005D729C">
        <w:rPr>
          <w:rFonts w:eastAsia="Times New Roman"/>
          <w:b/>
          <w:bCs/>
          <w:lang w:val="sl-SI"/>
        </w:rPr>
        <w:t>31 </w:t>
      </w:r>
      <w:r>
        <w:rPr>
          <w:rFonts w:eastAsia="Times New Roman"/>
          <w:b/>
          <w:bCs/>
          <w:lang w:val="sl-SI"/>
        </w:rPr>
        <w:t>dneh ali zavreči</w:t>
      </w:r>
      <w:r>
        <w:rPr>
          <w:rFonts w:eastAsia="Times New Roman"/>
          <w:lang w:val="sl-SI"/>
        </w:rPr>
        <w:t>, tudi če jo vrnete v hladilnik.</w:t>
      </w:r>
    </w:p>
    <w:p w14:paraId="02031558" w14:textId="77777777" w:rsidR="00E04C8A" w:rsidRDefault="00E04C8A">
      <w:pPr>
        <w:spacing w:before="17" w:line="240" w:lineRule="exact"/>
        <w:rPr>
          <w:sz w:val="24"/>
          <w:szCs w:val="24"/>
          <w:lang w:val="sl-SI"/>
        </w:rPr>
      </w:pPr>
    </w:p>
    <w:p w14:paraId="4B568605" w14:textId="77777777" w:rsidR="00E04C8A" w:rsidRDefault="008E1817">
      <w:pPr>
        <w:pStyle w:val="a3"/>
        <w:rPr>
          <w:lang w:val="sl-SI"/>
        </w:rPr>
      </w:pPr>
      <w:r>
        <w:rPr>
          <w:rFonts w:eastAsia="Times New Roman"/>
          <w:lang w:val="sl-SI"/>
        </w:rPr>
        <w:t>Zapisati si morate datum, ko ste injekcijsko brizgo vzeli iz hladilnika in datum, po katerem jo morate zavreči.</w:t>
      </w:r>
    </w:p>
    <w:p w14:paraId="5160385F" w14:textId="77777777" w:rsidR="00E04C8A" w:rsidRDefault="00E04C8A">
      <w:pPr>
        <w:spacing w:before="14" w:line="240" w:lineRule="exact"/>
        <w:rPr>
          <w:sz w:val="24"/>
          <w:szCs w:val="24"/>
          <w:lang w:val="sl-SI"/>
        </w:rPr>
      </w:pPr>
    </w:p>
    <w:p w14:paraId="735F7B16" w14:textId="77777777" w:rsidR="00E04C8A" w:rsidRDefault="008E1817">
      <w:pPr>
        <w:pStyle w:val="a3"/>
        <w:rPr>
          <w:lang w:val="sl-SI"/>
        </w:rPr>
      </w:pPr>
      <w:r>
        <w:rPr>
          <w:rFonts w:eastAsia="Times New Roman"/>
          <w:lang w:val="sl-SI"/>
        </w:rPr>
        <w:t>Zdravila ne smete odvreči v odpadne vode ali med gospodinjske odpadke. O načinu odstranjevanja zdravila, ki ga ne uporabljate več, se posvetujte z zdravnikom ali farmacevtom. Taki ukrepi pomagajo varovati okolje.</w:t>
      </w:r>
    </w:p>
    <w:p w14:paraId="3101EE62" w14:textId="77777777" w:rsidR="00E04C8A" w:rsidRDefault="00E04C8A">
      <w:pPr>
        <w:pStyle w:val="a4"/>
        <w:spacing w:before="18" w:line="240" w:lineRule="exact"/>
        <w:ind w:left="468"/>
        <w:rPr>
          <w:rFonts w:ascii="Times New Roman" w:hAnsi="Times New Roman" w:cs="Times New Roman"/>
          <w:b/>
          <w:lang w:val="sl-SI"/>
        </w:rPr>
      </w:pPr>
    </w:p>
    <w:p w14:paraId="3222F4F4" w14:textId="77777777" w:rsidR="00E04C8A" w:rsidRDefault="00E04C8A">
      <w:pPr>
        <w:spacing w:before="18" w:line="240" w:lineRule="exact"/>
        <w:rPr>
          <w:rFonts w:ascii="Times New Roman" w:hAnsi="Times New Roman" w:cs="Times New Roman"/>
          <w:b/>
          <w:lang w:val="sl-SI"/>
        </w:rPr>
      </w:pPr>
    </w:p>
    <w:p w14:paraId="021BF5D5" w14:textId="77777777" w:rsidR="00E04C8A" w:rsidRDefault="008E1817">
      <w:pPr>
        <w:pStyle w:val="a4"/>
        <w:numPr>
          <w:ilvl w:val="0"/>
          <w:numId w:val="33"/>
        </w:numPr>
        <w:spacing w:before="18" w:line="240" w:lineRule="exact"/>
        <w:ind w:hanging="468"/>
        <w:rPr>
          <w:rFonts w:ascii="Times New Roman" w:hAnsi="Times New Roman" w:cs="Times New Roman"/>
          <w:b/>
          <w:lang w:val="sl-SI"/>
        </w:rPr>
      </w:pPr>
      <w:r>
        <w:rPr>
          <w:rFonts w:ascii="Times New Roman" w:eastAsia="Times New Roman" w:hAnsi="Times New Roman" w:cs="Times New Roman"/>
          <w:b/>
          <w:bCs/>
          <w:lang w:val="sl-SI"/>
        </w:rPr>
        <w:t>Vsebina pakiranja in dodatne informacije</w:t>
      </w:r>
    </w:p>
    <w:p w14:paraId="05B2A0E8" w14:textId="77777777" w:rsidR="00E04C8A" w:rsidRDefault="00E04C8A">
      <w:pPr>
        <w:pStyle w:val="a4"/>
        <w:spacing w:before="18" w:line="240" w:lineRule="exact"/>
        <w:ind w:left="468"/>
        <w:rPr>
          <w:rFonts w:ascii="Times New Roman" w:hAnsi="Times New Roman" w:cs="Times New Roman"/>
          <w:b/>
          <w:lang w:val="sl-SI"/>
        </w:rPr>
      </w:pPr>
    </w:p>
    <w:p w14:paraId="30D3A46C" w14:textId="77777777" w:rsidR="00E04C8A" w:rsidRDefault="008E1817">
      <w:pPr>
        <w:spacing w:before="18" w:line="240" w:lineRule="exact"/>
        <w:rPr>
          <w:rFonts w:ascii="Times New Roman" w:hAnsi="Times New Roman" w:cs="Times New Roman"/>
          <w:b/>
          <w:lang w:val="sl-SI"/>
        </w:rPr>
      </w:pPr>
      <w:r>
        <w:rPr>
          <w:rFonts w:ascii="Times New Roman" w:eastAsia="Times New Roman" w:hAnsi="Times New Roman" w:cs="Times New Roman"/>
          <w:b/>
          <w:bCs/>
          <w:lang w:val="sl-SI"/>
        </w:rPr>
        <w:t>Kaj vsebuje zdravilo Yuflyma</w:t>
      </w:r>
    </w:p>
    <w:p w14:paraId="4257A049" w14:textId="77777777" w:rsidR="00E04C8A" w:rsidRDefault="00E04C8A">
      <w:pPr>
        <w:spacing w:before="18" w:line="240" w:lineRule="exact"/>
        <w:rPr>
          <w:rFonts w:ascii="Times New Roman" w:hAnsi="Times New Roman" w:cs="Times New Roman"/>
          <w:b/>
          <w:lang w:val="sl-SI"/>
        </w:rPr>
      </w:pPr>
    </w:p>
    <w:p w14:paraId="36ACF20A" w14:textId="77777777" w:rsidR="00E04C8A" w:rsidRDefault="008E1817">
      <w:pPr>
        <w:pStyle w:val="a3"/>
        <w:rPr>
          <w:lang w:val="sl-SI"/>
        </w:rPr>
      </w:pPr>
      <w:r>
        <w:rPr>
          <w:rFonts w:eastAsia="Times New Roman"/>
          <w:lang w:val="sl-SI"/>
        </w:rPr>
        <w:t>Učinkovina je adalimumab.</w:t>
      </w:r>
    </w:p>
    <w:p w14:paraId="23CE3FCD" w14:textId="77777777" w:rsidR="00E04C8A" w:rsidRDefault="008E1817">
      <w:pPr>
        <w:pStyle w:val="a3"/>
        <w:rPr>
          <w:lang w:val="sl-SI"/>
        </w:rPr>
      </w:pPr>
      <w:r>
        <w:rPr>
          <w:rFonts w:eastAsia="Times New Roman"/>
          <w:lang w:val="sl-SI"/>
        </w:rPr>
        <w:t>Druge sestavine zdravila so ocetna kislina, natrijev acetat trihidrat, glicin, polisorbat 80 in voda za injekcije.</w:t>
      </w:r>
    </w:p>
    <w:p w14:paraId="3A7270F7" w14:textId="77777777" w:rsidR="00E04C8A" w:rsidRDefault="00E04C8A">
      <w:pPr>
        <w:pStyle w:val="a3"/>
        <w:rPr>
          <w:lang w:val="sl-SI"/>
        </w:rPr>
      </w:pPr>
    </w:p>
    <w:p w14:paraId="5364973C" w14:textId="368FE700" w:rsidR="00E04C8A" w:rsidRDefault="008E1817">
      <w:pPr>
        <w:pStyle w:val="a3"/>
        <w:rPr>
          <w:b/>
          <w:lang w:val="sl-SI"/>
        </w:rPr>
      </w:pPr>
      <w:r>
        <w:rPr>
          <w:rFonts w:eastAsia="Times New Roman"/>
          <w:b/>
          <w:bCs/>
          <w:lang w:val="sl-SI"/>
        </w:rPr>
        <w:t xml:space="preserve">Izgled zdravila Yuflyma napolnjena injekcijska brizga </w:t>
      </w:r>
      <w:r w:rsidR="00E07158">
        <w:rPr>
          <w:rFonts w:eastAsia="Times New Roman"/>
          <w:b/>
          <w:bCs/>
          <w:highlight w:val="lightGray"/>
          <w:lang w:val="sl-SI"/>
        </w:rPr>
        <w:t>s ščitnikom za iglo</w:t>
      </w:r>
      <w:r>
        <w:rPr>
          <w:rFonts w:eastAsia="Times New Roman"/>
          <w:b/>
          <w:bCs/>
          <w:lang w:val="sl-SI"/>
        </w:rPr>
        <w:t xml:space="preserve"> in vsebina pakiranja</w:t>
      </w:r>
    </w:p>
    <w:p w14:paraId="550ABB07" w14:textId="77777777" w:rsidR="00E04C8A" w:rsidRDefault="00E04C8A">
      <w:pPr>
        <w:spacing w:before="12" w:line="240" w:lineRule="exact"/>
        <w:rPr>
          <w:sz w:val="24"/>
          <w:szCs w:val="24"/>
          <w:lang w:val="sl-SI"/>
        </w:rPr>
      </w:pPr>
    </w:p>
    <w:p w14:paraId="17B5DA68" w14:textId="499DBF4B" w:rsidR="00E04C8A" w:rsidRDefault="008E1817">
      <w:pPr>
        <w:pStyle w:val="a3"/>
        <w:rPr>
          <w:lang w:val="sl-SI"/>
        </w:rPr>
      </w:pPr>
      <w:r>
        <w:rPr>
          <w:rFonts w:eastAsia="Times New Roman"/>
          <w:lang w:val="sl-SI"/>
        </w:rPr>
        <w:t xml:space="preserve">Zdravilo Yuflyma 40 mg raztopina za injiciranje v napolnjeni injekcijski brizgi </w:t>
      </w:r>
      <w:r w:rsidR="00E07158">
        <w:rPr>
          <w:rFonts w:eastAsia="Times New Roman"/>
          <w:highlight w:val="lightGray"/>
          <w:lang w:val="sl-SI"/>
        </w:rPr>
        <w:t>s ščitnikom za iglo</w:t>
      </w:r>
      <w:r>
        <w:rPr>
          <w:rFonts w:eastAsia="Times New Roman"/>
          <w:lang w:val="sl-SI"/>
        </w:rPr>
        <w:t xml:space="preserve"> je na voljo kot sterilna raztopina 40 mg adalimumaba, raztopljenega v 0,4 ml raztopine.</w:t>
      </w:r>
    </w:p>
    <w:p w14:paraId="3688799C" w14:textId="77777777" w:rsidR="00E04C8A" w:rsidRDefault="00E04C8A">
      <w:pPr>
        <w:spacing w:before="11" w:line="240" w:lineRule="exact"/>
        <w:rPr>
          <w:sz w:val="24"/>
          <w:szCs w:val="24"/>
          <w:lang w:val="sl-SI"/>
        </w:rPr>
      </w:pPr>
    </w:p>
    <w:p w14:paraId="2CAE277F" w14:textId="43C08759" w:rsidR="00E04C8A" w:rsidRDefault="008E1817">
      <w:pPr>
        <w:pStyle w:val="a3"/>
        <w:rPr>
          <w:lang w:val="sl-SI"/>
        </w:rPr>
      </w:pPr>
      <w:r>
        <w:rPr>
          <w:rFonts w:eastAsia="Times New Roman"/>
          <w:lang w:val="sl-SI"/>
        </w:rPr>
        <w:t>Zdravilo Yuflyma napolnjena injekcijska brizga je steklena brizga, ki vsebuje raztopino adalimumaba. Pri pakiranju z 1 napolnjeno injekcijsko brizgo sta priložena 2 alkoholna zloženca (1 nadomestni). Pri pakiranjih po 2, 4 in 6 napolnjenih injekcijskih brizg je vsaki napolnjeni injekcijski brizgi priložen 1 alkoholni zloženec.</w:t>
      </w:r>
    </w:p>
    <w:p w14:paraId="302DF41A" w14:textId="77777777" w:rsidR="00E04C8A" w:rsidRDefault="00E04C8A">
      <w:pPr>
        <w:pStyle w:val="a3"/>
        <w:rPr>
          <w:lang w:val="sl-SI"/>
        </w:rPr>
      </w:pPr>
    </w:p>
    <w:p w14:paraId="6DFA4F6D" w14:textId="548BBCF8" w:rsidR="00E04C8A" w:rsidRDefault="008E1817">
      <w:pPr>
        <w:pStyle w:val="a3"/>
        <w:rPr>
          <w:lang w:val="sl-SI"/>
        </w:rPr>
      </w:pPr>
      <w:r w:rsidRPr="008E1817">
        <w:rPr>
          <w:rFonts w:eastAsia="Times New Roman"/>
          <w:highlight w:val="lightGray"/>
          <w:lang w:val="sl-SI"/>
        </w:rPr>
        <w:t xml:space="preserve">Zdravilo Yuflyma napolnjena injekcijska brizga </w:t>
      </w:r>
      <w:r w:rsidR="00E07158">
        <w:rPr>
          <w:rFonts w:eastAsia="Times New Roman"/>
          <w:highlight w:val="lightGray"/>
          <w:lang w:val="sl-SI"/>
        </w:rPr>
        <w:t>s ščitnikom za iglo</w:t>
      </w:r>
      <w:r w:rsidRPr="008E1817">
        <w:rPr>
          <w:rFonts w:eastAsia="Times New Roman"/>
          <w:highlight w:val="lightGray"/>
          <w:lang w:val="sl-SI"/>
        </w:rPr>
        <w:t xml:space="preserve"> je steklena brizga, ki vsebuje raztopino adalimumaba. Pri pakiranju z 1 napolnjeno injekcijsko brizgo </w:t>
      </w:r>
      <w:r w:rsidR="00E07158">
        <w:rPr>
          <w:rFonts w:eastAsia="Times New Roman"/>
          <w:highlight w:val="lightGray"/>
          <w:lang w:val="sl-SI"/>
        </w:rPr>
        <w:t>s ščitnikom za iglo</w:t>
      </w:r>
      <w:r w:rsidRPr="008E1817">
        <w:rPr>
          <w:rFonts w:eastAsia="Times New Roman"/>
          <w:highlight w:val="lightGray"/>
          <w:lang w:val="sl-SI"/>
        </w:rPr>
        <w:t xml:space="preserve"> sta priložena 2 alkoholna zloženca (1 nadomestni). Pri pakiranjih po 2, 4 in 6 napolnjenih injekcijskih brizg </w:t>
      </w:r>
      <w:r w:rsidR="00E07158">
        <w:rPr>
          <w:rFonts w:eastAsia="Times New Roman"/>
          <w:highlight w:val="lightGray"/>
          <w:lang w:val="sl-SI"/>
        </w:rPr>
        <w:t>s ščitnikom za iglo</w:t>
      </w:r>
      <w:r w:rsidRPr="008E1817">
        <w:rPr>
          <w:rFonts w:eastAsia="Times New Roman"/>
          <w:highlight w:val="lightGray"/>
          <w:lang w:val="sl-SI"/>
        </w:rPr>
        <w:t xml:space="preserve"> je vsaki napolnjeni injekcijski brizgi priložen 1 alkoholni zloženec.</w:t>
      </w:r>
    </w:p>
    <w:p w14:paraId="36C5FB77" w14:textId="77777777" w:rsidR="00E04C8A" w:rsidRDefault="00E04C8A">
      <w:pPr>
        <w:spacing w:before="10" w:line="240" w:lineRule="exact"/>
        <w:rPr>
          <w:sz w:val="24"/>
          <w:szCs w:val="24"/>
          <w:lang w:val="sl-SI"/>
        </w:rPr>
      </w:pPr>
    </w:p>
    <w:p w14:paraId="644CC93D" w14:textId="77777777" w:rsidR="00E04C8A" w:rsidRDefault="008E1817">
      <w:pPr>
        <w:pStyle w:val="a3"/>
        <w:rPr>
          <w:lang w:val="sl-SI"/>
        </w:rPr>
      </w:pPr>
      <w:r>
        <w:rPr>
          <w:rFonts w:eastAsia="Times New Roman"/>
          <w:lang w:val="sl-SI"/>
        </w:rPr>
        <w:t>Na trgu morda ni vseh navedenih pakiranj.</w:t>
      </w:r>
    </w:p>
    <w:p w14:paraId="70D10E29" w14:textId="77777777" w:rsidR="00E04C8A" w:rsidRDefault="00E04C8A">
      <w:pPr>
        <w:spacing w:before="13" w:line="240" w:lineRule="exact"/>
        <w:rPr>
          <w:sz w:val="24"/>
          <w:szCs w:val="24"/>
          <w:lang w:val="sl-SI"/>
        </w:rPr>
      </w:pPr>
    </w:p>
    <w:p w14:paraId="1F193568" w14:textId="514552EB" w:rsidR="00E04C8A" w:rsidRDefault="008E1817">
      <w:pPr>
        <w:pStyle w:val="a3"/>
        <w:rPr>
          <w:lang w:val="sl-SI"/>
        </w:rPr>
      </w:pPr>
      <w:r>
        <w:rPr>
          <w:rFonts w:eastAsia="Times New Roman"/>
          <w:lang w:val="sl-SI"/>
        </w:rPr>
        <w:t xml:space="preserve">Zdravilo Yuflyma je na voljo kot napolnjena injekcijska brizga </w:t>
      </w:r>
      <w:r w:rsidR="00BC4B06">
        <w:rPr>
          <w:rFonts w:eastAsia="Times New Roman"/>
          <w:lang w:val="sl-SI"/>
        </w:rPr>
        <w:t>i</w:t>
      </w:r>
      <w:r>
        <w:rPr>
          <w:rFonts w:eastAsia="Times New Roman"/>
          <w:lang w:val="sl-SI"/>
        </w:rPr>
        <w:t>n/ali napolnjen injekcijski peresnik.</w:t>
      </w:r>
    </w:p>
    <w:p w14:paraId="252289A9" w14:textId="77777777" w:rsidR="00E04C8A" w:rsidRDefault="00E04C8A">
      <w:pPr>
        <w:spacing w:before="18" w:line="240" w:lineRule="exact"/>
        <w:rPr>
          <w:sz w:val="24"/>
          <w:szCs w:val="24"/>
          <w:lang w:val="sl-SI"/>
        </w:rPr>
      </w:pPr>
    </w:p>
    <w:p w14:paraId="3907D8AF" w14:textId="77777777" w:rsidR="00E04C8A" w:rsidRDefault="008E1817">
      <w:pPr>
        <w:pStyle w:val="a3"/>
        <w:rPr>
          <w:b/>
          <w:lang w:val="sl-SI"/>
        </w:rPr>
      </w:pPr>
      <w:r>
        <w:rPr>
          <w:rFonts w:eastAsia="Times New Roman"/>
          <w:b/>
          <w:bCs/>
          <w:lang w:val="sl-SI"/>
        </w:rPr>
        <w:t>Imetnik dovoljenja za promet z zdravilom</w:t>
      </w:r>
    </w:p>
    <w:p w14:paraId="7D108591" w14:textId="77777777" w:rsidR="00E04C8A" w:rsidRDefault="00E04C8A">
      <w:pPr>
        <w:spacing w:before="12" w:line="240" w:lineRule="exact"/>
        <w:rPr>
          <w:sz w:val="24"/>
          <w:szCs w:val="24"/>
          <w:lang w:val="sl-SI"/>
        </w:rPr>
      </w:pPr>
    </w:p>
    <w:p w14:paraId="7DE0FD43" w14:textId="77777777" w:rsidR="00E04C8A" w:rsidRDefault="008E1817">
      <w:pPr>
        <w:pStyle w:val="a3"/>
        <w:rPr>
          <w:lang w:val="sl-SI"/>
        </w:rPr>
      </w:pPr>
      <w:r>
        <w:rPr>
          <w:lang w:val="sl-SI"/>
        </w:rPr>
        <w:t xml:space="preserve">Celltrion Healthcare Hungary Kft. </w:t>
      </w:r>
    </w:p>
    <w:p w14:paraId="3B6101A1" w14:textId="77777777" w:rsidR="00E04C8A" w:rsidRDefault="008E1817">
      <w:pPr>
        <w:pStyle w:val="a3"/>
        <w:rPr>
          <w:lang w:val="sl-SI"/>
        </w:rPr>
      </w:pPr>
      <w:r>
        <w:rPr>
          <w:lang w:val="sl-SI"/>
        </w:rPr>
        <w:t>1062 Budapest</w:t>
      </w:r>
    </w:p>
    <w:p w14:paraId="138854EF" w14:textId="77777777" w:rsidR="00E04C8A" w:rsidRDefault="008E1817">
      <w:pPr>
        <w:pStyle w:val="a3"/>
        <w:rPr>
          <w:lang w:val="sl-SI"/>
        </w:rPr>
      </w:pPr>
      <w:r>
        <w:rPr>
          <w:lang w:val="sl-SI"/>
        </w:rPr>
        <w:t>Váci út 1-3. WestEnd Office Building B torony</w:t>
      </w:r>
    </w:p>
    <w:p w14:paraId="702F0753" w14:textId="77777777" w:rsidR="00E04C8A" w:rsidRDefault="008E1817">
      <w:pPr>
        <w:pStyle w:val="a3"/>
        <w:rPr>
          <w:lang w:val="sl-SI"/>
        </w:rPr>
      </w:pPr>
      <w:r>
        <w:rPr>
          <w:rFonts w:eastAsia="Times New Roman"/>
          <w:lang w:val="sl-SI"/>
        </w:rPr>
        <w:t>Madžarska</w:t>
      </w:r>
    </w:p>
    <w:p w14:paraId="5738E553" w14:textId="77777777" w:rsidR="00E04C8A" w:rsidRDefault="00E04C8A">
      <w:pPr>
        <w:spacing w:before="15" w:line="240" w:lineRule="exact"/>
        <w:rPr>
          <w:b/>
          <w:sz w:val="24"/>
          <w:szCs w:val="24"/>
          <w:lang w:val="sl-SI"/>
        </w:rPr>
      </w:pPr>
    </w:p>
    <w:p w14:paraId="3CC289D4" w14:textId="77777777" w:rsidR="00E04C8A" w:rsidRDefault="008E1817">
      <w:pPr>
        <w:pStyle w:val="a3"/>
        <w:rPr>
          <w:b/>
          <w:lang w:val="sl-SI"/>
        </w:rPr>
      </w:pPr>
      <w:r>
        <w:rPr>
          <w:rFonts w:eastAsia="Times New Roman"/>
          <w:b/>
          <w:bCs/>
          <w:lang w:val="sl-SI"/>
        </w:rPr>
        <w:t>Proizvajalec</w:t>
      </w:r>
    </w:p>
    <w:p w14:paraId="0E2E5A58" w14:textId="77777777" w:rsidR="00E04C8A" w:rsidRDefault="00E04C8A">
      <w:pPr>
        <w:spacing w:before="12" w:line="240" w:lineRule="exact"/>
        <w:rPr>
          <w:b/>
          <w:sz w:val="24"/>
          <w:szCs w:val="24"/>
          <w:lang w:val="sl-SI"/>
        </w:rPr>
      </w:pPr>
    </w:p>
    <w:p w14:paraId="234C8AA8" w14:textId="5149DE75" w:rsidR="00E04C8A" w:rsidRPr="001B02C1" w:rsidDel="001B02C1" w:rsidRDefault="008E1817">
      <w:pPr>
        <w:pStyle w:val="a3"/>
        <w:rPr>
          <w:del w:id="46" w:author="만든 이"/>
          <w:lang w:val="sl-SI"/>
        </w:rPr>
      </w:pPr>
      <w:del w:id="47" w:author="만든 이">
        <w:r w:rsidRPr="001B02C1" w:rsidDel="001B02C1">
          <w:rPr>
            <w:lang w:val="sl-SI"/>
          </w:rPr>
          <w:delText>Millmount Healthcare Ltd.</w:delText>
        </w:r>
      </w:del>
    </w:p>
    <w:p w14:paraId="4A701AB5" w14:textId="742AB9EF" w:rsidR="00E04C8A" w:rsidRPr="001B02C1" w:rsidDel="001B02C1" w:rsidRDefault="008E1817">
      <w:pPr>
        <w:pStyle w:val="a3"/>
        <w:rPr>
          <w:del w:id="48" w:author="만든 이"/>
          <w:lang w:val="sl-SI"/>
        </w:rPr>
      </w:pPr>
      <w:del w:id="49" w:author="만든 이">
        <w:r w:rsidRPr="001B02C1" w:rsidDel="001B02C1">
          <w:rPr>
            <w:lang w:val="sl-SI"/>
          </w:rPr>
          <w:delText>Block 7</w:delText>
        </w:r>
      </w:del>
    </w:p>
    <w:p w14:paraId="49BD7D20" w14:textId="7F32ABD7" w:rsidR="00E04C8A" w:rsidRPr="001B02C1" w:rsidDel="001B02C1" w:rsidRDefault="008E1817">
      <w:pPr>
        <w:pStyle w:val="a3"/>
        <w:rPr>
          <w:del w:id="50" w:author="만든 이"/>
          <w:lang w:val="sl-SI"/>
        </w:rPr>
      </w:pPr>
      <w:del w:id="51" w:author="만든 이">
        <w:r w:rsidRPr="001B02C1" w:rsidDel="001B02C1">
          <w:rPr>
            <w:lang w:val="sl-SI"/>
          </w:rPr>
          <w:delText xml:space="preserve">City North Business Campus </w:delText>
        </w:r>
      </w:del>
    </w:p>
    <w:p w14:paraId="057619A2" w14:textId="0F0DCA4E" w:rsidR="00E04C8A" w:rsidRPr="001B02C1" w:rsidDel="001B02C1" w:rsidRDefault="008E1817">
      <w:pPr>
        <w:pStyle w:val="a3"/>
        <w:rPr>
          <w:del w:id="52" w:author="만든 이"/>
          <w:lang w:val="sl-SI"/>
        </w:rPr>
      </w:pPr>
      <w:del w:id="53" w:author="만든 이">
        <w:r w:rsidRPr="001B02C1" w:rsidDel="001B02C1">
          <w:rPr>
            <w:lang w:val="sl-SI"/>
          </w:rPr>
          <w:delText>Stamullen, Co. Meath K32 YD60</w:delText>
        </w:r>
      </w:del>
    </w:p>
    <w:p w14:paraId="1EC209A3" w14:textId="4A029377" w:rsidR="00E04C8A" w:rsidRPr="001B02C1" w:rsidDel="001B02C1" w:rsidRDefault="008E1817">
      <w:pPr>
        <w:pStyle w:val="a3"/>
        <w:rPr>
          <w:del w:id="54" w:author="만든 이"/>
          <w:lang w:val="sl-SI"/>
        </w:rPr>
      </w:pPr>
      <w:del w:id="55" w:author="만든 이">
        <w:r w:rsidRPr="001B02C1" w:rsidDel="001B02C1">
          <w:rPr>
            <w:rFonts w:eastAsia="Times New Roman"/>
            <w:lang w:val="sl-SI"/>
          </w:rPr>
          <w:delText>Irska</w:delText>
        </w:r>
      </w:del>
    </w:p>
    <w:p w14:paraId="14F86505" w14:textId="5FE00C8D" w:rsidR="00E04C8A" w:rsidRPr="001B02C1" w:rsidDel="001B02C1" w:rsidRDefault="00E04C8A">
      <w:pPr>
        <w:spacing w:before="14" w:line="240" w:lineRule="exact"/>
        <w:rPr>
          <w:del w:id="56" w:author="만든 이"/>
          <w:sz w:val="24"/>
          <w:szCs w:val="24"/>
          <w:lang w:val="sl-SI"/>
        </w:rPr>
      </w:pPr>
    </w:p>
    <w:p w14:paraId="6861702E" w14:textId="77777777" w:rsidR="002153A2" w:rsidRPr="001B02C1" w:rsidRDefault="002153A2" w:rsidP="002153A2">
      <w:pPr>
        <w:spacing w:before="10" w:line="240" w:lineRule="exact"/>
        <w:rPr>
          <w:moveTo w:id="57" w:author="만든 이" w16du:dateUtc="2025-09-09T06:34:00Z"/>
          <w:rFonts w:ascii="Times New Roman" w:eastAsia="Times New Roman" w:hAnsi="Times New Roman" w:cs="Times New Roman"/>
          <w:lang w:val="de-DE"/>
        </w:rPr>
      </w:pPr>
      <w:moveToRangeStart w:id="58" w:author="만든 이" w:name="move208324464"/>
      <w:moveTo w:id="59" w:author="만든 이" w16du:dateUtc="2025-09-09T06:34:00Z">
        <w:r w:rsidRPr="001B02C1">
          <w:rPr>
            <w:rFonts w:ascii="Times New Roman" w:eastAsia="Times New Roman" w:hAnsi="Times New Roman" w:cs="Times New Roman"/>
            <w:lang w:val="de-DE"/>
          </w:rPr>
          <w:t>Nuvisan France SARL</w:t>
        </w:r>
      </w:moveTo>
    </w:p>
    <w:p w14:paraId="7D198E51" w14:textId="77777777" w:rsidR="002153A2" w:rsidRPr="001B02C1" w:rsidRDefault="002153A2" w:rsidP="002153A2">
      <w:pPr>
        <w:spacing w:before="10" w:line="240" w:lineRule="exact"/>
        <w:rPr>
          <w:moveTo w:id="60" w:author="만든 이" w16du:dateUtc="2025-09-09T06:34:00Z"/>
          <w:rFonts w:ascii="Times New Roman" w:eastAsia="Times New Roman" w:hAnsi="Times New Roman" w:cs="Times New Roman"/>
          <w:lang w:val="de-DE"/>
        </w:rPr>
      </w:pPr>
      <w:moveTo w:id="61" w:author="만든 이" w16du:dateUtc="2025-09-09T06:34:00Z">
        <w:r w:rsidRPr="001B02C1">
          <w:rPr>
            <w:rFonts w:ascii="Times New Roman" w:eastAsia="Times New Roman" w:hAnsi="Times New Roman" w:cs="Times New Roman"/>
            <w:lang w:val="de-DE"/>
          </w:rPr>
          <w:t>2400, Route des Colles</w:t>
        </w:r>
      </w:moveTo>
    </w:p>
    <w:p w14:paraId="5875B20F" w14:textId="77777777" w:rsidR="002153A2" w:rsidRPr="001B02C1" w:rsidRDefault="002153A2" w:rsidP="002153A2">
      <w:pPr>
        <w:spacing w:before="10" w:line="240" w:lineRule="exact"/>
        <w:rPr>
          <w:moveTo w:id="62" w:author="만든 이" w16du:dateUtc="2025-09-09T06:34:00Z"/>
          <w:rFonts w:ascii="Times New Roman" w:eastAsia="Times New Roman" w:hAnsi="Times New Roman" w:cs="Times New Roman"/>
          <w:lang w:val="de-DE"/>
        </w:rPr>
      </w:pPr>
      <w:moveTo w:id="63" w:author="만든 이" w16du:dateUtc="2025-09-09T06:34:00Z">
        <w:r w:rsidRPr="001B02C1">
          <w:rPr>
            <w:rFonts w:ascii="Times New Roman" w:eastAsia="Times New Roman" w:hAnsi="Times New Roman" w:cs="Times New Roman"/>
            <w:lang w:val="de-DE"/>
          </w:rPr>
          <w:t>06410, Biot</w:t>
        </w:r>
      </w:moveTo>
    </w:p>
    <w:p w14:paraId="363CD45F" w14:textId="77777777" w:rsidR="002153A2" w:rsidRPr="001B02C1" w:rsidRDefault="002153A2" w:rsidP="002153A2">
      <w:pPr>
        <w:autoSpaceDE w:val="0"/>
        <w:autoSpaceDN w:val="0"/>
        <w:adjustRightInd w:val="0"/>
        <w:rPr>
          <w:moveTo w:id="64" w:author="만든 이" w16du:dateUtc="2025-09-09T06:34:00Z"/>
          <w:rFonts w:ascii="Times New Roman" w:eastAsia="Times New Roman" w:hAnsi="Times New Roman" w:cs="Times New Roman"/>
          <w:lang w:val="de-DE"/>
        </w:rPr>
      </w:pPr>
      <w:moveTo w:id="65" w:author="만든 이" w16du:dateUtc="2025-09-09T06:34:00Z">
        <w:r w:rsidRPr="001B02C1">
          <w:rPr>
            <w:rFonts w:ascii="Times New Roman" w:eastAsia="Times New Roman" w:hAnsi="Times New Roman" w:cs="Times New Roman"/>
            <w:lang w:val="de-DE"/>
          </w:rPr>
          <w:t>Francija</w:t>
        </w:r>
      </w:moveTo>
    </w:p>
    <w:p w14:paraId="56AC2211" w14:textId="77777777" w:rsidR="002153A2" w:rsidRPr="001B02C1" w:rsidRDefault="002153A2" w:rsidP="002153A2">
      <w:pPr>
        <w:pStyle w:val="a3"/>
        <w:rPr>
          <w:moveTo w:id="66" w:author="만든 이" w16du:dateUtc="2025-09-09T06:34:00Z"/>
          <w:color w:val="000000"/>
          <w:lang w:val="es-ES_tradnl"/>
        </w:rPr>
      </w:pPr>
    </w:p>
    <w:moveToRangeEnd w:id="58"/>
    <w:p w14:paraId="7C5AEF3B" w14:textId="77777777" w:rsidR="008B4794" w:rsidRPr="001B02C1" w:rsidRDefault="008B4794" w:rsidP="008B4794">
      <w:pPr>
        <w:keepNext/>
        <w:spacing w:before="10" w:line="240" w:lineRule="exact"/>
        <w:rPr>
          <w:rFonts w:ascii="Times New Roman" w:eastAsia="Times New Roman" w:hAnsi="Times New Roman" w:cs="Times New Roman"/>
          <w:shd w:val="pct15" w:color="auto" w:fill="FFFFFF"/>
          <w:lang w:val="es-ES"/>
        </w:rPr>
      </w:pPr>
      <w:r w:rsidRPr="001B02C1">
        <w:rPr>
          <w:rFonts w:ascii="Times New Roman" w:eastAsia="Times New Roman" w:hAnsi="Times New Roman" w:cs="Times New Roman"/>
          <w:shd w:val="pct15" w:color="auto" w:fill="FFFFFF"/>
          <w:lang w:val="es-ES"/>
        </w:rPr>
        <w:t>Nuvisan GmbH</w:t>
      </w:r>
    </w:p>
    <w:p w14:paraId="4798937C" w14:textId="13277A20" w:rsidR="008B4794" w:rsidRPr="001B02C1" w:rsidRDefault="008B4794" w:rsidP="008B4794">
      <w:pPr>
        <w:keepNext/>
        <w:spacing w:before="10" w:line="240" w:lineRule="exact"/>
        <w:rPr>
          <w:rFonts w:ascii="Times New Roman" w:eastAsia="Times New Roman" w:hAnsi="Times New Roman" w:cs="Times New Roman"/>
          <w:shd w:val="pct15" w:color="auto" w:fill="FFFFFF"/>
          <w:lang w:val="de-CH"/>
        </w:rPr>
      </w:pPr>
      <w:r w:rsidRPr="001B02C1">
        <w:rPr>
          <w:rFonts w:ascii="Times New Roman" w:eastAsia="Times New Roman" w:hAnsi="Times New Roman" w:cs="Times New Roman"/>
          <w:shd w:val="pct15" w:color="auto" w:fill="FFFFFF"/>
          <w:lang w:val="de-CH"/>
        </w:rPr>
        <w:t>Wegenerstraße 13</w:t>
      </w:r>
    </w:p>
    <w:p w14:paraId="435EC900" w14:textId="5249D234" w:rsidR="008B4794" w:rsidRPr="001B02C1" w:rsidRDefault="008B4794" w:rsidP="008B4794">
      <w:pPr>
        <w:keepNext/>
        <w:spacing w:before="10" w:line="240" w:lineRule="exact"/>
        <w:rPr>
          <w:rFonts w:ascii="Times New Roman" w:eastAsia="Times New Roman" w:hAnsi="Times New Roman" w:cs="Times New Roman"/>
          <w:shd w:val="pct15" w:color="auto" w:fill="FFFFFF"/>
          <w:lang w:val="de-CH"/>
        </w:rPr>
      </w:pPr>
      <w:r w:rsidRPr="001B02C1">
        <w:rPr>
          <w:rFonts w:ascii="Times New Roman" w:eastAsia="Times New Roman" w:hAnsi="Times New Roman" w:cs="Times New Roman"/>
          <w:shd w:val="pct15" w:color="auto" w:fill="FFFFFF"/>
          <w:lang w:val="de-CH"/>
        </w:rPr>
        <w:t>89231 Neu</w:t>
      </w:r>
      <w:r w:rsidR="00DD1146" w:rsidRPr="001B02C1">
        <w:rPr>
          <w:rFonts w:ascii="Times New Roman" w:hAnsi="Times New Roman" w:cs="Times New Roman" w:hint="eastAsia"/>
          <w:shd w:val="pct15" w:color="auto" w:fill="FFFFFF"/>
          <w:lang w:val="de-CH" w:eastAsia="ko-KR"/>
        </w:rPr>
        <w:t>-</w:t>
      </w:r>
      <w:r w:rsidRPr="001B02C1">
        <w:rPr>
          <w:rFonts w:ascii="Times New Roman" w:eastAsia="Times New Roman" w:hAnsi="Times New Roman" w:cs="Times New Roman"/>
          <w:shd w:val="pct15" w:color="auto" w:fill="FFFFFF"/>
          <w:lang w:val="de-CH"/>
        </w:rPr>
        <w:t>Ulm</w:t>
      </w:r>
    </w:p>
    <w:p w14:paraId="2651CD62" w14:textId="77777777" w:rsidR="008B4794" w:rsidRPr="001B02C1" w:rsidRDefault="008B4794" w:rsidP="008B4794">
      <w:pPr>
        <w:keepNext/>
        <w:spacing w:before="10" w:line="240" w:lineRule="exact"/>
        <w:rPr>
          <w:rFonts w:ascii="Times New Roman" w:eastAsia="Times New Roman" w:hAnsi="Times New Roman" w:cs="Times New Roman"/>
          <w:shd w:val="pct15" w:color="auto" w:fill="FFFFFF"/>
          <w:lang w:val="de-DE"/>
        </w:rPr>
      </w:pPr>
      <w:r w:rsidRPr="001B02C1">
        <w:rPr>
          <w:rFonts w:ascii="Times New Roman" w:eastAsia="Times New Roman" w:hAnsi="Times New Roman" w:cs="Times New Roman"/>
          <w:shd w:val="pct15" w:color="auto" w:fill="FFFFFF"/>
          <w:lang w:val="de-DE"/>
        </w:rPr>
        <w:t>Nemčija</w:t>
      </w:r>
    </w:p>
    <w:p w14:paraId="2B40EDE9" w14:textId="77777777" w:rsidR="008B4794" w:rsidRPr="001B02C1" w:rsidRDefault="008B4794" w:rsidP="008B4794">
      <w:pPr>
        <w:spacing w:before="10" w:line="240" w:lineRule="exact"/>
        <w:rPr>
          <w:rFonts w:ascii="Times New Roman" w:eastAsia="Times New Roman" w:hAnsi="Times New Roman" w:cs="Times New Roman"/>
          <w:shd w:val="pct15" w:color="auto" w:fill="FFFFFF"/>
          <w:lang w:val="de-DE"/>
        </w:rPr>
      </w:pPr>
    </w:p>
    <w:p w14:paraId="74F3DE28" w14:textId="10719166" w:rsidR="008B4794" w:rsidRPr="001B02C1" w:rsidDel="002153A2" w:rsidRDefault="008B4794" w:rsidP="008B4794">
      <w:pPr>
        <w:spacing w:before="10" w:line="240" w:lineRule="exact"/>
        <w:rPr>
          <w:moveFrom w:id="67" w:author="만든 이" w16du:dateUtc="2025-09-09T06:34:00Z"/>
          <w:rFonts w:ascii="Times New Roman" w:eastAsia="Times New Roman" w:hAnsi="Times New Roman" w:cs="Times New Roman"/>
          <w:shd w:val="pct15" w:color="auto" w:fill="FFFFFF"/>
          <w:lang w:val="de-DE"/>
        </w:rPr>
      </w:pPr>
      <w:moveFromRangeStart w:id="68" w:author="만든 이" w:name="move208324464"/>
      <w:moveFrom w:id="69" w:author="만든 이" w16du:dateUtc="2025-09-09T06:34:00Z">
        <w:r w:rsidRPr="001B02C1" w:rsidDel="002153A2">
          <w:rPr>
            <w:rFonts w:ascii="Times New Roman" w:eastAsia="Times New Roman" w:hAnsi="Times New Roman" w:cs="Times New Roman"/>
            <w:shd w:val="pct15" w:color="auto" w:fill="FFFFFF"/>
            <w:lang w:val="de-DE"/>
          </w:rPr>
          <w:t>Nuvisan France SARL</w:t>
        </w:r>
      </w:moveFrom>
    </w:p>
    <w:p w14:paraId="4A9E8E8E" w14:textId="0B3C3FF8" w:rsidR="008B4794" w:rsidRPr="001B02C1" w:rsidDel="002153A2" w:rsidRDefault="008B4794" w:rsidP="008B4794">
      <w:pPr>
        <w:spacing w:before="10" w:line="240" w:lineRule="exact"/>
        <w:rPr>
          <w:moveFrom w:id="70" w:author="만든 이" w16du:dateUtc="2025-09-09T06:34:00Z"/>
          <w:rFonts w:ascii="Times New Roman" w:eastAsia="Times New Roman" w:hAnsi="Times New Roman" w:cs="Times New Roman"/>
          <w:shd w:val="pct15" w:color="auto" w:fill="FFFFFF"/>
          <w:lang w:val="de-DE"/>
        </w:rPr>
      </w:pPr>
      <w:moveFrom w:id="71" w:author="만든 이" w16du:dateUtc="2025-09-09T06:34:00Z">
        <w:r w:rsidRPr="001B02C1" w:rsidDel="002153A2">
          <w:rPr>
            <w:rFonts w:ascii="Times New Roman" w:eastAsia="Times New Roman" w:hAnsi="Times New Roman" w:cs="Times New Roman"/>
            <w:shd w:val="pct15" w:color="auto" w:fill="FFFFFF"/>
            <w:lang w:val="de-DE"/>
          </w:rPr>
          <w:t>2400, Route des Colles</w:t>
        </w:r>
      </w:moveFrom>
    </w:p>
    <w:p w14:paraId="3FCFB853" w14:textId="33FD8EC2" w:rsidR="008B4794" w:rsidRPr="001B02C1" w:rsidDel="002153A2" w:rsidRDefault="008B4794" w:rsidP="008B4794">
      <w:pPr>
        <w:spacing w:before="10" w:line="240" w:lineRule="exact"/>
        <w:rPr>
          <w:moveFrom w:id="72" w:author="만든 이" w16du:dateUtc="2025-09-09T06:34:00Z"/>
          <w:rFonts w:ascii="Times New Roman" w:eastAsia="Times New Roman" w:hAnsi="Times New Roman" w:cs="Times New Roman"/>
          <w:shd w:val="pct15" w:color="auto" w:fill="FFFFFF"/>
          <w:lang w:val="de-DE"/>
        </w:rPr>
      </w:pPr>
      <w:moveFrom w:id="73" w:author="만든 이" w16du:dateUtc="2025-09-09T06:34:00Z">
        <w:r w:rsidRPr="001B02C1" w:rsidDel="002153A2">
          <w:rPr>
            <w:rFonts w:ascii="Times New Roman" w:eastAsia="Times New Roman" w:hAnsi="Times New Roman" w:cs="Times New Roman"/>
            <w:shd w:val="pct15" w:color="auto" w:fill="FFFFFF"/>
            <w:lang w:val="de-DE"/>
          </w:rPr>
          <w:t>06410, Biot</w:t>
        </w:r>
      </w:moveFrom>
    </w:p>
    <w:p w14:paraId="1EDF20B8" w14:textId="28FE26D3" w:rsidR="008B4794" w:rsidRPr="001B02C1" w:rsidDel="002153A2" w:rsidRDefault="008B4794" w:rsidP="008B4794">
      <w:pPr>
        <w:autoSpaceDE w:val="0"/>
        <w:autoSpaceDN w:val="0"/>
        <w:adjustRightInd w:val="0"/>
        <w:rPr>
          <w:moveFrom w:id="74" w:author="만든 이" w16du:dateUtc="2025-09-09T06:34:00Z"/>
          <w:rFonts w:ascii="Times New Roman" w:eastAsia="Times New Roman" w:hAnsi="Times New Roman" w:cs="Times New Roman"/>
          <w:shd w:val="pct15" w:color="auto" w:fill="FFFFFF"/>
          <w:lang w:val="de-DE"/>
        </w:rPr>
      </w:pPr>
      <w:moveFrom w:id="75" w:author="만든 이" w16du:dateUtc="2025-09-09T06:34:00Z">
        <w:r w:rsidRPr="001B02C1" w:rsidDel="002153A2">
          <w:rPr>
            <w:rFonts w:ascii="Times New Roman" w:eastAsia="Times New Roman" w:hAnsi="Times New Roman" w:cs="Times New Roman"/>
            <w:shd w:val="pct15" w:color="auto" w:fill="FFFFFF"/>
            <w:lang w:val="de-DE"/>
          </w:rPr>
          <w:t>Francija</w:t>
        </w:r>
      </w:moveFrom>
    </w:p>
    <w:p w14:paraId="6E4BB6DF" w14:textId="3924247A" w:rsidR="002F4B1E" w:rsidRPr="001B02C1" w:rsidDel="002153A2" w:rsidRDefault="002F4B1E" w:rsidP="002F4B1E">
      <w:pPr>
        <w:pStyle w:val="a3"/>
        <w:rPr>
          <w:moveFrom w:id="76" w:author="만든 이" w16du:dateUtc="2025-09-09T06:34:00Z"/>
          <w:color w:val="000000"/>
          <w:shd w:val="pct15" w:color="auto" w:fill="FFFFFF"/>
          <w:lang w:val="es-ES_tradnl"/>
        </w:rPr>
      </w:pPr>
    </w:p>
    <w:moveFromRangeEnd w:id="68"/>
    <w:p w14:paraId="69B37F2C" w14:textId="77777777" w:rsidR="002F4B1E" w:rsidRPr="001B02C1" w:rsidRDefault="002F4B1E" w:rsidP="002F4B1E">
      <w:pPr>
        <w:pStyle w:val="a3"/>
        <w:rPr>
          <w:color w:val="000000"/>
          <w:shd w:val="pct15" w:color="auto" w:fill="FFFFFF"/>
          <w:lang w:val="de-DE"/>
        </w:rPr>
      </w:pPr>
      <w:r w:rsidRPr="001B02C1">
        <w:rPr>
          <w:color w:val="000000"/>
          <w:shd w:val="pct15" w:color="auto" w:fill="FFFFFF"/>
          <w:lang w:val="de-DE"/>
        </w:rPr>
        <w:t>Midas Pharma GmbH</w:t>
      </w:r>
    </w:p>
    <w:p w14:paraId="2622A60F" w14:textId="1E94385A" w:rsidR="002F4B1E" w:rsidRPr="001B02C1" w:rsidRDefault="002F4B1E" w:rsidP="002F4B1E">
      <w:pPr>
        <w:pStyle w:val="a3"/>
        <w:rPr>
          <w:color w:val="000000"/>
          <w:shd w:val="pct15" w:color="auto" w:fill="FFFFFF"/>
          <w:lang w:val="de-DE"/>
        </w:rPr>
      </w:pPr>
      <w:r w:rsidRPr="001B02C1">
        <w:rPr>
          <w:color w:val="000000"/>
          <w:shd w:val="pct15" w:color="auto" w:fill="FFFFFF"/>
          <w:lang w:val="de-DE"/>
        </w:rPr>
        <w:t>Rheinstr. 49</w:t>
      </w:r>
    </w:p>
    <w:p w14:paraId="1A495695" w14:textId="662A4106" w:rsidR="002F4B1E" w:rsidRPr="001B02C1" w:rsidRDefault="002F4B1E" w:rsidP="002F4B1E">
      <w:pPr>
        <w:pStyle w:val="a3"/>
        <w:rPr>
          <w:color w:val="000000"/>
          <w:shd w:val="pct15" w:color="auto" w:fill="FFFFFF"/>
          <w:lang w:val="de-DE"/>
        </w:rPr>
      </w:pPr>
      <w:r w:rsidRPr="001B02C1">
        <w:rPr>
          <w:color w:val="000000"/>
          <w:shd w:val="pct15" w:color="auto" w:fill="FFFFFF"/>
          <w:lang w:val="de-DE"/>
        </w:rPr>
        <w:t>55218 Ingelheim</w:t>
      </w:r>
    </w:p>
    <w:p w14:paraId="0A8B5066" w14:textId="77777777" w:rsidR="002F4B1E" w:rsidRPr="001B02C1" w:rsidRDefault="002F4B1E" w:rsidP="002F4B1E">
      <w:pPr>
        <w:pStyle w:val="a3"/>
        <w:rPr>
          <w:color w:val="000000"/>
          <w:shd w:val="pct15" w:color="auto" w:fill="FFFFFF"/>
          <w:lang w:val="de-CH"/>
        </w:rPr>
      </w:pPr>
      <w:r w:rsidRPr="001B02C1">
        <w:rPr>
          <w:color w:val="000000"/>
          <w:shd w:val="pct15" w:color="auto" w:fill="FFFFFF"/>
          <w:lang w:val="de-CH"/>
        </w:rPr>
        <w:t>Nemčija</w:t>
      </w:r>
    </w:p>
    <w:p w14:paraId="1D980A5C" w14:textId="77777777" w:rsidR="002F4B1E" w:rsidRPr="001B02C1" w:rsidRDefault="002F4B1E" w:rsidP="002F4B1E">
      <w:pPr>
        <w:pStyle w:val="a3"/>
        <w:rPr>
          <w:color w:val="000000"/>
          <w:shd w:val="pct15" w:color="auto" w:fill="FFFFFF"/>
          <w:lang w:val="de-DE"/>
        </w:rPr>
      </w:pPr>
    </w:p>
    <w:p w14:paraId="6CD232D3" w14:textId="4303E7DA" w:rsidR="002F4B1E" w:rsidRPr="001B02C1" w:rsidRDefault="002F4B1E" w:rsidP="002F4B1E">
      <w:pPr>
        <w:pStyle w:val="a3"/>
        <w:rPr>
          <w:color w:val="000000"/>
          <w:shd w:val="pct15" w:color="auto" w:fill="FFFFFF"/>
          <w:lang w:val="fr-FR"/>
        </w:rPr>
      </w:pPr>
      <w:r w:rsidRPr="001B02C1">
        <w:rPr>
          <w:color w:val="000000"/>
          <w:shd w:val="pct15" w:color="auto" w:fill="FFFFFF"/>
          <w:lang w:val="fr-FR"/>
        </w:rPr>
        <w:t>KYMOS S.L.</w:t>
      </w:r>
    </w:p>
    <w:p w14:paraId="56F4CCD3" w14:textId="07E27908" w:rsidR="002F4B1E" w:rsidRPr="001B02C1" w:rsidRDefault="002F4B1E" w:rsidP="002F4B1E">
      <w:pPr>
        <w:pStyle w:val="a3"/>
        <w:rPr>
          <w:color w:val="000000"/>
          <w:shd w:val="pct15" w:color="auto" w:fill="FFFFFF"/>
          <w:lang w:val="fr-FR"/>
        </w:rPr>
      </w:pPr>
      <w:r w:rsidRPr="001B02C1">
        <w:rPr>
          <w:color w:val="000000"/>
          <w:shd w:val="pct15" w:color="auto" w:fill="FFFFFF"/>
          <w:lang w:val="fr-FR"/>
        </w:rPr>
        <w:t>Ronda Can Fatjó, 7B.</w:t>
      </w:r>
    </w:p>
    <w:p w14:paraId="0862A461" w14:textId="0BE5FA65" w:rsidR="002F4B1E" w:rsidRPr="001B02C1" w:rsidRDefault="002F4B1E" w:rsidP="002F4B1E">
      <w:pPr>
        <w:pStyle w:val="a3"/>
        <w:rPr>
          <w:color w:val="000000"/>
          <w:shd w:val="pct15" w:color="auto" w:fill="FFFFFF"/>
          <w:lang w:val="fr-FR"/>
        </w:rPr>
      </w:pPr>
      <w:r w:rsidRPr="001B02C1">
        <w:rPr>
          <w:color w:val="000000"/>
          <w:shd w:val="pct15" w:color="auto" w:fill="FFFFFF"/>
          <w:lang w:val="fr-FR"/>
        </w:rPr>
        <w:t>08290 Cerdanyola del Vallès</w:t>
      </w:r>
    </w:p>
    <w:p w14:paraId="4B48DC07" w14:textId="44F2C3E7" w:rsidR="002F4B1E" w:rsidRPr="001B02C1" w:rsidRDefault="002F4B1E" w:rsidP="002F4B1E">
      <w:pPr>
        <w:pStyle w:val="a3"/>
        <w:rPr>
          <w:color w:val="000000"/>
          <w:shd w:val="pct15" w:color="auto" w:fill="FFFFFF"/>
          <w:lang w:val="fr-FR"/>
        </w:rPr>
      </w:pPr>
      <w:r w:rsidRPr="001B02C1">
        <w:rPr>
          <w:color w:val="000000"/>
          <w:shd w:val="pct15" w:color="auto" w:fill="FFFFFF"/>
          <w:lang w:val="fr-FR"/>
        </w:rPr>
        <w:t>Barcelona</w:t>
      </w:r>
    </w:p>
    <w:p w14:paraId="452DDAA0" w14:textId="77777777" w:rsidR="002F4B1E" w:rsidRPr="001B02C1" w:rsidRDefault="002F4B1E" w:rsidP="002F4B1E">
      <w:pPr>
        <w:pStyle w:val="a3"/>
        <w:rPr>
          <w:color w:val="000000"/>
          <w:shd w:val="pct15" w:color="auto" w:fill="FFFFFF"/>
          <w:lang w:val="fr-FR"/>
        </w:rPr>
      </w:pPr>
      <w:r w:rsidRPr="001B02C1">
        <w:rPr>
          <w:color w:val="000000"/>
          <w:shd w:val="pct15" w:color="auto" w:fill="FFFFFF"/>
          <w:lang w:val="fr-FR"/>
        </w:rPr>
        <w:t>Španija</w:t>
      </w:r>
    </w:p>
    <w:p w14:paraId="18482A24" w14:textId="77777777" w:rsidR="00E04C8A" w:rsidRDefault="008E1817">
      <w:pPr>
        <w:pStyle w:val="a3"/>
        <w:rPr>
          <w:lang w:val="sl-SI"/>
        </w:rPr>
      </w:pPr>
      <w:r>
        <w:rPr>
          <w:rFonts w:eastAsia="Times New Roman"/>
          <w:lang w:val="sl-SI"/>
        </w:rPr>
        <w:lastRenderedPageBreak/>
        <w:t>Za vse morebitne nadaljnje informacije o tem zdravilu se lahko obrnete na predstavništvo imetnika dovoljenja za promet z zdravilom:</w:t>
      </w:r>
    </w:p>
    <w:p w14:paraId="238558D5" w14:textId="77777777" w:rsidR="00E04C8A" w:rsidRDefault="00E04C8A">
      <w:pPr>
        <w:numPr>
          <w:ilvl w:val="12"/>
          <w:numId w:val="0"/>
        </w:numPr>
        <w:ind w:right="-2"/>
        <w:rPr>
          <w:rFonts w:ascii="Times New Roman" w:hAnsi="Times New Roman" w:cs="Times New Roman"/>
          <w:b/>
          <w:noProof/>
          <w:lang w:val="sl-SI"/>
        </w:rPr>
      </w:pPr>
    </w:p>
    <w:tbl>
      <w:tblPr>
        <w:tblW w:w="5000" w:type="pct"/>
        <w:tblLook w:val="04A0" w:firstRow="1" w:lastRow="0" w:firstColumn="1" w:lastColumn="0" w:noHBand="0" w:noVBand="1"/>
      </w:tblPr>
      <w:tblGrid>
        <w:gridCol w:w="4800"/>
        <w:gridCol w:w="4800"/>
      </w:tblGrid>
      <w:tr w:rsidR="00E04C8A" w14:paraId="4655E261" w14:textId="77777777">
        <w:tc>
          <w:tcPr>
            <w:tcW w:w="2500" w:type="pct"/>
            <w:hideMark/>
          </w:tcPr>
          <w:p w14:paraId="4DADAE3B" w14:textId="77777777" w:rsidR="00E04C8A" w:rsidRDefault="008E1817">
            <w:pPr>
              <w:rPr>
                <w:rFonts w:ascii="Times New Roman" w:hAnsi="Times New Roman" w:cs="Times New Roman"/>
                <w:b/>
                <w:noProof/>
                <w:lang w:val="sl-SI" w:eastAsia="fr-FR"/>
              </w:rPr>
            </w:pPr>
            <w:r>
              <w:rPr>
                <w:rFonts w:ascii="Times New Roman" w:eastAsia="맑은 고딕" w:hAnsi="Times New Roman" w:cs="Times New Roman"/>
                <w:b/>
                <w:noProof/>
                <w:lang w:val="sl-SI" w:eastAsia="fr-FR"/>
              </w:rPr>
              <w:t>België/Belgique/Belgien</w:t>
            </w:r>
          </w:p>
          <w:p w14:paraId="1B01F8E2" w14:textId="77777777" w:rsidR="00E04C8A" w:rsidRDefault="008E181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Belgium BVBA</w:t>
            </w:r>
          </w:p>
          <w:p w14:paraId="35B5BBB6" w14:textId="77777777" w:rsidR="00E04C8A" w:rsidRDefault="008E1817">
            <w:pPr>
              <w:rPr>
                <w:rFonts w:ascii="Times New Roman" w:eastAsia="맑은 고딕" w:hAnsi="Times New Roman" w:cs="Times New Roman"/>
                <w:noProof/>
                <w:lang w:val="sl-SI" w:eastAsia="ko-KR"/>
              </w:rPr>
            </w:pPr>
            <w:r>
              <w:rPr>
                <w:rFonts w:ascii="Times New Roman" w:eastAsia="맑은 고딕" w:hAnsi="Times New Roman" w:cs="Times New Roman"/>
                <w:noProof/>
                <w:lang w:val="sl-SI" w:eastAsia="fr-FR"/>
              </w:rPr>
              <w:t>Tél/Tel: + 32 1528 7418</w:t>
            </w:r>
          </w:p>
        </w:tc>
        <w:tc>
          <w:tcPr>
            <w:tcW w:w="2500" w:type="pct"/>
          </w:tcPr>
          <w:p w14:paraId="17EF0525" w14:textId="77777777" w:rsidR="00E04C8A" w:rsidRDefault="008E1817">
            <w:pPr>
              <w:tabs>
                <w:tab w:val="left" w:pos="-720"/>
              </w:tabs>
              <w:suppressAutoHyphens/>
              <w:rPr>
                <w:rFonts w:ascii="Times New Roman" w:hAnsi="Times New Roman" w:cs="Times New Roman"/>
                <w:b/>
                <w:noProof/>
                <w:lang w:val="sl-SI" w:eastAsia="fr-FR"/>
              </w:rPr>
            </w:pPr>
            <w:r>
              <w:rPr>
                <w:rFonts w:ascii="Times New Roman" w:hAnsi="Times New Roman" w:cs="Times New Roman"/>
                <w:b/>
                <w:noProof/>
                <w:lang w:val="sl-SI" w:eastAsia="fr-FR"/>
              </w:rPr>
              <w:t>Lietuva</w:t>
            </w:r>
          </w:p>
          <w:p w14:paraId="5A766ADE" w14:textId="77777777" w:rsidR="0011416E" w:rsidRDefault="0011416E" w:rsidP="0011416E">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0BEEB0C0" w14:textId="01BD306B" w:rsidR="0011416E" w:rsidRDefault="0011416E" w:rsidP="0011416E">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3169E3D3" w14:textId="77777777" w:rsidR="00E04C8A" w:rsidRPr="0011416E" w:rsidRDefault="00E04C8A">
            <w:pPr>
              <w:autoSpaceDE w:val="0"/>
              <w:autoSpaceDN w:val="0"/>
              <w:adjustRightInd w:val="0"/>
              <w:rPr>
                <w:rFonts w:ascii="Times New Roman" w:hAnsi="Times New Roman" w:cs="Times New Roman"/>
                <w:noProof/>
                <w:lang w:val="sl-SI" w:eastAsia="fr-FR"/>
              </w:rPr>
            </w:pPr>
          </w:p>
        </w:tc>
      </w:tr>
      <w:tr w:rsidR="00E04C8A" w14:paraId="09759C0D" w14:textId="77777777">
        <w:trPr>
          <w:trHeight w:val="619"/>
        </w:trPr>
        <w:tc>
          <w:tcPr>
            <w:tcW w:w="2500" w:type="pct"/>
          </w:tcPr>
          <w:p w14:paraId="67DA7D13" w14:textId="77777777" w:rsidR="00E04C8A" w:rsidRDefault="008E1817">
            <w:pPr>
              <w:rPr>
                <w:rFonts w:ascii="Times New Roman" w:eastAsia="맑은 고딕" w:hAnsi="Times New Roman" w:cs="Times New Roman"/>
                <w:b/>
                <w:noProof/>
                <w:lang w:val="sl-SI" w:eastAsia="fr-FR"/>
              </w:rPr>
            </w:pPr>
            <w:r>
              <w:rPr>
                <w:rFonts w:ascii="Times New Roman" w:hAnsi="Times New Roman" w:cs="Times New Roman"/>
                <w:b/>
                <w:bCs/>
                <w:lang w:val="sl-SI"/>
              </w:rPr>
              <w:t>България</w:t>
            </w:r>
          </w:p>
          <w:p w14:paraId="63919768" w14:textId="77777777" w:rsidR="0011416E" w:rsidRDefault="0011416E" w:rsidP="0011416E">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636A57F5" w14:textId="0A734F99" w:rsidR="0011416E" w:rsidRDefault="006E16B8" w:rsidP="0011416E">
            <w:pPr>
              <w:tabs>
                <w:tab w:val="left" w:pos="-720"/>
              </w:tabs>
              <w:suppressAutoHyphens/>
              <w:rPr>
                <w:rFonts w:ascii="Times New Roman" w:eastAsia="맑은 고딕" w:hAnsi="Times New Roman" w:cs="Times New Roman"/>
                <w:noProof/>
                <w:lang w:val="sl-SI" w:eastAsia="fr-FR"/>
              </w:rPr>
            </w:pPr>
            <w:r w:rsidRPr="006E16B8">
              <w:rPr>
                <w:rFonts w:ascii="Times New Roman" w:eastAsia="맑은 고딕" w:hAnsi="Times New Roman" w:cs="Times New Roman"/>
                <w:noProof/>
                <w:lang w:val="sl-SI" w:eastAsia="fr-FR"/>
              </w:rPr>
              <w:t xml:space="preserve">Teл.: </w:t>
            </w:r>
            <w:r w:rsidR="0011416E">
              <w:rPr>
                <w:rFonts w:ascii="Times New Roman" w:eastAsia="맑은 고딕" w:hAnsi="Times New Roman" w:cs="Times New Roman"/>
                <w:noProof/>
                <w:lang w:val="sl-SI" w:eastAsia="fr-FR"/>
              </w:rPr>
              <w:t>+36 1 231 0493</w:t>
            </w:r>
          </w:p>
          <w:p w14:paraId="16A54CFE" w14:textId="77777777" w:rsidR="00E04C8A" w:rsidRPr="0011416E" w:rsidRDefault="00E04C8A">
            <w:pPr>
              <w:rPr>
                <w:rFonts w:ascii="Times New Roman" w:hAnsi="Times New Roman" w:cs="Times New Roman"/>
                <w:noProof/>
                <w:lang w:val="sl-SI" w:eastAsia="fr-FR"/>
              </w:rPr>
            </w:pPr>
          </w:p>
        </w:tc>
        <w:tc>
          <w:tcPr>
            <w:tcW w:w="2500" w:type="pct"/>
            <w:hideMark/>
          </w:tcPr>
          <w:p w14:paraId="5E877806" w14:textId="77777777" w:rsidR="00E04C8A" w:rsidRDefault="008E1817">
            <w:pPr>
              <w:tabs>
                <w:tab w:val="left" w:pos="-720"/>
              </w:tabs>
              <w:suppressAutoHyphens/>
              <w:rPr>
                <w:rFonts w:ascii="Times New Roman" w:hAnsi="Times New Roman" w:cs="Times New Roman"/>
                <w:noProof/>
                <w:lang w:val="sl-SI" w:eastAsia="fr-FR"/>
              </w:rPr>
            </w:pPr>
            <w:r>
              <w:rPr>
                <w:rFonts w:ascii="Times New Roman" w:eastAsia="맑은 고딕" w:hAnsi="Times New Roman" w:cs="Times New Roman"/>
                <w:b/>
                <w:noProof/>
                <w:lang w:val="sl-SI" w:eastAsia="fr-FR"/>
              </w:rPr>
              <w:t>Luxembourg/Luxemburg</w:t>
            </w:r>
          </w:p>
          <w:p w14:paraId="0E147086" w14:textId="77777777" w:rsidR="00E04C8A" w:rsidRDefault="008E1817">
            <w:pPr>
              <w:tabs>
                <w:tab w:val="left" w:pos="-720"/>
              </w:tabs>
              <w:suppressAutoHyphens/>
              <w:rPr>
                <w:rFonts w:ascii="Times New Roman" w:eastAsia="맑은 고딕" w:hAnsi="Times New Roman" w:cs="Times New Roman"/>
                <w:iCs/>
                <w:noProof/>
                <w:lang w:val="sl-SI" w:eastAsia="fr-FR"/>
              </w:rPr>
            </w:pPr>
            <w:r>
              <w:rPr>
                <w:rFonts w:ascii="Times New Roman" w:eastAsia="맑은 고딕" w:hAnsi="Times New Roman" w:cs="Times New Roman"/>
                <w:iCs/>
                <w:noProof/>
                <w:lang w:val="sl-SI" w:eastAsia="fr-FR"/>
              </w:rPr>
              <w:t>Celltrion Healthcare Belgium BVBA</w:t>
            </w:r>
          </w:p>
          <w:p w14:paraId="412D7F33" w14:textId="77777777" w:rsidR="00E04C8A" w:rsidRDefault="008E1817">
            <w:pPr>
              <w:tabs>
                <w:tab w:val="left" w:pos="-720"/>
              </w:tabs>
              <w:suppressAutoHyphens/>
              <w:rPr>
                <w:rFonts w:ascii="Times New Roman" w:eastAsia="맑은 고딕" w:hAnsi="Times New Roman" w:cs="Times New Roman"/>
                <w:lang w:val="sl-SI" w:eastAsia="ko-KR"/>
              </w:rPr>
            </w:pPr>
            <w:r>
              <w:rPr>
                <w:rFonts w:ascii="Times New Roman" w:eastAsia="맑은 고딕" w:hAnsi="Times New Roman" w:cs="Times New Roman"/>
                <w:noProof/>
                <w:lang w:val="sl-SI" w:eastAsia="fr-FR"/>
              </w:rPr>
              <w:t xml:space="preserve">Tél/Tel: </w:t>
            </w:r>
            <w:r>
              <w:rPr>
                <w:rFonts w:ascii="Times New Roman" w:eastAsia="맑은 고딕" w:hAnsi="Times New Roman" w:cs="Times New Roman"/>
                <w:iCs/>
                <w:noProof/>
                <w:lang w:val="sl-SI" w:eastAsia="fr-FR"/>
              </w:rPr>
              <w:t>+ 32 1528 7418</w:t>
            </w:r>
          </w:p>
        </w:tc>
      </w:tr>
      <w:tr w:rsidR="00E04C8A" w14:paraId="74310366" w14:textId="77777777">
        <w:tc>
          <w:tcPr>
            <w:tcW w:w="2500" w:type="pct"/>
            <w:hideMark/>
          </w:tcPr>
          <w:p w14:paraId="7FF04E00" w14:textId="77777777" w:rsidR="00E04C8A" w:rsidRDefault="008E1817">
            <w:pPr>
              <w:tabs>
                <w:tab w:val="left" w:pos="-720"/>
              </w:tabs>
              <w:suppressAutoHyphens/>
              <w:rPr>
                <w:rFonts w:ascii="Times New Roman" w:eastAsia="맑은 고딕" w:hAnsi="Times New Roman" w:cs="Times New Roman"/>
                <w:b/>
                <w:noProof/>
                <w:lang w:val="sl-SI" w:eastAsia="fr-FR"/>
              </w:rPr>
            </w:pPr>
            <w:r>
              <w:rPr>
                <w:rFonts w:ascii="Times New Roman" w:eastAsia="맑은 고딕" w:hAnsi="Times New Roman" w:cs="Times New Roman"/>
                <w:b/>
                <w:noProof/>
                <w:lang w:val="sl-SI" w:eastAsia="fr-FR"/>
              </w:rPr>
              <w:t>Česká republika</w:t>
            </w:r>
          </w:p>
          <w:p w14:paraId="2193AA44" w14:textId="77777777" w:rsidR="0011416E" w:rsidRDefault="0011416E" w:rsidP="0011416E">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38F7BFBB" w14:textId="77777777" w:rsidR="0011416E" w:rsidRDefault="0011416E" w:rsidP="0011416E">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0173E2FD" w14:textId="77777777" w:rsidR="00E04C8A" w:rsidRPr="0011416E" w:rsidRDefault="00E04C8A">
            <w:pPr>
              <w:tabs>
                <w:tab w:val="left" w:pos="-720"/>
              </w:tabs>
              <w:suppressAutoHyphens/>
              <w:rPr>
                <w:rFonts w:ascii="Times New Roman" w:hAnsi="Times New Roman" w:cs="Times New Roman"/>
                <w:noProof/>
                <w:lang w:val="sl-SI" w:eastAsia="fr-FR"/>
              </w:rPr>
            </w:pPr>
          </w:p>
        </w:tc>
        <w:tc>
          <w:tcPr>
            <w:tcW w:w="2500" w:type="pct"/>
          </w:tcPr>
          <w:p w14:paraId="55D7A673" w14:textId="77777777" w:rsidR="00E04C8A" w:rsidRDefault="008E1817">
            <w:pPr>
              <w:rPr>
                <w:rFonts w:ascii="Times New Roman" w:eastAsia="맑은 고딕" w:hAnsi="Times New Roman" w:cs="Times New Roman"/>
                <w:b/>
                <w:noProof/>
                <w:lang w:val="sl-SI" w:eastAsia="fr-FR"/>
              </w:rPr>
            </w:pPr>
            <w:r>
              <w:rPr>
                <w:rFonts w:ascii="Times New Roman" w:hAnsi="Times New Roman" w:cs="Times New Roman"/>
                <w:b/>
                <w:noProof/>
                <w:lang w:val="sl-SI"/>
              </w:rPr>
              <w:t>Magyarország</w:t>
            </w:r>
          </w:p>
          <w:p w14:paraId="57C70B6C" w14:textId="77777777" w:rsidR="0011416E" w:rsidRDefault="0011416E" w:rsidP="0011416E">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0A0E25F9" w14:textId="51F72740" w:rsidR="0011416E" w:rsidRDefault="0011416E" w:rsidP="0011416E">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6D9B26EB" w14:textId="77777777" w:rsidR="00E04C8A" w:rsidRPr="0011416E" w:rsidRDefault="00E04C8A">
            <w:pPr>
              <w:rPr>
                <w:rFonts w:ascii="Times New Roman" w:eastAsia="맑은 고딕" w:hAnsi="Times New Roman" w:cs="Times New Roman"/>
                <w:noProof/>
                <w:lang w:val="sl-SI" w:eastAsia="ko-KR"/>
              </w:rPr>
            </w:pPr>
          </w:p>
        </w:tc>
      </w:tr>
      <w:tr w:rsidR="00E04C8A" w14:paraId="695C5FBC" w14:textId="77777777">
        <w:tc>
          <w:tcPr>
            <w:tcW w:w="2500" w:type="pct"/>
            <w:hideMark/>
          </w:tcPr>
          <w:p w14:paraId="175C4DFA" w14:textId="77777777" w:rsidR="00E04C8A" w:rsidRDefault="008E1817">
            <w:pPr>
              <w:tabs>
                <w:tab w:val="left" w:pos="-720"/>
              </w:tabs>
              <w:suppressAutoHyphens/>
              <w:rPr>
                <w:rFonts w:ascii="Times New Roman" w:hAnsi="Times New Roman" w:cs="Times New Roman"/>
                <w:b/>
                <w:bCs/>
                <w:i/>
                <w:iCs/>
                <w:noProof/>
                <w:lang w:val="sl-SI" w:eastAsia="fr-FR"/>
              </w:rPr>
            </w:pPr>
            <w:r>
              <w:rPr>
                <w:rFonts w:ascii="Times New Roman" w:hAnsi="Times New Roman" w:cs="Times New Roman"/>
                <w:b/>
                <w:noProof/>
                <w:lang w:val="sl-SI"/>
              </w:rPr>
              <w:t>Danmark</w:t>
            </w:r>
          </w:p>
          <w:p w14:paraId="4B283547" w14:textId="77777777" w:rsidR="00E04C8A" w:rsidRDefault="008E1817">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6090CD3E" w14:textId="77777777" w:rsidR="00E04C8A" w:rsidRDefault="008E1817">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Tlf: +36 1 231 0493</w:t>
            </w:r>
          </w:p>
        </w:tc>
        <w:tc>
          <w:tcPr>
            <w:tcW w:w="2500" w:type="pct"/>
          </w:tcPr>
          <w:p w14:paraId="2E1EA54E" w14:textId="77777777" w:rsidR="00E04C8A" w:rsidRDefault="008E1817">
            <w:pPr>
              <w:rPr>
                <w:rFonts w:ascii="Times New Roman" w:hAnsi="Times New Roman" w:cs="Times New Roman"/>
                <w:noProof/>
                <w:lang w:val="sl-SI" w:eastAsia="fr-FR"/>
              </w:rPr>
            </w:pPr>
            <w:r>
              <w:rPr>
                <w:rFonts w:ascii="Times New Roman" w:eastAsia="맑은 고딕" w:hAnsi="Times New Roman" w:cs="Times New Roman"/>
                <w:b/>
                <w:noProof/>
                <w:lang w:val="sl-SI" w:eastAsia="fr-FR"/>
              </w:rPr>
              <w:t>Malta</w:t>
            </w:r>
          </w:p>
          <w:p w14:paraId="68B87CBF" w14:textId="33AFC3B5" w:rsidR="00E04C8A" w:rsidRDefault="000518B8">
            <w:pPr>
              <w:tabs>
                <w:tab w:val="left" w:pos="-720"/>
              </w:tabs>
              <w:suppressAutoHyphens/>
              <w:rPr>
                <w:rFonts w:ascii="Times New Roman" w:eastAsia="맑은 고딕" w:hAnsi="Times New Roman" w:cs="Times New Roman"/>
                <w:noProof/>
                <w:lang w:val="sl-SI" w:eastAsia="fr-FR"/>
              </w:rPr>
            </w:pPr>
            <w:r w:rsidRPr="000518B8">
              <w:rPr>
                <w:rFonts w:ascii="Times New Roman" w:eastAsia="맑은 고딕" w:hAnsi="Times New Roman" w:cs="Times New Roman"/>
                <w:noProof/>
                <w:lang w:val="sl-SI" w:eastAsia="fr-FR"/>
              </w:rPr>
              <w:t>Mint Health Ltd.</w:t>
            </w:r>
          </w:p>
          <w:p w14:paraId="08969C4F" w14:textId="78F3D024" w:rsidR="00E04C8A" w:rsidRDefault="008E1817">
            <w:pPr>
              <w:rPr>
                <w:rFonts w:ascii="Times New Roman" w:eastAsia="맑은 고딕" w:hAnsi="Times New Roman" w:cs="Times New Roman"/>
                <w:noProof/>
                <w:lang w:val="sl-SI" w:eastAsia="ko-KR"/>
              </w:rPr>
            </w:pPr>
            <w:r>
              <w:rPr>
                <w:rFonts w:ascii="Times New Roman" w:eastAsia="맑은 고딕" w:hAnsi="Times New Roman" w:cs="Times New Roman"/>
                <w:noProof/>
                <w:lang w:val="sl-SI" w:eastAsia="fr-FR"/>
              </w:rPr>
              <w:t xml:space="preserve">Tel: +356 </w:t>
            </w:r>
            <w:r w:rsidR="000518B8" w:rsidRPr="000518B8">
              <w:rPr>
                <w:rFonts w:ascii="Times New Roman" w:eastAsia="맑은 고딕" w:hAnsi="Times New Roman" w:cs="Times New Roman"/>
                <w:noProof/>
                <w:lang w:val="sl-SI" w:eastAsia="fr-FR"/>
              </w:rPr>
              <w:t>2093 9800</w:t>
            </w:r>
          </w:p>
          <w:p w14:paraId="14F72BEA" w14:textId="77777777" w:rsidR="00E04C8A" w:rsidRDefault="00E04C8A">
            <w:pPr>
              <w:rPr>
                <w:rFonts w:ascii="Times New Roman" w:eastAsia="맑은 고딕" w:hAnsi="Times New Roman" w:cs="Times New Roman"/>
                <w:noProof/>
                <w:lang w:val="sl-SI" w:eastAsia="ko-KR"/>
              </w:rPr>
            </w:pPr>
          </w:p>
        </w:tc>
      </w:tr>
      <w:tr w:rsidR="00E04C8A" w14:paraId="79B85844" w14:textId="77777777">
        <w:tc>
          <w:tcPr>
            <w:tcW w:w="2500" w:type="pct"/>
            <w:hideMark/>
          </w:tcPr>
          <w:p w14:paraId="17D1A430" w14:textId="77777777" w:rsidR="00E04C8A" w:rsidRDefault="008E1817">
            <w:pPr>
              <w:rPr>
                <w:rFonts w:ascii="Times New Roman" w:hAnsi="Times New Roman" w:cs="Times New Roman"/>
                <w:b/>
                <w:noProof/>
                <w:lang w:val="sl-SI" w:eastAsia="fr-FR"/>
              </w:rPr>
            </w:pPr>
            <w:r>
              <w:rPr>
                <w:rFonts w:ascii="Times New Roman" w:eastAsia="맑은 고딕" w:hAnsi="Times New Roman" w:cs="Times New Roman"/>
                <w:b/>
                <w:noProof/>
                <w:lang w:val="sl-SI" w:eastAsia="fr-FR"/>
              </w:rPr>
              <w:t>Deutschland</w:t>
            </w:r>
          </w:p>
          <w:p w14:paraId="1885430D" w14:textId="77777777" w:rsidR="004F5C88" w:rsidRDefault="004F5C88" w:rsidP="004F5C88">
            <w:pPr>
              <w:rPr>
                <w:rFonts w:ascii="Times New Roman" w:hAnsi="Times New Roman" w:cs="Times New Roman"/>
                <w:noProof/>
                <w:lang w:eastAsia="ko-KR"/>
              </w:rPr>
            </w:pPr>
            <w:r>
              <w:rPr>
                <w:rFonts w:ascii="Times New Roman" w:hAnsi="Times New Roman" w:cs="Times New Roman"/>
                <w:noProof/>
                <w:lang w:eastAsia="ko-KR"/>
              </w:rPr>
              <w:t>Celltrion Healthcare Deutschland GmbH</w:t>
            </w:r>
          </w:p>
          <w:p w14:paraId="4B6A043E" w14:textId="13B57D1D" w:rsidR="004F5C88" w:rsidRDefault="004F5C88" w:rsidP="004F5C88">
            <w:pPr>
              <w:rPr>
                <w:rFonts w:ascii="Times New Roman" w:eastAsia="맑은 고딕" w:hAnsi="Times New Roman" w:cs="Times New Roman"/>
                <w:noProof/>
                <w:lang w:eastAsia="fr-FR"/>
              </w:rPr>
            </w:pPr>
            <w:r>
              <w:rPr>
                <w:rFonts w:ascii="Times New Roman" w:hAnsi="Times New Roman" w:cs="Times New Roman"/>
                <w:noProof/>
                <w:lang w:eastAsia="ko-KR"/>
              </w:rPr>
              <w:t>T</w:t>
            </w:r>
            <w:r w:rsidR="00385EFB">
              <w:rPr>
                <w:rFonts w:ascii="Times New Roman" w:hAnsi="Times New Roman" w:cs="Times New Roman" w:hint="eastAsia"/>
                <w:noProof/>
                <w:lang w:eastAsia="ko-KR"/>
              </w:rPr>
              <w:t>e</w:t>
            </w:r>
            <w:r>
              <w:rPr>
                <w:rFonts w:ascii="Times New Roman" w:hAnsi="Times New Roman" w:cs="Times New Roman"/>
                <w:noProof/>
                <w:lang w:eastAsia="ko-KR"/>
              </w:rPr>
              <w:t>l.: +49 (0)</w:t>
            </w:r>
            <w:r w:rsidR="00BB6903">
              <w:rPr>
                <w:rFonts w:ascii="Times New Roman" w:hAnsi="Times New Roman" w:cs="Times New Roman"/>
                <w:noProof/>
                <w:lang w:eastAsia="ko-KR"/>
              </w:rPr>
              <w:t>30 346494150</w:t>
            </w:r>
          </w:p>
          <w:p w14:paraId="3D31930B" w14:textId="77777777" w:rsidR="004F5C88" w:rsidRDefault="004F5C88" w:rsidP="004F5C88">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infoDE@celltrionhc.com</w:t>
            </w:r>
          </w:p>
          <w:p w14:paraId="3D0062E2" w14:textId="4AB95F7D" w:rsidR="00E04C8A" w:rsidRDefault="00E04C8A">
            <w:pPr>
              <w:tabs>
                <w:tab w:val="left" w:pos="-720"/>
              </w:tabs>
              <w:suppressAutoHyphens/>
              <w:rPr>
                <w:rFonts w:ascii="Times New Roman" w:eastAsia="맑은 고딕" w:hAnsi="Times New Roman" w:cs="Times New Roman"/>
                <w:noProof/>
                <w:lang w:val="sl-SI" w:eastAsia="fr-FR"/>
              </w:rPr>
            </w:pPr>
          </w:p>
          <w:p w14:paraId="52DE5A7B" w14:textId="77777777" w:rsidR="00E04C8A" w:rsidRDefault="00E04C8A">
            <w:pPr>
              <w:tabs>
                <w:tab w:val="left" w:pos="-720"/>
              </w:tabs>
              <w:suppressAutoHyphens/>
              <w:rPr>
                <w:rFonts w:ascii="Times New Roman" w:eastAsia="맑은 고딕" w:hAnsi="Times New Roman" w:cs="Times New Roman"/>
                <w:noProof/>
                <w:lang w:val="sl-SI" w:eastAsia="fr-FR"/>
              </w:rPr>
            </w:pPr>
          </w:p>
        </w:tc>
        <w:tc>
          <w:tcPr>
            <w:tcW w:w="2500" w:type="pct"/>
          </w:tcPr>
          <w:p w14:paraId="37420D7B" w14:textId="77777777" w:rsidR="00E04C8A" w:rsidRDefault="008E1817">
            <w:pPr>
              <w:rPr>
                <w:rFonts w:ascii="Times New Roman" w:hAnsi="Times New Roman" w:cs="Times New Roman"/>
                <w:noProof/>
                <w:lang w:val="sl-SI" w:eastAsia="fr-FR"/>
              </w:rPr>
            </w:pPr>
            <w:r>
              <w:rPr>
                <w:rFonts w:ascii="Times New Roman" w:eastAsia="맑은 고딕" w:hAnsi="Times New Roman" w:cs="Times New Roman"/>
                <w:b/>
                <w:noProof/>
                <w:lang w:val="sl-SI" w:eastAsia="fr-FR"/>
              </w:rPr>
              <w:t>Nederland</w:t>
            </w:r>
          </w:p>
          <w:p w14:paraId="7C0BF7A1" w14:textId="77777777" w:rsidR="00E04C8A" w:rsidRDefault="008E181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Netherlands B.V.</w:t>
            </w:r>
          </w:p>
          <w:p w14:paraId="7227D46B" w14:textId="77777777" w:rsidR="00E04C8A" w:rsidRDefault="008E181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+ 31 20 888 7300</w:t>
            </w:r>
          </w:p>
          <w:p w14:paraId="7D0D13AA" w14:textId="77777777" w:rsidR="00E04C8A" w:rsidRDefault="00E04C8A">
            <w:pPr>
              <w:rPr>
                <w:rFonts w:ascii="Times New Roman" w:eastAsia="맑은 고딕" w:hAnsi="Times New Roman" w:cs="Times New Roman"/>
                <w:noProof/>
                <w:lang w:val="sl-SI" w:eastAsia="fr-FR"/>
              </w:rPr>
            </w:pPr>
          </w:p>
        </w:tc>
      </w:tr>
      <w:tr w:rsidR="00E04C8A" w14:paraId="639DA85D" w14:textId="77777777">
        <w:tc>
          <w:tcPr>
            <w:tcW w:w="2500" w:type="pct"/>
            <w:hideMark/>
          </w:tcPr>
          <w:p w14:paraId="301F1E1E" w14:textId="77777777" w:rsidR="00E04C8A" w:rsidRDefault="008E1817">
            <w:pPr>
              <w:tabs>
                <w:tab w:val="left" w:pos="-720"/>
                <w:tab w:val="left" w:pos="4536"/>
              </w:tabs>
              <w:suppressAutoHyphens/>
              <w:rPr>
                <w:rFonts w:ascii="Times New Roman" w:hAnsi="Times New Roman" w:cs="Times New Roman"/>
                <w:b/>
                <w:noProof/>
                <w:lang w:val="sl-SI" w:eastAsia="fr-FR"/>
              </w:rPr>
            </w:pPr>
            <w:r>
              <w:rPr>
                <w:rFonts w:ascii="Times New Roman" w:eastAsia="맑은 고딕" w:hAnsi="Times New Roman" w:cs="Times New Roman"/>
                <w:b/>
                <w:noProof/>
                <w:lang w:val="sl-SI" w:eastAsia="fr-FR"/>
              </w:rPr>
              <w:t>Eesti</w:t>
            </w:r>
          </w:p>
          <w:p w14:paraId="34D330A7" w14:textId="77777777" w:rsidR="00E04C8A" w:rsidRDefault="008E181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24FE42A6" w14:textId="77777777" w:rsidR="00E04C8A" w:rsidRDefault="008E1817">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494F94D3" w14:textId="77777777" w:rsidR="00E04C8A" w:rsidRDefault="00E04C8A">
            <w:pPr>
              <w:tabs>
                <w:tab w:val="left" w:pos="-720"/>
              </w:tabs>
              <w:suppressAutoHyphens/>
              <w:rPr>
                <w:rFonts w:ascii="Times New Roman" w:eastAsia="맑은 고딕" w:hAnsi="Times New Roman" w:cs="Times New Roman"/>
                <w:noProof/>
                <w:lang w:val="sl-SI" w:eastAsia="ko-KR"/>
              </w:rPr>
            </w:pPr>
          </w:p>
        </w:tc>
        <w:tc>
          <w:tcPr>
            <w:tcW w:w="2500" w:type="pct"/>
          </w:tcPr>
          <w:p w14:paraId="0D0D372D" w14:textId="77777777" w:rsidR="00E04C8A" w:rsidRDefault="008E1817">
            <w:pPr>
              <w:tabs>
                <w:tab w:val="left" w:pos="-720"/>
              </w:tabs>
              <w:suppressAutoHyphens/>
              <w:rPr>
                <w:rFonts w:ascii="Times New Roman" w:hAnsi="Times New Roman" w:cs="Times New Roman"/>
                <w:noProof/>
                <w:lang w:val="sl-SI" w:eastAsia="fr-FR"/>
              </w:rPr>
            </w:pPr>
            <w:r>
              <w:rPr>
                <w:rFonts w:ascii="Times New Roman" w:eastAsia="맑은 고딕" w:hAnsi="Times New Roman" w:cs="Times New Roman"/>
                <w:b/>
                <w:noProof/>
                <w:lang w:val="sl-SI" w:eastAsia="fr-FR"/>
              </w:rPr>
              <w:t>Norge</w:t>
            </w:r>
          </w:p>
          <w:p w14:paraId="4F0A68A0" w14:textId="77777777" w:rsidR="00E04C8A" w:rsidRDefault="008E181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5D5CB391" w14:textId="77777777" w:rsidR="00E04C8A" w:rsidRDefault="008E1817">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Tlf: +36 1 231 0493</w:t>
            </w:r>
          </w:p>
          <w:p w14:paraId="48619BAA" w14:textId="77777777" w:rsidR="00E04C8A" w:rsidRDefault="00E04C8A">
            <w:pPr>
              <w:tabs>
                <w:tab w:val="left" w:pos="-720"/>
              </w:tabs>
              <w:suppressAutoHyphens/>
              <w:rPr>
                <w:rFonts w:ascii="Times New Roman" w:eastAsia="맑은 고딕" w:hAnsi="Times New Roman" w:cs="Times New Roman"/>
                <w:noProof/>
                <w:lang w:val="sl-SI" w:eastAsia="ko-KR"/>
              </w:rPr>
            </w:pPr>
          </w:p>
        </w:tc>
      </w:tr>
      <w:tr w:rsidR="00E04C8A" w:rsidRPr="00AC7013" w14:paraId="109DE5C6" w14:textId="77777777">
        <w:tc>
          <w:tcPr>
            <w:tcW w:w="2500" w:type="pct"/>
            <w:hideMark/>
          </w:tcPr>
          <w:p w14:paraId="3250EF4C" w14:textId="77777777" w:rsidR="00E04C8A" w:rsidRDefault="008E1817">
            <w:pPr>
              <w:rPr>
                <w:rFonts w:ascii="Times New Roman" w:hAnsi="Times New Roman" w:cs="Times New Roman"/>
                <w:noProof/>
                <w:lang w:val="sl-SI" w:eastAsia="fr-FR"/>
              </w:rPr>
            </w:pPr>
            <w:r>
              <w:rPr>
                <w:rFonts w:ascii="Times New Roman" w:hAnsi="Times New Roman" w:cs="Times New Roman"/>
                <w:b/>
                <w:noProof/>
                <w:lang w:val="sl-SI"/>
              </w:rPr>
              <w:t>España</w:t>
            </w:r>
          </w:p>
          <w:p w14:paraId="65F90595" w14:textId="77777777" w:rsidR="00E04C8A" w:rsidRDefault="008E181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Kern Pharma, S.L.</w:t>
            </w:r>
          </w:p>
          <w:p w14:paraId="1D581034" w14:textId="77777777" w:rsidR="00E04C8A" w:rsidRDefault="008E181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+34 93 700 2525</w:t>
            </w:r>
          </w:p>
          <w:p w14:paraId="56726405" w14:textId="77777777" w:rsidR="00E04C8A" w:rsidRDefault="00E04C8A">
            <w:pPr>
              <w:rPr>
                <w:rFonts w:ascii="Times New Roman" w:hAnsi="Times New Roman" w:cs="Times New Roman"/>
                <w:b/>
                <w:noProof/>
                <w:lang w:val="sl-SI" w:eastAsia="fr-FR"/>
              </w:rPr>
            </w:pPr>
          </w:p>
        </w:tc>
        <w:tc>
          <w:tcPr>
            <w:tcW w:w="2500" w:type="pct"/>
          </w:tcPr>
          <w:p w14:paraId="7D73F871" w14:textId="77777777" w:rsidR="00E04C8A" w:rsidRDefault="008E1817">
            <w:pPr>
              <w:rPr>
                <w:rFonts w:ascii="Times New Roman" w:hAnsi="Times New Roman" w:cs="Times New Roman"/>
                <w:noProof/>
                <w:lang w:val="sl-SI" w:eastAsia="fr-FR"/>
              </w:rPr>
            </w:pPr>
            <w:r>
              <w:rPr>
                <w:rFonts w:ascii="Times New Roman" w:hAnsi="Times New Roman" w:cs="Times New Roman"/>
                <w:b/>
                <w:noProof/>
                <w:lang w:val="sl-SI"/>
              </w:rPr>
              <w:t>Österreich</w:t>
            </w:r>
          </w:p>
          <w:p w14:paraId="650F0514" w14:textId="77777777" w:rsidR="00E04C8A" w:rsidRDefault="008E1817">
            <w:pPr>
              <w:rPr>
                <w:rFonts w:ascii="Times New Roman" w:eastAsia="맑은 고딕" w:hAnsi="Times New Roman" w:cs="Times New Roman"/>
                <w:noProof/>
                <w:lang w:val="sl-SI" w:eastAsia="ko-KR"/>
              </w:rPr>
            </w:pPr>
            <w:r>
              <w:rPr>
                <w:rFonts w:ascii="Times New Roman" w:eastAsia="맑은 고딕" w:hAnsi="Times New Roman" w:cs="Times New Roman"/>
                <w:noProof/>
                <w:lang w:val="sl-SI" w:eastAsia="fr-FR"/>
              </w:rPr>
              <w:t>Astro-Pharma GmbH</w:t>
            </w:r>
          </w:p>
          <w:p w14:paraId="0C42BE30" w14:textId="77777777" w:rsidR="00E04C8A" w:rsidRDefault="008E1817">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+43 1 97 99 860</w:t>
            </w:r>
          </w:p>
          <w:p w14:paraId="7786FCD1" w14:textId="77777777" w:rsidR="00E04C8A" w:rsidRDefault="00E04C8A">
            <w:pPr>
              <w:tabs>
                <w:tab w:val="left" w:pos="-720"/>
              </w:tabs>
              <w:suppressAutoHyphens/>
              <w:rPr>
                <w:rFonts w:ascii="Times New Roman" w:hAnsi="Times New Roman" w:cs="Times New Roman"/>
                <w:noProof/>
                <w:lang w:val="sl-SI" w:eastAsia="fr-FR"/>
              </w:rPr>
            </w:pPr>
          </w:p>
        </w:tc>
      </w:tr>
      <w:tr w:rsidR="00E04C8A" w14:paraId="6632C114" w14:textId="77777777">
        <w:tc>
          <w:tcPr>
            <w:tcW w:w="2500" w:type="pct"/>
          </w:tcPr>
          <w:p w14:paraId="14849C8C" w14:textId="77777777" w:rsidR="00E04C8A" w:rsidRDefault="008E1817">
            <w:pPr>
              <w:rPr>
                <w:rFonts w:ascii="Times New Roman" w:hAnsi="Times New Roman" w:cs="Times New Roman"/>
                <w:b/>
                <w:noProof/>
                <w:lang w:val="sl-SI" w:eastAsia="fr-FR"/>
              </w:rPr>
            </w:pPr>
            <w:r>
              <w:rPr>
                <w:rFonts w:ascii="Times New Roman" w:hAnsi="Times New Roman" w:cs="Times New Roman"/>
                <w:b/>
                <w:noProof/>
                <w:lang w:val="sl-SI" w:eastAsia="fr-FR"/>
              </w:rPr>
              <w:t>Ελλάδα</w:t>
            </w:r>
          </w:p>
          <w:p w14:paraId="3E766281" w14:textId="77777777" w:rsidR="00E04C8A" w:rsidRDefault="008E1817">
            <w:pPr>
              <w:rPr>
                <w:rFonts w:ascii="Times New Roman" w:hAnsi="Times New Roman" w:cs="Times New Roman"/>
                <w:noProof/>
                <w:lang w:val="sl-SI" w:eastAsia="fr-FR"/>
              </w:rPr>
            </w:pPr>
            <w:r>
              <w:rPr>
                <w:rFonts w:ascii="Times New Roman" w:hAnsi="Times New Roman" w:cs="Times New Roman"/>
                <w:noProof/>
                <w:lang w:val="sl-SI" w:eastAsia="fr-FR"/>
              </w:rPr>
              <w:t>ΒΙΑΝΕΞ Α.Ε.</w:t>
            </w:r>
          </w:p>
          <w:p w14:paraId="5EADB8D1" w14:textId="44912895" w:rsidR="00E04C8A" w:rsidRDefault="008E1817">
            <w:pPr>
              <w:rPr>
                <w:rFonts w:ascii="Times New Roman" w:hAnsi="Times New Roman" w:cs="Times New Roman"/>
                <w:noProof/>
                <w:lang w:val="sl-SI" w:eastAsia="fr-FR"/>
              </w:rPr>
            </w:pPr>
            <w:r>
              <w:rPr>
                <w:rFonts w:ascii="Times New Roman" w:hAnsi="Times New Roman" w:cs="Times New Roman"/>
                <w:noProof/>
                <w:lang w:val="sl-SI" w:eastAsia="fr-FR"/>
              </w:rPr>
              <w:t>Τηλ: +30 210 8009111</w:t>
            </w:r>
          </w:p>
          <w:p w14:paraId="49980E7B" w14:textId="77777777" w:rsidR="00E04C8A" w:rsidRDefault="00E04C8A">
            <w:pPr>
              <w:rPr>
                <w:rFonts w:ascii="Times New Roman" w:eastAsia="맑은 고딕" w:hAnsi="Times New Roman" w:cs="Times New Roman"/>
                <w:noProof/>
                <w:lang w:val="sl-SI" w:eastAsia="fr-FR"/>
              </w:rPr>
            </w:pPr>
          </w:p>
        </w:tc>
        <w:tc>
          <w:tcPr>
            <w:tcW w:w="2500" w:type="pct"/>
          </w:tcPr>
          <w:p w14:paraId="69705561" w14:textId="77777777" w:rsidR="00E04C8A" w:rsidRDefault="008E1817">
            <w:pPr>
              <w:rPr>
                <w:rFonts w:ascii="Times New Roman" w:eastAsia="맑은 고딕" w:hAnsi="Times New Roman" w:cs="Times New Roman"/>
                <w:b/>
                <w:noProof/>
                <w:lang w:val="sl-SI" w:eastAsia="fr-FR"/>
              </w:rPr>
            </w:pPr>
            <w:r>
              <w:rPr>
                <w:rFonts w:ascii="Times New Roman" w:eastAsia="맑은 고딕" w:hAnsi="Times New Roman" w:cs="Times New Roman"/>
                <w:b/>
                <w:noProof/>
                <w:lang w:val="sl-SI" w:eastAsia="fr-FR"/>
              </w:rPr>
              <w:t>Polska</w:t>
            </w:r>
          </w:p>
          <w:p w14:paraId="3D726CE0" w14:textId="77777777" w:rsidR="00DB4D19" w:rsidRDefault="00DB4D19" w:rsidP="00DB4D19">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69C7AC15" w14:textId="04C15530" w:rsidR="00DB4D19" w:rsidRDefault="00DB4D19" w:rsidP="00DB4D19">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w:t>
            </w:r>
            <w:r w:rsidR="006E16B8">
              <w:rPr>
                <w:rFonts w:ascii="Times New Roman" w:eastAsia="맑은 고딕" w:hAnsi="Times New Roman" w:cs="Times New Roman"/>
                <w:noProof/>
                <w:lang w:val="sl-SI" w:eastAsia="fr-FR"/>
              </w:rPr>
              <w:t>.</w:t>
            </w:r>
            <w:r>
              <w:rPr>
                <w:rFonts w:ascii="Times New Roman" w:eastAsia="맑은 고딕" w:hAnsi="Times New Roman" w:cs="Times New Roman"/>
                <w:noProof/>
                <w:lang w:val="sl-SI" w:eastAsia="fr-FR"/>
              </w:rPr>
              <w:t>: +36 1 231 0493</w:t>
            </w:r>
          </w:p>
          <w:p w14:paraId="4D4B8B7B" w14:textId="77777777" w:rsidR="00E04C8A" w:rsidRDefault="00E04C8A">
            <w:pPr>
              <w:rPr>
                <w:rFonts w:ascii="Times New Roman" w:hAnsi="Times New Roman" w:cs="Times New Roman"/>
                <w:b/>
                <w:noProof/>
                <w:lang w:val="sl-SI"/>
              </w:rPr>
            </w:pPr>
          </w:p>
        </w:tc>
      </w:tr>
      <w:tr w:rsidR="00E04C8A" w:rsidRPr="00475A1E" w14:paraId="356E3E12" w14:textId="77777777">
        <w:tc>
          <w:tcPr>
            <w:tcW w:w="2500" w:type="pct"/>
          </w:tcPr>
          <w:p w14:paraId="4425FC79" w14:textId="77777777" w:rsidR="00E04C8A" w:rsidRDefault="008E1817">
            <w:pPr>
              <w:rPr>
                <w:rFonts w:ascii="Times New Roman" w:hAnsi="Times New Roman" w:cs="Times New Roman"/>
                <w:b/>
                <w:noProof/>
                <w:lang w:val="sl-SI" w:eastAsia="ko-KR"/>
              </w:rPr>
            </w:pPr>
            <w:r>
              <w:rPr>
                <w:rFonts w:ascii="Times New Roman" w:hAnsi="Times New Roman" w:cs="Times New Roman"/>
                <w:b/>
                <w:noProof/>
                <w:lang w:val="sl-SI" w:eastAsia="ko-KR"/>
              </w:rPr>
              <w:t>France</w:t>
            </w:r>
          </w:p>
          <w:p w14:paraId="0053907E" w14:textId="3C84E9AB" w:rsidR="00E04C8A" w:rsidRDefault="000518B8">
            <w:pPr>
              <w:rPr>
                <w:rFonts w:ascii="Times New Roman" w:hAnsi="Times New Roman" w:cs="Times New Roman"/>
                <w:noProof/>
                <w:lang w:val="sl-SI" w:eastAsia="ko-KR"/>
              </w:rPr>
            </w:pPr>
            <w:r w:rsidRPr="000518B8">
              <w:rPr>
                <w:rFonts w:ascii="Times New Roman" w:hAnsi="Times New Roman" w:cs="Times New Roman"/>
                <w:noProof/>
                <w:lang w:val="sl-SI" w:eastAsia="ko-KR"/>
              </w:rPr>
              <w:t>Celltrion Healthcare France SAS</w:t>
            </w:r>
          </w:p>
          <w:p w14:paraId="20DADFC8" w14:textId="77777777" w:rsidR="00E04C8A" w:rsidRDefault="008E1817">
            <w:pPr>
              <w:rPr>
                <w:rFonts w:ascii="Times New Roman" w:eastAsia="맑은 고딕" w:hAnsi="Times New Roman" w:cs="Times New Roman"/>
                <w:noProof/>
                <w:lang w:val="sl-SI" w:eastAsia="ko-KR"/>
              </w:rPr>
            </w:pPr>
            <w:r>
              <w:rPr>
                <w:rFonts w:ascii="Times New Roman" w:hAnsi="Times New Roman" w:cs="Times New Roman"/>
                <w:noProof/>
                <w:lang w:val="sl-SI" w:eastAsia="ko-KR"/>
              </w:rPr>
              <w:t>T</w:t>
            </w:r>
            <w:r>
              <w:rPr>
                <w:rFonts w:ascii="Times New Roman" w:hAnsi="Times New Roman" w:cs="Times New Roman"/>
                <w:lang w:val="sl-SI"/>
              </w:rPr>
              <w:t>é</w:t>
            </w:r>
            <w:r>
              <w:rPr>
                <w:rFonts w:ascii="Times New Roman" w:hAnsi="Times New Roman" w:cs="Times New Roman"/>
                <w:noProof/>
                <w:lang w:val="sl-SI" w:eastAsia="ko-KR"/>
              </w:rPr>
              <w:t>l.: +33 (0)1 71 25 27 00</w:t>
            </w:r>
          </w:p>
          <w:p w14:paraId="07C7C35E" w14:textId="77777777" w:rsidR="00E04C8A" w:rsidRDefault="00E04C8A">
            <w:pPr>
              <w:rPr>
                <w:rFonts w:ascii="Times New Roman" w:eastAsia="맑은 고딕" w:hAnsi="Times New Roman" w:cs="Times New Roman"/>
                <w:noProof/>
                <w:lang w:val="sl-SI" w:eastAsia="fr-FR"/>
              </w:rPr>
            </w:pPr>
          </w:p>
        </w:tc>
        <w:tc>
          <w:tcPr>
            <w:tcW w:w="2500" w:type="pct"/>
          </w:tcPr>
          <w:p w14:paraId="0514508C" w14:textId="77777777" w:rsidR="004D5EDF" w:rsidRPr="002F72A3" w:rsidRDefault="004D5EDF" w:rsidP="004D5EDF">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7762C839" w14:textId="62793541" w:rsidR="004D5EDF" w:rsidRDefault="004D5EDF" w:rsidP="004D5EDF">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23A829D8" w14:textId="5EFCF06E" w:rsidR="004D5EDF" w:rsidRPr="00323C29" w:rsidRDefault="004D5EDF" w:rsidP="004D5EDF">
            <w:pPr>
              <w:rPr>
                <w:rFonts w:ascii="Times New Roman" w:eastAsia="맑은 고딕" w:hAnsi="Times New Roman" w:cs="Times New Roman"/>
                <w:noProof/>
                <w:lang w:val="fr-CA" w:eastAsia="fr-FR"/>
              </w:rPr>
            </w:pPr>
            <w:r w:rsidRPr="00323C29">
              <w:rPr>
                <w:rFonts w:ascii="Times New Roman" w:eastAsia="맑은 고딕" w:hAnsi="Times New Roman" w:cs="Times New Roman"/>
                <w:noProof/>
                <w:lang w:val="fr-CA" w:eastAsia="fr-FR"/>
              </w:rPr>
              <w:t>Tel: +351 21 936 8542</w:t>
            </w:r>
          </w:p>
          <w:p w14:paraId="6DF04404" w14:textId="77777777" w:rsidR="00E04C8A" w:rsidRDefault="00E04C8A">
            <w:pPr>
              <w:rPr>
                <w:rFonts w:ascii="Times New Roman" w:hAnsi="Times New Roman" w:cs="Times New Roman"/>
                <w:b/>
                <w:noProof/>
                <w:lang w:val="sl-SI"/>
              </w:rPr>
            </w:pPr>
          </w:p>
        </w:tc>
      </w:tr>
      <w:tr w:rsidR="00E04C8A" w14:paraId="11A1AD67" w14:textId="77777777">
        <w:tc>
          <w:tcPr>
            <w:tcW w:w="2500" w:type="pct"/>
          </w:tcPr>
          <w:p w14:paraId="615012AD" w14:textId="77777777" w:rsidR="00E04C8A" w:rsidRDefault="008E1817">
            <w:pPr>
              <w:rPr>
                <w:rFonts w:ascii="Times New Roman" w:hAnsi="Times New Roman" w:cs="Times New Roman"/>
                <w:b/>
                <w:noProof/>
                <w:lang w:val="sl-SI" w:eastAsia="ko-KR"/>
              </w:rPr>
            </w:pPr>
            <w:r>
              <w:rPr>
                <w:rFonts w:ascii="Times New Roman" w:hAnsi="Times New Roman" w:cs="Times New Roman"/>
                <w:b/>
                <w:noProof/>
                <w:lang w:val="sl-SI" w:eastAsia="ko-KR"/>
              </w:rPr>
              <w:t>Hrvatska</w:t>
            </w:r>
          </w:p>
          <w:p w14:paraId="57E96464" w14:textId="77777777" w:rsidR="00E04C8A" w:rsidRDefault="008E1817">
            <w:pPr>
              <w:rPr>
                <w:rFonts w:ascii="Times New Roman" w:hAnsi="Times New Roman" w:cs="Times New Roman"/>
                <w:noProof/>
                <w:lang w:val="sl-SI" w:eastAsia="ko-KR"/>
              </w:rPr>
            </w:pPr>
            <w:r>
              <w:rPr>
                <w:rFonts w:ascii="Times New Roman" w:hAnsi="Times New Roman" w:cs="Times New Roman"/>
                <w:noProof/>
                <w:lang w:val="sl-SI" w:eastAsia="ko-KR"/>
              </w:rPr>
              <w:t>Oktal Pharma d.o.o.</w:t>
            </w:r>
          </w:p>
          <w:p w14:paraId="2FBD3F99" w14:textId="77777777" w:rsidR="00E04C8A" w:rsidRDefault="008E1817">
            <w:pPr>
              <w:rPr>
                <w:rFonts w:ascii="Times New Roman" w:hAnsi="Times New Roman" w:cs="Times New Roman"/>
                <w:noProof/>
                <w:lang w:val="sl-SI" w:eastAsia="ko-KR"/>
              </w:rPr>
            </w:pPr>
            <w:r>
              <w:rPr>
                <w:rFonts w:ascii="Times New Roman" w:hAnsi="Times New Roman" w:cs="Times New Roman"/>
                <w:noProof/>
                <w:lang w:val="sl-SI" w:eastAsia="ko-KR"/>
              </w:rPr>
              <w:t>Tel: +385 1 6595 777</w:t>
            </w:r>
          </w:p>
          <w:p w14:paraId="0A3DA04F" w14:textId="77777777" w:rsidR="00E04C8A" w:rsidRDefault="00E04C8A">
            <w:pPr>
              <w:rPr>
                <w:rFonts w:ascii="Times New Roman" w:eastAsia="맑은 고딕" w:hAnsi="Times New Roman" w:cs="Times New Roman"/>
                <w:noProof/>
                <w:lang w:val="sl-SI" w:eastAsia="fr-FR"/>
              </w:rPr>
            </w:pPr>
          </w:p>
        </w:tc>
        <w:tc>
          <w:tcPr>
            <w:tcW w:w="2500" w:type="pct"/>
          </w:tcPr>
          <w:p w14:paraId="793BB45D" w14:textId="77777777" w:rsidR="00E04C8A" w:rsidRDefault="008E1817">
            <w:pPr>
              <w:tabs>
                <w:tab w:val="left" w:pos="-720"/>
              </w:tabs>
              <w:suppressAutoHyphens/>
              <w:rPr>
                <w:rFonts w:ascii="Times New Roman" w:eastAsia="맑은 고딕" w:hAnsi="Times New Roman" w:cs="Times New Roman"/>
                <w:b/>
                <w:noProof/>
                <w:lang w:val="sl-SI" w:eastAsia="fr-FR"/>
              </w:rPr>
            </w:pPr>
            <w:r>
              <w:rPr>
                <w:rFonts w:ascii="Times New Roman" w:hAnsi="Times New Roman" w:cs="Times New Roman"/>
                <w:b/>
                <w:noProof/>
                <w:lang w:val="sl-SI"/>
              </w:rPr>
              <w:t>România</w:t>
            </w:r>
          </w:p>
          <w:p w14:paraId="6A5723D7" w14:textId="77777777" w:rsidR="00DB4D19" w:rsidRDefault="00DB4D19" w:rsidP="00DB4D19">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2C06D6A8" w14:textId="77777777" w:rsidR="00DB4D19" w:rsidRDefault="00DB4D19" w:rsidP="00DB4D19">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70F211CC" w14:textId="77777777" w:rsidR="00E04C8A" w:rsidRDefault="00E04C8A">
            <w:pPr>
              <w:rPr>
                <w:rFonts w:ascii="Times New Roman" w:hAnsi="Times New Roman" w:cs="Times New Roman"/>
                <w:b/>
                <w:noProof/>
                <w:lang w:val="sl-SI"/>
              </w:rPr>
            </w:pPr>
          </w:p>
        </w:tc>
      </w:tr>
      <w:tr w:rsidR="00E04C8A" w14:paraId="68611892" w14:textId="77777777">
        <w:tc>
          <w:tcPr>
            <w:tcW w:w="2500" w:type="pct"/>
          </w:tcPr>
          <w:p w14:paraId="0285FA19" w14:textId="77777777" w:rsidR="00E04C8A" w:rsidRDefault="008E1817">
            <w:pPr>
              <w:tabs>
                <w:tab w:val="left" w:pos="-720"/>
              </w:tabs>
              <w:suppressAutoHyphens/>
              <w:rPr>
                <w:rFonts w:ascii="Times New Roman" w:hAnsi="Times New Roman" w:cs="Times New Roman"/>
                <w:noProof/>
                <w:lang w:val="sl-SI" w:eastAsia="fr-FR"/>
              </w:rPr>
            </w:pPr>
            <w:r>
              <w:rPr>
                <w:rFonts w:ascii="Times New Roman" w:eastAsia="맑은 고딕" w:hAnsi="Times New Roman" w:cs="Times New Roman"/>
                <w:b/>
                <w:noProof/>
                <w:lang w:val="sl-SI" w:eastAsia="fr-FR"/>
              </w:rPr>
              <w:t>Ireland</w:t>
            </w:r>
          </w:p>
          <w:p w14:paraId="68D854F7" w14:textId="77777777" w:rsidR="00E04C8A" w:rsidRDefault="008E181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Ireland Limited</w:t>
            </w:r>
          </w:p>
          <w:p w14:paraId="7242ACE5" w14:textId="77777777" w:rsidR="00E04C8A" w:rsidRDefault="008E1817" w:rsidP="00DD1146">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+353 1 223 4026</w:t>
            </w:r>
          </w:p>
          <w:p w14:paraId="1A2DA136" w14:textId="6E546352" w:rsidR="00475A1E" w:rsidRDefault="00475A1E" w:rsidP="00DD1146">
            <w:pPr>
              <w:rPr>
                <w:rFonts w:ascii="Times New Roman" w:eastAsia="맑은 고딕" w:hAnsi="Times New Roman" w:cs="Times New Roman"/>
                <w:noProof/>
                <w:lang w:val="sl-SI" w:eastAsia="fr-FR"/>
              </w:rPr>
            </w:pPr>
          </w:p>
        </w:tc>
        <w:tc>
          <w:tcPr>
            <w:tcW w:w="2500" w:type="pct"/>
          </w:tcPr>
          <w:p w14:paraId="638E5F18" w14:textId="77777777" w:rsidR="00E04C8A" w:rsidRDefault="008E1817">
            <w:pPr>
              <w:rPr>
                <w:rFonts w:ascii="Times New Roman" w:eastAsia="맑은 고딕" w:hAnsi="Times New Roman" w:cs="Times New Roman"/>
                <w:b/>
                <w:noProof/>
                <w:lang w:val="sl-SI" w:eastAsia="fr-FR"/>
              </w:rPr>
            </w:pPr>
            <w:r>
              <w:rPr>
                <w:rFonts w:ascii="Times New Roman" w:eastAsia="맑은 고딕" w:hAnsi="Times New Roman" w:cs="Times New Roman"/>
                <w:b/>
                <w:noProof/>
                <w:lang w:val="sl-SI" w:eastAsia="fr-FR"/>
              </w:rPr>
              <w:t>Slovenija</w:t>
            </w:r>
          </w:p>
          <w:p w14:paraId="67E30AAF" w14:textId="77777777" w:rsidR="00E04C8A" w:rsidRDefault="008E181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OPH Oktal Pharma d.o.o.</w:t>
            </w:r>
          </w:p>
          <w:p w14:paraId="70939251" w14:textId="2B101D23" w:rsidR="00E04C8A" w:rsidRDefault="008E1817" w:rsidP="00DD1146">
            <w:pPr>
              <w:rPr>
                <w:rFonts w:ascii="Times New Roman" w:hAnsi="Times New Roman" w:cs="Times New Roman"/>
                <w:b/>
                <w:noProof/>
                <w:lang w:val="sl-SI"/>
              </w:rPr>
            </w:pPr>
            <w:r>
              <w:rPr>
                <w:rFonts w:ascii="Times New Roman" w:eastAsia="맑은 고딕" w:hAnsi="Times New Roman" w:cs="Times New Roman"/>
                <w:noProof/>
                <w:lang w:val="sl-SI" w:eastAsia="fr-FR"/>
              </w:rPr>
              <w:t>Tel.: +386 1 519 29 22</w:t>
            </w:r>
          </w:p>
        </w:tc>
      </w:tr>
      <w:tr w:rsidR="00E04C8A" w14:paraId="5694F125" w14:textId="77777777">
        <w:tc>
          <w:tcPr>
            <w:tcW w:w="2500" w:type="pct"/>
          </w:tcPr>
          <w:p w14:paraId="6FF88FA6" w14:textId="77777777" w:rsidR="00E04C8A" w:rsidRDefault="008E1817">
            <w:pPr>
              <w:rPr>
                <w:rFonts w:ascii="Times New Roman" w:eastAsia="맑은 고딕" w:hAnsi="Times New Roman" w:cs="Times New Roman"/>
                <w:noProof/>
                <w:lang w:val="sl-SI" w:eastAsia="fr-FR"/>
              </w:rPr>
            </w:pPr>
            <w:r>
              <w:rPr>
                <w:rFonts w:ascii="Times New Roman" w:eastAsia="맑은 고딕" w:hAnsi="Times New Roman" w:cs="Times New Roman"/>
                <w:b/>
                <w:noProof/>
                <w:lang w:val="sl-SI" w:eastAsia="fr-FR"/>
              </w:rPr>
              <w:t>Ísland</w:t>
            </w:r>
          </w:p>
          <w:p w14:paraId="2DABC1C0" w14:textId="77777777" w:rsidR="00E04C8A" w:rsidRDefault="008E181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3134B2B3" w14:textId="77777777" w:rsidR="00E04C8A" w:rsidRDefault="008E181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Sími: +36 1 231 0493</w:t>
            </w:r>
          </w:p>
        </w:tc>
        <w:tc>
          <w:tcPr>
            <w:tcW w:w="2500" w:type="pct"/>
          </w:tcPr>
          <w:p w14:paraId="4DB84F99" w14:textId="77777777" w:rsidR="00E04C8A" w:rsidRDefault="008E1817">
            <w:pPr>
              <w:rPr>
                <w:rFonts w:ascii="Times New Roman" w:eastAsia="맑은 고딕" w:hAnsi="Times New Roman" w:cs="Times New Roman"/>
                <w:b/>
                <w:noProof/>
                <w:lang w:val="sl-SI" w:eastAsia="fr-FR"/>
              </w:rPr>
            </w:pPr>
            <w:r>
              <w:rPr>
                <w:rFonts w:ascii="Times New Roman" w:hAnsi="Times New Roman" w:cs="Times New Roman"/>
                <w:b/>
                <w:noProof/>
                <w:lang w:val="sl-SI"/>
              </w:rPr>
              <w:t>Slovenská republika</w:t>
            </w:r>
          </w:p>
          <w:p w14:paraId="6C65999F" w14:textId="77777777" w:rsidR="00DB4D19" w:rsidRDefault="00DB4D19" w:rsidP="00DB4D19">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5407490A" w14:textId="6256F477" w:rsidR="00E04C8A" w:rsidRDefault="00DB4D19">
            <w:pPr>
              <w:rPr>
                <w:rFonts w:ascii="Times New Roman" w:eastAsia="맑은 고딕" w:hAnsi="Times New Roman" w:cs="Times New Roman"/>
                <w:b/>
                <w:noProof/>
                <w:lang w:val="sl-SI" w:eastAsia="fr-FR"/>
              </w:rPr>
            </w:pPr>
            <w:r>
              <w:rPr>
                <w:rFonts w:ascii="Times New Roman" w:eastAsia="맑은 고딕" w:hAnsi="Times New Roman" w:cs="Times New Roman"/>
                <w:noProof/>
                <w:lang w:val="sl-SI" w:eastAsia="fr-FR"/>
              </w:rPr>
              <w:t>Tel: +36 1 231 0493</w:t>
            </w:r>
          </w:p>
          <w:p w14:paraId="1FB3FA45" w14:textId="2F93CC09" w:rsidR="00DB4D19" w:rsidRPr="00DB4D19" w:rsidRDefault="00DB4D19">
            <w:pPr>
              <w:rPr>
                <w:rFonts w:ascii="Times New Roman" w:eastAsia="맑은 고딕" w:hAnsi="Times New Roman" w:cs="Times New Roman"/>
                <w:b/>
                <w:noProof/>
                <w:lang w:val="sl-SI" w:eastAsia="fr-FR"/>
              </w:rPr>
            </w:pPr>
          </w:p>
        </w:tc>
      </w:tr>
      <w:tr w:rsidR="00E04C8A" w14:paraId="7A7C7630" w14:textId="77777777">
        <w:tc>
          <w:tcPr>
            <w:tcW w:w="2500" w:type="pct"/>
          </w:tcPr>
          <w:p w14:paraId="2AF40E9B" w14:textId="77777777" w:rsidR="00E04C8A" w:rsidRDefault="008E1817" w:rsidP="001B02C1">
            <w:pPr>
              <w:keepNext/>
              <w:keepLines/>
              <w:rPr>
                <w:rFonts w:ascii="Times New Roman" w:hAnsi="Times New Roman" w:cs="Times New Roman"/>
                <w:noProof/>
                <w:lang w:val="sl-SI" w:eastAsia="fr-FR"/>
              </w:rPr>
            </w:pPr>
            <w:r>
              <w:rPr>
                <w:rFonts w:ascii="Times New Roman" w:eastAsia="맑은 고딕" w:hAnsi="Times New Roman" w:cs="Times New Roman"/>
                <w:b/>
                <w:noProof/>
                <w:lang w:val="sl-SI" w:eastAsia="fr-FR"/>
              </w:rPr>
              <w:lastRenderedPageBreak/>
              <w:t>Italia</w:t>
            </w:r>
          </w:p>
          <w:p w14:paraId="6FE114F1" w14:textId="27652D5B" w:rsidR="00E04C8A" w:rsidRDefault="008E1817" w:rsidP="001B02C1">
            <w:pPr>
              <w:keepNext/>
              <w:keepLine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Italy S.</w:t>
            </w:r>
            <w:r w:rsidR="000518B8">
              <w:rPr>
                <w:rFonts w:ascii="Times New Roman" w:eastAsia="맑은 고딕" w:hAnsi="Times New Roman" w:cs="Times New Roman"/>
                <w:noProof/>
                <w:lang w:val="sl-SI" w:eastAsia="fr-FR"/>
              </w:rPr>
              <w:t>r</w:t>
            </w:r>
            <w:r>
              <w:rPr>
                <w:rFonts w:ascii="Times New Roman" w:eastAsia="맑은 고딕" w:hAnsi="Times New Roman" w:cs="Times New Roman"/>
                <w:noProof/>
                <w:lang w:val="sl-SI" w:eastAsia="fr-FR"/>
              </w:rPr>
              <w:t>.</w:t>
            </w:r>
            <w:r w:rsidR="000518B8">
              <w:rPr>
                <w:rFonts w:ascii="Times New Roman" w:eastAsia="맑은 고딕" w:hAnsi="Times New Roman" w:cs="Times New Roman"/>
                <w:noProof/>
                <w:lang w:val="sl-SI" w:eastAsia="fr-FR"/>
              </w:rPr>
              <w:t>l</w:t>
            </w:r>
            <w:r>
              <w:rPr>
                <w:rFonts w:ascii="Times New Roman" w:eastAsia="맑은 고딕" w:hAnsi="Times New Roman" w:cs="Times New Roman"/>
                <w:noProof/>
                <w:lang w:val="sl-SI" w:eastAsia="fr-FR"/>
              </w:rPr>
              <w:t>.</w:t>
            </w:r>
          </w:p>
          <w:p w14:paraId="28ED4A14" w14:textId="6F89B693" w:rsidR="00E04C8A" w:rsidRDefault="008E1817" w:rsidP="001B02C1">
            <w:pPr>
              <w:keepNext/>
              <w:keepLine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 xml:space="preserve">Tel: +39 </w:t>
            </w:r>
            <w:r w:rsidR="000518B8" w:rsidRPr="000518B8">
              <w:rPr>
                <w:rFonts w:ascii="Times New Roman" w:eastAsia="맑은 고딕" w:hAnsi="Times New Roman" w:cs="Times New Roman"/>
                <w:noProof/>
                <w:lang w:val="sl-SI" w:eastAsia="fr-FR"/>
              </w:rPr>
              <w:t>0247927040</w:t>
            </w:r>
          </w:p>
          <w:p w14:paraId="323FA3BA" w14:textId="77777777" w:rsidR="00E04C8A" w:rsidRDefault="00E04C8A" w:rsidP="001B02C1">
            <w:pPr>
              <w:keepNext/>
              <w:keepLines/>
              <w:rPr>
                <w:rFonts w:ascii="Times New Roman" w:eastAsia="맑은 고딕" w:hAnsi="Times New Roman" w:cs="Times New Roman"/>
                <w:noProof/>
                <w:lang w:val="sl-SI" w:eastAsia="fr-FR"/>
              </w:rPr>
            </w:pPr>
          </w:p>
        </w:tc>
        <w:tc>
          <w:tcPr>
            <w:tcW w:w="2500" w:type="pct"/>
          </w:tcPr>
          <w:p w14:paraId="4E78F4D4" w14:textId="77777777" w:rsidR="00E04C8A" w:rsidRDefault="008E1817" w:rsidP="001B02C1">
            <w:pPr>
              <w:keepNext/>
              <w:keepLines/>
              <w:rPr>
                <w:rFonts w:ascii="Times New Roman" w:hAnsi="Times New Roman" w:cs="Times New Roman"/>
                <w:noProof/>
                <w:lang w:val="sl-SI" w:eastAsia="fr-FR"/>
              </w:rPr>
            </w:pPr>
            <w:r>
              <w:rPr>
                <w:rFonts w:ascii="Times New Roman" w:eastAsia="맑은 고딕" w:hAnsi="Times New Roman" w:cs="Times New Roman"/>
                <w:b/>
                <w:noProof/>
                <w:lang w:val="sl-SI" w:eastAsia="fr-FR"/>
              </w:rPr>
              <w:t>Suomi/Finland</w:t>
            </w:r>
          </w:p>
          <w:p w14:paraId="0A204F7B" w14:textId="53B1010D" w:rsidR="00566D4D" w:rsidRPr="0036074E" w:rsidRDefault="00566D4D" w:rsidP="001B02C1">
            <w:pPr>
              <w:keepNext/>
              <w:keepLines/>
              <w:tabs>
                <w:tab w:val="left" w:pos="-720"/>
              </w:tabs>
              <w:suppressAutoHyphens/>
              <w:rPr>
                <w:rFonts w:ascii="Times New Roman" w:eastAsia="맑은 고딕" w:hAnsi="Times New Roman" w:cs="Times New Roman"/>
                <w:noProof/>
                <w:lang w:val="sl-SI" w:eastAsia="fr-FR"/>
              </w:rPr>
            </w:pPr>
            <w:r w:rsidRPr="0036074E">
              <w:rPr>
                <w:rFonts w:ascii="Times New Roman" w:eastAsia="맑은 고딕" w:hAnsi="Times New Roman" w:cs="Times New Roman"/>
                <w:noProof/>
                <w:lang w:val="sl-SI" w:eastAsia="fr-FR"/>
              </w:rPr>
              <w:t xml:space="preserve">Celltrion Healthcare Finland Oy. </w:t>
            </w:r>
          </w:p>
          <w:p w14:paraId="11D83BDE" w14:textId="1495E3D9" w:rsidR="00E04C8A" w:rsidRDefault="00566D4D" w:rsidP="001B02C1">
            <w:pPr>
              <w:keepNext/>
              <w:keepLines/>
              <w:autoSpaceDE w:val="0"/>
              <w:autoSpaceDN w:val="0"/>
              <w:adjustRightInd w:val="0"/>
              <w:rPr>
                <w:rFonts w:ascii="Times New Roman" w:eastAsia="맑은 고딕" w:hAnsi="Times New Roman" w:cs="Times New Roman"/>
                <w:noProof/>
                <w:lang w:val="sl-SI" w:eastAsia="fr-FR"/>
              </w:rPr>
            </w:pPr>
            <w:r w:rsidRPr="0036074E">
              <w:rPr>
                <w:rFonts w:ascii="Times New Roman" w:eastAsia="맑은 고딕" w:hAnsi="Times New Roman" w:cs="Times New Roman"/>
                <w:noProof/>
                <w:lang w:val="sl-SI" w:eastAsia="fr-FR"/>
              </w:rPr>
              <w:t>Puh/Tel: +358 29 170 7755</w:t>
            </w:r>
          </w:p>
          <w:p w14:paraId="2F7D719E" w14:textId="77777777" w:rsidR="00E04C8A" w:rsidRDefault="00E04C8A" w:rsidP="001B02C1">
            <w:pPr>
              <w:keepNext/>
              <w:keepLines/>
              <w:autoSpaceDE w:val="0"/>
              <w:autoSpaceDN w:val="0"/>
              <w:adjustRightInd w:val="0"/>
              <w:rPr>
                <w:rFonts w:ascii="Times New Roman" w:eastAsia="맑은 고딕" w:hAnsi="Times New Roman" w:cs="Times New Roman"/>
                <w:noProof/>
                <w:lang w:val="sl-SI" w:eastAsia="ko-KR"/>
              </w:rPr>
            </w:pPr>
          </w:p>
        </w:tc>
      </w:tr>
      <w:tr w:rsidR="00E04C8A" w14:paraId="54899237" w14:textId="77777777">
        <w:tc>
          <w:tcPr>
            <w:tcW w:w="2500" w:type="pct"/>
          </w:tcPr>
          <w:p w14:paraId="13CF0DB2" w14:textId="77777777" w:rsidR="00E04C8A" w:rsidRDefault="008E1817">
            <w:pPr>
              <w:tabs>
                <w:tab w:val="left" w:pos="-720"/>
              </w:tabs>
              <w:suppressAutoHyphens/>
              <w:rPr>
                <w:rFonts w:ascii="Times New Roman" w:hAnsi="Times New Roman" w:cs="Times New Roman"/>
                <w:b/>
                <w:bCs/>
                <w:noProof/>
                <w:lang w:val="sl-SI" w:eastAsia="fr-FR"/>
              </w:rPr>
            </w:pPr>
            <w:r>
              <w:rPr>
                <w:rFonts w:ascii="Times New Roman" w:hAnsi="Times New Roman" w:cs="Times New Roman"/>
                <w:b/>
                <w:noProof/>
                <w:lang w:val="sl-SI"/>
              </w:rPr>
              <w:t>Κύπρος</w:t>
            </w:r>
          </w:p>
          <w:p w14:paraId="094D1BB1" w14:textId="77777777" w:rsidR="00E04C8A" w:rsidRDefault="008E1817">
            <w:pPr>
              <w:tabs>
                <w:tab w:val="left" w:pos="-720"/>
              </w:tabs>
              <w:suppressAutoHyphens/>
              <w:rPr>
                <w:rFonts w:ascii="Times New Roman" w:eastAsia="맑은 고딕" w:hAnsi="Times New Roman" w:cs="Times New Roman"/>
                <w:noProof/>
                <w:lang w:val="sl-SI" w:eastAsia="ko-KR"/>
              </w:rPr>
            </w:pPr>
            <w:r>
              <w:rPr>
                <w:rFonts w:ascii="Times New Roman" w:eastAsia="맑은 고딕" w:hAnsi="Times New Roman" w:cs="Times New Roman"/>
                <w:noProof/>
                <w:lang w:val="sl-SI" w:eastAsia="fr-FR"/>
              </w:rPr>
              <w:t>C.A. Papaellinas Ltd</w:t>
            </w:r>
          </w:p>
          <w:p w14:paraId="6E2C075A" w14:textId="77777777" w:rsidR="00E04C8A" w:rsidRDefault="008E1817">
            <w:pPr>
              <w:autoSpaceDE w:val="0"/>
              <w:autoSpaceDN w:val="0"/>
              <w:adjustRightInd w:val="0"/>
              <w:rPr>
                <w:rFonts w:ascii="Times New Roman" w:eastAsia="맑은 고딕" w:hAnsi="Times New Roman" w:cs="Times New Roman"/>
                <w:b/>
                <w:bCs/>
                <w:lang w:val="sl-SI" w:eastAsia="fr-FR"/>
              </w:rPr>
            </w:pPr>
            <w:r>
              <w:rPr>
                <w:rFonts w:ascii="Times New Roman" w:hAnsi="Times New Roman" w:cs="Times New Roman"/>
                <w:noProof/>
                <w:lang w:val="sl-SI"/>
              </w:rPr>
              <w:t xml:space="preserve">Τηλ: </w:t>
            </w:r>
            <w:r>
              <w:rPr>
                <w:rFonts w:ascii="Times New Roman" w:eastAsia="맑은 고딕" w:hAnsi="Times New Roman" w:cs="Times New Roman"/>
                <w:noProof/>
                <w:lang w:val="sl-SI" w:eastAsia="fr-FR"/>
              </w:rPr>
              <w:t>+357 22741741</w:t>
            </w:r>
          </w:p>
          <w:p w14:paraId="2A22EE6C" w14:textId="77777777" w:rsidR="00E04C8A" w:rsidRDefault="00E04C8A">
            <w:pPr>
              <w:autoSpaceDE w:val="0"/>
              <w:autoSpaceDN w:val="0"/>
              <w:adjustRightInd w:val="0"/>
              <w:rPr>
                <w:rFonts w:ascii="Times New Roman" w:eastAsia="맑은 고딕" w:hAnsi="Times New Roman" w:cs="Times New Roman"/>
                <w:b/>
                <w:noProof/>
                <w:lang w:val="sl-SI" w:eastAsia="fr-FR"/>
              </w:rPr>
            </w:pPr>
          </w:p>
        </w:tc>
        <w:tc>
          <w:tcPr>
            <w:tcW w:w="2500" w:type="pct"/>
          </w:tcPr>
          <w:p w14:paraId="59E3FAFF" w14:textId="77777777" w:rsidR="004D5EDF" w:rsidRPr="00D86615" w:rsidRDefault="004D5EDF" w:rsidP="004D5EDF">
            <w:pPr>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t>Sverige</w:t>
            </w:r>
          </w:p>
          <w:p w14:paraId="7BDF2581" w14:textId="30B880F7" w:rsidR="004D5EDF" w:rsidRPr="00A53EEB" w:rsidRDefault="004D5EDF" w:rsidP="004D5EDF">
            <w:pPr>
              <w:tabs>
                <w:tab w:val="left" w:pos="-720"/>
              </w:tabs>
              <w:suppressAutoHyphens/>
              <w:rPr>
                <w:rFonts w:ascii="Times New Roman" w:eastAsia="맑은 고딕" w:hAnsi="Times New Roman" w:cs="Times New Roman"/>
                <w:noProof/>
                <w:lang w:eastAsia="ko-KR"/>
              </w:rPr>
            </w:pPr>
            <w:r w:rsidRPr="00A53EEB">
              <w:rPr>
                <w:rFonts w:ascii="Times New Roman" w:eastAsia="맑은 고딕" w:hAnsi="Times New Roman" w:cs="Times New Roman"/>
                <w:noProof/>
                <w:lang w:eastAsia="ko-KR"/>
              </w:rPr>
              <w:t>Celltrion Sweden AB</w:t>
            </w:r>
          </w:p>
          <w:p w14:paraId="3AAEC46B" w14:textId="77777777" w:rsidR="004D5EDF" w:rsidRPr="00A53EEB" w:rsidRDefault="004D5EDF" w:rsidP="004D5EDF">
            <w:pPr>
              <w:tabs>
                <w:tab w:val="left" w:pos="-720"/>
              </w:tabs>
              <w:suppressAutoHyphens/>
              <w:rPr>
                <w:rFonts w:ascii="Times New Roman" w:eastAsia="맑은 고딕" w:hAnsi="Times New Roman" w:cs="Times New Roman"/>
                <w:bCs/>
                <w:noProof/>
                <w:u w:val="single"/>
                <w:lang w:eastAsia="ko-KR"/>
              </w:rPr>
            </w:pPr>
            <w:hyperlink r:id="rId31" w:history="1">
              <w:r w:rsidRPr="00A53EEB">
                <w:rPr>
                  <w:rStyle w:val="ad"/>
                  <w:rFonts w:ascii="Times New Roman" w:eastAsia="맑은 고딕" w:hAnsi="Times New Roman" w:cs="Times New Roman"/>
                  <w:noProof/>
                  <w:lang w:eastAsia="ko-KR"/>
                </w:rPr>
                <w:t>contact_se@celltrionhc.com</w:t>
              </w:r>
            </w:hyperlink>
          </w:p>
          <w:p w14:paraId="5E85F80A" w14:textId="52DF4196" w:rsidR="00E04C8A" w:rsidRPr="004D5EDF" w:rsidRDefault="00E04C8A">
            <w:pPr>
              <w:tabs>
                <w:tab w:val="left" w:pos="-720"/>
              </w:tabs>
              <w:suppressAutoHyphens/>
              <w:rPr>
                <w:rFonts w:ascii="Times New Roman" w:eastAsia="맑은 고딕" w:hAnsi="Times New Roman" w:cs="Times New Roman"/>
                <w:b/>
                <w:noProof/>
                <w:lang w:eastAsia="fr-FR"/>
              </w:rPr>
            </w:pPr>
          </w:p>
        </w:tc>
      </w:tr>
      <w:tr w:rsidR="00E04C8A" w14:paraId="696E6463" w14:textId="77777777">
        <w:tc>
          <w:tcPr>
            <w:tcW w:w="2500" w:type="pct"/>
          </w:tcPr>
          <w:p w14:paraId="3CBB281D" w14:textId="77777777" w:rsidR="00E04C8A" w:rsidRDefault="008E1817">
            <w:pPr>
              <w:rPr>
                <w:rFonts w:ascii="Times New Roman" w:eastAsia="맑은 고딕" w:hAnsi="Times New Roman" w:cs="Times New Roman"/>
                <w:b/>
                <w:noProof/>
                <w:lang w:val="sl-SI" w:eastAsia="fr-FR"/>
              </w:rPr>
            </w:pPr>
            <w:r>
              <w:rPr>
                <w:rFonts w:ascii="Times New Roman" w:eastAsia="맑은 고딕" w:hAnsi="Times New Roman" w:cs="Times New Roman"/>
                <w:b/>
                <w:noProof/>
                <w:lang w:val="sl-SI" w:eastAsia="fr-FR"/>
              </w:rPr>
              <w:t>Latvija</w:t>
            </w:r>
          </w:p>
          <w:p w14:paraId="7EE59680" w14:textId="77777777" w:rsidR="00DB4D19" w:rsidRDefault="00DB4D19" w:rsidP="00DB4D19">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3182E393" w14:textId="55D6ABE0" w:rsidR="00E04C8A" w:rsidRDefault="001E1A19">
            <w:pPr>
              <w:autoSpaceDE w:val="0"/>
              <w:autoSpaceDN w:val="0"/>
              <w:adjustRightInd w:val="0"/>
              <w:rPr>
                <w:rFonts w:ascii="Times New Roman" w:eastAsia="맑은 고딕" w:hAnsi="Times New Roman" w:cs="Times New Roman"/>
                <w:noProof/>
                <w:lang w:val="sl-SI" w:eastAsia="fr-FR"/>
              </w:rPr>
            </w:pPr>
            <w:r w:rsidRPr="001E1A19">
              <w:rPr>
                <w:rFonts w:ascii="Times New Roman" w:eastAsia="맑은 고딕" w:hAnsi="Times New Roman" w:cs="Times New Roman"/>
                <w:noProof/>
                <w:lang w:val="sl-SI" w:eastAsia="fr-FR"/>
              </w:rPr>
              <w:t xml:space="preserve">Tālr.: </w:t>
            </w:r>
            <w:r w:rsidR="00DB4D19">
              <w:rPr>
                <w:rFonts w:ascii="Times New Roman" w:eastAsia="맑은 고딕" w:hAnsi="Times New Roman" w:cs="Times New Roman"/>
                <w:noProof/>
                <w:lang w:val="sl-SI" w:eastAsia="fr-FR"/>
              </w:rPr>
              <w:t>+36 1 231 0493</w:t>
            </w:r>
          </w:p>
          <w:p w14:paraId="056145D0" w14:textId="77777777" w:rsidR="00E04C8A" w:rsidRDefault="00E04C8A">
            <w:pPr>
              <w:autoSpaceDE w:val="0"/>
              <w:autoSpaceDN w:val="0"/>
              <w:adjustRightInd w:val="0"/>
              <w:rPr>
                <w:rFonts w:ascii="Times New Roman" w:eastAsia="맑은 고딕" w:hAnsi="Times New Roman" w:cs="Times New Roman"/>
                <w:b/>
                <w:bCs/>
                <w:lang w:val="sl-SI" w:eastAsia="fr-FR"/>
              </w:rPr>
            </w:pPr>
          </w:p>
        </w:tc>
        <w:tc>
          <w:tcPr>
            <w:tcW w:w="2500" w:type="pct"/>
          </w:tcPr>
          <w:p w14:paraId="4782366A" w14:textId="77777777" w:rsidR="00E04C8A" w:rsidRDefault="00E04C8A" w:rsidP="00F40A58">
            <w:pPr>
              <w:tabs>
                <w:tab w:val="left" w:pos="-720"/>
              </w:tabs>
              <w:suppressAutoHyphens/>
              <w:rPr>
                <w:rFonts w:ascii="Times New Roman" w:eastAsia="맑은 고딕" w:hAnsi="Times New Roman" w:cs="Times New Roman"/>
                <w:b/>
                <w:noProof/>
                <w:lang w:val="sl-SI" w:eastAsia="fr-FR"/>
              </w:rPr>
            </w:pPr>
          </w:p>
        </w:tc>
      </w:tr>
    </w:tbl>
    <w:p w14:paraId="4B0E08AD" w14:textId="77777777" w:rsidR="00E04C8A" w:rsidRDefault="00E04C8A">
      <w:pPr>
        <w:numPr>
          <w:ilvl w:val="12"/>
          <w:numId w:val="0"/>
        </w:numPr>
        <w:rPr>
          <w:rFonts w:ascii="Times New Roman" w:hAnsi="Times New Roman" w:cs="Times New Roman"/>
          <w:b/>
          <w:noProof/>
          <w:lang w:val="sl-SI"/>
        </w:rPr>
      </w:pPr>
    </w:p>
    <w:p w14:paraId="746F9F19" w14:textId="77777777" w:rsidR="00E04C8A" w:rsidRDefault="00E04C8A">
      <w:pPr>
        <w:numPr>
          <w:ilvl w:val="12"/>
          <w:numId w:val="0"/>
        </w:numPr>
        <w:rPr>
          <w:rFonts w:ascii="Times New Roman" w:hAnsi="Times New Roman" w:cs="Times New Roman"/>
          <w:b/>
          <w:noProof/>
          <w:lang w:val="sl-SI"/>
        </w:rPr>
      </w:pPr>
    </w:p>
    <w:p w14:paraId="79378282" w14:textId="77777777" w:rsidR="00E04C8A" w:rsidRDefault="008E1817">
      <w:pPr>
        <w:numPr>
          <w:ilvl w:val="12"/>
          <w:numId w:val="0"/>
        </w:numPr>
        <w:rPr>
          <w:rFonts w:ascii="Times New Roman" w:eastAsia="맑은 고딕" w:hAnsi="Times New Roman" w:cs="Times New Roman"/>
          <w:noProof/>
          <w:lang w:val="sl-SI" w:eastAsia="ko-KR"/>
        </w:rPr>
      </w:pPr>
      <w:r>
        <w:rPr>
          <w:rFonts w:ascii="Times New Roman" w:eastAsia="Times New Roman" w:hAnsi="Times New Roman" w:cs="Times New Roman"/>
          <w:b/>
          <w:bCs/>
          <w:noProof/>
          <w:lang w:val="sl-SI"/>
        </w:rPr>
        <w:t xml:space="preserve">Navodilo je bilo nazadnje revidirano dne </w:t>
      </w:r>
      <w:r>
        <w:rPr>
          <w:rFonts w:ascii="Times New Roman" w:eastAsia="Times New Roman" w:hAnsi="Times New Roman" w:cs="Times New Roman"/>
          <w:noProof/>
          <w:lang w:val="sl-SI"/>
        </w:rPr>
        <w:t>.</w:t>
      </w:r>
    </w:p>
    <w:p w14:paraId="61969BF4" w14:textId="77777777" w:rsidR="00E04C8A" w:rsidRDefault="00E04C8A">
      <w:pPr>
        <w:numPr>
          <w:ilvl w:val="12"/>
          <w:numId w:val="0"/>
        </w:numPr>
        <w:rPr>
          <w:rFonts w:ascii="Times New Roman" w:hAnsi="Times New Roman" w:cs="Times New Roman"/>
          <w:noProof/>
          <w:lang w:val="sl-SI"/>
        </w:rPr>
      </w:pPr>
    </w:p>
    <w:p w14:paraId="69E9BAAD" w14:textId="77777777" w:rsidR="00E04C8A" w:rsidRDefault="008E1817">
      <w:pPr>
        <w:numPr>
          <w:ilvl w:val="12"/>
          <w:numId w:val="0"/>
        </w:numPr>
        <w:rPr>
          <w:rFonts w:ascii="Times New Roman" w:hAnsi="Times New Roman" w:cs="Times New Roman"/>
          <w:b/>
          <w:noProof/>
          <w:lang w:val="sl-SI"/>
        </w:rPr>
      </w:pPr>
      <w:r>
        <w:rPr>
          <w:rFonts w:ascii="Times New Roman" w:eastAsia="Times New Roman" w:hAnsi="Times New Roman" w:cs="Times New Roman"/>
          <w:b/>
          <w:bCs/>
          <w:noProof/>
          <w:lang w:val="sl-SI"/>
        </w:rPr>
        <w:t>Drugi viri informacij</w:t>
      </w:r>
    </w:p>
    <w:p w14:paraId="46AB7349" w14:textId="77777777" w:rsidR="00E04C8A" w:rsidRDefault="00E04C8A">
      <w:pPr>
        <w:pStyle w:val="a3"/>
        <w:rPr>
          <w:lang w:val="sl-SI"/>
        </w:rPr>
      </w:pPr>
    </w:p>
    <w:p w14:paraId="3A729BB3" w14:textId="77777777" w:rsidR="00E04C8A" w:rsidRDefault="008E1817">
      <w:pPr>
        <w:numPr>
          <w:ilvl w:val="12"/>
          <w:numId w:val="0"/>
        </w:numPr>
        <w:rPr>
          <w:rFonts w:ascii="Times New Roman" w:eastAsia="맑은 고딕" w:hAnsi="Times New Roman" w:cs="Times New Roman"/>
          <w:noProof/>
          <w:color w:val="0000FF"/>
          <w:lang w:val="sl-SI" w:eastAsia="ko-KR"/>
        </w:rPr>
      </w:pPr>
      <w:r>
        <w:rPr>
          <w:rFonts w:ascii="Times New Roman" w:eastAsia="Times New Roman" w:hAnsi="Times New Roman" w:cs="Times New Roman"/>
          <w:lang w:val="sl-SI"/>
        </w:rPr>
        <w:t xml:space="preserve">Podrobne informacije o zdravilu so objavljene na spletni strani Evropske agencije za zdravila </w:t>
      </w:r>
      <w:hyperlink r:id="rId32" w:history="1">
        <w:r w:rsidRPr="008E1817">
          <w:rPr>
            <w:rStyle w:val="ad"/>
            <w:rFonts w:ascii="Times New Roman" w:eastAsia="Times New Roman" w:hAnsi="Times New Roman" w:cs="Times New Roman"/>
            <w:lang w:val="sl-SI"/>
          </w:rPr>
          <w:t>http://www.ema.europa.eu</w:t>
        </w:r>
      </w:hyperlink>
    </w:p>
    <w:p w14:paraId="59CBF63F" w14:textId="77777777" w:rsidR="00E04C8A" w:rsidRDefault="00E04C8A">
      <w:pPr>
        <w:spacing w:before="4" w:line="100" w:lineRule="exact"/>
        <w:rPr>
          <w:sz w:val="10"/>
          <w:szCs w:val="10"/>
          <w:lang w:val="sl-SI"/>
        </w:rPr>
      </w:pPr>
    </w:p>
    <w:p w14:paraId="00B2AF06" w14:textId="77777777" w:rsidR="00E04C8A" w:rsidRDefault="00E04C8A">
      <w:pPr>
        <w:spacing w:line="200" w:lineRule="exact"/>
        <w:rPr>
          <w:b/>
          <w:sz w:val="20"/>
          <w:szCs w:val="20"/>
          <w:lang w:val="sl-SI"/>
        </w:rPr>
      </w:pPr>
    </w:p>
    <w:p w14:paraId="61F12E61" w14:textId="77777777" w:rsidR="00E04C8A" w:rsidRDefault="00E04C8A">
      <w:pPr>
        <w:spacing w:line="200" w:lineRule="exact"/>
        <w:rPr>
          <w:b/>
          <w:sz w:val="20"/>
          <w:szCs w:val="20"/>
          <w:lang w:val="sl-SI"/>
        </w:rPr>
      </w:pPr>
    </w:p>
    <w:p w14:paraId="7C8D17BA" w14:textId="77777777" w:rsidR="00E04C8A" w:rsidRDefault="008E1817">
      <w:pPr>
        <w:pStyle w:val="a4"/>
        <w:numPr>
          <w:ilvl w:val="0"/>
          <w:numId w:val="33"/>
        </w:numPr>
        <w:spacing w:before="18" w:line="240" w:lineRule="exact"/>
        <w:ind w:hanging="468"/>
        <w:rPr>
          <w:rFonts w:ascii="Times New Roman" w:eastAsia="Times New Roman" w:hAnsi="Times New Roman" w:cs="Times New Roman"/>
          <w:b/>
          <w:lang w:val="sl-SI"/>
        </w:rPr>
      </w:pPr>
      <w:r>
        <w:rPr>
          <w:rFonts w:ascii="Times New Roman" w:eastAsia="Times New Roman" w:hAnsi="Times New Roman" w:cs="Times New Roman"/>
          <w:b/>
          <w:bCs/>
          <w:spacing w:val="-1"/>
          <w:lang w:val="sl-SI"/>
        </w:rPr>
        <w:t>Navodila za uporabo</w:t>
      </w:r>
    </w:p>
    <w:p w14:paraId="4BD433BB" w14:textId="77777777" w:rsidR="00E04C8A" w:rsidRDefault="00E04C8A">
      <w:pPr>
        <w:spacing w:before="9" w:line="260" w:lineRule="exact"/>
        <w:rPr>
          <w:b/>
          <w:sz w:val="26"/>
          <w:szCs w:val="26"/>
          <w:lang w:val="sl-SI"/>
        </w:rPr>
      </w:pPr>
    </w:p>
    <w:p w14:paraId="26D15BD6" w14:textId="77777777" w:rsidR="00E04C8A" w:rsidRDefault="008E1817">
      <w:pPr>
        <w:pStyle w:val="a3"/>
        <w:numPr>
          <w:ilvl w:val="1"/>
          <w:numId w:val="4"/>
        </w:numPr>
        <w:ind w:left="660" w:hanging="660"/>
        <w:rPr>
          <w:lang w:val="sl-SI"/>
        </w:rPr>
      </w:pPr>
      <w:r>
        <w:rPr>
          <w:rFonts w:eastAsia="Times New Roman"/>
          <w:lang w:val="sl-SI"/>
        </w:rPr>
        <w:t>Naslednja navodila opisujejo, kako si subkutano injicirate zdravilo Yuflyma z napolnjeno injekcijsko brizgo. Navodila najprej natančno preberite in jih upoštevajte korak za korakom.</w:t>
      </w:r>
    </w:p>
    <w:p w14:paraId="48BCDE7C" w14:textId="77777777" w:rsidR="00E04C8A" w:rsidRDefault="00E04C8A">
      <w:pPr>
        <w:pStyle w:val="a3"/>
        <w:rPr>
          <w:lang w:val="sl-SI"/>
        </w:rPr>
      </w:pPr>
    </w:p>
    <w:p w14:paraId="10B0084D" w14:textId="77777777" w:rsidR="00E04C8A" w:rsidRDefault="008E1817">
      <w:pPr>
        <w:pStyle w:val="a3"/>
        <w:numPr>
          <w:ilvl w:val="1"/>
          <w:numId w:val="4"/>
        </w:numPr>
        <w:ind w:left="660" w:hanging="660"/>
        <w:rPr>
          <w:lang w:val="sl-SI"/>
        </w:rPr>
      </w:pPr>
      <w:r>
        <w:rPr>
          <w:rFonts w:eastAsia="Times New Roman"/>
          <w:lang w:val="sl-SI"/>
        </w:rPr>
        <w:t>Zdravnik, farmacevt ali medicinska sestra vas bodo naučili, kako si zdravilo injicirate sami.</w:t>
      </w:r>
    </w:p>
    <w:p w14:paraId="4C3B2FDD" w14:textId="77777777" w:rsidR="00E04C8A" w:rsidRDefault="00E04C8A">
      <w:pPr>
        <w:pStyle w:val="a3"/>
        <w:rPr>
          <w:lang w:val="sl-SI"/>
        </w:rPr>
      </w:pPr>
    </w:p>
    <w:p w14:paraId="15A80C7A" w14:textId="77777777" w:rsidR="00E04C8A" w:rsidRDefault="008E1817">
      <w:pPr>
        <w:pStyle w:val="a3"/>
        <w:numPr>
          <w:ilvl w:val="1"/>
          <w:numId w:val="4"/>
        </w:numPr>
        <w:ind w:left="660" w:hanging="660"/>
        <w:rPr>
          <w:lang w:val="sl-SI"/>
        </w:rPr>
      </w:pPr>
      <w:r>
        <w:rPr>
          <w:rFonts w:eastAsia="Times New Roman"/>
          <w:b/>
          <w:bCs/>
          <w:lang w:val="sl-SI"/>
        </w:rPr>
        <w:t>Ne</w:t>
      </w:r>
      <w:r>
        <w:rPr>
          <w:rFonts w:eastAsia="Times New Roman"/>
          <w:lang w:val="sl-SI"/>
        </w:rPr>
        <w:t xml:space="preserve"> poskušajte si zdravila injicirati, dokler popolnoma ne obvladate priprave in dajanja injekcije.</w:t>
      </w:r>
    </w:p>
    <w:p w14:paraId="6AF359F7" w14:textId="77777777" w:rsidR="00E04C8A" w:rsidRDefault="00E04C8A">
      <w:pPr>
        <w:pStyle w:val="a3"/>
        <w:rPr>
          <w:lang w:val="sl-SI"/>
        </w:rPr>
      </w:pPr>
    </w:p>
    <w:p w14:paraId="14CF5B09" w14:textId="77777777" w:rsidR="00E04C8A" w:rsidRDefault="008E1817">
      <w:pPr>
        <w:pStyle w:val="a3"/>
        <w:numPr>
          <w:ilvl w:val="1"/>
          <w:numId w:val="4"/>
        </w:numPr>
        <w:ind w:left="660" w:hanging="660"/>
        <w:rPr>
          <w:lang w:val="sl-SI"/>
        </w:rPr>
      </w:pPr>
      <w:r>
        <w:rPr>
          <w:rFonts w:eastAsia="Times New Roman"/>
          <w:lang w:val="sl-SI"/>
        </w:rPr>
        <w:t>Po ustreznem urjenju si lahko injekcije dajete sami ali vam jih daje kdo drug, npr. svojec ali prijatelj.</w:t>
      </w:r>
    </w:p>
    <w:p w14:paraId="71E416F2" w14:textId="77777777" w:rsidR="00E04C8A" w:rsidRDefault="00E04C8A">
      <w:pPr>
        <w:pStyle w:val="a3"/>
        <w:rPr>
          <w:lang w:val="sl-SI"/>
        </w:rPr>
      </w:pPr>
    </w:p>
    <w:p w14:paraId="56514856" w14:textId="77777777" w:rsidR="00E04C8A" w:rsidRDefault="008E1817">
      <w:pPr>
        <w:pStyle w:val="a3"/>
        <w:numPr>
          <w:ilvl w:val="1"/>
          <w:numId w:val="4"/>
        </w:numPr>
        <w:ind w:left="660" w:hanging="660"/>
        <w:rPr>
          <w:lang w:val="sl-SI"/>
        </w:rPr>
      </w:pPr>
      <w:r>
        <w:rPr>
          <w:rFonts w:eastAsia="Times New Roman"/>
          <w:lang w:val="sl-SI"/>
        </w:rPr>
        <w:t>Vsako napolnjeno injekcijsko brizgo uporabite samo za eno injiciranje.</w:t>
      </w:r>
    </w:p>
    <w:p w14:paraId="44ADB118" w14:textId="458B1ACF" w:rsidR="00E04C8A" w:rsidRDefault="00E04C8A">
      <w:pPr>
        <w:rPr>
          <w:rFonts w:ascii="Times New Roman" w:hAnsi="Times New Roman" w:cs="Times New Roman"/>
          <w:lang w:val="sl-SI"/>
        </w:rPr>
      </w:pPr>
    </w:p>
    <w:p w14:paraId="566FCACC" w14:textId="77777777" w:rsidR="00E04C8A" w:rsidRDefault="00E04C8A">
      <w:pPr>
        <w:pStyle w:val="a3"/>
        <w:numPr>
          <w:ilvl w:val="0"/>
          <w:numId w:val="0"/>
        </w:numPr>
        <w:rPr>
          <w:lang w:val="sl-SI"/>
        </w:rPr>
      </w:pPr>
    </w:p>
    <w:p w14:paraId="477231CA" w14:textId="77777777" w:rsidR="0026401E" w:rsidRDefault="0026401E">
      <w:pPr>
        <w:rPr>
          <w:rFonts w:ascii="Times New Roman" w:eastAsia="Times New Roman" w:hAnsi="Times New Roman" w:cs="Times New Roman"/>
          <w:b/>
          <w:bCs/>
          <w:lang w:val="sl-SI"/>
        </w:rPr>
      </w:pPr>
      <w:r>
        <w:rPr>
          <w:rFonts w:eastAsia="Times New Roman"/>
          <w:b/>
          <w:bCs/>
          <w:lang w:val="sl-SI"/>
        </w:rPr>
        <w:br w:type="page"/>
      </w:r>
    </w:p>
    <w:p w14:paraId="19C3CF3A" w14:textId="7CDD0E15" w:rsidR="00E04C8A" w:rsidRDefault="008E1817">
      <w:pPr>
        <w:pStyle w:val="a3"/>
        <w:rPr>
          <w:b/>
          <w:lang w:val="sl-SI"/>
        </w:rPr>
      </w:pPr>
      <w:r>
        <w:rPr>
          <w:rFonts w:eastAsia="Times New Roman"/>
          <w:b/>
          <w:bCs/>
          <w:lang w:val="sl-SI"/>
        </w:rPr>
        <w:lastRenderedPageBreak/>
        <w:t>Zdravilo Yuflyma napolnjena injekcijska brizga</w:t>
      </w:r>
    </w:p>
    <w:p w14:paraId="07F192C1" w14:textId="77777777" w:rsidR="00E04C8A" w:rsidRDefault="00E04C8A">
      <w:pPr>
        <w:spacing w:before="13" w:line="240" w:lineRule="exact"/>
        <w:rPr>
          <w:sz w:val="24"/>
          <w:szCs w:val="24"/>
          <w:lang w:val="sl-SI"/>
        </w:rPr>
      </w:pPr>
    </w:p>
    <w:p w14:paraId="2B406CCB" w14:textId="77777777" w:rsidR="00B11B84" w:rsidRDefault="00B11B84">
      <w:pPr>
        <w:pStyle w:val="a3"/>
        <w:rPr>
          <w:rFonts w:eastAsia="Times New Roman"/>
          <w:sz w:val="20"/>
          <w:szCs w:val="20"/>
          <w:lang w:val="sl-SI"/>
        </w:rPr>
      </w:pPr>
      <w:r w:rsidRPr="00B11B84">
        <w:rPr>
          <w:noProof/>
          <w:sz w:val="24"/>
          <w:szCs w:val="24"/>
          <w:lang w:eastAsia="ko-KR"/>
        </w:rPr>
        <w:drawing>
          <wp:inline distT="0" distB="0" distL="0" distR="0" wp14:anchorId="49ED704C" wp14:editId="34F9F11F">
            <wp:extent cx="5884545" cy="3808095"/>
            <wp:effectExtent l="0" t="0" r="0" b="0"/>
            <wp:docPr id="1042"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그림 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84545" cy="3808095"/>
                    </a:xfrm>
                    <a:prstGeom prst="rect">
                      <a:avLst/>
                    </a:prstGeom>
                  </pic:spPr>
                </pic:pic>
              </a:graphicData>
            </a:graphic>
          </wp:inline>
        </w:drawing>
      </w:r>
    </w:p>
    <w:p w14:paraId="619A845B" w14:textId="77777777" w:rsidR="00B11B84" w:rsidRDefault="00B11B84">
      <w:pPr>
        <w:pStyle w:val="a3"/>
        <w:rPr>
          <w:rFonts w:eastAsia="Times New Roman"/>
          <w:sz w:val="20"/>
          <w:szCs w:val="20"/>
          <w:lang w:val="sl-SI"/>
        </w:rPr>
      </w:pPr>
    </w:p>
    <w:p w14:paraId="7CA0548D" w14:textId="77777777" w:rsidR="00E04C8A" w:rsidRDefault="008E1817">
      <w:pPr>
        <w:pStyle w:val="a3"/>
        <w:rPr>
          <w:b/>
          <w:lang w:val="sl-SI"/>
        </w:rPr>
      </w:pPr>
      <w:r>
        <w:rPr>
          <w:rFonts w:eastAsia="Times New Roman"/>
          <w:b/>
          <w:bCs/>
          <w:lang w:val="sl-SI"/>
        </w:rPr>
        <w:t>Napolnjene injekcijske brizge ne uporabljajte, če:</w:t>
      </w:r>
    </w:p>
    <w:p w14:paraId="2DD89431" w14:textId="48824164" w:rsidR="00E04C8A" w:rsidRDefault="008E1817">
      <w:pPr>
        <w:pStyle w:val="a3"/>
        <w:numPr>
          <w:ilvl w:val="1"/>
          <w:numId w:val="3"/>
        </w:numPr>
        <w:ind w:left="660" w:hanging="660"/>
        <w:rPr>
          <w:lang w:val="sl-SI"/>
        </w:rPr>
      </w:pPr>
      <w:r>
        <w:rPr>
          <w:rFonts w:eastAsia="Times New Roman"/>
          <w:lang w:val="sl-SI"/>
        </w:rPr>
        <w:t xml:space="preserve">je razpokana ali poškodovana </w:t>
      </w:r>
    </w:p>
    <w:p w14:paraId="68B9F616" w14:textId="481361DC" w:rsidR="00E04C8A" w:rsidRPr="00366D10" w:rsidRDefault="008E1817">
      <w:pPr>
        <w:pStyle w:val="a3"/>
        <w:numPr>
          <w:ilvl w:val="1"/>
          <w:numId w:val="3"/>
        </w:numPr>
        <w:ind w:left="660" w:hanging="660"/>
        <w:rPr>
          <w:lang w:val="sl-SI"/>
        </w:rPr>
      </w:pPr>
      <w:r>
        <w:rPr>
          <w:rFonts w:eastAsia="Times New Roman"/>
          <w:lang w:val="sl-SI"/>
        </w:rPr>
        <w:t xml:space="preserve">je pretekel rok uporabnosti </w:t>
      </w:r>
    </w:p>
    <w:p w14:paraId="6E84C9F7" w14:textId="7337B323" w:rsidR="00F90CAB" w:rsidRDefault="00F90CAB">
      <w:pPr>
        <w:pStyle w:val="a3"/>
        <w:numPr>
          <w:ilvl w:val="1"/>
          <w:numId w:val="3"/>
        </w:numPr>
        <w:ind w:left="660" w:hanging="660"/>
        <w:rPr>
          <w:lang w:val="sl-SI"/>
        </w:rPr>
      </w:pPr>
      <w:r w:rsidRPr="00566D4D">
        <w:rPr>
          <w:lang w:val="es-ES"/>
        </w:rPr>
        <w:t>je padel na trdo površino.</w:t>
      </w:r>
    </w:p>
    <w:p w14:paraId="4122A579" w14:textId="77777777" w:rsidR="00E04C8A" w:rsidRDefault="00E04C8A">
      <w:pPr>
        <w:pStyle w:val="Default"/>
        <w:numPr>
          <w:ilvl w:val="2"/>
          <w:numId w:val="21"/>
        </w:numPr>
        <w:ind w:left="360"/>
        <w:rPr>
          <w:color w:val="211D1E"/>
          <w:sz w:val="20"/>
          <w:szCs w:val="20"/>
          <w:lang w:val="sl-SI"/>
        </w:rPr>
      </w:pPr>
    </w:p>
    <w:p w14:paraId="6932F9FB" w14:textId="34E187C7" w:rsidR="00E04C8A" w:rsidRDefault="008E1817">
      <w:pPr>
        <w:pStyle w:val="a3"/>
        <w:rPr>
          <w:b/>
          <w:lang w:val="sl-SI"/>
        </w:rPr>
      </w:pPr>
      <w:r>
        <w:rPr>
          <w:rFonts w:eastAsia="Times New Roman"/>
          <w:b/>
          <w:bCs/>
          <w:lang w:val="sl-SI"/>
        </w:rPr>
        <w:t>Pokrovček igle odstranite šele tik pred injiciranjem. Zdravilo Yuflyma shranjujte nedosegljivo otrokom</w:t>
      </w:r>
      <w:r w:rsidR="00C60834">
        <w:rPr>
          <w:rFonts w:eastAsia="Times New Roman"/>
          <w:b/>
          <w:bCs/>
          <w:lang w:val="sl-SI"/>
        </w:rPr>
        <w:t>.</w:t>
      </w:r>
    </w:p>
    <w:p w14:paraId="63AD0905" w14:textId="42B75C93" w:rsidR="00CF44C4" w:rsidRDefault="00CF44C4">
      <w:pPr>
        <w:rPr>
          <w:rFonts w:ascii="Times New Roman" w:hAnsi="Times New Roman" w:cs="Times New Roman"/>
          <w:lang w:val="sl-SI"/>
        </w:rPr>
      </w:pPr>
    </w:p>
    <w:p w14:paraId="4D812021" w14:textId="77777777" w:rsidR="00E04C8A" w:rsidRDefault="00E04C8A">
      <w:pPr>
        <w:rPr>
          <w:rFonts w:ascii="Times New Roman" w:hAnsi="Times New Roman" w:cs="Times New Roman"/>
          <w:lang w:val="sl-SI"/>
        </w:rPr>
      </w:pPr>
    </w:p>
    <w:tbl>
      <w:tblPr>
        <w:tblStyle w:val="ac"/>
        <w:tblpPr w:leftFromText="142" w:rightFromText="142" w:vertAnchor="text" w:horzAnchor="margin" w:tblpY="67"/>
        <w:tblW w:w="9634" w:type="dxa"/>
        <w:tblLook w:val="04A0" w:firstRow="1" w:lastRow="0" w:firstColumn="1" w:lastColumn="0" w:noHBand="0" w:noVBand="1"/>
      </w:tblPr>
      <w:tblGrid>
        <w:gridCol w:w="9634"/>
      </w:tblGrid>
      <w:tr w:rsidR="00E04C8A" w:rsidRPr="003138FB" w14:paraId="36FBE4FB" w14:textId="77777777" w:rsidTr="00CF44C4">
        <w:trPr>
          <w:trHeight w:val="983"/>
        </w:trPr>
        <w:tc>
          <w:tcPr>
            <w:tcW w:w="9634" w:type="dxa"/>
          </w:tcPr>
          <w:p w14:paraId="003FE1CE" w14:textId="77777777" w:rsidR="00E04C8A" w:rsidRDefault="00E04C8A" w:rsidP="009746C7">
            <w:pPr>
              <w:pStyle w:val="a3"/>
              <w:numPr>
                <w:ilvl w:val="0"/>
                <w:numId w:val="0"/>
              </w:numPr>
              <w:ind w:left="580"/>
              <w:rPr>
                <w:lang w:val="sl-SI"/>
              </w:rPr>
            </w:pPr>
          </w:p>
          <w:p w14:paraId="2DC65F46" w14:textId="77777777" w:rsidR="00E04C8A" w:rsidRDefault="008E1817" w:rsidP="009746C7">
            <w:pPr>
              <w:pStyle w:val="a3"/>
              <w:numPr>
                <w:ilvl w:val="0"/>
                <w:numId w:val="22"/>
              </w:numPr>
              <w:ind w:leftChars="100" w:left="580"/>
              <w:rPr>
                <w:lang w:val="sl-SI"/>
              </w:rPr>
            </w:pPr>
            <w:r>
              <w:rPr>
                <w:rFonts w:eastAsia="Times New Roman"/>
                <w:b/>
                <w:bCs/>
                <w:lang w:val="sl-SI"/>
              </w:rPr>
              <w:t>Priprava opreme za injiciranje</w:t>
            </w:r>
          </w:p>
          <w:p w14:paraId="2E41C631" w14:textId="77777777" w:rsidR="00E04C8A" w:rsidRDefault="00E04C8A" w:rsidP="009746C7">
            <w:pPr>
              <w:pStyle w:val="a3"/>
              <w:numPr>
                <w:ilvl w:val="0"/>
                <w:numId w:val="0"/>
              </w:numPr>
              <w:ind w:left="580"/>
              <w:rPr>
                <w:lang w:val="sl-SI"/>
              </w:rPr>
            </w:pPr>
          </w:p>
          <w:p w14:paraId="2C5D0BC9" w14:textId="77777777" w:rsidR="00E04C8A" w:rsidRDefault="008E1817" w:rsidP="009746C7">
            <w:pPr>
              <w:pStyle w:val="a3"/>
              <w:ind w:leftChars="153" w:left="337"/>
              <w:rPr>
                <w:lang w:val="sl-SI" w:eastAsia="ko-KR"/>
              </w:rPr>
            </w:pPr>
            <w:r>
              <w:rPr>
                <w:rFonts w:eastAsia="Times New Roman"/>
                <w:b/>
                <w:bCs/>
                <w:lang w:val="sl-SI" w:eastAsia="ko-KR"/>
              </w:rPr>
              <w:t>a.</w:t>
            </w:r>
            <w:r>
              <w:rPr>
                <w:rFonts w:eastAsia="Times New Roman"/>
                <w:lang w:val="sl-SI" w:eastAsia="ko-KR"/>
              </w:rPr>
              <w:t xml:space="preserve"> Pripravite čisto, ravno površino, kot je miza ali pult, v dobro osvetljenem prostoru.</w:t>
            </w:r>
          </w:p>
          <w:p w14:paraId="0899EA86" w14:textId="77777777" w:rsidR="00E04C8A" w:rsidRDefault="008E1817" w:rsidP="009746C7">
            <w:pPr>
              <w:pStyle w:val="a3"/>
              <w:ind w:leftChars="153" w:left="337"/>
              <w:rPr>
                <w:lang w:val="sl-SI" w:eastAsia="ko-KR"/>
              </w:rPr>
            </w:pPr>
            <w:r>
              <w:rPr>
                <w:rFonts w:eastAsia="Times New Roman"/>
                <w:b/>
                <w:bCs/>
                <w:lang w:val="sl-SI" w:eastAsia="ko-KR"/>
              </w:rPr>
              <w:t>b.</w:t>
            </w:r>
            <w:r>
              <w:rPr>
                <w:rFonts w:eastAsia="Times New Roman"/>
                <w:lang w:val="sl-SI" w:eastAsia="ko-KR"/>
              </w:rPr>
              <w:t xml:space="preserve"> Iz škatle, shranjene v hladilniku, vzemite 1 napolnjeno injekcijsko brizgo.</w:t>
            </w:r>
          </w:p>
          <w:p w14:paraId="13C6DB9E" w14:textId="77777777" w:rsidR="00E04C8A" w:rsidRDefault="008E1817" w:rsidP="009746C7">
            <w:pPr>
              <w:pStyle w:val="a3"/>
              <w:ind w:leftChars="300" w:left="660" w:rightChars="100" w:right="220"/>
              <w:rPr>
                <w:lang w:val="sl-SI" w:eastAsia="ko-KR"/>
              </w:rPr>
            </w:pPr>
            <w:r>
              <w:rPr>
                <w:rFonts w:ascii="맑은 고딕" w:eastAsia="맑은 고딕" w:hAnsi="맑은 고딕"/>
                <w:lang w:val="sl-SI" w:eastAsia="ko-KR"/>
              </w:rPr>
              <w:t>•</w:t>
            </w:r>
            <w:r>
              <w:rPr>
                <w:rFonts w:eastAsia="Times New Roman"/>
                <w:lang w:val="sl-SI" w:eastAsia="ko-KR"/>
              </w:rPr>
              <w:t xml:space="preserve"> Napolnjeno injekcijsko brizgo držite za telo, ko jo vzamete iz škatle.</w:t>
            </w:r>
            <w:r>
              <w:rPr>
                <w:rFonts w:eastAsia="Times New Roman"/>
                <w:b/>
                <w:bCs/>
                <w:lang w:val="sl-SI" w:eastAsia="ko-KR"/>
              </w:rPr>
              <w:t xml:space="preserve"> Ne</w:t>
            </w:r>
            <w:r>
              <w:rPr>
                <w:rFonts w:eastAsia="Times New Roman"/>
                <w:lang w:val="sl-SI" w:eastAsia="ko-KR"/>
              </w:rPr>
              <w:t xml:space="preserve"> dotikajte se bata.</w:t>
            </w:r>
          </w:p>
          <w:p w14:paraId="4EE3F412" w14:textId="77777777" w:rsidR="00E04C8A" w:rsidRDefault="008E1817" w:rsidP="009746C7">
            <w:pPr>
              <w:pStyle w:val="a3"/>
              <w:ind w:leftChars="153" w:left="337"/>
              <w:rPr>
                <w:lang w:val="sl-SI" w:eastAsia="ko-KR"/>
              </w:rPr>
            </w:pPr>
            <w:r>
              <w:rPr>
                <w:rFonts w:eastAsia="Times New Roman"/>
                <w:b/>
                <w:bCs/>
                <w:lang w:val="sl-SI" w:eastAsia="ko-KR"/>
              </w:rPr>
              <w:t>c.</w:t>
            </w:r>
            <w:r>
              <w:rPr>
                <w:rFonts w:eastAsia="Times New Roman"/>
                <w:lang w:val="sl-SI" w:eastAsia="ko-KR"/>
              </w:rPr>
              <w:t xml:space="preserve"> Prepričajte se, da imate naslednjo opremo:</w:t>
            </w:r>
          </w:p>
          <w:p w14:paraId="1A172ECF" w14:textId="77777777" w:rsidR="00E04C8A" w:rsidRDefault="008E1817" w:rsidP="009746C7">
            <w:pPr>
              <w:pStyle w:val="a3"/>
              <w:ind w:left="720"/>
              <w:rPr>
                <w:lang w:val="sl-SI" w:eastAsia="ko-KR"/>
              </w:rPr>
            </w:pPr>
            <w:r>
              <w:rPr>
                <w:rFonts w:eastAsia="Times New Roman"/>
                <w:lang w:val="sl-SI" w:eastAsia="ko-KR"/>
              </w:rPr>
              <w:t>- Napolnjena injekcijska brizga</w:t>
            </w:r>
          </w:p>
          <w:p w14:paraId="066B6DA1" w14:textId="77777777" w:rsidR="00E04C8A" w:rsidRDefault="008E1817" w:rsidP="009746C7">
            <w:pPr>
              <w:pStyle w:val="a3"/>
              <w:spacing w:after="120"/>
              <w:ind w:left="720"/>
              <w:rPr>
                <w:lang w:val="sl-SI" w:eastAsia="ko-KR"/>
              </w:rPr>
            </w:pPr>
            <w:r>
              <w:rPr>
                <w:rFonts w:eastAsia="Times New Roman"/>
                <w:lang w:val="sl-SI" w:eastAsia="ko-KR"/>
              </w:rPr>
              <w:t>- Alkoholni zloženec</w:t>
            </w:r>
          </w:p>
          <w:p w14:paraId="62597654" w14:textId="77777777" w:rsidR="00E04C8A" w:rsidRDefault="008E1817" w:rsidP="009746C7">
            <w:pPr>
              <w:pStyle w:val="a3"/>
              <w:ind w:left="720"/>
              <w:rPr>
                <w:b/>
                <w:lang w:val="sl-SI" w:eastAsia="ko-KR"/>
              </w:rPr>
            </w:pPr>
            <w:r>
              <w:rPr>
                <w:rFonts w:eastAsia="Times New Roman"/>
                <w:b/>
                <w:bCs/>
                <w:lang w:val="sl-SI" w:eastAsia="ko-KR"/>
              </w:rPr>
              <w:t>Ni priloženo pakiranju:</w:t>
            </w:r>
          </w:p>
          <w:p w14:paraId="1D1D613D" w14:textId="77777777" w:rsidR="00E04C8A" w:rsidRDefault="008E1817" w:rsidP="009746C7">
            <w:pPr>
              <w:pStyle w:val="a3"/>
              <w:ind w:left="720"/>
              <w:rPr>
                <w:lang w:val="sl-SI" w:eastAsia="ko-KR"/>
              </w:rPr>
            </w:pPr>
            <w:r>
              <w:rPr>
                <w:rFonts w:eastAsia="Times New Roman"/>
                <w:lang w:val="sl-SI" w:eastAsia="ko-KR"/>
              </w:rPr>
              <w:t>- Bombažna blazinica ali gaza</w:t>
            </w:r>
          </w:p>
          <w:p w14:paraId="0B282A25" w14:textId="77777777" w:rsidR="00E04C8A" w:rsidRDefault="008E1817" w:rsidP="009746C7">
            <w:pPr>
              <w:pStyle w:val="a3"/>
              <w:ind w:left="720"/>
              <w:rPr>
                <w:lang w:val="sl-SI" w:eastAsia="ko-KR"/>
              </w:rPr>
            </w:pPr>
            <w:r>
              <w:rPr>
                <w:rFonts w:eastAsia="Times New Roman"/>
                <w:lang w:val="sl-SI" w:eastAsia="ko-KR"/>
              </w:rPr>
              <w:t>- Lepilni povoj</w:t>
            </w:r>
          </w:p>
          <w:p w14:paraId="6516CE79" w14:textId="002D7FAF" w:rsidR="00E04C8A" w:rsidRDefault="008E1817" w:rsidP="00CF44C4">
            <w:pPr>
              <w:pStyle w:val="a3"/>
              <w:ind w:left="720"/>
              <w:rPr>
                <w:rFonts w:eastAsia="Times New Roman"/>
                <w:b/>
                <w:bCs/>
                <w:spacing w:val="-1"/>
                <w:lang w:val="sl-SI"/>
              </w:rPr>
            </w:pPr>
            <w:r>
              <w:rPr>
                <w:rFonts w:eastAsia="Times New Roman"/>
                <w:lang w:val="sl-SI" w:eastAsia="ko-KR"/>
              </w:rPr>
              <w:t>- Vsebnik za ostre predmete</w:t>
            </w:r>
          </w:p>
        </w:tc>
      </w:tr>
      <w:tr w:rsidR="00E04C8A" w:rsidRPr="00475A1E" w14:paraId="4F0E4DFA" w14:textId="77777777" w:rsidTr="009746C7">
        <w:trPr>
          <w:trHeight w:val="3969"/>
        </w:trPr>
        <w:tc>
          <w:tcPr>
            <w:tcW w:w="9634" w:type="dxa"/>
          </w:tcPr>
          <w:p w14:paraId="788C2FAC" w14:textId="77777777" w:rsidR="00E04C8A" w:rsidRDefault="00C60834" w:rsidP="009746C7">
            <w:pPr>
              <w:ind w:left="224" w:right="1248"/>
              <w:rPr>
                <w:lang w:val="sl-SI"/>
              </w:rPr>
            </w:pPr>
            <w:r>
              <w:rPr>
                <w:noProof/>
                <w:lang w:eastAsia="ko-KR"/>
              </w:rPr>
              <w:lastRenderedPageBreak/>
              <mc:AlternateContent>
                <mc:Choice Requires="wpg">
                  <w:drawing>
                    <wp:anchor distT="0" distB="0" distL="114300" distR="114300" simplePos="0" relativeHeight="251658265" behindDoc="0" locked="0" layoutInCell="1" allowOverlap="1" wp14:anchorId="08ECD6DD" wp14:editId="241F3674">
                      <wp:simplePos x="0" y="0"/>
                      <wp:positionH relativeFrom="column">
                        <wp:posOffset>-8255</wp:posOffset>
                      </wp:positionH>
                      <wp:positionV relativeFrom="paragraph">
                        <wp:posOffset>171450</wp:posOffset>
                      </wp:positionV>
                      <wp:extent cx="2063750" cy="2628900"/>
                      <wp:effectExtent l="0" t="0" r="0" b="0"/>
                      <wp:wrapSquare wrapText="bothSides"/>
                      <wp:docPr id="1046" name="그룹 1046"/>
                      <wp:cNvGraphicFramePr/>
                      <a:graphic xmlns:a="http://schemas.openxmlformats.org/drawingml/2006/main">
                        <a:graphicData uri="http://schemas.microsoft.com/office/word/2010/wordprocessingGroup">
                          <wpg:wgp>
                            <wpg:cNvGrpSpPr/>
                            <wpg:grpSpPr>
                              <a:xfrm>
                                <a:off x="0" y="0"/>
                                <a:ext cx="2063750" cy="2628900"/>
                                <a:chOff x="0" y="0"/>
                                <a:chExt cx="1659255" cy="2203450"/>
                              </a:xfrm>
                            </wpg:grpSpPr>
                            <wpg:grpSp>
                              <wpg:cNvPr id="39" name="그룹 39"/>
                              <wpg:cNvGrpSpPr/>
                              <wpg:grpSpPr>
                                <a:xfrm>
                                  <a:off x="0" y="0"/>
                                  <a:ext cx="1659255" cy="2203450"/>
                                  <a:chOff x="0" y="0"/>
                                  <a:chExt cx="1659790" cy="2203450"/>
                                </a:xfrm>
                              </wpg:grpSpPr>
                              <pic:pic xmlns:pic="http://schemas.openxmlformats.org/drawingml/2006/picture">
                                <pic:nvPicPr>
                                  <pic:cNvPr id="10" name="그림 10"/>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bwMode="auto">
                                  <a:xfrm>
                                    <a:off x="0" y="0"/>
                                    <a:ext cx="1658620" cy="2044065"/>
                                  </a:xfrm>
                                  <a:prstGeom prst="rect">
                                    <a:avLst/>
                                  </a:prstGeom>
                                  <a:noFill/>
                                  <a:ln>
                                    <a:noFill/>
                                  </a:ln>
                                </pic:spPr>
                              </pic:pic>
                              <wps:wsp>
                                <wps:cNvPr id="38" name="Text Box 38"/>
                                <wps:cNvSpPr txBox="1"/>
                                <wps:spPr>
                                  <a:xfrm>
                                    <a:off x="939800" y="2057400"/>
                                    <a:ext cx="719990" cy="146050"/>
                                  </a:xfrm>
                                  <a:prstGeom prst="rect">
                                    <a:avLst/>
                                  </a:prstGeom>
                                  <a:solidFill>
                                    <a:prstClr val="white"/>
                                  </a:solidFill>
                                  <a:ln>
                                    <a:noFill/>
                                  </a:ln>
                                </wps:spPr>
                                <wps:txbx>
                                  <w:txbxContent>
                                    <w:p w14:paraId="695EA5EB"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10" name="Text Box 110"/>
                              <wps:cNvSpPr txBox="1"/>
                              <wps:spPr>
                                <a:xfrm>
                                  <a:off x="784860" y="1066800"/>
                                  <a:ext cx="729401" cy="1403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95BE7CC" w14:textId="77777777" w:rsidR="00474DFB" w:rsidRPr="009D4E53" w:rsidRDefault="00474DFB">
                                    <w:pPr>
                                      <w:rPr>
                                        <w:rFonts w:asciiTheme="majorBidi" w:hAnsiTheme="majorBidi" w:cstheme="majorBidi"/>
                                        <w:b/>
                                        <w:bCs/>
                                        <w:sz w:val="12"/>
                                        <w:szCs w:val="10"/>
                                      </w:rPr>
                                    </w:pPr>
                                    <w:r w:rsidRPr="009D4E53">
                                      <w:rPr>
                                        <w:rFonts w:ascii="Times New Roman" w:eastAsia="Times New Roman" w:hAnsi="Times New Roman" w:cs="Times New Roman"/>
                                        <w:b/>
                                        <w:bCs/>
                                        <w:sz w:val="12"/>
                                        <w:szCs w:val="10"/>
                                        <w:lang w:val="sl-SI"/>
                                      </w:rPr>
                                      <w:t xml:space="preserve">EXP.: </w:t>
                                    </w:r>
                                    <w:r w:rsidRPr="009D4E53">
                                      <w:rPr>
                                        <w:rFonts w:ascii="Times New Roman" w:eastAsia="Times New Roman" w:hAnsi="Times New Roman" w:cs="Times New Roman"/>
                                        <w:sz w:val="12"/>
                                        <w:szCs w:val="10"/>
                                        <w:lang w:val="sl-SI"/>
                                      </w:rPr>
                                      <w:t>MESEC LETO</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8ECD6DD" id="그룹 1046" o:spid="_x0000_s1050" style="position:absolute;left:0;text-align:left;margin-left:-.65pt;margin-top:13.5pt;width:162.5pt;height:207pt;z-index:251658265;mso-width-relative:margin;mso-height-relative:margin" coordsize="16592,2203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">
                      <v:group id="그룹 39" o:spid="_x0000_s1051" style="position:absolute;width:16592;height:22034" coordsize="16597,22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그림 10" o:spid="_x0000_s1052" type="#_x0000_t75" style="position:absolute;width:16586;height:2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">
                          <v:imagedata r:id="rId35" o:title=""/>
                        </v:shape>
                        <v:shape id="Text Box 38" o:spid="_x0000_s1053" type="#_x0000_t202" style="position:absolute;left:9398;top:20574;width:719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YQ4wQAAANsAAAAPAAAAZHJzL2Rvd25yZXYueG1sRE/LasJA&#10;FN0X+g/DLbgpOtGC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CzhhDjBAAAA2wAAAA8AAAAA&#10;AAAAAAAAAAAABwIAAGRycy9kb3ducmV2LnhtbFBLBQYAAAAAAwADALcAAAD1AgAAAAA=&#10;" stroked="f">
                          <v:textbox inset="0,0,0,0">
                            <w:txbxContent>
                              <w:p w14:paraId="695EA5EB"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B</w:t>
                                </w:r>
                              </w:p>
                            </w:txbxContent>
                          </v:textbox>
                        </v:shape>
                      </v:group>
                      <v:shape id="Text Box 110" o:spid="_x0000_s1054" type="#_x0000_t202" style="position:absolute;left:7848;top:10668;width:7294;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" fillcolor="white [3212]" stroked="f" strokeweight=".5pt">
                        <v:textbox inset="0,0,0,0">
                          <w:txbxContent>
                            <w:p w14:paraId="595BE7CC" w14:textId="77777777" w:rsidR="00474DFB" w:rsidRPr="009D4E53" w:rsidRDefault="00474DFB">
                              <w:pPr>
                                <w:rPr>
                                  <w:rFonts w:asciiTheme="majorBidi" w:hAnsiTheme="majorBidi" w:cstheme="majorBidi"/>
                                  <w:b/>
                                  <w:bCs/>
                                  <w:sz w:val="12"/>
                                  <w:szCs w:val="10"/>
                                </w:rPr>
                              </w:pPr>
                              <w:r w:rsidRPr="009D4E53">
                                <w:rPr>
                                  <w:rFonts w:ascii="Times New Roman" w:eastAsia="Times New Roman" w:hAnsi="Times New Roman" w:cs="Times New Roman"/>
                                  <w:b/>
                                  <w:bCs/>
                                  <w:sz w:val="12"/>
                                  <w:szCs w:val="10"/>
                                  <w:lang w:val="sl-SI"/>
                                </w:rPr>
                                <w:t xml:space="preserve">EXP.: </w:t>
                              </w:r>
                              <w:r w:rsidRPr="009D4E53">
                                <w:rPr>
                                  <w:rFonts w:ascii="Times New Roman" w:eastAsia="Times New Roman" w:hAnsi="Times New Roman" w:cs="Times New Roman"/>
                                  <w:sz w:val="12"/>
                                  <w:szCs w:val="10"/>
                                  <w:lang w:val="sl-SI"/>
                                </w:rPr>
                                <w:t>MESEC LETO</w:t>
                              </w:r>
                            </w:p>
                          </w:txbxContent>
                        </v:textbox>
                      </v:shape>
                      <w10:wrap type="square"/>
                    </v:group>
                  </w:pict>
                </mc:Fallback>
              </mc:AlternateContent>
            </w:r>
          </w:p>
          <w:p w14:paraId="350DC60E" w14:textId="77777777" w:rsidR="00E04C8A" w:rsidRDefault="00E04C8A" w:rsidP="009746C7">
            <w:pPr>
              <w:pStyle w:val="a3"/>
              <w:rPr>
                <w:lang w:val="sl-SI"/>
              </w:rPr>
            </w:pPr>
          </w:p>
          <w:p w14:paraId="6C73E891" w14:textId="77777777" w:rsidR="00E04C8A" w:rsidRDefault="008E1817" w:rsidP="009746C7">
            <w:pPr>
              <w:pStyle w:val="a3"/>
              <w:numPr>
                <w:ilvl w:val="0"/>
                <w:numId w:val="22"/>
              </w:numPr>
              <w:ind w:leftChars="100" w:left="580"/>
              <w:rPr>
                <w:b/>
                <w:lang w:val="sl-SI"/>
              </w:rPr>
            </w:pPr>
            <w:r>
              <w:rPr>
                <w:rFonts w:eastAsia="Times New Roman"/>
                <w:b/>
                <w:bCs/>
                <w:lang w:val="sl-SI"/>
              </w:rPr>
              <w:t>Preglejte napolnjeno injekcijsko brizgo</w:t>
            </w:r>
            <w:r>
              <w:rPr>
                <w:rFonts w:eastAsia="Times New Roman"/>
                <w:lang w:val="sl-SI"/>
              </w:rPr>
              <w:t>.</w:t>
            </w:r>
          </w:p>
          <w:p w14:paraId="35ADE894" w14:textId="77777777" w:rsidR="00E04C8A" w:rsidRDefault="00E04C8A" w:rsidP="009746C7">
            <w:pPr>
              <w:pStyle w:val="a3"/>
              <w:numPr>
                <w:ilvl w:val="0"/>
                <w:numId w:val="0"/>
              </w:numPr>
              <w:ind w:left="580"/>
              <w:rPr>
                <w:lang w:val="sl-SI"/>
              </w:rPr>
            </w:pPr>
          </w:p>
          <w:p w14:paraId="6BC050CD" w14:textId="77777777" w:rsidR="00E04C8A" w:rsidRDefault="008E1817" w:rsidP="009746C7">
            <w:pPr>
              <w:pStyle w:val="a3"/>
              <w:ind w:left="3397" w:hanging="180"/>
              <w:rPr>
                <w:lang w:val="sl-SI" w:eastAsia="ko-KR"/>
              </w:rPr>
            </w:pPr>
            <w:r>
              <w:rPr>
                <w:rFonts w:eastAsia="Times New Roman"/>
                <w:b/>
                <w:bCs/>
                <w:lang w:val="sl-SI" w:eastAsia="ko-KR"/>
              </w:rPr>
              <w:t>a</w:t>
            </w:r>
            <w:r>
              <w:rPr>
                <w:rFonts w:eastAsia="Times New Roman"/>
                <w:lang w:val="sl-SI" w:eastAsia="ko-KR"/>
              </w:rPr>
              <w:t xml:space="preserve">. Poskrbite, da imate pravo zdravilo (Yuflyma) in odmerek. </w:t>
            </w:r>
          </w:p>
          <w:p w14:paraId="4BE8BCE9" w14:textId="77777777" w:rsidR="00E04C8A" w:rsidRDefault="008E1817" w:rsidP="009746C7">
            <w:pPr>
              <w:pStyle w:val="a3"/>
              <w:ind w:left="3397" w:hanging="180"/>
              <w:rPr>
                <w:lang w:val="sl-SI" w:eastAsia="ko-KR"/>
              </w:rPr>
            </w:pPr>
            <w:r>
              <w:rPr>
                <w:rFonts w:eastAsia="Times New Roman"/>
                <w:b/>
                <w:bCs/>
                <w:lang w:val="sl-SI" w:eastAsia="ko-KR"/>
              </w:rPr>
              <w:t>b</w:t>
            </w:r>
            <w:r>
              <w:rPr>
                <w:rFonts w:eastAsia="Times New Roman"/>
                <w:lang w:val="sl-SI" w:eastAsia="ko-KR"/>
              </w:rPr>
              <w:t xml:space="preserve">. Poglejte napolnjeno injekcijsko brizgo in se prepričajte, da ni počena ali poškodovana. </w:t>
            </w:r>
          </w:p>
          <w:p w14:paraId="3AA41AF9" w14:textId="77777777" w:rsidR="00E04C8A" w:rsidRDefault="008E1817" w:rsidP="009746C7">
            <w:pPr>
              <w:pStyle w:val="a3"/>
              <w:ind w:left="3397" w:hanging="180"/>
              <w:rPr>
                <w:lang w:val="sl-SI" w:eastAsia="ko-KR"/>
              </w:rPr>
            </w:pPr>
            <w:r>
              <w:rPr>
                <w:rFonts w:eastAsia="Times New Roman"/>
                <w:b/>
                <w:bCs/>
                <w:lang w:val="sl-SI" w:eastAsia="ko-KR"/>
              </w:rPr>
              <w:t>c</w:t>
            </w:r>
            <w:r>
              <w:rPr>
                <w:rFonts w:eastAsia="Times New Roman"/>
                <w:lang w:val="sl-SI" w:eastAsia="ko-KR"/>
              </w:rPr>
              <w:t xml:space="preserve">. Preverite rok uporabnosti na oznaki napolnjene injekcijske brizge. </w:t>
            </w:r>
          </w:p>
          <w:p w14:paraId="44ABA49D" w14:textId="77777777" w:rsidR="00E04C8A" w:rsidRDefault="008E1817" w:rsidP="009746C7">
            <w:pPr>
              <w:pStyle w:val="Default"/>
              <w:rPr>
                <w:lang w:val="sl-SI"/>
              </w:rPr>
            </w:pPr>
            <w:r>
              <w:rPr>
                <w:lang w:val="sl-SI"/>
              </w:rPr>
              <w:t xml:space="preserve"> </w:t>
            </w:r>
          </w:p>
          <w:p w14:paraId="07D6F2EE" w14:textId="77777777" w:rsidR="00E04C8A" w:rsidRDefault="00E04C8A" w:rsidP="009746C7">
            <w:pPr>
              <w:pStyle w:val="a3"/>
              <w:numPr>
                <w:ilvl w:val="0"/>
                <w:numId w:val="0"/>
              </w:numPr>
              <w:rPr>
                <w:b/>
                <w:lang w:val="sl-SI" w:eastAsia="ko-KR"/>
              </w:rPr>
            </w:pPr>
          </w:p>
          <w:p w14:paraId="5C324A68" w14:textId="77777777" w:rsidR="00E04C8A" w:rsidRDefault="008E1817" w:rsidP="009746C7">
            <w:pPr>
              <w:pStyle w:val="a3"/>
              <w:numPr>
                <w:ilvl w:val="0"/>
                <w:numId w:val="0"/>
              </w:numPr>
              <w:rPr>
                <w:lang w:val="sl-SI" w:eastAsia="ko-KR"/>
              </w:rPr>
            </w:pPr>
            <w:r>
              <w:rPr>
                <w:rFonts w:eastAsia="Times New Roman"/>
                <w:lang w:val="sl-SI" w:eastAsia="ko-KR"/>
              </w:rPr>
              <w:t xml:space="preserve">Napolnjene injekcijske brizge </w:t>
            </w:r>
            <w:r>
              <w:rPr>
                <w:rFonts w:eastAsia="Times New Roman"/>
                <w:b/>
                <w:bCs/>
                <w:lang w:val="sl-SI" w:eastAsia="ko-KR"/>
              </w:rPr>
              <w:t>ne</w:t>
            </w:r>
            <w:r>
              <w:rPr>
                <w:rFonts w:eastAsia="Times New Roman"/>
                <w:lang w:val="sl-SI" w:eastAsia="ko-KR"/>
              </w:rPr>
              <w:t xml:space="preserve"> uporabljajte ponovno, če:</w:t>
            </w:r>
          </w:p>
          <w:p w14:paraId="105D6F98" w14:textId="2A9E082B" w:rsidR="00E04C8A" w:rsidRDefault="008E1817" w:rsidP="009746C7">
            <w:pPr>
              <w:pStyle w:val="a3"/>
              <w:numPr>
                <w:ilvl w:val="2"/>
                <w:numId w:val="39"/>
              </w:numPr>
              <w:rPr>
                <w:lang w:val="sl-SI" w:eastAsia="ko-KR"/>
              </w:rPr>
            </w:pPr>
            <w:r>
              <w:rPr>
                <w:rFonts w:eastAsia="Times New Roman"/>
                <w:lang w:val="sl-SI" w:eastAsia="ko-KR"/>
              </w:rPr>
              <w:t xml:space="preserve">je razpokana ali poškodovana </w:t>
            </w:r>
          </w:p>
          <w:p w14:paraId="6B8EDEB3" w14:textId="0BAC2BE5" w:rsidR="00E04C8A" w:rsidRPr="00366D10" w:rsidRDefault="008E1817" w:rsidP="009746C7">
            <w:pPr>
              <w:pStyle w:val="a3"/>
              <w:numPr>
                <w:ilvl w:val="2"/>
                <w:numId w:val="39"/>
              </w:numPr>
              <w:ind w:hanging="567"/>
              <w:rPr>
                <w:lang w:val="sl-SI" w:eastAsia="ko-KR"/>
              </w:rPr>
            </w:pPr>
            <w:r>
              <w:rPr>
                <w:rFonts w:eastAsia="Times New Roman"/>
                <w:lang w:val="sl-SI" w:eastAsia="ko-KR"/>
              </w:rPr>
              <w:t xml:space="preserve">je pretekel rok uporabnosti </w:t>
            </w:r>
          </w:p>
          <w:p w14:paraId="4B9A667D" w14:textId="3A1895B3" w:rsidR="00F90CAB" w:rsidRDefault="00F90CAB" w:rsidP="009746C7">
            <w:pPr>
              <w:pStyle w:val="a3"/>
              <w:numPr>
                <w:ilvl w:val="2"/>
                <w:numId w:val="39"/>
              </w:numPr>
              <w:ind w:hanging="567"/>
              <w:rPr>
                <w:lang w:val="sl-SI" w:eastAsia="ko-KR"/>
              </w:rPr>
            </w:pPr>
            <w:r w:rsidRPr="00566D4D">
              <w:rPr>
                <w:lang w:val="es-ES"/>
              </w:rPr>
              <w:t>je padel na trdo površino.</w:t>
            </w:r>
          </w:p>
          <w:p w14:paraId="630279FA" w14:textId="77777777" w:rsidR="00E04C8A" w:rsidRDefault="00E04C8A" w:rsidP="009746C7">
            <w:pPr>
              <w:pStyle w:val="Default"/>
              <w:rPr>
                <w:color w:val="211D1E"/>
                <w:sz w:val="20"/>
                <w:szCs w:val="20"/>
                <w:lang w:val="sl-SI"/>
              </w:rPr>
            </w:pPr>
          </w:p>
          <w:p w14:paraId="710E5CE2" w14:textId="77777777" w:rsidR="00E04C8A" w:rsidRDefault="00E04C8A" w:rsidP="009746C7">
            <w:pPr>
              <w:ind w:right="1248"/>
              <w:rPr>
                <w:rFonts w:ascii="Times New Roman" w:eastAsia="Times New Roman" w:hAnsi="Times New Roman" w:cs="Times New Roman"/>
                <w:b/>
                <w:bCs/>
                <w:lang w:val="sl-SI"/>
              </w:rPr>
            </w:pPr>
          </w:p>
        </w:tc>
      </w:tr>
      <w:tr w:rsidR="00E04C8A" w14:paraId="57EC0958" w14:textId="77777777" w:rsidTr="009746C7">
        <w:trPr>
          <w:trHeight w:val="4422"/>
        </w:trPr>
        <w:tc>
          <w:tcPr>
            <w:tcW w:w="9634" w:type="dxa"/>
          </w:tcPr>
          <w:p w14:paraId="72D23DAB" w14:textId="77777777" w:rsidR="00E04C8A" w:rsidRDefault="00E04C8A" w:rsidP="009746C7">
            <w:pPr>
              <w:pStyle w:val="a3"/>
              <w:rPr>
                <w:lang w:val="sl-SI" w:eastAsia="ko-KR"/>
              </w:rPr>
            </w:pPr>
          </w:p>
          <w:p w14:paraId="0694BEC3" w14:textId="09409A1B" w:rsidR="00E04C8A" w:rsidRDefault="009746C7" w:rsidP="009746C7">
            <w:pPr>
              <w:pStyle w:val="a3"/>
              <w:rPr>
                <w:lang w:val="sl-SI"/>
              </w:rPr>
            </w:pPr>
            <w:r>
              <w:rPr>
                <w:rFonts w:eastAsia="Times New Roman"/>
                <w:b/>
                <w:bCs/>
                <w:noProof/>
                <w:lang w:eastAsia="ko-KR"/>
              </w:rPr>
              <mc:AlternateContent>
                <mc:Choice Requires="wpg">
                  <w:drawing>
                    <wp:anchor distT="0" distB="0" distL="114300" distR="114300" simplePos="0" relativeHeight="251658249" behindDoc="0" locked="0" layoutInCell="1" allowOverlap="1" wp14:anchorId="4D7F20BF" wp14:editId="03313092">
                      <wp:simplePos x="0" y="0"/>
                      <wp:positionH relativeFrom="column">
                        <wp:posOffset>80645</wp:posOffset>
                      </wp:positionH>
                      <wp:positionV relativeFrom="paragraph">
                        <wp:posOffset>29845</wp:posOffset>
                      </wp:positionV>
                      <wp:extent cx="1935480" cy="2538730"/>
                      <wp:effectExtent l="0" t="0" r="7620" b="0"/>
                      <wp:wrapSquare wrapText="bothSides"/>
                      <wp:docPr id="42" name="그룹 42"/>
                      <wp:cNvGraphicFramePr/>
                      <a:graphic xmlns:a="http://schemas.openxmlformats.org/drawingml/2006/main">
                        <a:graphicData uri="http://schemas.microsoft.com/office/word/2010/wordprocessingGroup">
                          <wpg:wgp>
                            <wpg:cNvGrpSpPr/>
                            <wpg:grpSpPr>
                              <a:xfrm>
                                <a:off x="0" y="0"/>
                                <a:ext cx="1935480" cy="2538730"/>
                                <a:chOff x="0" y="1"/>
                                <a:chExt cx="1936152" cy="2539402"/>
                              </a:xfrm>
                            </wpg:grpSpPr>
                            <pic:pic xmlns:pic="http://schemas.openxmlformats.org/drawingml/2006/picture">
                              <pic:nvPicPr>
                                <pic:cNvPr id="3964" name="그림 3964"/>
                                <pic:cNvPicPr>
                                  <a:picLocks noChangeAspect="1"/>
                                </pic:cNvPicPr>
                              </pic:nvPicPr>
                              <pic:blipFill>
                                <a:blip r:embed="rId36" cstate="print">
                                  <a:extLst>
                                    <a:ext uri="{28A0092B-C50C-407E-A947-70E740481C1C}">
                                      <a14:useLocalDpi xmlns:a14="http://schemas.microsoft.com/office/drawing/2010/main" val="0"/>
                                    </a:ext>
                                  </a:extLst>
                                </a:blip>
                                <a:srcRect l="-1" r="870"/>
                                <a:stretch>
                                  <a:fillRect/>
                                </a:stretch>
                              </pic:blipFill>
                              <pic:spPr bwMode="auto">
                                <a:xfrm>
                                  <a:off x="0" y="1"/>
                                  <a:ext cx="1936152" cy="2374900"/>
                                </a:xfrm>
                                <a:prstGeom prst="rect">
                                  <a:avLst/>
                                </a:prstGeom>
                                <a:noFill/>
                                <a:ln>
                                  <a:noFill/>
                                </a:ln>
                                <a:extLst>
                                  <a:ext uri="{53640926-AAD7-44D8-BBD7-CCE9431645EC}">
                                    <a14:shadowObscured xmlns:a14="http://schemas.microsoft.com/office/drawing/2010/main"/>
                                  </a:ext>
                                </a:extLst>
                              </pic:spPr>
                            </pic:pic>
                            <wps:wsp>
                              <wps:cNvPr id="41" name="Text Box 41"/>
                              <wps:cNvSpPr txBox="1"/>
                              <wps:spPr>
                                <a:xfrm>
                                  <a:off x="1190990" y="2393353"/>
                                  <a:ext cx="719758" cy="146050"/>
                                </a:xfrm>
                                <a:prstGeom prst="rect">
                                  <a:avLst/>
                                </a:prstGeom>
                                <a:solidFill>
                                  <a:prstClr val="white"/>
                                </a:solidFill>
                                <a:ln>
                                  <a:noFill/>
                                </a:ln>
                              </wps:spPr>
                              <wps:txbx>
                                <w:txbxContent>
                                  <w:p w14:paraId="4ADF53AB"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D7F20BF" id="그룹 42" o:spid="_x0000_s1055" style="position:absolute;margin-left:6.35pt;margin-top:2.35pt;width:152.4pt;height:199.9pt;z-index:251658249;mso-width-relative:margin;mso-height-relative:margin" coordorigin="" coordsize="19361,253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">
                      <v:shape id="그림 3964" o:spid="_x0000_s1056" type="#_x0000_t75" style="position:absolute;width:19361;height:2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">
                        <v:imagedata r:id="rId37" o:title="" cropleft="-1f" cropright="570f"/>
                      </v:shape>
                      <v:shape id="Text Box 41" o:spid="_x0000_s1057" type="#_x0000_t202" style="position:absolute;left:11909;top:23933;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" stroked="f">
                        <v:textbox style="mso-fit-shape-to-text:t" inset="0,0,0,0">
                          <w:txbxContent>
                            <w:p w14:paraId="4ADF53AB"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C</w:t>
                              </w:r>
                            </w:p>
                          </w:txbxContent>
                        </v:textbox>
                      </v:shape>
                      <w10:wrap type="square"/>
                    </v:group>
                  </w:pict>
                </mc:Fallback>
              </mc:AlternateContent>
            </w:r>
          </w:p>
          <w:p w14:paraId="1366F936" w14:textId="75A6580D" w:rsidR="00E04C8A" w:rsidRDefault="008E1817" w:rsidP="009746C7">
            <w:pPr>
              <w:pStyle w:val="a3"/>
              <w:numPr>
                <w:ilvl w:val="0"/>
                <w:numId w:val="22"/>
              </w:numPr>
              <w:rPr>
                <w:b/>
                <w:lang w:val="sl-SI"/>
              </w:rPr>
            </w:pPr>
            <w:r>
              <w:rPr>
                <w:rFonts w:eastAsia="Times New Roman"/>
                <w:b/>
                <w:bCs/>
                <w:lang w:val="sl-SI"/>
              </w:rPr>
              <w:t>Preglejte zdravilo.</w:t>
            </w:r>
          </w:p>
          <w:p w14:paraId="70735332" w14:textId="67F0502C" w:rsidR="00E04C8A" w:rsidRDefault="00E04C8A" w:rsidP="009746C7">
            <w:pPr>
              <w:ind w:right="1248"/>
              <w:rPr>
                <w:rFonts w:ascii="Times New Roman" w:eastAsia="Times New Roman" w:hAnsi="Times New Roman" w:cs="Times New Roman"/>
                <w:b/>
                <w:bCs/>
                <w:lang w:val="sl-SI"/>
              </w:rPr>
            </w:pPr>
          </w:p>
          <w:p w14:paraId="134BA96A" w14:textId="77777777" w:rsidR="00E04C8A" w:rsidRDefault="008E1817" w:rsidP="009746C7">
            <w:pPr>
              <w:pStyle w:val="a3"/>
              <w:ind w:left="3576" w:hanging="284"/>
              <w:rPr>
                <w:lang w:val="sl-SI" w:eastAsia="ko-KR"/>
              </w:rPr>
            </w:pPr>
            <w:r>
              <w:rPr>
                <w:rFonts w:eastAsia="Times New Roman"/>
                <w:b/>
                <w:bCs/>
                <w:lang w:val="sl-SI" w:eastAsia="ko-KR"/>
              </w:rPr>
              <w:t>a</w:t>
            </w:r>
            <w:r>
              <w:rPr>
                <w:rFonts w:eastAsia="Times New Roman"/>
                <w:lang w:val="sl-SI" w:eastAsia="ko-KR"/>
              </w:rPr>
              <w:t>. Preglejte zdravilo in se prepričajte, da je tekočina bistra, brezbarvna do bledo rjava in brez delcev.</w:t>
            </w:r>
          </w:p>
          <w:p w14:paraId="58AF11E9" w14:textId="77777777" w:rsidR="00E04C8A" w:rsidRDefault="00E04C8A" w:rsidP="009746C7">
            <w:pPr>
              <w:pStyle w:val="a3"/>
              <w:numPr>
                <w:ilvl w:val="0"/>
                <w:numId w:val="0"/>
              </w:numPr>
              <w:tabs>
                <w:tab w:val="left" w:pos="3861"/>
              </w:tabs>
              <w:ind w:left="3576" w:hanging="284"/>
              <w:rPr>
                <w:lang w:val="sl-SI"/>
              </w:rPr>
            </w:pPr>
          </w:p>
          <w:p w14:paraId="4F4EFFA5" w14:textId="77777777" w:rsidR="00E04C8A" w:rsidRDefault="008E1817" w:rsidP="009746C7">
            <w:pPr>
              <w:pStyle w:val="a3"/>
              <w:numPr>
                <w:ilvl w:val="0"/>
                <w:numId w:val="40"/>
              </w:numPr>
              <w:ind w:left="3576" w:hanging="284"/>
              <w:rPr>
                <w:lang w:val="sl-SI"/>
              </w:rPr>
            </w:pPr>
            <w:r>
              <w:rPr>
                <w:rFonts w:eastAsia="Times New Roman"/>
                <w:lang w:val="sl-SI"/>
              </w:rPr>
              <w:t xml:space="preserve">Napolnjene injekcijske brizge </w:t>
            </w:r>
            <w:r>
              <w:rPr>
                <w:rFonts w:eastAsia="Times New Roman"/>
                <w:b/>
                <w:bCs/>
                <w:lang w:val="sl-SI"/>
              </w:rPr>
              <w:t>ne</w:t>
            </w:r>
            <w:r>
              <w:rPr>
                <w:rFonts w:eastAsia="Times New Roman"/>
                <w:lang w:val="sl-SI"/>
              </w:rPr>
              <w:t xml:space="preserve"> uporabljajte, če je tekočina obarvana (rumena ali temno rjavo), motna ali vsebuje delce.</w:t>
            </w:r>
          </w:p>
          <w:p w14:paraId="24B23B47" w14:textId="77777777" w:rsidR="00E04C8A" w:rsidRDefault="00E04C8A" w:rsidP="009746C7">
            <w:pPr>
              <w:pStyle w:val="a3"/>
              <w:numPr>
                <w:ilvl w:val="0"/>
                <w:numId w:val="0"/>
              </w:numPr>
              <w:ind w:left="3576" w:hanging="284"/>
              <w:rPr>
                <w:lang w:val="sl-SI"/>
              </w:rPr>
            </w:pPr>
          </w:p>
          <w:p w14:paraId="6498E091" w14:textId="77777777" w:rsidR="00E04C8A" w:rsidRDefault="008E1817" w:rsidP="009746C7">
            <w:pPr>
              <w:pStyle w:val="a3"/>
              <w:numPr>
                <w:ilvl w:val="0"/>
                <w:numId w:val="40"/>
              </w:numPr>
              <w:ind w:left="3576" w:hanging="284"/>
              <w:rPr>
                <w:b/>
                <w:bCs/>
                <w:lang w:val="sl-SI"/>
              </w:rPr>
            </w:pPr>
            <w:r>
              <w:rPr>
                <w:rFonts w:eastAsia="Times New Roman"/>
                <w:lang w:val="sl-SI"/>
              </w:rPr>
              <w:t>V tekočini so lahko vidni zračni mehurčki. To je normalno.</w:t>
            </w:r>
          </w:p>
        </w:tc>
      </w:tr>
      <w:tr w:rsidR="00E04C8A" w:rsidRPr="00475A1E" w14:paraId="6EDF254A" w14:textId="77777777" w:rsidTr="009746C7">
        <w:trPr>
          <w:trHeight w:val="4530"/>
        </w:trPr>
        <w:tc>
          <w:tcPr>
            <w:tcW w:w="9634" w:type="dxa"/>
          </w:tcPr>
          <w:p w14:paraId="152F59AD" w14:textId="03B81160" w:rsidR="00E04C8A" w:rsidRDefault="009746C7" w:rsidP="009746C7">
            <w:pPr>
              <w:ind w:right="1248"/>
              <w:rPr>
                <w:rFonts w:ascii="Times New Roman" w:eastAsia="Times New Roman" w:hAnsi="Times New Roman" w:cs="Times New Roman"/>
                <w:b/>
                <w:bCs/>
                <w:spacing w:val="-1"/>
                <w:lang w:val="sl-SI"/>
              </w:rPr>
            </w:pPr>
            <w:r>
              <w:rPr>
                <w:rFonts w:ascii="Times New Roman" w:eastAsia="Times New Roman" w:hAnsi="Times New Roman" w:cs="Times New Roman"/>
                <w:bCs/>
                <w:noProof/>
                <w:lang w:eastAsia="ko-KR"/>
              </w:rPr>
              <mc:AlternateContent>
                <mc:Choice Requires="wpg">
                  <w:drawing>
                    <wp:anchor distT="0" distB="0" distL="114300" distR="114300" simplePos="0" relativeHeight="251658267" behindDoc="0" locked="0" layoutInCell="1" allowOverlap="1" wp14:anchorId="32AC98CE" wp14:editId="7A7E071D">
                      <wp:simplePos x="0" y="0"/>
                      <wp:positionH relativeFrom="column">
                        <wp:posOffset>80645</wp:posOffset>
                      </wp:positionH>
                      <wp:positionV relativeFrom="paragraph">
                        <wp:posOffset>152400</wp:posOffset>
                      </wp:positionV>
                      <wp:extent cx="2014855" cy="2633345"/>
                      <wp:effectExtent l="0" t="0" r="4445" b="0"/>
                      <wp:wrapSquare wrapText="bothSides"/>
                      <wp:docPr id="1047" name="그룹 1047"/>
                      <wp:cNvGraphicFramePr/>
                      <a:graphic xmlns:a="http://schemas.openxmlformats.org/drawingml/2006/main">
                        <a:graphicData uri="http://schemas.microsoft.com/office/word/2010/wordprocessingGroup">
                          <wpg:wgp>
                            <wpg:cNvGrpSpPr/>
                            <wpg:grpSpPr>
                              <a:xfrm>
                                <a:off x="0" y="0"/>
                                <a:ext cx="2014855" cy="2633345"/>
                                <a:chOff x="0" y="0"/>
                                <a:chExt cx="2015375" cy="2633553"/>
                              </a:xfrm>
                            </wpg:grpSpPr>
                            <wpg:grpSp>
                              <wpg:cNvPr id="44" name="그룹 44"/>
                              <wpg:cNvGrpSpPr/>
                              <wpg:grpSpPr>
                                <a:xfrm>
                                  <a:off x="0" y="0"/>
                                  <a:ext cx="2015375" cy="2633553"/>
                                  <a:chOff x="0" y="0"/>
                                  <a:chExt cx="2015375" cy="2633553"/>
                                </a:xfrm>
                              </wpg:grpSpPr>
                              <pic:pic xmlns:pic="http://schemas.openxmlformats.org/drawingml/2006/picture">
                                <pic:nvPicPr>
                                  <pic:cNvPr id="25" name="그림 25"/>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2015375" cy="2462103"/>
                                  </a:xfrm>
                                  <a:prstGeom prst="rect">
                                    <a:avLst/>
                                  </a:prstGeom>
                                  <a:noFill/>
                                  <a:ln>
                                    <a:noFill/>
                                  </a:ln>
                                </pic:spPr>
                              </pic:pic>
                              <wps:wsp>
                                <wps:cNvPr id="43" name="Text Box 43"/>
                                <wps:cNvSpPr txBox="1"/>
                                <wps:spPr>
                                  <a:xfrm>
                                    <a:off x="1231879" y="2487503"/>
                                    <a:ext cx="719758" cy="146050"/>
                                  </a:xfrm>
                                  <a:prstGeom prst="rect">
                                    <a:avLst/>
                                  </a:prstGeom>
                                  <a:solidFill>
                                    <a:prstClr val="white"/>
                                  </a:solidFill>
                                  <a:ln>
                                    <a:noFill/>
                                  </a:ln>
                                </wps:spPr>
                                <wps:txbx>
                                  <w:txbxContent>
                                    <w:p w14:paraId="45DA825D"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0" name="Text Box 120"/>
                              <wps:cNvSpPr txBox="1"/>
                              <wps:spPr>
                                <a:xfrm>
                                  <a:off x="1094308" y="114878"/>
                                  <a:ext cx="751542" cy="86937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8E64447" w14:textId="7C2CB3E6" w:rsidR="00474DFB" w:rsidRDefault="00474DFB">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sl-SI"/>
                                      </w:rPr>
                                      <w:t>15 – 30 minut</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2AC98CE" id="그룹 1047" o:spid="_x0000_s1058" style="position:absolute;margin-left:6.35pt;margin-top:12pt;width:158.65pt;height:207.35pt;z-index:251658267;mso-width-relative:margin;mso-height-relative:margin" coordsize="20153,2633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">
                      <v:group id="그룹 44" o:spid="_x0000_s1059" style="position:absolute;width:20153;height:26335" coordsize="20153,26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그림 25" o:spid="_x0000_s1060" type="#_x0000_t75" style="position:absolute;width:20153;height:24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">
                          <v:imagedata r:id="rId39" o:title=""/>
                        </v:shape>
                        <v:shape id="Text Box 43" o:spid="_x0000_s1061" type="#_x0000_t202" style="position:absolute;left:12318;top:24875;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" stroked="f">
                          <v:textbox style="mso-fit-shape-to-text:t" inset="0,0,0,0">
                            <w:txbxContent>
                              <w:p w14:paraId="45DA825D"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D</w:t>
                                </w:r>
                              </w:p>
                            </w:txbxContent>
                          </v:textbox>
                        </v:shape>
                      </v:group>
                      <v:shape id="Text Box 120" o:spid="_x0000_s1062" type="#_x0000_t202" style="position:absolute;left:10943;top:1148;width:7515;height:86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" fillcolor="white [3212]" stroked="f" strokeweight=".5pt">
                        <v:textbox inset="0,0,0,0">
                          <w:txbxContent>
                            <w:p w14:paraId="18E64447" w14:textId="7C2CB3E6" w:rsidR="00474DFB" w:rsidRDefault="00474DFB">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sl-SI"/>
                                </w:rPr>
                                <w:t>15 – 30 minut</w:t>
                              </w:r>
                            </w:p>
                          </w:txbxContent>
                        </v:textbox>
                      </v:shape>
                      <w10:wrap type="square"/>
                    </v:group>
                  </w:pict>
                </mc:Fallback>
              </mc:AlternateContent>
            </w:r>
          </w:p>
          <w:p w14:paraId="548FFA1E" w14:textId="52AE1317" w:rsidR="00E04C8A" w:rsidRDefault="00E04C8A" w:rsidP="009746C7">
            <w:pPr>
              <w:ind w:right="1248"/>
              <w:rPr>
                <w:rFonts w:ascii="Times New Roman" w:eastAsia="Times New Roman" w:hAnsi="Times New Roman" w:cs="Times New Roman"/>
                <w:bCs/>
                <w:lang w:val="sl-SI"/>
              </w:rPr>
            </w:pPr>
          </w:p>
          <w:p w14:paraId="327B3A8C" w14:textId="02F4C862" w:rsidR="00E04C8A" w:rsidRDefault="00E04C8A" w:rsidP="009746C7">
            <w:pPr>
              <w:ind w:right="1248"/>
              <w:rPr>
                <w:rFonts w:ascii="Times New Roman" w:eastAsia="Times New Roman" w:hAnsi="Times New Roman" w:cs="Times New Roman"/>
                <w:bCs/>
                <w:lang w:val="sl-SI"/>
              </w:rPr>
            </w:pPr>
          </w:p>
          <w:p w14:paraId="3C81EB0B" w14:textId="77777777" w:rsidR="00E04C8A" w:rsidRDefault="008E1817" w:rsidP="009746C7">
            <w:pPr>
              <w:pStyle w:val="a3"/>
              <w:numPr>
                <w:ilvl w:val="0"/>
                <w:numId w:val="22"/>
              </w:numPr>
              <w:rPr>
                <w:b/>
                <w:lang w:val="sl-SI"/>
              </w:rPr>
            </w:pPr>
            <w:r>
              <w:rPr>
                <w:rFonts w:eastAsia="Times New Roman"/>
                <w:b/>
                <w:bCs/>
                <w:lang w:val="sl-SI"/>
              </w:rPr>
              <w:t>Počakajte 15 do 30 minut.</w:t>
            </w:r>
          </w:p>
          <w:p w14:paraId="5F22EB32" w14:textId="77777777" w:rsidR="00E04C8A" w:rsidRDefault="00E04C8A" w:rsidP="009746C7">
            <w:pPr>
              <w:pStyle w:val="a3"/>
              <w:numPr>
                <w:ilvl w:val="0"/>
                <w:numId w:val="0"/>
              </w:numPr>
              <w:ind w:left="471"/>
              <w:rPr>
                <w:b/>
                <w:lang w:val="sl-SI"/>
              </w:rPr>
            </w:pPr>
          </w:p>
          <w:p w14:paraId="59A5D413" w14:textId="77777777" w:rsidR="00E04C8A" w:rsidRDefault="008E1817" w:rsidP="009746C7">
            <w:pPr>
              <w:pStyle w:val="a3"/>
              <w:ind w:left="3718" w:hanging="284"/>
              <w:rPr>
                <w:lang w:val="sl-SI"/>
              </w:rPr>
            </w:pPr>
            <w:r>
              <w:rPr>
                <w:rFonts w:eastAsia="Times New Roman"/>
                <w:b/>
                <w:lang w:val="sl-SI"/>
              </w:rPr>
              <w:t>a</w:t>
            </w:r>
            <w:r>
              <w:rPr>
                <w:rFonts w:eastAsia="Times New Roman"/>
                <w:lang w:val="sl-SI"/>
              </w:rPr>
              <w:t>. Napolnjeno injekcijsko brizgo pustite na sobni temperaturi 15 do 30 minut, da se segreje.</w:t>
            </w:r>
          </w:p>
          <w:p w14:paraId="49C5C0DB" w14:textId="77777777" w:rsidR="00E04C8A" w:rsidRDefault="00E04C8A" w:rsidP="009746C7">
            <w:pPr>
              <w:pStyle w:val="Default"/>
              <w:rPr>
                <w:color w:val="211D1E"/>
                <w:sz w:val="20"/>
                <w:szCs w:val="20"/>
                <w:lang w:val="sl-SI"/>
              </w:rPr>
            </w:pPr>
          </w:p>
          <w:p w14:paraId="4284773D" w14:textId="77777777" w:rsidR="00E04C8A" w:rsidRDefault="008E1817" w:rsidP="009746C7">
            <w:pPr>
              <w:pStyle w:val="a3"/>
              <w:numPr>
                <w:ilvl w:val="0"/>
                <w:numId w:val="40"/>
              </w:numPr>
              <w:ind w:left="3718" w:hanging="863"/>
              <w:rPr>
                <w:rFonts w:eastAsia="Times New Roman" w:cstheme="minorBidi"/>
                <w:lang w:val="sl-SI"/>
              </w:rPr>
            </w:pPr>
            <w:r>
              <w:rPr>
                <w:rFonts w:eastAsia="Times New Roman"/>
                <w:lang w:val="sl-SI"/>
              </w:rPr>
              <w:t xml:space="preserve">Napolnjene injekcijske brizge </w:t>
            </w:r>
            <w:r>
              <w:rPr>
                <w:rFonts w:eastAsia="Times New Roman"/>
                <w:b/>
                <w:bCs/>
                <w:lang w:val="sl-SI"/>
              </w:rPr>
              <w:t>ne smete</w:t>
            </w:r>
            <w:r>
              <w:rPr>
                <w:rFonts w:eastAsia="Times New Roman"/>
                <w:lang w:val="sl-SI"/>
              </w:rPr>
              <w:t xml:space="preserve"> segrevati na kateri koli drug način, na primer v mikrovalovni pečici ali vroči vodi.</w:t>
            </w:r>
          </w:p>
        </w:tc>
      </w:tr>
    </w:tbl>
    <w:tbl>
      <w:tblPr>
        <w:tblStyle w:val="ac"/>
        <w:tblW w:w="0" w:type="auto"/>
        <w:tblLook w:val="04A0" w:firstRow="1" w:lastRow="0" w:firstColumn="1" w:lastColumn="0" w:noHBand="0" w:noVBand="1"/>
      </w:tblPr>
      <w:tblGrid>
        <w:gridCol w:w="9351"/>
      </w:tblGrid>
      <w:tr w:rsidR="00E04C8A" w:rsidRPr="00475A1E" w14:paraId="5735B379" w14:textId="77777777" w:rsidTr="009746C7">
        <w:trPr>
          <w:trHeight w:val="5933"/>
        </w:trPr>
        <w:tc>
          <w:tcPr>
            <w:tcW w:w="9351" w:type="dxa"/>
          </w:tcPr>
          <w:p w14:paraId="01A688B0" w14:textId="77777777" w:rsidR="00E04C8A" w:rsidRDefault="00E04C8A">
            <w:pPr>
              <w:ind w:left="224" w:right="1248"/>
              <w:rPr>
                <w:rFonts w:ascii="Times New Roman" w:eastAsia="Times New Roman" w:hAnsi="Times New Roman" w:cs="Times New Roman"/>
                <w:b/>
                <w:bCs/>
                <w:spacing w:val="-1"/>
                <w:lang w:val="sl-SI"/>
              </w:rPr>
            </w:pPr>
          </w:p>
          <w:p w14:paraId="6CD684B4" w14:textId="77777777" w:rsidR="00E04C8A" w:rsidRDefault="00E04C8A">
            <w:pPr>
              <w:ind w:right="1248"/>
              <w:rPr>
                <w:lang w:val="sl-SI"/>
              </w:rPr>
            </w:pPr>
          </w:p>
          <w:p w14:paraId="7CADD324" w14:textId="77777777" w:rsidR="00E04C8A" w:rsidRDefault="00C60834">
            <w:pPr>
              <w:ind w:right="1248"/>
              <w:rPr>
                <w:lang w:val="sl-SI"/>
              </w:rPr>
            </w:pPr>
            <w:r>
              <w:rPr>
                <w:noProof/>
                <w:lang w:eastAsia="ko-KR"/>
              </w:rPr>
              <mc:AlternateContent>
                <mc:Choice Requires="wpg">
                  <w:drawing>
                    <wp:anchor distT="0" distB="0" distL="114300" distR="114300" simplePos="0" relativeHeight="251658271" behindDoc="0" locked="0" layoutInCell="1" allowOverlap="1" wp14:anchorId="13760125" wp14:editId="4491CAA2">
                      <wp:simplePos x="0" y="0"/>
                      <wp:positionH relativeFrom="column">
                        <wp:posOffset>42545</wp:posOffset>
                      </wp:positionH>
                      <wp:positionV relativeFrom="paragraph">
                        <wp:posOffset>43180</wp:posOffset>
                      </wp:positionV>
                      <wp:extent cx="1974850" cy="3727450"/>
                      <wp:effectExtent l="0" t="0" r="6350" b="6350"/>
                      <wp:wrapSquare wrapText="bothSides"/>
                      <wp:docPr id="1048" name="그룹 1048"/>
                      <wp:cNvGraphicFramePr/>
                      <a:graphic xmlns:a="http://schemas.openxmlformats.org/drawingml/2006/main">
                        <a:graphicData uri="http://schemas.microsoft.com/office/word/2010/wordprocessingGroup">
                          <wpg:wgp>
                            <wpg:cNvGrpSpPr/>
                            <wpg:grpSpPr>
                              <a:xfrm>
                                <a:off x="0" y="0"/>
                                <a:ext cx="1974850" cy="3727450"/>
                                <a:chOff x="0" y="0"/>
                                <a:chExt cx="1824658" cy="3219450"/>
                              </a:xfrm>
                            </wpg:grpSpPr>
                            <wpg:grpSp>
                              <wpg:cNvPr id="46" name="그룹 46"/>
                              <wpg:cNvGrpSpPr/>
                              <wpg:grpSpPr>
                                <a:xfrm>
                                  <a:off x="0" y="0"/>
                                  <a:ext cx="1824658" cy="3219450"/>
                                  <a:chOff x="0" y="0"/>
                                  <a:chExt cx="1824658" cy="3219450"/>
                                </a:xfrm>
                              </wpg:grpSpPr>
                              <pic:pic xmlns:pic="http://schemas.openxmlformats.org/drawingml/2006/picture">
                                <pic:nvPicPr>
                                  <pic:cNvPr id="56" name="그림 5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45" name="Text Box 45"/>
                                <wps:cNvSpPr txBox="1"/>
                                <wps:spPr>
                                  <a:xfrm>
                                    <a:off x="1104900" y="3073400"/>
                                    <a:ext cx="719758" cy="146050"/>
                                  </a:xfrm>
                                  <a:prstGeom prst="rect">
                                    <a:avLst/>
                                  </a:prstGeom>
                                  <a:solidFill>
                                    <a:prstClr val="white"/>
                                  </a:solidFill>
                                  <a:ln>
                                    <a:noFill/>
                                  </a:ln>
                                </wps:spPr>
                                <wps:txbx>
                                  <w:txbxContent>
                                    <w:p w14:paraId="3629FD52"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25" name="Text Box 125"/>
                              <wps:cNvSpPr txBox="1"/>
                              <wps:spPr>
                                <a:xfrm>
                                  <a:off x="512618" y="2286000"/>
                                  <a:ext cx="1233377" cy="719801"/>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CF1E74" w14:textId="77777777" w:rsidR="00474DFB" w:rsidRDefault="00474DFB">
                                    <w:pPr>
                                      <w:rPr>
                                        <w:rFonts w:asciiTheme="majorBidi" w:hAnsiTheme="majorBidi" w:cstheme="majorBidi"/>
                                        <w:b/>
                                        <w:bCs/>
                                        <w:sz w:val="18"/>
                                        <w:szCs w:val="18"/>
                                      </w:rPr>
                                    </w:pPr>
                                    <w:r>
                                      <w:rPr>
                                        <w:rFonts w:ascii="Times New Roman" w:eastAsia="Times New Roman" w:hAnsi="Times New Roman" w:cs="Times New Roman"/>
                                        <w:b/>
                                        <w:bCs/>
                                        <w:sz w:val="18"/>
                                        <w:szCs w:val="18"/>
                                        <w:lang w:val="sl-SI"/>
                                      </w:rPr>
                                      <w:t xml:space="preserve">SAMO za negovalce </w:t>
                                    </w:r>
                                  </w:p>
                                  <w:p w14:paraId="02D03611" w14:textId="77777777" w:rsidR="00474DFB" w:rsidRDefault="00474DFB">
                                    <w:pPr>
                                      <w:rPr>
                                        <w:rFonts w:asciiTheme="majorBidi" w:hAnsiTheme="majorBidi" w:cstheme="majorBidi"/>
                                        <w:b/>
                                        <w:bCs/>
                                        <w:sz w:val="18"/>
                                        <w:szCs w:val="18"/>
                                      </w:rPr>
                                    </w:pPr>
                                  </w:p>
                                  <w:p w14:paraId="08B6C946" w14:textId="77777777" w:rsidR="00474DFB" w:rsidRDefault="00474DFB">
                                    <w:pPr>
                                      <w:rPr>
                                        <w:rFonts w:asciiTheme="majorBidi" w:hAnsiTheme="majorBidi" w:cstheme="majorBidi"/>
                                        <w:b/>
                                        <w:bCs/>
                                        <w:sz w:val="18"/>
                                        <w:szCs w:val="18"/>
                                      </w:rPr>
                                    </w:pPr>
                                    <w:r>
                                      <w:rPr>
                                        <w:rFonts w:ascii="Times New Roman" w:eastAsia="Times New Roman" w:hAnsi="Times New Roman" w:cs="Times New Roman"/>
                                        <w:b/>
                                        <w:bCs/>
                                        <w:sz w:val="18"/>
                                        <w:szCs w:val="18"/>
                                        <w:lang w:val="sl-SI"/>
                                      </w:rPr>
                                      <w:t xml:space="preserve">Samoinjiciranje in negovalec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760125" id="그룹 1048" o:spid="_x0000_s1063" style="position:absolute;margin-left:3.35pt;margin-top:3.4pt;width:155.5pt;height:293.5pt;z-index:251658271;mso-width-relative:margin;mso-height-relative:margin"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">
                      <v:group id="그룹 46" o:spid="_x0000_s1064"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그림 56" o:spid="_x0000_s1065"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">
                          <v:imagedata r:id="rId41" o:title=""/>
                        </v:shape>
                        <v:shape id="Text Box 45" o:spid="_x0000_s1066"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ljbxQAAANsAAAAPAAAAZHJzL2Rvd25yZXYueG1sRI9Pa8JA&#10;FMTvBb/D8oReim4aW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Ca5ljbxQAAANsAAAAP&#10;AAAAAAAAAAAAAAAAAAcCAABkcnMvZG93bnJldi54bWxQSwUGAAAAAAMAAwC3AAAA+QIAAAAA&#10;" stroked="f">
                          <v:textbox inset="0,0,0,0">
                            <w:txbxContent>
                              <w:p w14:paraId="3629FD52"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E</w:t>
                                </w:r>
                              </w:p>
                            </w:txbxContent>
                          </v:textbox>
                        </v:shape>
                      </v:group>
                      <v:shape id="Text Box 125" o:spid="_x0000_s1067" type="#_x0000_t202" style="position:absolute;left:5126;top:22860;width:12333;height:7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" fillcolor="white [3212]" stroked="f" strokeweight=".5pt">
                        <v:textbox inset="0,0,0,0">
                          <w:txbxContent>
                            <w:p w14:paraId="76CF1E74" w14:textId="77777777" w:rsidR="00474DFB" w:rsidRDefault="00474DFB">
                              <w:pPr>
                                <w:rPr>
                                  <w:rFonts w:asciiTheme="majorBidi" w:hAnsiTheme="majorBidi" w:cstheme="majorBidi"/>
                                  <w:b/>
                                  <w:bCs/>
                                  <w:sz w:val="18"/>
                                  <w:szCs w:val="18"/>
                                </w:rPr>
                              </w:pPr>
                              <w:r>
                                <w:rPr>
                                  <w:rFonts w:ascii="Times New Roman" w:eastAsia="Times New Roman" w:hAnsi="Times New Roman" w:cs="Times New Roman"/>
                                  <w:b/>
                                  <w:bCs/>
                                  <w:sz w:val="18"/>
                                  <w:szCs w:val="18"/>
                                  <w:lang w:val="sl-SI"/>
                                </w:rPr>
                                <w:t xml:space="preserve">SAMO za negovalce </w:t>
                              </w:r>
                            </w:p>
                            <w:p w14:paraId="02D03611" w14:textId="77777777" w:rsidR="00474DFB" w:rsidRDefault="00474DFB">
                              <w:pPr>
                                <w:rPr>
                                  <w:rFonts w:asciiTheme="majorBidi" w:hAnsiTheme="majorBidi" w:cstheme="majorBidi"/>
                                  <w:b/>
                                  <w:bCs/>
                                  <w:sz w:val="18"/>
                                  <w:szCs w:val="18"/>
                                </w:rPr>
                              </w:pPr>
                            </w:p>
                            <w:p w14:paraId="08B6C946" w14:textId="77777777" w:rsidR="00474DFB" w:rsidRDefault="00474DFB">
                              <w:pPr>
                                <w:rPr>
                                  <w:rFonts w:asciiTheme="majorBidi" w:hAnsiTheme="majorBidi" w:cstheme="majorBidi"/>
                                  <w:b/>
                                  <w:bCs/>
                                  <w:sz w:val="18"/>
                                  <w:szCs w:val="18"/>
                                </w:rPr>
                              </w:pPr>
                              <w:r>
                                <w:rPr>
                                  <w:rFonts w:ascii="Times New Roman" w:eastAsia="Times New Roman" w:hAnsi="Times New Roman" w:cs="Times New Roman"/>
                                  <w:b/>
                                  <w:bCs/>
                                  <w:sz w:val="18"/>
                                  <w:szCs w:val="18"/>
                                  <w:lang w:val="sl-SI"/>
                                </w:rPr>
                                <w:t xml:space="preserve">Samoinjiciranje in negovalec </w:t>
                              </w:r>
                            </w:p>
                          </w:txbxContent>
                        </v:textbox>
                      </v:shape>
                      <w10:wrap type="square"/>
                    </v:group>
                  </w:pict>
                </mc:Fallback>
              </mc:AlternateContent>
            </w:r>
          </w:p>
          <w:p w14:paraId="338A0B15" w14:textId="77777777" w:rsidR="00E04C8A" w:rsidRDefault="008E1817">
            <w:pPr>
              <w:pStyle w:val="a3"/>
              <w:numPr>
                <w:ilvl w:val="0"/>
                <w:numId w:val="22"/>
              </w:numPr>
              <w:rPr>
                <w:rFonts w:cstheme="minorBidi"/>
                <w:b/>
                <w:lang w:val="sl-SI"/>
              </w:rPr>
            </w:pPr>
            <w:r>
              <w:rPr>
                <w:rFonts w:eastAsia="Times New Roman" w:cs="Arial"/>
                <w:b/>
                <w:bCs/>
                <w:lang w:val="sl-SI"/>
              </w:rPr>
              <w:t>Izberite</w:t>
            </w:r>
            <w:r>
              <w:rPr>
                <w:rFonts w:eastAsia="Times New Roman"/>
                <w:b/>
                <w:bCs/>
                <w:lang w:val="sl-SI"/>
              </w:rPr>
              <w:t xml:space="preserve"> mesto injiciranja</w:t>
            </w:r>
            <w:r>
              <w:rPr>
                <w:rFonts w:eastAsia="Times New Roman" w:cs="Arial"/>
                <w:lang w:val="sl-SI"/>
              </w:rPr>
              <w:t xml:space="preserve"> </w:t>
            </w:r>
          </w:p>
          <w:p w14:paraId="51D7F9F9" w14:textId="77777777" w:rsidR="00E04C8A" w:rsidRDefault="00E04C8A">
            <w:pPr>
              <w:pStyle w:val="a3"/>
              <w:rPr>
                <w:lang w:val="sl-SI"/>
              </w:rPr>
            </w:pPr>
          </w:p>
          <w:p w14:paraId="659D9B06" w14:textId="77777777" w:rsidR="00E04C8A" w:rsidRDefault="008E1817">
            <w:pPr>
              <w:pStyle w:val="a3"/>
              <w:ind w:left="3577" w:hanging="180"/>
              <w:rPr>
                <w:lang w:val="sl-SI"/>
              </w:rPr>
            </w:pPr>
            <w:r>
              <w:rPr>
                <w:rFonts w:eastAsia="Times New Roman"/>
                <w:b/>
                <w:bCs/>
                <w:lang w:val="sl-SI"/>
              </w:rPr>
              <w:t>a.</w:t>
            </w:r>
            <w:r>
              <w:rPr>
                <w:rFonts w:eastAsia="Times New Roman"/>
                <w:lang w:val="sl-SI"/>
              </w:rPr>
              <w:t xml:space="preserve"> Injicirate lahko v:</w:t>
            </w:r>
          </w:p>
          <w:p w14:paraId="6A511FA7" w14:textId="77777777" w:rsidR="00E04C8A" w:rsidRDefault="008E1817">
            <w:pPr>
              <w:pStyle w:val="a3"/>
              <w:ind w:left="3847"/>
              <w:rPr>
                <w:lang w:val="sl-SI"/>
              </w:rPr>
            </w:pPr>
            <w:r>
              <w:rPr>
                <w:rFonts w:eastAsia="Times New Roman"/>
                <w:lang w:val="sl-SI"/>
              </w:rPr>
              <w:t xml:space="preserve">- sprednjo stran stegen. </w:t>
            </w:r>
          </w:p>
          <w:p w14:paraId="453827C7" w14:textId="77777777" w:rsidR="00E04C8A" w:rsidRDefault="008E1817">
            <w:pPr>
              <w:pStyle w:val="a3"/>
              <w:ind w:left="3847"/>
              <w:rPr>
                <w:lang w:val="sl-SI"/>
              </w:rPr>
            </w:pPr>
            <w:r>
              <w:rPr>
                <w:rFonts w:eastAsia="Times New Roman"/>
                <w:lang w:val="sl-SI"/>
              </w:rPr>
              <w:t xml:space="preserve">- trebuh, najmanj 5 cm oddaljeno od popka. </w:t>
            </w:r>
          </w:p>
          <w:p w14:paraId="165ADC88" w14:textId="4B22A24D" w:rsidR="00E04C8A" w:rsidRDefault="00C60834">
            <w:pPr>
              <w:pStyle w:val="a3"/>
              <w:ind w:left="3847"/>
              <w:rPr>
                <w:lang w:val="sl-SI"/>
              </w:rPr>
            </w:pPr>
            <w:r>
              <w:rPr>
                <w:rFonts w:eastAsia="Times New Roman"/>
                <w:lang w:val="sl-SI"/>
              </w:rPr>
              <w:t>-</w:t>
            </w:r>
            <w:r w:rsidR="008E1817">
              <w:rPr>
                <w:rFonts w:eastAsia="Times New Roman"/>
                <w:lang w:val="sl-SI"/>
              </w:rPr>
              <w:t xml:space="preserve"> zunanji del nadlakti (SAMO, če ste negovalec). </w:t>
            </w:r>
          </w:p>
          <w:p w14:paraId="36CAFBB6" w14:textId="77777777" w:rsidR="00E04C8A" w:rsidRDefault="00E04C8A">
            <w:pPr>
              <w:pStyle w:val="a3"/>
              <w:rPr>
                <w:lang w:val="sl-SI"/>
              </w:rPr>
            </w:pPr>
          </w:p>
          <w:p w14:paraId="242758B3" w14:textId="77777777" w:rsidR="00E04C8A" w:rsidRDefault="008E1817">
            <w:pPr>
              <w:pStyle w:val="a3"/>
              <w:numPr>
                <w:ilvl w:val="0"/>
                <w:numId w:val="18"/>
              </w:numPr>
              <w:ind w:left="3577"/>
              <w:rPr>
                <w:lang w:val="sl-SI"/>
              </w:rPr>
            </w:pPr>
            <w:r>
              <w:rPr>
                <w:rFonts w:eastAsia="Times New Roman"/>
                <w:b/>
                <w:bCs/>
                <w:lang w:val="sl-SI"/>
              </w:rPr>
              <w:t>Ne</w:t>
            </w:r>
            <w:r>
              <w:rPr>
                <w:rFonts w:eastAsia="Times New Roman"/>
                <w:lang w:val="sl-SI"/>
              </w:rPr>
              <w:t xml:space="preserve"> injicirajte v kožo, ki je od popka oddaljena manj kot 5 cm, je rdeča, trda, občutljiva, poškodovana, podpluta ali brazgotinasta. </w:t>
            </w:r>
          </w:p>
          <w:p w14:paraId="14828DDE" w14:textId="77777777" w:rsidR="00E04C8A" w:rsidRDefault="008E1817">
            <w:pPr>
              <w:pStyle w:val="a3"/>
              <w:numPr>
                <w:ilvl w:val="0"/>
                <w:numId w:val="18"/>
              </w:numPr>
              <w:ind w:left="3577"/>
              <w:rPr>
                <w:lang w:val="sl-SI"/>
              </w:rPr>
            </w:pPr>
            <w:r>
              <w:rPr>
                <w:rFonts w:eastAsia="Times New Roman"/>
                <w:lang w:val="sl-SI"/>
              </w:rPr>
              <w:t xml:space="preserve">Če imate luskavico, </w:t>
            </w:r>
            <w:r>
              <w:rPr>
                <w:rFonts w:eastAsia="Times New Roman"/>
                <w:b/>
                <w:bCs/>
                <w:lang w:val="sl-SI"/>
              </w:rPr>
              <w:t>ne</w:t>
            </w:r>
            <w:r>
              <w:rPr>
                <w:rFonts w:eastAsia="Times New Roman"/>
                <w:lang w:val="sl-SI"/>
              </w:rPr>
              <w:t xml:space="preserve"> injicirajte neposredno v dvignjene, odebeljene, rdeče ali luskaste zaplate ali lezije na koži. </w:t>
            </w:r>
          </w:p>
          <w:p w14:paraId="6F893205" w14:textId="77777777" w:rsidR="00E04C8A" w:rsidRDefault="008E1817">
            <w:pPr>
              <w:pStyle w:val="a3"/>
              <w:numPr>
                <w:ilvl w:val="0"/>
                <w:numId w:val="18"/>
              </w:numPr>
              <w:rPr>
                <w:lang w:val="sl-SI"/>
              </w:rPr>
            </w:pPr>
            <w:r>
              <w:rPr>
                <w:rFonts w:eastAsia="Times New Roman"/>
                <w:b/>
                <w:bCs/>
                <w:lang w:val="sl-SI"/>
              </w:rPr>
              <w:t>Ne</w:t>
            </w:r>
            <w:r>
              <w:rPr>
                <w:rFonts w:eastAsia="Times New Roman"/>
                <w:lang w:val="sl-SI"/>
              </w:rPr>
              <w:t xml:space="preserve"> injicirajte skozi oblačila.</w:t>
            </w:r>
          </w:p>
          <w:p w14:paraId="7D50E8BE" w14:textId="77777777" w:rsidR="00E04C8A" w:rsidRDefault="00E04C8A">
            <w:pPr>
              <w:pStyle w:val="a3"/>
              <w:rPr>
                <w:lang w:val="sl-SI"/>
              </w:rPr>
            </w:pPr>
          </w:p>
          <w:p w14:paraId="23FDB5D7" w14:textId="77777777" w:rsidR="00E04C8A" w:rsidRDefault="008E1817">
            <w:pPr>
              <w:pStyle w:val="a3"/>
              <w:ind w:left="3577" w:hanging="180"/>
              <w:rPr>
                <w:lang w:val="sl-SI"/>
              </w:rPr>
            </w:pPr>
            <w:r>
              <w:rPr>
                <w:rFonts w:eastAsia="Times New Roman"/>
                <w:b/>
                <w:bCs/>
                <w:lang w:val="sl-SI"/>
              </w:rPr>
              <w:t>b.</w:t>
            </w:r>
            <w:r>
              <w:rPr>
                <w:rFonts w:eastAsia="Times New Roman"/>
                <w:lang w:val="sl-SI"/>
              </w:rPr>
              <w:t xml:space="preserve"> Za vsako injiciranje zamenjajte mesto injiciranja. Vsako novo mesto injiciranja mora biti vsaj 3 cm oddaljeno od prejšnjega mesta injiciranja.</w:t>
            </w:r>
          </w:p>
        </w:tc>
      </w:tr>
      <w:tr w:rsidR="00E04C8A" w14:paraId="32BB758E" w14:textId="77777777" w:rsidTr="009746C7">
        <w:trPr>
          <w:trHeight w:val="4819"/>
        </w:trPr>
        <w:tc>
          <w:tcPr>
            <w:tcW w:w="9351" w:type="dxa"/>
          </w:tcPr>
          <w:p w14:paraId="423315E7" w14:textId="77777777" w:rsidR="00E04C8A" w:rsidRDefault="00E04C8A">
            <w:pPr>
              <w:pStyle w:val="1"/>
              <w:spacing w:before="76"/>
              <w:ind w:left="0" w:right="2736"/>
              <w:rPr>
                <w:rFonts w:eastAsiaTheme="minorEastAsia"/>
                <w:lang w:val="sl-SI" w:eastAsia="ko-KR"/>
              </w:rPr>
            </w:pPr>
          </w:p>
          <w:p w14:paraId="3CDC1CCE" w14:textId="77777777" w:rsidR="00E04C8A" w:rsidRDefault="008E1817">
            <w:pPr>
              <w:pStyle w:val="1"/>
              <w:spacing w:before="76"/>
              <w:ind w:left="0" w:right="2736"/>
              <w:rPr>
                <w:rFonts w:eastAsiaTheme="minorEastAsia"/>
                <w:lang w:val="sl-SI" w:eastAsia="ko-KR"/>
              </w:rPr>
            </w:pPr>
            <w:r>
              <w:rPr>
                <w:rFonts w:eastAsiaTheme="minorEastAsia"/>
                <w:noProof/>
                <w:lang w:eastAsia="ko-KR"/>
              </w:rPr>
              <mc:AlternateContent>
                <mc:Choice Requires="wpg">
                  <w:drawing>
                    <wp:anchor distT="0" distB="0" distL="114300" distR="114300" simplePos="0" relativeHeight="251658250" behindDoc="0" locked="0" layoutInCell="1" allowOverlap="1" wp14:anchorId="4E08F9C8" wp14:editId="349B03B8">
                      <wp:simplePos x="0" y="0"/>
                      <wp:positionH relativeFrom="column">
                        <wp:posOffset>-20955</wp:posOffset>
                      </wp:positionH>
                      <wp:positionV relativeFrom="paragraph">
                        <wp:posOffset>100330</wp:posOffset>
                      </wp:positionV>
                      <wp:extent cx="2031365" cy="2655570"/>
                      <wp:effectExtent l="0" t="0" r="6985" b="0"/>
                      <wp:wrapSquare wrapText="bothSides"/>
                      <wp:docPr id="48" name="그룹 48"/>
                      <wp:cNvGraphicFramePr/>
                      <a:graphic xmlns:a="http://schemas.openxmlformats.org/drawingml/2006/main">
                        <a:graphicData uri="http://schemas.microsoft.com/office/word/2010/wordprocessingGroup">
                          <wpg:wgp>
                            <wpg:cNvGrpSpPr/>
                            <wpg:grpSpPr>
                              <a:xfrm>
                                <a:off x="0" y="0"/>
                                <a:ext cx="2031365" cy="2655570"/>
                                <a:chOff x="0" y="0"/>
                                <a:chExt cx="2032000" cy="2655800"/>
                              </a:xfrm>
                            </wpg:grpSpPr>
                            <pic:pic xmlns:pic="http://schemas.openxmlformats.org/drawingml/2006/picture">
                              <pic:nvPicPr>
                                <pic:cNvPr id="59" name="그림 59"/>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032000" cy="2490700"/>
                                </a:xfrm>
                                <a:prstGeom prst="rect">
                                  <a:avLst/>
                                </a:prstGeom>
                                <a:noFill/>
                                <a:ln>
                                  <a:noFill/>
                                </a:ln>
                              </pic:spPr>
                            </pic:pic>
                            <wps:wsp>
                              <wps:cNvPr id="47" name="Text Box 47"/>
                              <wps:cNvSpPr txBox="1"/>
                              <wps:spPr>
                                <a:xfrm>
                                  <a:off x="1312241" y="2509750"/>
                                  <a:ext cx="719758" cy="146050"/>
                                </a:xfrm>
                                <a:prstGeom prst="rect">
                                  <a:avLst/>
                                </a:prstGeom>
                                <a:solidFill>
                                  <a:prstClr val="white"/>
                                </a:solidFill>
                                <a:ln>
                                  <a:noFill/>
                                </a:ln>
                              </wps:spPr>
                              <wps:txbx>
                                <w:txbxContent>
                                  <w:p w14:paraId="26D574BB"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E08F9C8" id="그룹 48" o:spid="_x0000_s1068" style="position:absolute;margin-left:-1.65pt;margin-top:7.9pt;width:159.95pt;height:209.1pt;z-index:251658250;mso-width-relative:margin;mso-height-relative:margin" coordsize="20320,265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">
                      <v:shape id="그림 59" o:spid="_x0000_s1069" type="#_x0000_t75" style="position:absolute;width:20320;height:24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">
                        <v:imagedata r:id="rId43" o:title=""/>
                      </v:shape>
                      <v:shape id="Text Box 47" o:spid="_x0000_s1070" type="#_x0000_t202" style="position:absolute;left:13122;top:25097;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" stroked="f">
                        <v:textbox style="mso-fit-shape-to-text:t" inset="0,0,0,0">
                          <w:txbxContent>
                            <w:p w14:paraId="26D574BB"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F</w:t>
                              </w:r>
                            </w:p>
                          </w:txbxContent>
                        </v:textbox>
                      </v:shape>
                      <w10:wrap type="square"/>
                    </v:group>
                  </w:pict>
                </mc:Fallback>
              </mc:AlternateContent>
            </w:r>
          </w:p>
          <w:p w14:paraId="6349D52A" w14:textId="77777777" w:rsidR="00E04C8A" w:rsidRDefault="008E1817">
            <w:pPr>
              <w:pStyle w:val="a3"/>
              <w:numPr>
                <w:ilvl w:val="0"/>
                <w:numId w:val="22"/>
              </w:numPr>
              <w:rPr>
                <w:lang w:val="sl-SI"/>
              </w:rPr>
            </w:pPr>
            <w:r>
              <w:rPr>
                <w:rFonts w:eastAsia="Times New Roman"/>
                <w:b/>
                <w:bCs/>
                <w:lang w:val="sl-SI"/>
              </w:rPr>
              <w:t>Umijte si roke</w:t>
            </w:r>
          </w:p>
          <w:p w14:paraId="22838D4B" w14:textId="77777777" w:rsidR="00E04C8A" w:rsidRDefault="00E04C8A">
            <w:pPr>
              <w:pStyle w:val="a3"/>
              <w:numPr>
                <w:ilvl w:val="0"/>
                <w:numId w:val="0"/>
              </w:numPr>
              <w:ind w:left="471"/>
              <w:rPr>
                <w:lang w:val="sl-SI"/>
              </w:rPr>
            </w:pPr>
          </w:p>
          <w:p w14:paraId="2BD03257" w14:textId="77777777" w:rsidR="00E04C8A" w:rsidRDefault="008E1817">
            <w:pPr>
              <w:pStyle w:val="a3"/>
              <w:ind w:left="4297" w:hanging="180"/>
              <w:rPr>
                <w:lang w:val="sl-SI"/>
              </w:rPr>
            </w:pPr>
            <w:r>
              <w:rPr>
                <w:rFonts w:eastAsia="Times New Roman"/>
                <w:b/>
                <w:bCs/>
                <w:lang w:val="sl-SI"/>
              </w:rPr>
              <w:t>a.</w:t>
            </w:r>
            <w:r>
              <w:rPr>
                <w:rFonts w:eastAsia="Times New Roman"/>
                <w:lang w:val="sl-SI"/>
              </w:rPr>
              <w:t xml:space="preserve"> Roke si umijte z milom in vodo ter jih temeljito posušite. </w:t>
            </w:r>
          </w:p>
          <w:p w14:paraId="6D280101" w14:textId="77777777" w:rsidR="00E04C8A" w:rsidRDefault="00E04C8A">
            <w:pPr>
              <w:spacing w:line="252" w:lineRule="exact"/>
              <w:rPr>
                <w:lang w:val="sl-SI"/>
              </w:rPr>
            </w:pPr>
          </w:p>
        </w:tc>
      </w:tr>
      <w:tr w:rsidR="00E04C8A" w:rsidRPr="00475A1E" w14:paraId="11A39D98" w14:textId="77777777" w:rsidTr="009746C7">
        <w:trPr>
          <w:trHeight w:val="5046"/>
        </w:trPr>
        <w:tc>
          <w:tcPr>
            <w:tcW w:w="9351" w:type="dxa"/>
          </w:tcPr>
          <w:p w14:paraId="5C999B88" w14:textId="77777777" w:rsidR="00E04C8A" w:rsidRDefault="00E04C8A">
            <w:pPr>
              <w:ind w:left="104"/>
              <w:rPr>
                <w:rFonts w:ascii="Times New Roman" w:eastAsia="Times New Roman" w:hAnsi="Times New Roman" w:cs="Times New Roman"/>
                <w:b/>
                <w:bCs/>
                <w:spacing w:val="-1"/>
                <w:lang w:val="sl-SI"/>
              </w:rPr>
            </w:pPr>
          </w:p>
          <w:p w14:paraId="0BF08D2C" w14:textId="77777777" w:rsidR="00E04C8A" w:rsidRDefault="00E04C8A">
            <w:pPr>
              <w:pStyle w:val="a3"/>
              <w:rPr>
                <w:lang w:val="sl-SI"/>
              </w:rPr>
            </w:pPr>
          </w:p>
          <w:p w14:paraId="26647F84" w14:textId="77777777" w:rsidR="00E04C8A" w:rsidRDefault="008E1817">
            <w:pPr>
              <w:pStyle w:val="a3"/>
              <w:rPr>
                <w:lang w:val="sl-SI"/>
              </w:rPr>
            </w:pPr>
            <w:r>
              <w:rPr>
                <w:noProof/>
                <w:lang w:eastAsia="ko-KR"/>
              </w:rPr>
              <mc:AlternateContent>
                <mc:Choice Requires="wpg">
                  <w:drawing>
                    <wp:anchor distT="0" distB="0" distL="114300" distR="114300" simplePos="0" relativeHeight="251658251" behindDoc="0" locked="0" layoutInCell="1" allowOverlap="1" wp14:anchorId="7FE02EA2" wp14:editId="5E5FEA16">
                      <wp:simplePos x="0" y="0"/>
                      <wp:positionH relativeFrom="column">
                        <wp:posOffset>74295</wp:posOffset>
                      </wp:positionH>
                      <wp:positionV relativeFrom="paragraph">
                        <wp:posOffset>135890</wp:posOffset>
                      </wp:positionV>
                      <wp:extent cx="2057400" cy="2686050"/>
                      <wp:effectExtent l="0" t="0" r="0" b="0"/>
                      <wp:wrapSquare wrapText="bothSides"/>
                      <wp:docPr id="51" name="그룹 51"/>
                      <wp:cNvGraphicFramePr/>
                      <a:graphic xmlns:a="http://schemas.openxmlformats.org/drawingml/2006/main">
                        <a:graphicData uri="http://schemas.microsoft.com/office/word/2010/wordprocessingGroup">
                          <wpg:wgp>
                            <wpg:cNvGrpSpPr/>
                            <wpg:grpSpPr>
                              <a:xfrm>
                                <a:off x="0" y="0"/>
                                <a:ext cx="2057400" cy="2686050"/>
                                <a:chOff x="0" y="0"/>
                                <a:chExt cx="2256458" cy="2921000"/>
                              </a:xfrm>
                            </wpg:grpSpPr>
                            <pic:pic xmlns:pic="http://schemas.openxmlformats.org/drawingml/2006/picture">
                              <pic:nvPicPr>
                                <pic:cNvPr id="13" name="그림 13"/>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49" name="Text Box 49"/>
                              <wps:cNvSpPr txBox="1"/>
                              <wps:spPr>
                                <a:xfrm>
                                  <a:off x="1536700" y="2774950"/>
                                  <a:ext cx="719758" cy="146050"/>
                                </a:xfrm>
                                <a:prstGeom prst="rect">
                                  <a:avLst/>
                                </a:prstGeom>
                                <a:solidFill>
                                  <a:prstClr val="white"/>
                                </a:solidFill>
                                <a:ln>
                                  <a:noFill/>
                                </a:ln>
                              </wps:spPr>
                              <wps:txbx>
                                <w:txbxContent>
                                  <w:p w14:paraId="26EFBBEB"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E02EA2" id="그룹 51" o:spid="_x0000_s1071" style="position:absolute;margin-left:5.85pt;margin-top:10.7pt;width:162pt;height:211.5pt;z-index:251658251;mso-width-relative:margin;mso-height-relative:margin"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">
                      <v:shape id="그림 13" o:spid="_x0000_s1072"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">
                        <v:imagedata r:id="rId45" o:title=""/>
                      </v:shape>
                      <v:shape id="Text Box 49" o:spid="_x0000_s1073"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" stroked="f">
                        <v:textbox inset="0,0,0,0">
                          <w:txbxContent>
                            <w:p w14:paraId="26EFBBEB"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G</w:t>
                              </w:r>
                            </w:p>
                          </w:txbxContent>
                        </v:textbox>
                      </v:shape>
                      <w10:wrap type="square"/>
                    </v:group>
                  </w:pict>
                </mc:Fallback>
              </mc:AlternateContent>
            </w:r>
          </w:p>
          <w:p w14:paraId="787CBD12" w14:textId="77777777" w:rsidR="00E04C8A" w:rsidRDefault="00E04C8A">
            <w:pPr>
              <w:pStyle w:val="a3"/>
              <w:rPr>
                <w:lang w:val="sl-SI"/>
              </w:rPr>
            </w:pPr>
          </w:p>
          <w:p w14:paraId="646E5EBD" w14:textId="77777777" w:rsidR="00E04C8A" w:rsidRDefault="008E1817">
            <w:pPr>
              <w:pStyle w:val="a3"/>
              <w:numPr>
                <w:ilvl w:val="0"/>
                <w:numId w:val="22"/>
              </w:numPr>
              <w:rPr>
                <w:b/>
                <w:lang w:val="sl-SI"/>
              </w:rPr>
            </w:pPr>
            <w:r>
              <w:rPr>
                <w:rFonts w:eastAsia="Times New Roman"/>
                <w:b/>
                <w:bCs/>
                <w:lang w:val="sl-SI"/>
              </w:rPr>
              <w:t>Očistite mesto injiciranja</w:t>
            </w:r>
            <w:r>
              <w:rPr>
                <w:rFonts w:eastAsia="Times New Roman"/>
                <w:lang w:val="sl-SI"/>
              </w:rPr>
              <w:t xml:space="preserve"> </w:t>
            </w:r>
          </w:p>
          <w:p w14:paraId="79355498" w14:textId="77777777" w:rsidR="00E04C8A" w:rsidRDefault="00E04C8A">
            <w:pPr>
              <w:pStyle w:val="a3"/>
              <w:rPr>
                <w:lang w:val="sl-SI"/>
              </w:rPr>
            </w:pPr>
          </w:p>
          <w:p w14:paraId="0DFB468E" w14:textId="013172F8" w:rsidR="00E04C8A" w:rsidRPr="00D14272" w:rsidRDefault="008E1817">
            <w:pPr>
              <w:pStyle w:val="a3"/>
              <w:ind w:left="4297" w:hanging="180"/>
              <w:rPr>
                <w:lang w:val="sl-SI"/>
              </w:rPr>
            </w:pPr>
            <w:r w:rsidRPr="00D14272">
              <w:rPr>
                <w:rFonts w:eastAsia="Times New Roman"/>
                <w:b/>
                <w:bCs/>
                <w:lang w:val="sl-SI"/>
              </w:rPr>
              <w:t>a</w:t>
            </w:r>
            <w:r w:rsidRPr="00D14272">
              <w:rPr>
                <w:rFonts w:eastAsia="Times New Roman"/>
                <w:lang w:val="sl-SI"/>
              </w:rPr>
              <w:t xml:space="preserve">. Mesto injiciranja očistite z </w:t>
            </w:r>
            <w:r w:rsidR="00E07158" w:rsidRPr="00D14272">
              <w:rPr>
                <w:rFonts w:eastAsia="Times New Roman"/>
                <w:lang w:val="sl-SI"/>
              </w:rPr>
              <w:t>alkoholn</w:t>
            </w:r>
            <w:r w:rsidR="009B3B8C" w:rsidRPr="00D14272">
              <w:rPr>
                <w:rFonts w:eastAsia="Times New Roman"/>
                <w:lang w:val="sl-SI"/>
              </w:rPr>
              <w:t>im</w:t>
            </w:r>
            <w:r w:rsidR="00E07158" w:rsidRPr="00D14272">
              <w:rPr>
                <w:rFonts w:eastAsia="Times New Roman"/>
                <w:lang w:val="sl-SI"/>
              </w:rPr>
              <w:t xml:space="preserve"> zloženc</w:t>
            </w:r>
            <w:r w:rsidR="009B3B8C" w:rsidRPr="00D14272">
              <w:rPr>
                <w:rFonts w:eastAsia="Times New Roman"/>
                <w:lang w:val="sl-SI"/>
              </w:rPr>
              <w:t>em</w:t>
            </w:r>
            <w:r w:rsidRPr="00D14272">
              <w:rPr>
                <w:rFonts w:eastAsia="Times New Roman"/>
                <w:lang w:val="sl-SI"/>
              </w:rPr>
              <w:t xml:space="preserve"> s krožnimi gibi.</w:t>
            </w:r>
          </w:p>
          <w:p w14:paraId="7BCE6875" w14:textId="77777777" w:rsidR="00E04C8A" w:rsidRDefault="008E1817">
            <w:pPr>
              <w:pStyle w:val="a3"/>
              <w:ind w:left="4297" w:hanging="180"/>
              <w:rPr>
                <w:lang w:val="sl-SI"/>
              </w:rPr>
            </w:pPr>
            <w:r w:rsidRPr="00D14272">
              <w:rPr>
                <w:rFonts w:eastAsia="Times New Roman"/>
                <w:b/>
                <w:bCs/>
                <w:lang w:val="sl-SI"/>
              </w:rPr>
              <w:t>b.</w:t>
            </w:r>
            <w:r w:rsidRPr="00D14272">
              <w:rPr>
                <w:rFonts w:eastAsia="Times New Roman"/>
                <w:lang w:val="sl-SI"/>
              </w:rPr>
              <w:t xml:space="preserve"> Pred injiciranjem počakajte, da se koža posu</w:t>
            </w:r>
            <w:r>
              <w:rPr>
                <w:rFonts w:eastAsia="Times New Roman"/>
                <w:lang w:val="sl-SI"/>
              </w:rPr>
              <w:t>ši.</w:t>
            </w:r>
          </w:p>
          <w:p w14:paraId="388A5D85" w14:textId="77777777" w:rsidR="00E04C8A" w:rsidRDefault="00E04C8A">
            <w:pPr>
              <w:pStyle w:val="a3"/>
              <w:rPr>
                <w:lang w:val="sl-SI"/>
              </w:rPr>
            </w:pPr>
          </w:p>
          <w:p w14:paraId="2F328B76" w14:textId="77777777" w:rsidR="00E04C8A" w:rsidRDefault="00E04C8A">
            <w:pPr>
              <w:pStyle w:val="a3"/>
              <w:rPr>
                <w:lang w:val="sl-SI"/>
              </w:rPr>
            </w:pPr>
          </w:p>
          <w:p w14:paraId="411D0708" w14:textId="77777777" w:rsidR="00E04C8A" w:rsidRDefault="008E1817">
            <w:pPr>
              <w:rPr>
                <w:lang w:val="sl-SI"/>
              </w:rPr>
            </w:pPr>
            <w:r>
              <w:rPr>
                <w:rFonts w:ascii="맑은 고딕" w:eastAsia="맑은 고딕" w:hAnsi="맑은 고딕" w:cs="Arial"/>
                <w:lang w:val="sl-SI"/>
              </w:rPr>
              <w:t>•</w:t>
            </w:r>
            <w:r>
              <w:rPr>
                <w:rFonts w:ascii="Calibri" w:eastAsia="Calibri" w:hAnsi="Calibri" w:cs="Arial"/>
                <w:lang w:val="sl-SI"/>
              </w:rPr>
              <w:t xml:space="preserve"> </w:t>
            </w:r>
            <w:r>
              <w:rPr>
                <w:rFonts w:ascii="Times New Roman" w:eastAsia="Times New Roman" w:hAnsi="Times New Roman" w:cs="Times New Roman"/>
                <w:lang w:val="sl-SI"/>
              </w:rPr>
              <w:t>Pred injiciranjem zdravila na mesto injiciranja</w:t>
            </w:r>
            <w:r>
              <w:rPr>
                <w:rFonts w:ascii="맑은 고딕" w:eastAsia="맑은 고딕" w:hAnsi="맑은 고딕" w:cs="Arial"/>
                <w:lang w:val="sl-SI"/>
              </w:rPr>
              <w:t xml:space="preserve"> </w:t>
            </w:r>
            <w:r>
              <w:rPr>
                <w:rFonts w:ascii="Times New Roman" w:eastAsia="맑은 고딕" w:hAnsi="Times New Roman" w:cs="Times New Roman"/>
                <w:b/>
                <w:bCs/>
                <w:lang w:val="sl-SI"/>
              </w:rPr>
              <w:t>ne</w:t>
            </w:r>
            <w:r>
              <w:rPr>
                <w:rFonts w:ascii="Times New Roman" w:eastAsia="Times New Roman" w:hAnsi="Times New Roman" w:cs="Times New Roman"/>
                <w:lang w:val="sl-SI"/>
              </w:rPr>
              <w:t xml:space="preserve"> pihajte in se ga ne dotikajte</w:t>
            </w:r>
            <w:r>
              <w:rPr>
                <w:rFonts w:ascii="맑은 고딕" w:eastAsia="맑은 고딕" w:hAnsi="맑은 고딕" w:cs="Arial"/>
                <w:lang w:val="sl-SI"/>
              </w:rPr>
              <w:t xml:space="preserve"> </w:t>
            </w:r>
            <w:r>
              <w:rPr>
                <w:rFonts w:ascii="Times New Roman" w:eastAsia="Times New Roman" w:hAnsi="Times New Roman" w:cs="Times New Roman"/>
                <w:lang w:val="sl-SI"/>
              </w:rPr>
              <w:t>ponovno.</w:t>
            </w:r>
          </w:p>
        </w:tc>
      </w:tr>
      <w:tr w:rsidR="00E04C8A" w:rsidRPr="003138FB" w14:paraId="3497DE1E" w14:textId="77777777" w:rsidTr="009746C7">
        <w:trPr>
          <w:trHeight w:val="5669"/>
        </w:trPr>
        <w:tc>
          <w:tcPr>
            <w:tcW w:w="9351" w:type="dxa"/>
          </w:tcPr>
          <w:p w14:paraId="0499DA26" w14:textId="0E763472" w:rsidR="00E04C8A" w:rsidRDefault="009746C7">
            <w:pPr>
              <w:ind w:left="104"/>
              <w:rPr>
                <w:rFonts w:ascii="Times New Roman" w:eastAsia="Times New Roman" w:hAnsi="Times New Roman" w:cs="Times New Roman"/>
                <w:b/>
                <w:bCs/>
                <w:spacing w:val="-1"/>
                <w:lang w:val="sl-SI"/>
              </w:rPr>
            </w:pPr>
            <w:r>
              <w:rPr>
                <w:noProof/>
                <w:lang w:eastAsia="ko-KR"/>
              </w:rPr>
              <mc:AlternateContent>
                <mc:Choice Requires="wpg">
                  <w:drawing>
                    <wp:anchor distT="0" distB="0" distL="114300" distR="114300" simplePos="0" relativeHeight="251658252" behindDoc="0" locked="0" layoutInCell="1" allowOverlap="1" wp14:anchorId="3BFE09BF" wp14:editId="39CFC0FD">
                      <wp:simplePos x="0" y="0"/>
                      <wp:positionH relativeFrom="column">
                        <wp:posOffset>10795</wp:posOffset>
                      </wp:positionH>
                      <wp:positionV relativeFrom="paragraph">
                        <wp:posOffset>135890</wp:posOffset>
                      </wp:positionV>
                      <wp:extent cx="2119630" cy="2758440"/>
                      <wp:effectExtent l="0" t="0" r="0" b="3810"/>
                      <wp:wrapSquare wrapText="bothSides"/>
                      <wp:docPr id="53" name="그룹 53"/>
                      <wp:cNvGraphicFramePr/>
                      <a:graphic xmlns:a="http://schemas.openxmlformats.org/drawingml/2006/main">
                        <a:graphicData uri="http://schemas.microsoft.com/office/word/2010/wordprocessingGroup">
                          <wpg:wgp>
                            <wpg:cNvGrpSpPr/>
                            <wpg:grpSpPr>
                              <a:xfrm>
                                <a:off x="0" y="0"/>
                                <a:ext cx="2119630" cy="2758440"/>
                                <a:chOff x="0" y="0"/>
                                <a:chExt cx="2120045" cy="2758687"/>
                              </a:xfrm>
                            </wpg:grpSpPr>
                            <pic:pic xmlns:pic="http://schemas.openxmlformats.org/drawingml/2006/picture">
                              <pic:nvPicPr>
                                <pic:cNvPr id="61" name="그림 61"/>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bwMode="auto">
                                <a:xfrm>
                                  <a:off x="0" y="0"/>
                                  <a:ext cx="2120045" cy="2599937"/>
                                </a:xfrm>
                                <a:prstGeom prst="rect">
                                  <a:avLst/>
                                </a:prstGeom>
                                <a:noFill/>
                                <a:ln>
                                  <a:noFill/>
                                </a:ln>
                              </pic:spPr>
                            </pic:pic>
                            <wps:wsp>
                              <wps:cNvPr id="52" name="Text Box 52"/>
                              <wps:cNvSpPr txBox="1"/>
                              <wps:spPr>
                                <a:xfrm>
                                  <a:off x="1358867" y="2612637"/>
                                  <a:ext cx="719758" cy="146050"/>
                                </a:xfrm>
                                <a:prstGeom prst="rect">
                                  <a:avLst/>
                                </a:prstGeom>
                                <a:solidFill>
                                  <a:prstClr val="white"/>
                                </a:solidFill>
                                <a:ln>
                                  <a:noFill/>
                                </a:ln>
                              </wps:spPr>
                              <wps:txbx>
                                <w:txbxContent>
                                  <w:p w14:paraId="304EC0D4"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BFE09BF" id="그룹 53" o:spid="_x0000_s1074" style="position:absolute;left:0;text-align:left;margin-left:.85pt;margin-top:10.7pt;width:166.9pt;height:217.2pt;z-index:251658252;mso-width-relative:margin;mso-height-relative:margin" coordsize="21200,2758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">
                      <v:shape id="그림 61" o:spid="_x0000_s1075" type="#_x0000_t75" style="position:absolute;width:21200;height:25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">
                        <v:imagedata r:id="rId47" o:title=""/>
                      </v:shape>
                      <v:shape id="Text Box 52" o:spid="_x0000_s1076" type="#_x0000_t202" style="position:absolute;left:13588;top:26126;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" stroked="f">
                        <v:textbox style="mso-fit-shape-to-text:t" inset="0,0,0,0">
                          <w:txbxContent>
                            <w:p w14:paraId="304EC0D4"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H</w:t>
                              </w:r>
                            </w:p>
                          </w:txbxContent>
                        </v:textbox>
                      </v:shape>
                      <w10:wrap type="square"/>
                    </v:group>
                  </w:pict>
                </mc:Fallback>
              </mc:AlternateContent>
            </w:r>
          </w:p>
          <w:p w14:paraId="073A2E87" w14:textId="5B45590D" w:rsidR="00E04C8A" w:rsidRDefault="00E04C8A">
            <w:pPr>
              <w:pStyle w:val="Default"/>
              <w:rPr>
                <w:lang w:val="sl-SI"/>
              </w:rPr>
            </w:pPr>
          </w:p>
          <w:p w14:paraId="5E17B244" w14:textId="77777777" w:rsidR="00E04C8A" w:rsidRDefault="008E1817">
            <w:pPr>
              <w:pStyle w:val="a3"/>
              <w:numPr>
                <w:ilvl w:val="0"/>
                <w:numId w:val="22"/>
              </w:numPr>
              <w:rPr>
                <w:lang w:val="sl-SI"/>
              </w:rPr>
            </w:pPr>
            <w:r>
              <w:rPr>
                <w:rFonts w:eastAsia="Times New Roman"/>
                <w:b/>
                <w:bCs/>
                <w:lang w:val="sl-SI"/>
              </w:rPr>
              <w:t>Odstranite pokrovček</w:t>
            </w:r>
          </w:p>
          <w:p w14:paraId="4E1ECC42" w14:textId="77777777" w:rsidR="00E04C8A" w:rsidRDefault="00E04C8A">
            <w:pPr>
              <w:pStyle w:val="a3"/>
              <w:numPr>
                <w:ilvl w:val="0"/>
                <w:numId w:val="0"/>
              </w:numPr>
              <w:ind w:left="471"/>
              <w:rPr>
                <w:lang w:val="sl-SI"/>
              </w:rPr>
            </w:pPr>
          </w:p>
          <w:p w14:paraId="0E8ED134" w14:textId="77777777" w:rsidR="00E04C8A" w:rsidRDefault="008E1817">
            <w:pPr>
              <w:pStyle w:val="a3"/>
              <w:ind w:left="4297" w:hanging="180"/>
              <w:rPr>
                <w:lang w:val="sl-SI"/>
              </w:rPr>
            </w:pPr>
            <w:r>
              <w:rPr>
                <w:rFonts w:eastAsia="Times New Roman"/>
                <w:b/>
                <w:bCs/>
                <w:lang w:val="sl-SI"/>
              </w:rPr>
              <w:t>a</w:t>
            </w:r>
            <w:r>
              <w:rPr>
                <w:rFonts w:eastAsia="Times New Roman"/>
                <w:lang w:val="sl-SI"/>
              </w:rPr>
              <w:t xml:space="preserve">. Odstranite pokrovček, tako da držite telo napolnjene injekcijske brizge z eno roko. Pokrovček z drugo roko nežno povlecite ravno navzdol. </w:t>
            </w:r>
          </w:p>
          <w:p w14:paraId="17FC6779" w14:textId="77777777" w:rsidR="00E04C8A" w:rsidRDefault="00E04C8A">
            <w:pPr>
              <w:pStyle w:val="a3"/>
              <w:rPr>
                <w:lang w:val="sl-SI"/>
              </w:rPr>
            </w:pPr>
          </w:p>
          <w:p w14:paraId="491A4D8C" w14:textId="77777777" w:rsidR="00E04C8A" w:rsidRDefault="008E1817">
            <w:pPr>
              <w:pStyle w:val="a3"/>
              <w:numPr>
                <w:ilvl w:val="0"/>
                <w:numId w:val="19"/>
              </w:numPr>
              <w:ind w:left="4297"/>
              <w:rPr>
                <w:lang w:val="sl-SI"/>
              </w:rPr>
            </w:pPr>
            <w:r>
              <w:rPr>
                <w:rFonts w:eastAsia="Times New Roman"/>
                <w:b/>
                <w:bCs/>
                <w:lang w:val="sl-SI"/>
              </w:rPr>
              <w:t>Ne</w:t>
            </w:r>
            <w:r>
              <w:rPr>
                <w:rFonts w:eastAsia="Times New Roman"/>
                <w:lang w:val="sl-SI"/>
              </w:rPr>
              <w:t xml:space="preserve"> odstranjujte pokrovčka, dokler niste pripravljeni na injiciranje. </w:t>
            </w:r>
          </w:p>
          <w:p w14:paraId="111DBD5E" w14:textId="77777777" w:rsidR="00E04C8A" w:rsidRDefault="00E04C8A">
            <w:pPr>
              <w:pStyle w:val="a3"/>
              <w:numPr>
                <w:ilvl w:val="0"/>
                <w:numId w:val="0"/>
              </w:numPr>
              <w:ind w:left="4297"/>
              <w:rPr>
                <w:lang w:val="sl-SI"/>
              </w:rPr>
            </w:pPr>
          </w:p>
          <w:p w14:paraId="3CF679E5" w14:textId="77777777" w:rsidR="00E04C8A" w:rsidRDefault="008E1817">
            <w:pPr>
              <w:pStyle w:val="a3"/>
              <w:numPr>
                <w:ilvl w:val="0"/>
                <w:numId w:val="19"/>
              </w:numPr>
              <w:ind w:left="4297"/>
              <w:rPr>
                <w:lang w:val="sl-SI"/>
              </w:rPr>
            </w:pPr>
            <w:r>
              <w:rPr>
                <w:rFonts w:eastAsia="Times New Roman"/>
                <w:lang w:val="sl-SI"/>
              </w:rPr>
              <w:t xml:space="preserve">Igle se </w:t>
            </w:r>
            <w:r>
              <w:rPr>
                <w:rFonts w:eastAsia="Times New Roman"/>
                <w:b/>
                <w:bCs/>
                <w:lang w:val="sl-SI"/>
              </w:rPr>
              <w:t>ne</w:t>
            </w:r>
            <w:r>
              <w:rPr>
                <w:rFonts w:eastAsia="Times New Roman"/>
                <w:lang w:val="sl-SI"/>
              </w:rPr>
              <w:t xml:space="preserve"> dotikajte. V nasprotnem primeru lahko pride do poškodbe zaradi vboda z iglo.</w:t>
            </w:r>
            <w:r>
              <w:rPr>
                <w:rFonts w:eastAsia="Times New Roman"/>
                <w:b/>
                <w:bCs/>
                <w:lang w:val="sl-SI"/>
              </w:rPr>
              <w:t xml:space="preserve"> </w:t>
            </w:r>
          </w:p>
          <w:p w14:paraId="56AF0940" w14:textId="77777777" w:rsidR="00E04C8A" w:rsidRDefault="00E04C8A">
            <w:pPr>
              <w:pStyle w:val="a4"/>
              <w:ind w:left="4297"/>
              <w:rPr>
                <w:lang w:val="sl-SI"/>
              </w:rPr>
            </w:pPr>
          </w:p>
          <w:p w14:paraId="1402CBE5" w14:textId="77777777" w:rsidR="00E04C8A" w:rsidRDefault="008E1817">
            <w:pPr>
              <w:pStyle w:val="a3"/>
              <w:numPr>
                <w:ilvl w:val="0"/>
                <w:numId w:val="19"/>
              </w:numPr>
              <w:ind w:left="4297"/>
              <w:rPr>
                <w:lang w:val="sl-SI"/>
              </w:rPr>
            </w:pPr>
            <w:r>
              <w:rPr>
                <w:rFonts w:eastAsia="Times New Roman"/>
                <w:lang w:val="sl-SI"/>
              </w:rPr>
              <w:t xml:space="preserve">Na napolnjeno injekcijsko brizgo </w:t>
            </w:r>
            <w:r>
              <w:rPr>
                <w:rFonts w:eastAsia="Times New Roman"/>
                <w:b/>
                <w:bCs/>
                <w:lang w:val="sl-SI"/>
              </w:rPr>
              <w:t>ne</w:t>
            </w:r>
            <w:r>
              <w:rPr>
                <w:rFonts w:eastAsia="Times New Roman"/>
                <w:lang w:val="sl-SI"/>
              </w:rPr>
              <w:t xml:space="preserve"> natikajte ponovno pokrovčka. Pokrovček takoj zavrzite v vsebnik za ostre predmete.</w:t>
            </w:r>
          </w:p>
          <w:p w14:paraId="24D5D142" w14:textId="77777777" w:rsidR="00566D4D" w:rsidRPr="007C415F" w:rsidRDefault="00566D4D" w:rsidP="00566D4D">
            <w:pPr>
              <w:pStyle w:val="a3"/>
              <w:numPr>
                <w:ilvl w:val="0"/>
                <w:numId w:val="19"/>
              </w:numPr>
              <w:ind w:left="4297"/>
              <w:rPr>
                <w:rFonts w:eastAsia="Times New Roman"/>
                <w:lang w:val="sl-SI"/>
              </w:rPr>
            </w:pPr>
            <w:r w:rsidRPr="007C415F">
              <w:rPr>
                <w:rFonts w:eastAsia="Times New Roman"/>
                <w:lang w:val="sl-SI"/>
              </w:rPr>
              <w:t>Na konici igle lahko vidite kapljico tekočine; to je normalno.</w:t>
            </w:r>
          </w:p>
          <w:p w14:paraId="4A54DC65" w14:textId="77777777" w:rsidR="00E04C8A" w:rsidRPr="00566D4D" w:rsidRDefault="00E04C8A">
            <w:pPr>
              <w:pStyle w:val="a3"/>
              <w:numPr>
                <w:ilvl w:val="0"/>
                <w:numId w:val="0"/>
              </w:numPr>
              <w:ind w:left="1384"/>
              <w:rPr>
                <w:lang w:val="sl-SI" w:eastAsia="ko-KR"/>
              </w:rPr>
            </w:pPr>
          </w:p>
        </w:tc>
      </w:tr>
      <w:tr w:rsidR="00E04C8A" w:rsidRPr="00475A1E" w14:paraId="536B1FE8" w14:textId="77777777" w:rsidTr="009746C7">
        <w:trPr>
          <w:trHeight w:val="6650"/>
        </w:trPr>
        <w:tc>
          <w:tcPr>
            <w:tcW w:w="9351" w:type="dxa"/>
          </w:tcPr>
          <w:p w14:paraId="4130ED0E" w14:textId="77777777" w:rsidR="00E04C8A" w:rsidRDefault="00E04C8A">
            <w:pPr>
              <w:ind w:left="104"/>
              <w:rPr>
                <w:rFonts w:ascii="Times New Roman" w:eastAsia="Times New Roman" w:hAnsi="Times New Roman" w:cs="Times New Roman"/>
                <w:b/>
                <w:bCs/>
                <w:spacing w:val="-1"/>
                <w:lang w:val="sl-SI"/>
              </w:rPr>
            </w:pPr>
          </w:p>
          <w:p w14:paraId="0D0308DB" w14:textId="77777777" w:rsidR="00E04C8A" w:rsidRDefault="00E04C8A">
            <w:pPr>
              <w:ind w:left="104"/>
              <w:rPr>
                <w:rFonts w:ascii="Times New Roman" w:eastAsia="Times New Roman" w:hAnsi="Times New Roman" w:cs="Times New Roman"/>
                <w:lang w:val="sl-SI"/>
              </w:rPr>
            </w:pPr>
          </w:p>
          <w:p w14:paraId="48777A12" w14:textId="77777777" w:rsidR="00E04C8A" w:rsidRDefault="00C60834">
            <w:pPr>
              <w:pStyle w:val="1"/>
              <w:spacing w:before="76"/>
              <w:ind w:left="0" w:right="2736"/>
              <w:rPr>
                <w:rFonts w:eastAsiaTheme="minorEastAsia"/>
                <w:lang w:val="sl-SI" w:eastAsia="ko-KR"/>
              </w:rPr>
            </w:pPr>
            <w:r>
              <w:rPr>
                <w:rFonts w:eastAsiaTheme="minorEastAsia"/>
                <w:noProof/>
                <w:lang w:eastAsia="ko-KR"/>
              </w:rPr>
              <mc:AlternateContent>
                <mc:Choice Requires="wpg">
                  <w:drawing>
                    <wp:anchor distT="0" distB="0" distL="114300" distR="114300" simplePos="0" relativeHeight="251658273" behindDoc="0" locked="0" layoutInCell="1" allowOverlap="1" wp14:anchorId="7E02F694" wp14:editId="3672EA8D">
                      <wp:simplePos x="0" y="0"/>
                      <wp:positionH relativeFrom="column">
                        <wp:posOffset>123825</wp:posOffset>
                      </wp:positionH>
                      <wp:positionV relativeFrom="paragraph">
                        <wp:posOffset>79375</wp:posOffset>
                      </wp:positionV>
                      <wp:extent cx="2181225" cy="3752850"/>
                      <wp:effectExtent l="0" t="0" r="9525" b="0"/>
                      <wp:wrapSquare wrapText="bothSides"/>
                      <wp:docPr id="1050" name="그룹 1050"/>
                      <wp:cNvGraphicFramePr/>
                      <a:graphic xmlns:a="http://schemas.openxmlformats.org/drawingml/2006/main">
                        <a:graphicData uri="http://schemas.microsoft.com/office/word/2010/wordprocessingGroup">
                          <wpg:wgp>
                            <wpg:cNvGrpSpPr/>
                            <wpg:grpSpPr>
                              <a:xfrm>
                                <a:off x="0" y="0"/>
                                <a:ext cx="2181225" cy="3752850"/>
                                <a:chOff x="0" y="0"/>
                                <a:chExt cx="2181225" cy="3752850"/>
                              </a:xfrm>
                            </wpg:grpSpPr>
                            <wpg:grpSp>
                              <wpg:cNvPr id="57" name="그룹 57"/>
                              <wpg:cNvGrpSpPr/>
                              <wpg:grpSpPr>
                                <a:xfrm>
                                  <a:off x="0" y="0"/>
                                  <a:ext cx="2181225" cy="3752850"/>
                                  <a:chOff x="51759" y="0"/>
                                  <a:chExt cx="2181225" cy="3752850"/>
                                </a:xfrm>
                              </wpg:grpSpPr>
                              <pic:pic xmlns:pic="http://schemas.openxmlformats.org/drawingml/2006/picture">
                                <pic:nvPicPr>
                                  <pic:cNvPr id="75" name="그림 75"/>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bwMode="auto">
                                  <a:xfrm>
                                    <a:off x="51759" y="0"/>
                                    <a:ext cx="2181225" cy="3606800"/>
                                  </a:xfrm>
                                  <a:prstGeom prst="rect">
                                    <a:avLst/>
                                  </a:prstGeom>
                                  <a:noFill/>
                                  <a:ln>
                                    <a:noFill/>
                                  </a:ln>
                                </pic:spPr>
                              </pic:pic>
                              <wps:wsp>
                                <wps:cNvPr id="55" name="Text Box 55"/>
                                <wps:cNvSpPr txBox="1"/>
                                <wps:spPr>
                                  <a:xfrm>
                                    <a:off x="1466850" y="3606800"/>
                                    <a:ext cx="719758" cy="146050"/>
                                  </a:xfrm>
                                  <a:prstGeom prst="rect">
                                    <a:avLst/>
                                  </a:prstGeom>
                                  <a:solidFill>
                                    <a:prstClr val="white"/>
                                  </a:solidFill>
                                  <a:ln>
                                    <a:noFill/>
                                  </a:ln>
                                </wps:spPr>
                                <wps:txbx>
                                  <w:txbxContent>
                                    <w:p w14:paraId="68C567C0"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25" name="Text Box 1025"/>
                              <wps:cNvSpPr txBox="1"/>
                              <wps:spPr>
                                <a:xfrm>
                                  <a:off x="20782" y="1691640"/>
                                  <a:ext cx="2114067" cy="28315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D93E07" w14:textId="77777777" w:rsidR="00474DFB" w:rsidRDefault="00474DFB">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sl-SI"/>
                                      </w:rPr>
                                      <w:t>ALI</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7E02F694" id="그룹 1050" o:spid="_x0000_s1077" style="position:absolute;margin-left:9.75pt;margin-top:6.25pt;width:171.75pt;height:295.5pt;z-index:251658273" coordsize="21812,3752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">
                      <v:group id="그룹 57" o:spid="_x0000_s1078" style="position:absolute;width:21812;height:37528" coordorigin="517" coordsize="21812,3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그림 75" o:spid="_x0000_s1079" type="#_x0000_t75" style="position:absolute;left:517;width:21812;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">
                          <v:imagedata r:id="rId49" o:title=""/>
                        </v:shape>
                        <v:shape id="Text Box 55" o:spid="_x0000_s1080" type="#_x0000_t202" style="position:absolute;left:14668;top:36068;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" stroked="f">
                          <v:textbox style="mso-fit-shape-to-text:t" inset="0,0,0,0">
                            <w:txbxContent>
                              <w:p w14:paraId="68C567C0"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I</w:t>
                                </w:r>
                              </w:p>
                            </w:txbxContent>
                          </v:textbox>
                        </v:shape>
                      </v:group>
                      <v:shape id="Text Box 1025" o:spid="_x0000_s1081" type="#_x0000_t202" style="position:absolute;left:207;top:16916;width:21141;height:2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" fillcolor="black [3213]" stroked="f" strokeweight=".5pt">
                        <v:textbox inset="0,0,0,0">
                          <w:txbxContent>
                            <w:p w14:paraId="01D93E07" w14:textId="77777777" w:rsidR="00474DFB" w:rsidRDefault="00474DFB">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sl-SI"/>
                                </w:rPr>
                                <w:t>ALI</w:t>
                              </w:r>
                            </w:p>
                          </w:txbxContent>
                        </v:textbox>
                      </v:shape>
                      <w10:wrap type="square"/>
                    </v:group>
                  </w:pict>
                </mc:Fallback>
              </mc:AlternateContent>
            </w:r>
          </w:p>
          <w:p w14:paraId="2A92ED71" w14:textId="77777777" w:rsidR="00E04C8A" w:rsidRDefault="008E1817">
            <w:pPr>
              <w:pStyle w:val="a3"/>
              <w:numPr>
                <w:ilvl w:val="0"/>
                <w:numId w:val="22"/>
              </w:numPr>
              <w:ind w:left="4297"/>
              <w:rPr>
                <w:b/>
                <w:lang w:val="sl-SI"/>
              </w:rPr>
            </w:pPr>
            <w:r>
              <w:rPr>
                <w:rFonts w:eastAsia="Times New Roman"/>
                <w:b/>
                <w:bCs/>
                <w:lang w:val="sl-SI"/>
              </w:rPr>
              <w:t>Napolnjeno injekcijsko brizgo vstavite v mesto injiciranja.</w:t>
            </w:r>
          </w:p>
          <w:p w14:paraId="61ABC6EA" w14:textId="77777777" w:rsidR="00E04C8A" w:rsidRDefault="00E04C8A">
            <w:pPr>
              <w:pStyle w:val="a3"/>
              <w:numPr>
                <w:ilvl w:val="0"/>
                <w:numId w:val="0"/>
              </w:numPr>
              <w:ind w:left="111"/>
              <w:rPr>
                <w:b/>
                <w:lang w:val="sl-SI"/>
              </w:rPr>
            </w:pPr>
          </w:p>
          <w:p w14:paraId="15FAE80F" w14:textId="77777777" w:rsidR="00E04C8A" w:rsidRDefault="00E04C8A">
            <w:pPr>
              <w:pStyle w:val="a3"/>
              <w:numPr>
                <w:ilvl w:val="0"/>
                <w:numId w:val="0"/>
              </w:numPr>
              <w:ind w:left="111"/>
              <w:rPr>
                <w:b/>
                <w:lang w:val="sl-SI"/>
              </w:rPr>
            </w:pPr>
          </w:p>
          <w:p w14:paraId="55A55440" w14:textId="611446E5" w:rsidR="00E04C8A" w:rsidRDefault="008E1817">
            <w:pPr>
              <w:pStyle w:val="a3"/>
              <w:ind w:left="4297" w:hanging="180"/>
              <w:rPr>
                <w:lang w:val="sl-SI"/>
              </w:rPr>
            </w:pPr>
            <w:r>
              <w:rPr>
                <w:rFonts w:eastAsia="Times New Roman"/>
                <w:b/>
                <w:bCs/>
                <w:lang w:val="sl-SI"/>
              </w:rPr>
              <w:t>a.</w:t>
            </w:r>
            <w:r>
              <w:rPr>
                <w:rFonts w:eastAsia="Times New Roman"/>
                <w:lang w:val="sl-SI"/>
              </w:rPr>
              <w:t xml:space="preserve"> Z eno roko nežno stisnite kožno gubo na mestu injiciranja.</w:t>
            </w:r>
          </w:p>
          <w:p w14:paraId="429DFC0F" w14:textId="77777777" w:rsidR="00E04C8A" w:rsidRDefault="00E04C8A">
            <w:pPr>
              <w:pStyle w:val="a3"/>
              <w:ind w:left="4297" w:hanging="180"/>
              <w:rPr>
                <w:lang w:val="sl-SI"/>
              </w:rPr>
            </w:pPr>
          </w:p>
          <w:p w14:paraId="41DB9900" w14:textId="77777777" w:rsidR="00E04C8A" w:rsidRDefault="008E1817">
            <w:pPr>
              <w:pStyle w:val="a3"/>
              <w:ind w:left="4297" w:hanging="180"/>
              <w:rPr>
                <w:lang w:val="sl-SI"/>
              </w:rPr>
            </w:pPr>
            <w:r>
              <w:rPr>
                <w:rFonts w:eastAsia="Times New Roman"/>
                <w:b/>
                <w:bCs/>
                <w:lang w:val="sl-SI"/>
              </w:rPr>
              <w:t>b.</w:t>
            </w:r>
            <w:r>
              <w:rPr>
                <w:rFonts w:eastAsia="Times New Roman"/>
                <w:lang w:val="sl-SI"/>
              </w:rPr>
              <w:t xml:space="preserve"> Napolnjeno injekcijsko brizgo držite za telo in vstavite iglo do konca v kožno gubo pod kotom 45° s hitrim, kratkim gibom.</w:t>
            </w:r>
          </w:p>
          <w:p w14:paraId="20896EC4" w14:textId="77777777" w:rsidR="00E04C8A" w:rsidRDefault="00E04C8A">
            <w:pPr>
              <w:pStyle w:val="a3"/>
              <w:rPr>
                <w:lang w:val="sl-SI"/>
              </w:rPr>
            </w:pPr>
          </w:p>
        </w:tc>
      </w:tr>
      <w:tr w:rsidR="00E04C8A" w:rsidRPr="00475A1E" w14:paraId="08CEE239" w14:textId="77777777" w:rsidTr="009746C7">
        <w:trPr>
          <w:trHeight w:val="5519"/>
        </w:trPr>
        <w:tc>
          <w:tcPr>
            <w:tcW w:w="9351" w:type="dxa"/>
          </w:tcPr>
          <w:p w14:paraId="4FB3E4CB" w14:textId="2820FCED" w:rsidR="00E04C8A" w:rsidRDefault="009746C7">
            <w:pPr>
              <w:ind w:left="104"/>
              <w:rPr>
                <w:rFonts w:ascii="Times New Roman" w:eastAsia="Times New Roman" w:hAnsi="Times New Roman" w:cs="Times New Roman"/>
                <w:b/>
                <w:bCs/>
                <w:spacing w:val="-1"/>
                <w:lang w:val="sl-SI"/>
              </w:rPr>
            </w:pPr>
            <w:r>
              <w:rPr>
                <w:noProof/>
                <w:lang w:eastAsia="ko-KR"/>
              </w:rPr>
              <mc:AlternateContent>
                <mc:Choice Requires="wpg">
                  <w:drawing>
                    <wp:anchor distT="0" distB="0" distL="114300" distR="114300" simplePos="0" relativeHeight="251658253" behindDoc="0" locked="0" layoutInCell="1" allowOverlap="1" wp14:anchorId="569EBD30" wp14:editId="67F21600">
                      <wp:simplePos x="0" y="0"/>
                      <wp:positionH relativeFrom="column">
                        <wp:posOffset>120015</wp:posOffset>
                      </wp:positionH>
                      <wp:positionV relativeFrom="paragraph">
                        <wp:posOffset>152400</wp:posOffset>
                      </wp:positionV>
                      <wp:extent cx="2186305" cy="2724150"/>
                      <wp:effectExtent l="0" t="0" r="4445" b="0"/>
                      <wp:wrapSquare wrapText="bothSides"/>
                      <wp:docPr id="60" name="그룹 60"/>
                      <wp:cNvGraphicFramePr/>
                      <a:graphic xmlns:a="http://schemas.openxmlformats.org/drawingml/2006/main">
                        <a:graphicData uri="http://schemas.microsoft.com/office/word/2010/wordprocessingGroup">
                          <wpg:wgp>
                            <wpg:cNvGrpSpPr/>
                            <wpg:grpSpPr>
                              <a:xfrm>
                                <a:off x="0" y="0"/>
                                <a:ext cx="2186305" cy="2724150"/>
                                <a:chOff x="0" y="0"/>
                                <a:chExt cx="2186608" cy="2724150"/>
                              </a:xfrm>
                            </wpg:grpSpPr>
                            <pic:pic xmlns:pic="http://schemas.openxmlformats.org/drawingml/2006/picture">
                              <pic:nvPicPr>
                                <pic:cNvPr id="76" name="그림 76"/>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bwMode="auto">
                                <a:xfrm>
                                  <a:off x="0" y="0"/>
                                  <a:ext cx="2185035" cy="2581910"/>
                                </a:xfrm>
                                <a:prstGeom prst="rect">
                                  <a:avLst/>
                                </a:prstGeom>
                                <a:noFill/>
                                <a:ln>
                                  <a:noFill/>
                                </a:ln>
                              </pic:spPr>
                            </pic:pic>
                            <wps:wsp>
                              <wps:cNvPr id="58" name="Text Box 58"/>
                              <wps:cNvSpPr txBox="1"/>
                              <wps:spPr>
                                <a:xfrm>
                                  <a:off x="1466850" y="2578100"/>
                                  <a:ext cx="719758" cy="146050"/>
                                </a:xfrm>
                                <a:prstGeom prst="rect">
                                  <a:avLst/>
                                </a:prstGeom>
                                <a:solidFill>
                                  <a:prstClr val="white"/>
                                </a:solidFill>
                                <a:ln>
                                  <a:noFill/>
                                </a:ln>
                              </wps:spPr>
                              <wps:txbx>
                                <w:txbxContent>
                                  <w:p w14:paraId="1398EBD6"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69EBD30" id="그룹 60" o:spid="_x0000_s1082" style="position:absolute;left:0;text-align:left;margin-left:9.45pt;margin-top:12pt;width:172.15pt;height:214.5pt;z-index:251658253" coordsize="21866,272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">
                      <v:shape id="그림 76" o:spid="_x0000_s1083" type="#_x0000_t75" style="position:absolute;width:21850;height:25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">
                        <v:imagedata r:id="rId51" o:title=""/>
                      </v:shape>
                      <v:shape id="Text Box 58" o:spid="_x0000_s1084" type="#_x0000_t202" style="position:absolute;left:14668;top:25781;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" stroked="f">
                        <v:textbox style="mso-fit-shape-to-text:t" inset="0,0,0,0">
                          <w:txbxContent>
                            <w:p w14:paraId="1398EBD6"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J</w:t>
                              </w:r>
                            </w:p>
                          </w:txbxContent>
                        </v:textbox>
                      </v:shape>
                      <w10:wrap type="square"/>
                    </v:group>
                  </w:pict>
                </mc:Fallback>
              </mc:AlternateContent>
            </w:r>
          </w:p>
          <w:p w14:paraId="0EB93325" w14:textId="77777777" w:rsidR="00E04C8A" w:rsidRDefault="00E04C8A">
            <w:pPr>
              <w:pStyle w:val="Default"/>
              <w:rPr>
                <w:lang w:val="sl-SI"/>
              </w:rPr>
            </w:pPr>
          </w:p>
          <w:p w14:paraId="71EBCB16" w14:textId="77777777" w:rsidR="00E04C8A" w:rsidRDefault="008E1817">
            <w:pPr>
              <w:pStyle w:val="a3"/>
              <w:numPr>
                <w:ilvl w:val="0"/>
                <w:numId w:val="22"/>
              </w:numPr>
              <w:rPr>
                <w:lang w:val="sl-SI"/>
              </w:rPr>
            </w:pPr>
            <w:r>
              <w:rPr>
                <w:rFonts w:eastAsia="Times New Roman"/>
                <w:b/>
                <w:bCs/>
                <w:lang w:val="sl-SI"/>
              </w:rPr>
              <w:t>Dajte si injekcijo</w:t>
            </w:r>
          </w:p>
          <w:p w14:paraId="7DDAF11E" w14:textId="77777777" w:rsidR="00E04C8A" w:rsidRDefault="00E04C8A">
            <w:pPr>
              <w:pStyle w:val="a3"/>
              <w:rPr>
                <w:lang w:val="sl-SI"/>
              </w:rPr>
            </w:pPr>
          </w:p>
          <w:p w14:paraId="5360FBEA" w14:textId="77777777" w:rsidR="00E04C8A" w:rsidRDefault="008E1817">
            <w:pPr>
              <w:pStyle w:val="a3"/>
              <w:ind w:left="4297" w:hanging="180"/>
              <w:rPr>
                <w:lang w:val="sl-SI"/>
              </w:rPr>
            </w:pPr>
            <w:r>
              <w:rPr>
                <w:rFonts w:eastAsia="Times New Roman"/>
                <w:b/>
                <w:bCs/>
                <w:lang w:val="sl-SI"/>
              </w:rPr>
              <w:t>a.</w:t>
            </w:r>
            <w:r>
              <w:rPr>
                <w:rFonts w:eastAsia="Times New Roman"/>
                <w:lang w:val="sl-SI"/>
              </w:rPr>
              <w:t xml:space="preserve"> Ko iglo vstavite, spustite kožno gubo.</w:t>
            </w:r>
          </w:p>
          <w:p w14:paraId="4AAD2F20" w14:textId="77777777" w:rsidR="00E04C8A" w:rsidRDefault="008E1817">
            <w:pPr>
              <w:pStyle w:val="a3"/>
              <w:ind w:left="4297" w:hanging="180"/>
              <w:rPr>
                <w:lang w:val="sl-SI"/>
              </w:rPr>
            </w:pPr>
            <w:r>
              <w:rPr>
                <w:rFonts w:eastAsia="Times New Roman"/>
                <w:b/>
                <w:bCs/>
                <w:lang w:val="sl-SI"/>
              </w:rPr>
              <w:t>b.</w:t>
            </w:r>
            <w:r>
              <w:rPr>
                <w:rFonts w:eastAsia="Times New Roman"/>
                <w:lang w:val="sl-SI"/>
              </w:rPr>
              <w:t xml:space="preserve"> Počasi potisnite bat do konca, dokler ne injicirate celotne tekočine in je brizga prazna.</w:t>
            </w:r>
          </w:p>
          <w:p w14:paraId="70F5C6C6" w14:textId="77777777" w:rsidR="00E04C8A" w:rsidRDefault="00E04C8A">
            <w:pPr>
              <w:pStyle w:val="a3"/>
              <w:rPr>
                <w:lang w:val="sl-SI"/>
              </w:rPr>
            </w:pPr>
          </w:p>
          <w:p w14:paraId="1FD78634" w14:textId="77777777" w:rsidR="00E04C8A" w:rsidRDefault="00E04C8A">
            <w:pPr>
              <w:pStyle w:val="a3"/>
              <w:rPr>
                <w:lang w:val="sl-SI"/>
              </w:rPr>
            </w:pPr>
          </w:p>
          <w:p w14:paraId="2A443E80" w14:textId="7F41B7FD" w:rsidR="00E04C8A" w:rsidRDefault="008E1817">
            <w:pPr>
              <w:pStyle w:val="a3"/>
              <w:rPr>
                <w:lang w:val="sl-SI"/>
              </w:rPr>
            </w:pPr>
            <w:r>
              <w:rPr>
                <w:rFonts w:ascii="맑은 고딕" w:eastAsia="맑은 고딕" w:hAnsi="맑은 고딕"/>
                <w:lang w:val="sl-SI"/>
              </w:rPr>
              <w:t>•</w:t>
            </w:r>
            <w:r>
              <w:rPr>
                <w:rFonts w:eastAsia="Times New Roman"/>
                <w:lang w:val="sl-SI"/>
              </w:rPr>
              <w:t xml:space="preserve"> </w:t>
            </w:r>
            <w:r>
              <w:rPr>
                <w:rFonts w:eastAsia="Times New Roman"/>
                <w:bCs/>
                <w:lang w:val="sl-SI"/>
              </w:rPr>
              <w:t>Po začetku</w:t>
            </w:r>
            <w:r>
              <w:rPr>
                <w:rFonts w:eastAsia="Times New Roman"/>
                <w:b/>
                <w:bCs/>
                <w:lang w:val="sl-SI"/>
              </w:rPr>
              <w:t xml:space="preserve"> </w:t>
            </w:r>
            <w:r>
              <w:rPr>
                <w:rFonts w:eastAsia="맑은 고딕"/>
                <w:lang w:val="sl-SI"/>
              </w:rPr>
              <w:t xml:space="preserve">injiciranja </w:t>
            </w:r>
            <w:r>
              <w:rPr>
                <w:rFonts w:eastAsia="맑은 고딕"/>
                <w:b/>
                <w:lang w:val="sl-SI"/>
              </w:rPr>
              <w:t>ne</w:t>
            </w:r>
            <w:r>
              <w:rPr>
                <w:rFonts w:eastAsia="Times New Roman"/>
                <w:lang w:val="sl-SI"/>
              </w:rPr>
              <w:t xml:space="preserve"> spreminjajte položaja napolnjene injekcijske brizge.</w:t>
            </w:r>
          </w:p>
          <w:p w14:paraId="171E8487" w14:textId="77777777" w:rsidR="00E04C8A" w:rsidRDefault="008E1817">
            <w:pPr>
              <w:pStyle w:val="a3"/>
              <w:rPr>
                <w:lang w:val="sl-SI" w:eastAsia="ko-KR"/>
              </w:rPr>
            </w:pPr>
            <w:r>
              <w:rPr>
                <w:color w:val="211D1E"/>
                <w:sz w:val="20"/>
                <w:szCs w:val="20"/>
                <w:lang w:val="sl-SI"/>
              </w:rPr>
              <w:t xml:space="preserve"> </w:t>
            </w:r>
          </w:p>
        </w:tc>
      </w:tr>
      <w:tr w:rsidR="00E04C8A" w14:paraId="3F013D1C" w14:textId="77777777" w:rsidTr="009746C7">
        <w:trPr>
          <w:trHeight w:val="5374"/>
        </w:trPr>
        <w:tc>
          <w:tcPr>
            <w:tcW w:w="9351" w:type="dxa"/>
          </w:tcPr>
          <w:p w14:paraId="03C95A82" w14:textId="77777777" w:rsidR="00E04C8A" w:rsidRDefault="00E04C8A">
            <w:pPr>
              <w:ind w:left="104"/>
              <w:rPr>
                <w:rFonts w:ascii="Times New Roman" w:eastAsia="Times New Roman" w:hAnsi="Times New Roman" w:cs="Times New Roman"/>
                <w:b/>
                <w:bCs/>
                <w:spacing w:val="-1"/>
                <w:lang w:val="sl-SI"/>
              </w:rPr>
            </w:pPr>
          </w:p>
          <w:p w14:paraId="5EA1F0BC" w14:textId="77777777" w:rsidR="00E04C8A" w:rsidRDefault="00E04C8A">
            <w:pPr>
              <w:rPr>
                <w:rFonts w:ascii="Times New Roman" w:eastAsia="Times New Roman" w:hAnsi="Times New Roman" w:cs="Times New Roman"/>
                <w:lang w:val="sl-SI"/>
              </w:rPr>
            </w:pPr>
          </w:p>
          <w:p w14:paraId="059D4F64" w14:textId="77777777" w:rsidR="00E04C8A" w:rsidRDefault="008E1817">
            <w:pPr>
              <w:pStyle w:val="a3"/>
              <w:rPr>
                <w:lang w:val="sl-SI"/>
              </w:rPr>
            </w:pPr>
            <w:r>
              <w:rPr>
                <w:noProof/>
                <w:lang w:eastAsia="ko-KR"/>
              </w:rPr>
              <w:drawing>
                <wp:anchor distT="0" distB="0" distL="114300" distR="114300" simplePos="0" relativeHeight="251658262" behindDoc="0" locked="0" layoutInCell="1" allowOverlap="1" wp14:anchorId="2121857F" wp14:editId="23FE82D6">
                  <wp:simplePos x="0" y="0"/>
                  <wp:positionH relativeFrom="column">
                    <wp:posOffset>67945</wp:posOffset>
                  </wp:positionH>
                  <wp:positionV relativeFrom="paragraph">
                    <wp:posOffset>66040</wp:posOffset>
                  </wp:positionV>
                  <wp:extent cx="2028190" cy="2503805"/>
                  <wp:effectExtent l="19050" t="19050" r="10160" b="10795"/>
                  <wp:wrapSquare wrapText="bothSides"/>
                  <wp:docPr id="50" name="그림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41769" name="Figure K.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28190" cy="2503805"/>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7EFB62CD" w14:textId="77777777" w:rsidR="00E04C8A" w:rsidRDefault="008E1817">
            <w:pPr>
              <w:pStyle w:val="a3"/>
              <w:numPr>
                <w:ilvl w:val="0"/>
                <w:numId w:val="22"/>
              </w:numPr>
              <w:ind w:left="4297" w:hanging="540"/>
              <w:rPr>
                <w:b/>
                <w:lang w:val="sl-SI"/>
              </w:rPr>
            </w:pPr>
            <w:r>
              <w:rPr>
                <w:rFonts w:eastAsia="Times New Roman"/>
                <w:b/>
                <w:bCs/>
                <w:lang w:val="sl-SI"/>
              </w:rPr>
              <w:t>Napolnjeno injekcijsko brizgo odstranite iz mesta injiciranja in poskrbite za mesto injiciranja</w:t>
            </w:r>
            <w:r>
              <w:rPr>
                <w:rFonts w:eastAsia="Times New Roman"/>
                <w:lang w:val="sl-SI"/>
              </w:rPr>
              <w:t xml:space="preserve"> </w:t>
            </w:r>
          </w:p>
          <w:p w14:paraId="0D0A4A83" w14:textId="77777777" w:rsidR="00E04C8A" w:rsidRDefault="00E04C8A">
            <w:pPr>
              <w:pStyle w:val="a3"/>
              <w:numPr>
                <w:ilvl w:val="0"/>
                <w:numId w:val="0"/>
              </w:numPr>
              <w:ind w:left="471"/>
              <w:rPr>
                <w:b/>
                <w:lang w:val="sl-SI"/>
              </w:rPr>
            </w:pPr>
          </w:p>
          <w:p w14:paraId="5ED936C4" w14:textId="77777777" w:rsidR="00E04C8A" w:rsidRDefault="008E1817">
            <w:pPr>
              <w:pStyle w:val="a3"/>
              <w:ind w:left="4117" w:hanging="180"/>
              <w:rPr>
                <w:lang w:val="sl-SI"/>
              </w:rPr>
            </w:pPr>
            <w:r>
              <w:rPr>
                <w:rFonts w:eastAsia="Times New Roman"/>
                <w:b/>
                <w:bCs/>
                <w:lang w:val="sl-SI"/>
              </w:rPr>
              <w:t>a.</w:t>
            </w:r>
            <w:r>
              <w:rPr>
                <w:rFonts w:eastAsia="Times New Roman"/>
                <w:lang w:val="sl-SI"/>
              </w:rPr>
              <w:t xml:space="preserve"> Ko je napolnjena injekcijska brizga prazna, odstranite napolnjeno injekcijsko brizgo iz kože pod istim kotom, kot ste jo vstavili.</w:t>
            </w:r>
          </w:p>
          <w:p w14:paraId="4E16D95D" w14:textId="77777777" w:rsidR="00E04C8A" w:rsidRDefault="008E1817">
            <w:pPr>
              <w:pStyle w:val="a3"/>
              <w:ind w:left="4117" w:hanging="180"/>
              <w:rPr>
                <w:rFonts w:eastAsia="Times New Roman"/>
                <w:lang w:val="sl-SI"/>
              </w:rPr>
            </w:pPr>
            <w:r>
              <w:rPr>
                <w:rFonts w:eastAsia="Times New Roman"/>
                <w:b/>
                <w:bCs/>
                <w:lang w:val="sl-SI"/>
              </w:rPr>
              <w:t>b.</w:t>
            </w:r>
            <w:r>
              <w:rPr>
                <w:rFonts w:eastAsia="Times New Roman"/>
                <w:lang w:val="sl-SI"/>
              </w:rPr>
              <w:t>Na mesto injiciranja nežno pritisnite (ne drgnite) z vato ali gazo in po potrebi namestite lepilni povoj. Pojavi se lahko rahla krvavitev.</w:t>
            </w:r>
          </w:p>
          <w:p w14:paraId="5D9DAEA8" w14:textId="77777777" w:rsidR="00E04C8A" w:rsidRDefault="00E04C8A">
            <w:pPr>
              <w:pStyle w:val="a3"/>
              <w:rPr>
                <w:lang w:val="sl-SI"/>
              </w:rPr>
            </w:pPr>
          </w:p>
          <w:p w14:paraId="05425620" w14:textId="77777777" w:rsidR="00E04C8A" w:rsidRDefault="008E1817">
            <w:pPr>
              <w:pStyle w:val="a3"/>
              <w:rPr>
                <w:lang w:val="sl-SI"/>
              </w:rPr>
            </w:pPr>
            <w:r>
              <w:rPr>
                <w:lang w:val="sl-SI"/>
              </w:rPr>
              <w:t xml:space="preserve"> </w:t>
            </w:r>
          </w:p>
          <w:p w14:paraId="5CEEBD19" w14:textId="77777777" w:rsidR="00E04C8A" w:rsidRDefault="008E1817">
            <w:pPr>
              <w:pStyle w:val="a3"/>
              <w:rPr>
                <w:lang w:val="sl-SI"/>
              </w:rPr>
            </w:pPr>
            <w:r>
              <w:rPr>
                <w:rFonts w:ascii="맑은 고딕" w:eastAsia="맑은 고딕" w:hAnsi="맑은 고딕"/>
                <w:lang w:val="sl-SI"/>
              </w:rPr>
              <w:t>•</w:t>
            </w:r>
            <w:r>
              <w:rPr>
                <w:rFonts w:eastAsia="Times New Roman"/>
                <w:lang w:val="sl-SI"/>
              </w:rPr>
              <w:t xml:space="preserve"> Napolnjene injekcijske brizge</w:t>
            </w:r>
            <w:r>
              <w:rPr>
                <w:rFonts w:eastAsia="맑은 고딕"/>
                <w:lang w:val="sl-SI"/>
              </w:rPr>
              <w:t xml:space="preserve"> </w:t>
            </w:r>
            <w:r>
              <w:rPr>
                <w:rFonts w:eastAsia="맑은 고딕"/>
                <w:b/>
                <w:bCs/>
                <w:lang w:val="sl-SI"/>
              </w:rPr>
              <w:t>ne</w:t>
            </w:r>
            <w:r>
              <w:rPr>
                <w:rFonts w:eastAsia="맑은 고딕"/>
                <w:lang w:val="sl-SI"/>
              </w:rPr>
              <w:t xml:space="preserve"> uporabljajte ponovno</w:t>
            </w:r>
            <w:r>
              <w:rPr>
                <w:rFonts w:eastAsia="Times New Roman"/>
                <w:lang w:val="sl-SI"/>
              </w:rPr>
              <w:t>.</w:t>
            </w:r>
          </w:p>
          <w:p w14:paraId="4DD9601E" w14:textId="77777777" w:rsidR="00E04C8A" w:rsidRDefault="008E1817" w:rsidP="00337BB0">
            <w:pPr>
              <w:pStyle w:val="a3"/>
              <w:ind w:left="3859" w:hangingChars="1754" w:hanging="3859"/>
              <w:rPr>
                <w:lang w:val="sl-SI"/>
              </w:rPr>
            </w:pPr>
            <w:r>
              <w:rPr>
                <w:rFonts w:ascii="맑은 고딕" w:eastAsia="맑은 고딕" w:hAnsi="맑은 고딕"/>
                <w:lang w:val="sl-SI"/>
              </w:rPr>
              <w:t>•</w:t>
            </w:r>
            <w:r>
              <w:rPr>
                <w:rFonts w:eastAsia="Times New Roman"/>
                <w:lang w:val="sl-SI"/>
              </w:rPr>
              <w:t xml:space="preserve"> </w:t>
            </w:r>
            <w:r>
              <w:rPr>
                <w:rFonts w:eastAsia="Times New Roman"/>
                <w:bCs/>
                <w:lang w:val="sl-SI"/>
              </w:rPr>
              <w:t>Igle se</w:t>
            </w:r>
            <w:r>
              <w:rPr>
                <w:rFonts w:eastAsia="Times New Roman"/>
                <w:b/>
                <w:bCs/>
                <w:lang w:val="sl-SI"/>
              </w:rPr>
              <w:t xml:space="preserve"> ne</w:t>
            </w:r>
            <w:r>
              <w:rPr>
                <w:rFonts w:eastAsia="Times New Roman"/>
                <w:lang w:val="sl-SI"/>
              </w:rPr>
              <w:t xml:space="preserve"> dotikajte in pokrovčka ne nameščajte nazaj na iglo.</w:t>
            </w:r>
          </w:p>
          <w:p w14:paraId="2749384A" w14:textId="2B2E1003" w:rsidR="00E04C8A" w:rsidRDefault="008E1817">
            <w:pPr>
              <w:pStyle w:val="a3"/>
              <w:rPr>
                <w:lang w:val="sl-SI"/>
              </w:rPr>
            </w:pPr>
            <w:r>
              <w:rPr>
                <w:noProof/>
                <w:lang w:eastAsia="ko-KR"/>
              </w:rPr>
              <mc:AlternateContent>
                <mc:Choice Requires="wps">
                  <w:drawing>
                    <wp:anchor distT="0" distB="0" distL="114300" distR="114300" simplePos="0" relativeHeight="251658254" behindDoc="0" locked="0" layoutInCell="1" allowOverlap="1" wp14:anchorId="28D01622" wp14:editId="4CB84BC8">
                      <wp:simplePos x="0" y="0"/>
                      <wp:positionH relativeFrom="column">
                        <wp:posOffset>1390650</wp:posOffset>
                      </wp:positionH>
                      <wp:positionV relativeFrom="paragraph">
                        <wp:posOffset>195580</wp:posOffset>
                      </wp:positionV>
                      <wp:extent cx="719758" cy="146050"/>
                      <wp:effectExtent l="0" t="0" r="4445" b="6350"/>
                      <wp:wrapSquare wrapText="bothSides"/>
                      <wp:docPr id="62" name="Text Box 62"/>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3EA43CD7"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D01622" id="Text Box 62" o:spid="_x0000_s1085" type="#_x0000_t202" style="position:absolute;margin-left:109.5pt;margin-top:15.4pt;width:56.65pt;height:11.5pt;z-index:251658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" stroked="f">
                      <v:textbox style="mso-fit-shape-to-text:t" inset="0,0,0,0">
                        <w:txbxContent>
                          <w:p w14:paraId="3EA43CD7"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K</w:t>
                            </w:r>
                          </w:p>
                        </w:txbxContent>
                      </v:textbox>
                      <w10:wrap type="square"/>
                    </v:shape>
                  </w:pict>
                </mc:Fallback>
              </mc:AlternateContent>
            </w:r>
            <w:r>
              <w:rPr>
                <w:rFonts w:ascii="맑은 고딕" w:eastAsia="맑은 고딕" w:hAnsi="맑은 고딕"/>
                <w:lang w:val="sl-SI"/>
              </w:rPr>
              <w:t>•</w:t>
            </w:r>
            <w:r>
              <w:rPr>
                <w:rFonts w:eastAsia="Times New Roman"/>
                <w:lang w:val="sl-SI"/>
              </w:rPr>
              <w:t xml:space="preserve"> Mesta injiciranja</w:t>
            </w:r>
            <w:r>
              <w:rPr>
                <w:rFonts w:eastAsia="맑은 고딕"/>
                <w:lang w:val="sl-SI"/>
              </w:rPr>
              <w:t xml:space="preserve"> </w:t>
            </w:r>
            <w:r>
              <w:rPr>
                <w:rFonts w:eastAsia="맑은 고딕"/>
                <w:b/>
                <w:bCs/>
                <w:lang w:val="sl-SI"/>
              </w:rPr>
              <w:t>ne</w:t>
            </w:r>
            <w:r>
              <w:rPr>
                <w:rFonts w:eastAsia="맑은 고딕"/>
                <w:lang w:val="sl-SI"/>
              </w:rPr>
              <w:t xml:space="preserve"> drgnite</w:t>
            </w:r>
            <w:r>
              <w:rPr>
                <w:rFonts w:ascii="맑은 고딕" w:eastAsia="맑은 고딕" w:hAnsi="맑은 고딕"/>
                <w:lang w:val="sl-SI"/>
              </w:rPr>
              <w:t xml:space="preserve">. </w:t>
            </w:r>
          </w:p>
        </w:tc>
      </w:tr>
      <w:tr w:rsidR="00E04C8A" w:rsidRPr="00475A1E" w14:paraId="78E2F957" w14:textId="77777777" w:rsidTr="009746C7">
        <w:trPr>
          <w:trHeight w:val="4529"/>
        </w:trPr>
        <w:tc>
          <w:tcPr>
            <w:tcW w:w="9351" w:type="dxa"/>
          </w:tcPr>
          <w:p w14:paraId="76766A02" w14:textId="220B5411" w:rsidR="00A769A9" w:rsidRPr="00A10714" w:rsidRDefault="00A769A9" w:rsidP="0030421B">
            <w:pPr>
              <w:pStyle w:val="a3"/>
              <w:numPr>
                <w:ilvl w:val="0"/>
                <w:numId w:val="22"/>
              </w:numPr>
              <w:rPr>
                <w:rFonts w:eastAsia="Times New Roman"/>
                <w:b/>
                <w:bCs/>
                <w:spacing w:val="-1"/>
                <w:lang w:val="sl-SI"/>
              </w:rPr>
            </w:pPr>
            <w:r>
              <w:rPr>
                <w:noProof/>
                <w:lang w:eastAsia="ko-KR"/>
              </w:rPr>
              <w:drawing>
                <wp:anchor distT="0" distB="0" distL="114300" distR="114300" simplePos="0" relativeHeight="251658335" behindDoc="0" locked="0" layoutInCell="1" allowOverlap="1" wp14:anchorId="0BD6D79C" wp14:editId="77D47233">
                  <wp:simplePos x="0" y="0"/>
                  <wp:positionH relativeFrom="column">
                    <wp:posOffset>-24823</wp:posOffset>
                  </wp:positionH>
                  <wp:positionV relativeFrom="paragraph">
                    <wp:posOffset>126365</wp:posOffset>
                  </wp:positionV>
                  <wp:extent cx="2124000" cy="2607123"/>
                  <wp:effectExtent l="19050" t="19050" r="10160" b="22225"/>
                  <wp:wrapSquare wrapText="bothSides"/>
                  <wp:docPr id="3900" name="그림 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1058" name="Figurle L.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24000" cy="2607123"/>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r w:rsidRPr="00FE5F68">
              <w:rPr>
                <w:rFonts w:eastAsia="Times New Roman"/>
                <w:b/>
                <w:bCs/>
                <w:lang w:val="sl-SI"/>
              </w:rPr>
              <w:t>Napolnjeno injekcijsko brizgo zavrzite</w:t>
            </w:r>
          </w:p>
          <w:p w14:paraId="37CDD646" w14:textId="237386E9" w:rsidR="00A769A9" w:rsidRPr="00A10714" w:rsidRDefault="00A769A9" w:rsidP="00A769A9">
            <w:pPr>
              <w:ind w:left="104"/>
              <w:rPr>
                <w:rFonts w:ascii="Times New Roman" w:eastAsia="Times New Roman" w:hAnsi="Times New Roman" w:cs="Times New Roman"/>
                <w:b/>
                <w:bCs/>
                <w:spacing w:val="-1"/>
                <w:lang w:val="sl-SI"/>
              </w:rPr>
            </w:pPr>
          </w:p>
          <w:p w14:paraId="6EA20588" w14:textId="77777777" w:rsidR="00A769A9" w:rsidRDefault="00A769A9" w:rsidP="00A769A9">
            <w:pPr>
              <w:ind w:leftChars="347" w:left="763"/>
              <w:rPr>
                <w:rFonts w:ascii="Times New Roman" w:eastAsia="Times New Roman" w:hAnsi="Times New Roman" w:cs="Times New Roman"/>
                <w:spacing w:val="-1"/>
                <w:lang w:val="sl-SI"/>
              </w:rPr>
            </w:pPr>
            <w:r w:rsidRPr="00FE5F68">
              <w:rPr>
                <w:rFonts w:ascii="Times New Roman" w:eastAsia="Times New Roman" w:hAnsi="Times New Roman" w:cs="Times New Roman" w:hint="eastAsia"/>
                <w:spacing w:val="-1"/>
                <w:lang w:val="sl-SI"/>
              </w:rPr>
              <w:t>•</w:t>
            </w:r>
            <w:r w:rsidRPr="00FE5F68">
              <w:rPr>
                <w:rFonts w:ascii="Times New Roman" w:eastAsia="Times New Roman" w:hAnsi="Times New Roman" w:cs="Times New Roman"/>
                <w:spacing w:val="-1"/>
                <w:lang w:val="sl-SI"/>
              </w:rPr>
              <w:t xml:space="preserve"> Napolnjene injekcijske brizge </w:t>
            </w:r>
            <w:r w:rsidRPr="00A10714">
              <w:rPr>
                <w:rFonts w:ascii="Times New Roman" w:eastAsia="Times New Roman" w:hAnsi="Times New Roman" w:cs="Times New Roman"/>
                <w:b/>
                <w:bCs/>
                <w:spacing w:val="-1"/>
                <w:lang w:val="sl-SI"/>
              </w:rPr>
              <w:t>ne</w:t>
            </w:r>
            <w:r w:rsidRPr="00FE5F68">
              <w:rPr>
                <w:rFonts w:ascii="Times New Roman" w:eastAsia="Times New Roman" w:hAnsi="Times New Roman" w:cs="Times New Roman"/>
                <w:spacing w:val="-1"/>
                <w:lang w:val="sl-SI"/>
              </w:rPr>
              <w:t xml:space="preserve"> zamašite znova.</w:t>
            </w:r>
          </w:p>
          <w:p w14:paraId="58BB24E5" w14:textId="77777777" w:rsidR="00A769A9" w:rsidRPr="00FE5F68" w:rsidRDefault="00A769A9" w:rsidP="00A769A9">
            <w:pPr>
              <w:ind w:leftChars="347" w:left="763"/>
              <w:rPr>
                <w:rFonts w:ascii="Times New Roman" w:eastAsia="Times New Roman" w:hAnsi="Times New Roman" w:cs="Times New Roman"/>
                <w:spacing w:val="-1"/>
                <w:lang w:val="sl-SI"/>
              </w:rPr>
            </w:pPr>
          </w:p>
          <w:p w14:paraId="1E835403" w14:textId="46BE4950" w:rsidR="00A769A9" w:rsidRDefault="00A769A9" w:rsidP="00A769A9">
            <w:pPr>
              <w:pStyle w:val="a3"/>
              <w:numPr>
                <w:ilvl w:val="0"/>
                <w:numId w:val="130"/>
              </w:numPr>
              <w:rPr>
                <w:rFonts w:eastAsia="Times New Roman"/>
                <w:spacing w:val="-1"/>
                <w:lang w:val="sl-SI"/>
              </w:rPr>
            </w:pPr>
            <w:r w:rsidRPr="00FE5F68">
              <w:rPr>
                <w:rFonts w:eastAsia="Times New Roman"/>
                <w:spacing w:val="-1"/>
                <w:lang w:val="sl-SI"/>
              </w:rPr>
              <w:t>Uporabljeno napolnjeno injekcijsko brizgo zavrzite v posebn</w:t>
            </w:r>
            <w:r w:rsidR="00657170">
              <w:rPr>
                <w:rFonts w:eastAsia="Times New Roman"/>
                <w:spacing w:val="-1"/>
                <w:lang w:val="sl-SI"/>
              </w:rPr>
              <w:t>o</w:t>
            </w:r>
            <w:r w:rsidRPr="00FE5F68">
              <w:rPr>
                <w:rFonts w:eastAsia="Times New Roman"/>
                <w:spacing w:val="-1"/>
                <w:lang w:val="sl-SI"/>
              </w:rPr>
              <w:t xml:space="preserve"> posod</w:t>
            </w:r>
            <w:r w:rsidR="00657170">
              <w:rPr>
                <w:rFonts w:eastAsia="Times New Roman"/>
                <w:spacing w:val="-1"/>
                <w:lang w:val="sl-SI"/>
              </w:rPr>
              <w:t>o</w:t>
            </w:r>
            <w:r w:rsidRPr="00FE5F68">
              <w:rPr>
                <w:rFonts w:eastAsia="Times New Roman"/>
                <w:spacing w:val="-1"/>
                <w:lang w:val="sl-SI"/>
              </w:rPr>
              <w:t xml:space="preserve"> za odlaganje ostrih predmetov po navodilih</w:t>
            </w:r>
            <w:r>
              <w:rPr>
                <w:rFonts w:eastAsia="Times New Roman"/>
                <w:spacing w:val="-1"/>
                <w:lang w:val="sl-SI"/>
              </w:rPr>
              <w:t xml:space="preserve"> </w:t>
            </w:r>
            <w:r w:rsidRPr="00FE5F68">
              <w:rPr>
                <w:rFonts w:eastAsia="Times New Roman"/>
                <w:spacing w:val="-1"/>
                <w:lang w:val="sl-SI"/>
              </w:rPr>
              <w:t>svojega zdravnika, medicinske sestre ali farmacevta.</w:t>
            </w:r>
          </w:p>
          <w:p w14:paraId="2F3AC35E" w14:textId="77777777" w:rsidR="00A769A9" w:rsidRDefault="00A769A9" w:rsidP="00A769A9">
            <w:pPr>
              <w:pStyle w:val="a3"/>
              <w:numPr>
                <w:ilvl w:val="0"/>
                <w:numId w:val="0"/>
              </w:numPr>
              <w:ind w:left="4318"/>
              <w:rPr>
                <w:rFonts w:eastAsia="Times New Roman"/>
                <w:spacing w:val="-1"/>
                <w:lang w:val="sl-SI"/>
              </w:rPr>
            </w:pPr>
          </w:p>
          <w:p w14:paraId="7C65C38A" w14:textId="116C7DDE" w:rsidR="00A769A9" w:rsidRPr="00FE5F68" w:rsidRDefault="00A769A9" w:rsidP="00A769A9">
            <w:pPr>
              <w:pStyle w:val="a3"/>
              <w:numPr>
                <w:ilvl w:val="0"/>
                <w:numId w:val="130"/>
              </w:numPr>
              <w:rPr>
                <w:rFonts w:eastAsia="Times New Roman"/>
                <w:spacing w:val="-1"/>
                <w:lang w:val="sl-SI"/>
              </w:rPr>
            </w:pPr>
            <w:r w:rsidRPr="00FE5F68">
              <w:rPr>
                <w:rFonts w:eastAsia="Times New Roman"/>
                <w:lang w:val="sl-SI"/>
              </w:rPr>
              <w:t>Alkoholn</w:t>
            </w:r>
            <w:r w:rsidR="00657170">
              <w:rPr>
                <w:rFonts w:eastAsia="Times New Roman"/>
                <w:lang w:val="sl-SI"/>
              </w:rPr>
              <w:t>o</w:t>
            </w:r>
            <w:r w:rsidRPr="00FE5F68">
              <w:rPr>
                <w:rFonts w:eastAsia="Times New Roman"/>
                <w:lang w:val="sl-SI"/>
              </w:rPr>
              <w:t xml:space="preserve"> blazinic</w:t>
            </w:r>
            <w:r w:rsidR="00657170">
              <w:rPr>
                <w:rFonts w:eastAsia="Times New Roman"/>
                <w:lang w:val="sl-SI"/>
              </w:rPr>
              <w:t>o</w:t>
            </w:r>
            <w:r w:rsidRPr="00FE5F68">
              <w:rPr>
                <w:rFonts w:eastAsia="Times New Roman"/>
                <w:lang w:val="sl-SI"/>
              </w:rPr>
              <w:t xml:space="preserve"> in embalaž</w:t>
            </w:r>
            <w:r w:rsidR="00657170">
              <w:rPr>
                <w:rFonts w:eastAsia="Times New Roman"/>
                <w:lang w:val="sl-SI"/>
              </w:rPr>
              <w:t>o</w:t>
            </w:r>
            <w:r w:rsidRPr="00FE5F68">
              <w:rPr>
                <w:rFonts w:eastAsia="Times New Roman"/>
                <w:lang w:val="sl-SI"/>
              </w:rPr>
              <w:t>lahko odložite med gospodinjske odpadke.</w:t>
            </w:r>
          </w:p>
          <w:p w14:paraId="670B6F87" w14:textId="77777777" w:rsidR="00A769A9" w:rsidRPr="004E4431" w:rsidRDefault="00A769A9" w:rsidP="00A769A9">
            <w:pPr>
              <w:pStyle w:val="a3"/>
              <w:numPr>
                <w:ilvl w:val="0"/>
                <w:numId w:val="0"/>
              </w:numPr>
              <w:rPr>
                <w:rFonts w:eastAsia="Times New Roman"/>
                <w:spacing w:val="-1"/>
                <w:lang w:val="sl-SI"/>
              </w:rPr>
            </w:pPr>
          </w:p>
          <w:p w14:paraId="279ACE24" w14:textId="125813B7" w:rsidR="00E04C8A" w:rsidRDefault="00A769A9" w:rsidP="0030421B">
            <w:pPr>
              <w:ind w:leftChars="147" w:left="323"/>
              <w:rPr>
                <w:rFonts w:ascii="Times New Roman" w:eastAsia="Times New Roman" w:hAnsi="Times New Roman" w:cs="Times New Roman"/>
                <w:b/>
                <w:bCs/>
                <w:spacing w:val="-1"/>
                <w:lang w:val="sl-SI"/>
              </w:rPr>
            </w:pPr>
            <w:r w:rsidRPr="00A10714">
              <w:rPr>
                <w:noProof/>
                <w:lang w:eastAsia="ko-KR"/>
              </w:rPr>
              <mc:AlternateContent>
                <mc:Choice Requires="wps">
                  <w:drawing>
                    <wp:anchor distT="0" distB="0" distL="114300" distR="114300" simplePos="0" relativeHeight="251658334" behindDoc="0" locked="0" layoutInCell="1" allowOverlap="1" wp14:anchorId="404CF388" wp14:editId="63277FD9">
                      <wp:simplePos x="0" y="0"/>
                      <wp:positionH relativeFrom="column">
                        <wp:posOffset>1402715</wp:posOffset>
                      </wp:positionH>
                      <wp:positionV relativeFrom="paragraph">
                        <wp:posOffset>842645</wp:posOffset>
                      </wp:positionV>
                      <wp:extent cx="719758" cy="146050"/>
                      <wp:effectExtent l="0" t="0" r="4445" b="6350"/>
                      <wp:wrapSquare wrapText="bothSides"/>
                      <wp:docPr id="3898" name="Text Box 3898"/>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0712C75A" w14:textId="77777777" w:rsidR="00474DFB" w:rsidRDefault="00474DFB" w:rsidP="00A769A9">
                                  <w:pPr>
                                    <w:pStyle w:val="af0"/>
                                    <w:jc w:val="right"/>
                                    <w:rPr>
                                      <w:rFonts w:ascii="Times New Roman" w:hAnsi="Times New Roman" w:cs="Times New Roman"/>
                                      <w:noProof/>
                                      <w:spacing w:val="-1"/>
                                    </w:rPr>
                                  </w:pPr>
                                  <w:r>
                                    <w:rPr>
                                      <w:rFonts w:ascii="Times New Roman" w:eastAsia="Times New Roman" w:hAnsi="Times New Roman" w:cs="Times New Roman"/>
                                      <w:lang w:val="sl-SI"/>
                                    </w:rPr>
                                    <w:t>Slika 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4CF388" id="Text Box 3898" o:spid="_x0000_s1086" type="#_x0000_t202" style="position:absolute;left:0;text-align:left;margin-left:110.45pt;margin-top:66.35pt;width:56.65pt;height:11.5pt;z-index:25165833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" stroked="f">
                      <v:textbox style="mso-fit-shape-to-text:t" inset="0,0,0,0">
                        <w:txbxContent>
                          <w:p w14:paraId="0712C75A" w14:textId="77777777" w:rsidR="00474DFB" w:rsidRDefault="00474DFB" w:rsidP="00A769A9">
                            <w:pPr>
                              <w:pStyle w:val="af0"/>
                              <w:jc w:val="right"/>
                              <w:rPr>
                                <w:rFonts w:ascii="Times New Roman" w:hAnsi="Times New Roman" w:cs="Times New Roman"/>
                                <w:noProof/>
                                <w:spacing w:val="-1"/>
                              </w:rPr>
                            </w:pPr>
                            <w:r>
                              <w:rPr>
                                <w:rFonts w:ascii="Times New Roman" w:eastAsia="Times New Roman" w:hAnsi="Times New Roman" w:cs="Times New Roman"/>
                                <w:lang w:val="sl-SI"/>
                              </w:rPr>
                              <w:t>Slika L</w:t>
                            </w:r>
                          </w:p>
                        </w:txbxContent>
                      </v:textbox>
                      <w10:wrap type="square"/>
                    </v:shape>
                  </w:pict>
                </mc:Fallback>
              </mc:AlternateContent>
            </w:r>
            <w:r w:rsidRPr="00FE5F68">
              <w:rPr>
                <w:rFonts w:ascii="Times New Roman" w:eastAsia="Times New Roman" w:hAnsi="Times New Roman" w:cs="Times New Roman" w:hint="eastAsia"/>
                <w:spacing w:val="-1"/>
                <w:lang w:val="sl-SI"/>
              </w:rPr>
              <w:t>•</w:t>
            </w:r>
            <w:r w:rsidRPr="00FE5F68">
              <w:rPr>
                <w:rFonts w:ascii="Times New Roman" w:eastAsia="Times New Roman" w:hAnsi="Times New Roman" w:cs="Times New Roman"/>
                <w:spacing w:val="-1"/>
                <w:lang w:val="sl-SI"/>
              </w:rPr>
              <w:t xml:space="preserve"> Vedno imejte napolnjeno injekcijsko brizgo in posebno</w:t>
            </w:r>
            <w:r>
              <w:rPr>
                <w:rFonts w:ascii="Times New Roman" w:eastAsia="Times New Roman" w:hAnsi="Times New Roman" w:cs="Times New Roman"/>
                <w:spacing w:val="-1"/>
                <w:lang w:val="sl-SI"/>
              </w:rPr>
              <w:t xml:space="preserve"> </w:t>
            </w:r>
            <w:r w:rsidRPr="00FE5F68">
              <w:rPr>
                <w:rFonts w:ascii="Times New Roman" w:eastAsia="Times New Roman" w:hAnsi="Times New Roman" w:cs="Times New Roman"/>
                <w:spacing w:val="-1"/>
                <w:lang w:val="sl-SI"/>
              </w:rPr>
              <w:t>posod</w:t>
            </w:r>
            <w:r w:rsidR="00657170">
              <w:rPr>
                <w:rFonts w:ascii="Times New Roman" w:eastAsia="Times New Roman" w:hAnsi="Times New Roman" w:cs="Times New Roman"/>
                <w:spacing w:val="-1"/>
                <w:lang w:val="sl-SI"/>
              </w:rPr>
              <w:t>o</w:t>
            </w:r>
            <w:r w:rsidRPr="00FE5F68">
              <w:rPr>
                <w:rFonts w:ascii="Times New Roman" w:eastAsia="Times New Roman" w:hAnsi="Times New Roman" w:cs="Times New Roman"/>
                <w:spacing w:val="-1"/>
                <w:lang w:val="sl-SI"/>
              </w:rPr>
              <w:t xml:space="preserve"> za odlaganje ostrih predmetov izven dosega</w:t>
            </w:r>
            <w:r>
              <w:rPr>
                <w:rFonts w:ascii="Times New Roman" w:eastAsia="Times New Roman" w:hAnsi="Times New Roman" w:cs="Times New Roman"/>
                <w:spacing w:val="-1"/>
                <w:lang w:val="sl-SI"/>
              </w:rPr>
              <w:t xml:space="preserve"> </w:t>
            </w:r>
            <w:r w:rsidRPr="00FE5F68">
              <w:rPr>
                <w:rFonts w:ascii="Times New Roman" w:eastAsia="Times New Roman" w:hAnsi="Times New Roman" w:cs="Times New Roman"/>
                <w:spacing w:val="-1"/>
                <w:lang w:val="sl-SI"/>
              </w:rPr>
              <w:t>otrok.</w:t>
            </w:r>
          </w:p>
        </w:tc>
      </w:tr>
    </w:tbl>
    <w:p w14:paraId="36847CA3" w14:textId="79763F67" w:rsidR="00E04C8A" w:rsidRDefault="00E04C8A">
      <w:pPr>
        <w:spacing w:line="241" w:lineRule="auto"/>
        <w:rPr>
          <w:lang w:val="sl-SI"/>
        </w:rPr>
      </w:pPr>
    </w:p>
    <w:p w14:paraId="13AE40C6" w14:textId="7F32AD8C" w:rsidR="00E04C8A" w:rsidRDefault="008E1817">
      <w:pPr>
        <w:rPr>
          <w:lang w:val="sl-SI"/>
        </w:rPr>
      </w:pPr>
      <w:r>
        <w:rPr>
          <w:lang w:val="sl-SI"/>
        </w:rPr>
        <w:br w:type="page"/>
      </w:r>
    </w:p>
    <w:p w14:paraId="61455966" w14:textId="61F09EE0" w:rsidR="00E04C8A" w:rsidRDefault="008E1817">
      <w:pPr>
        <w:pStyle w:val="a3"/>
        <w:rPr>
          <w:b/>
          <w:lang w:val="sl-SI"/>
        </w:rPr>
      </w:pPr>
      <w:r w:rsidRPr="008E1817">
        <w:rPr>
          <w:rFonts w:eastAsia="Times New Roman"/>
          <w:b/>
          <w:bCs/>
          <w:highlight w:val="lightGray"/>
          <w:lang w:val="sl-SI"/>
        </w:rPr>
        <w:lastRenderedPageBreak/>
        <w:t xml:space="preserve">Zdravilo Yuflyma napolnjena injekcijska brizga </w:t>
      </w:r>
      <w:r w:rsidR="00E07158">
        <w:rPr>
          <w:rFonts w:eastAsia="Times New Roman"/>
          <w:b/>
          <w:bCs/>
          <w:highlight w:val="lightGray"/>
          <w:lang w:val="sl-SI"/>
        </w:rPr>
        <w:t>s ščitnikom za iglo</w:t>
      </w:r>
    </w:p>
    <w:p w14:paraId="1AC95BCC" w14:textId="675B4E93" w:rsidR="00E04C8A" w:rsidRDefault="0002206D" w:rsidP="00337BB0">
      <w:pPr>
        <w:pStyle w:val="a3"/>
        <w:rPr>
          <w:rFonts w:eastAsia="Times New Roman"/>
          <w:sz w:val="20"/>
          <w:szCs w:val="20"/>
          <w:lang w:val="sl-SI"/>
        </w:rPr>
      </w:pPr>
      <w:r w:rsidRPr="0002206D">
        <w:rPr>
          <w:noProof/>
          <w:lang w:eastAsia="ko-KR"/>
        </w:rPr>
        <mc:AlternateContent>
          <mc:Choice Requires="wps">
            <w:drawing>
              <wp:anchor distT="0" distB="0" distL="114300" distR="114300" simplePos="0" relativeHeight="251658284" behindDoc="0" locked="0" layoutInCell="1" allowOverlap="1" wp14:anchorId="3F5AE482" wp14:editId="28B614DE">
                <wp:simplePos x="0" y="0"/>
                <wp:positionH relativeFrom="column">
                  <wp:posOffset>2908300</wp:posOffset>
                </wp:positionH>
                <wp:positionV relativeFrom="paragraph">
                  <wp:posOffset>2134235</wp:posOffset>
                </wp:positionV>
                <wp:extent cx="723900" cy="356870"/>
                <wp:effectExtent l="0" t="0" r="0" b="5080"/>
                <wp:wrapNone/>
                <wp:docPr id="115"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35687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D0C04CD" w14:textId="4F40A85F" w:rsidR="00474DFB" w:rsidRDefault="00474DFB" w:rsidP="0002206D">
                            <w:pPr>
                              <w:pStyle w:val="af1"/>
                              <w:kinsoku w:val="0"/>
                              <w:overflowPunct w:val="0"/>
                              <w:spacing w:before="0" w:beforeAutospacing="0" w:after="0" w:afterAutospacing="0"/>
                              <w:jc w:val="center"/>
                              <w:textAlignment w:val="baseline"/>
                            </w:pPr>
                            <w:r>
                              <w:rPr>
                                <w:rFonts w:ascii="Times New Roman" w:eastAsiaTheme="minorEastAsia" w:hAnsi="Times New Roman" w:cs="Times New Roman"/>
                                <w:b/>
                                <w:bCs/>
                                <w:color w:val="000000" w:themeColor="text1"/>
                                <w:kern w:val="24"/>
                                <w:sz w:val="20"/>
                                <w:szCs w:val="20"/>
                              </w:rPr>
                              <w:t>Ščitnikom za iglo</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AE482" id="_x0000_s1087" type="#_x0000_t202" style="position:absolute;margin-left:229pt;margin-top:168.05pt;width:57pt;height:28.1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" stroked="f" strokeweight=".5pt">
                <v:textbox inset="0,0,0,0">
                  <w:txbxContent>
                    <w:p w14:paraId="1D0C04CD" w14:textId="4F40A85F" w:rsidR="00474DFB" w:rsidRDefault="00474DFB" w:rsidP="0002206D">
                      <w:pPr>
                        <w:pStyle w:val="af1"/>
                        <w:kinsoku w:val="0"/>
                        <w:overflowPunct w:val="0"/>
                        <w:spacing w:before="0" w:beforeAutospacing="0" w:after="0" w:afterAutospacing="0"/>
                        <w:jc w:val="center"/>
                        <w:textAlignment w:val="baseline"/>
                      </w:pPr>
                      <w:r>
                        <w:rPr>
                          <w:rFonts w:ascii="Times New Roman" w:eastAsiaTheme="minorEastAsia" w:hAnsi="Times New Roman" w:cs="Times New Roman"/>
                          <w:b/>
                          <w:bCs/>
                          <w:color w:val="000000" w:themeColor="text1"/>
                          <w:kern w:val="24"/>
                          <w:sz w:val="20"/>
                          <w:szCs w:val="20"/>
                        </w:rPr>
                        <w:t>Ščitnikom za iglo</w:t>
                      </w:r>
                    </w:p>
                  </w:txbxContent>
                </v:textbox>
              </v:shape>
            </w:pict>
          </mc:Fallback>
        </mc:AlternateContent>
      </w:r>
      <w:r w:rsidRPr="0002206D">
        <w:rPr>
          <w:lang w:val="sl-SI"/>
        </w:rPr>
        <w:t xml:space="preserve"> </w:t>
      </w:r>
      <w:r w:rsidR="00CB6F31" w:rsidRPr="00CB6F31">
        <w:rPr>
          <w:noProof/>
          <w:lang w:eastAsia="ko-KR"/>
        </w:rPr>
        <w:drawing>
          <wp:inline distT="0" distB="0" distL="0" distR="0" wp14:anchorId="73903B21" wp14:editId="7F394B75">
            <wp:extent cx="5884821" cy="4115856"/>
            <wp:effectExtent l="0" t="0" r="0" b="0"/>
            <wp:docPr id="1051"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pic:cNvPicPr>
                      <a:picLocks noChangeAspect="1"/>
                    </pic:cNvPicPr>
                  </pic:nvPicPr>
                  <pic:blipFill>
                    <a:blip r:embed="rId54"/>
                    <a:stretch>
                      <a:fillRect/>
                    </a:stretch>
                  </pic:blipFill>
                  <pic:spPr>
                    <a:xfrm>
                      <a:off x="0" y="0"/>
                      <a:ext cx="5884821" cy="4115856"/>
                    </a:xfrm>
                    <a:prstGeom prst="rect">
                      <a:avLst/>
                    </a:prstGeom>
                  </pic:spPr>
                </pic:pic>
              </a:graphicData>
            </a:graphic>
          </wp:inline>
        </w:drawing>
      </w:r>
    </w:p>
    <w:p w14:paraId="7CED7E50" w14:textId="77777777" w:rsidR="00E04C8A" w:rsidRPr="008E1817" w:rsidRDefault="00E04C8A">
      <w:pPr>
        <w:spacing w:before="10" w:line="240" w:lineRule="exact"/>
        <w:rPr>
          <w:sz w:val="24"/>
          <w:szCs w:val="24"/>
          <w:highlight w:val="lightGray"/>
          <w:lang w:val="sl-SI"/>
        </w:rPr>
      </w:pPr>
    </w:p>
    <w:p w14:paraId="3E13C98F" w14:textId="77777777" w:rsidR="00E04C8A" w:rsidRPr="008E1817" w:rsidRDefault="008E1817">
      <w:pPr>
        <w:pStyle w:val="a3"/>
        <w:rPr>
          <w:b/>
          <w:highlight w:val="lightGray"/>
          <w:lang w:val="sl-SI"/>
        </w:rPr>
      </w:pPr>
      <w:r w:rsidRPr="008E1817">
        <w:rPr>
          <w:rFonts w:eastAsia="Times New Roman"/>
          <w:b/>
          <w:bCs/>
          <w:highlight w:val="lightGray"/>
          <w:lang w:val="sl-SI"/>
        </w:rPr>
        <w:t>Napolnjene injekcijske brizge ne uporabljajte, če:</w:t>
      </w:r>
    </w:p>
    <w:p w14:paraId="18284E97" w14:textId="77777777" w:rsidR="00E04C8A" w:rsidRPr="008E1817" w:rsidRDefault="008E1817">
      <w:pPr>
        <w:pStyle w:val="a3"/>
        <w:numPr>
          <w:ilvl w:val="1"/>
          <w:numId w:val="24"/>
        </w:numPr>
        <w:ind w:left="660" w:hanging="660"/>
        <w:rPr>
          <w:highlight w:val="lightGray"/>
          <w:lang w:val="sl-SI"/>
        </w:rPr>
      </w:pPr>
      <w:r w:rsidRPr="008E1817">
        <w:rPr>
          <w:rFonts w:eastAsia="Times New Roman"/>
          <w:highlight w:val="lightGray"/>
          <w:lang w:val="sl-SI"/>
        </w:rPr>
        <w:t xml:space="preserve">je razpokana ali poškodovana, </w:t>
      </w:r>
    </w:p>
    <w:p w14:paraId="5D5BAFF3" w14:textId="77777777" w:rsidR="00E04C8A" w:rsidRPr="00366D10" w:rsidRDefault="008E1817">
      <w:pPr>
        <w:pStyle w:val="a3"/>
        <w:numPr>
          <w:ilvl w:val="1"/>
          <w:numId w:val="24"/>
        </w:numPr>
        <w:ind w:left="660" w:hanging="660"/>
        <w:rPr>
          <w:highlight w:val="lightGray"/>
          <w:lang w:val="sl-SI"/>
        </w:rPr>
      </w:pPr>
      <w:r w:rsidRPr="008E1817">
        <w:rPr>
          <w:rFonts w:eastAsia="Times New Roman"/>
          <w:highlight w:val="lightGray"/>
          <w:lang w:val="sl-SI"/>
        </w:rPr>
        <w:t xml:space="preserve">je pretekel rok uporabnosti. </w:t>
      </w:r>
    </w:p>
    <w:p w14:paraId="4E6E12F2" w14:textId="3DE64EFD" w:rsidR="00F90CAB" w:rsidRPr="008E1817" w:rsidRDefault="00F90CAB">
      <w:pPr>
        <w:pStyle w:val="a3"/>
        <w:numPr>
          <w:ilvl w:val="1"/>
          <w:numId w:val="24"/>
        </w:numPr>
        <w:ind w:left="660" w:hanging="660"/>
        <w:rPr>
          <w:highlight w:val="lightGray"/>
          <w:lang w:val="sl-SI"/>
        </w:rPr>
      </w:pPr>
      <w:r w:rsidRPr="00366D10">
        <w:rPr>
          <w:rFonts w:eastAsia="Times New Roman"/>
          <w:highlight w:val="lightGray"/>
          <w:lang w:val="sl-SI"/>
        </w:rPr>
        <w:t>je padel na trdo površino.</w:t>
      </w:r>
    </w:p>
    <w:p w14:paraId="2179E6DA" w14:textId="77777777" w:rsidR="00E04C8A" w:rsidRPr="008E1817" w:rsidRDefault="00E04C8A">
      <w:pPr>
        <w:pStyle w:val="Default"/>
        <w:numPr>
          <w:ilvl w:val="2"/>
          <w:numId w:val="21"/>
        </w:numPr>
        <w:ind w:left="360"/>
        <w:rPr>
          <w:color w:val="211D1E"/>
          <w:sz w:val="20"/>
          <w:szCs w:val="20"/>
          <w:highlight w:val="lightGray"/>
          <w:lang w:val="sl-SI"/>
        </w:rPr>
      </w:pPr>
    </w:p>
    <w:p w14:paraId="5C9A1069" w14:textId="40A6B4A2" w:rsidR="00E04C8A" w:rsidRDefault="008E1817">
      <w:pPr>
        <w:pStyle w:val="a3"/>
        <w:rPr>
          <w:b/>
          <w:lang w:val="sl-SI"/>
        </w:rPr>
      </w:pPr>
      <w:r w:rsidRPr="008E1817">
        <w:rPr>
          <w:rFonts w:eastAsia="Times New Roman"/>
          <w:b/>
          <w:bCs/>
          <w:highlight w:val="lightGray"/>
          <w:lang w:val="sl-SI"/>
        </w:rPr>
        <w:t>Pokrovček igle odstranite šele tik pred injiciranjem. Zdravilo Yuflyma shranjujte nedosegljivo otrokom</w:t>
      </w:r>
      <w:r w:rsidR="00CB6F31">
        <w:rPr>
          <w:rFonts w:eastAsia="Times New Roman"/>
          <w:b/>
          <w:bCs/>
          <w:highlight w:val="lightGray"/>
          <w:lang w:val="sl-SI"/>
        </w:rPr>
        <w:t>.</w:t>
      </w:r>
    </w:p>
    <w:p w14:paraId="1D747678" w14:textId="2B3CB53C" w:rsidR="00E04C8A" w:rsidRDefault="00E04C8A">
      <w:pPr>
        <w:rPr>
          <w:rFonts w:ascii="Times New Roman" w:eastAsia="Times New Roman" w:hAnsi="Times New Roman"/>
          <w:b/>
          <w:bCs/>
          <w:spacing w:val="-1"/>
          <w:lang w:val="sl-SI"/>
        </w:rPr>
      </w:pPr>
    </w:p>
    <w:tbl>
      <w:tblPr>
        <w:tblStyle w:val="ac"/>
        <w:tblW w:w="0" w:type="auto"/>
        <w:tblLook w:val="04A0" w:firstRow="1" w:lastRow="0" w:firstColumn="1" w:lastColumn="0" w:noHBand="0" w:noVBand="1"/>
      </w:tblPr>
      <w:tblGrid>
        <w:gridCol w:w="9550"/>
      </w:tblGrid>
      <w:tr w:rsidR="00E04C8A" w:rsidRPr="003138FB" w14:paraId="589FD82D" w14:textId="77777777">
        <w:trPr>
          <w:trHeight w:val="2545"/>
        </w:trPr>
        <w:tc>
          <w:tcPr>
            <w:tcW w:w="9550" w:type="dxa"/>
          </w:tcPr>
          <w:p w14:paraId="2D0AABAE" w14:textId="77777777" w:rsidR="00E04C8A" w:rsidRDefault="00E04C8A">
            <w:pPr>
              <w:spacing w:before="9" w:line="240" w:lineRule="exact"/>
              <w:rPr>
                <w:sz w:val="24"/>
                <w:szCs w:val="24"/>
                <w:lang w:val="sl-SI"/>
              </w:rPr>
            </w:pPr>
          </w:p>
          <w:p w14:paraId="0D690622" w14:textId="77777777" w:rsidR="00E04C8A" w:rsidRPr="008E1817" w:rsidRDefault="008E1817">
            <w:pPr>
              <w:pStyle w:val="a3"/>
              <w:numPr>
                <w:ilvl w:val="0"/>
                <w:numId w:val="23"/>
              </w:numPr>
              <w:ind w:leftChars="100" w:left="580"/>
              <w:rPr>
                <w:b/>
                <w:highlight w:val="lightGray"/>
                <w:lang w:val="sl-SI"/>
              </w:rPr>
            </w:pPr>
            <w:r w:rsidRPr="008E1817">
              <w:rPr>
                <w:rFonts w:eastAsia="Times New Roman"/>
                <w:b/>
                <w:bCs/>
                <w:highlight w:val="lightGray"/>
                <w:lang w:val="sl-SI"/>
              </w:rPr>
              <w:t>Priprava opreme za injiciranje</w:t>
            </w:r>
          </w:p>
          <w:p w14:paraId="111D0A9D" w14:textId="77777777" w:rsidR="00E04C8A" w:rsidRPr="008E1817" w:rsidRDefault="00E04C8A">
            <w:pPr>
              <w:pStyle w:val="a3"/>
              <w:numPr>
                <w:ilvl w:val="0"/>
                <w:numId w:val="0"/>
              </w:numPr>
              <w:ind w:left="580"/>
              <w:rPr>
                <w:b/>
                <w:highlight w:val="lightGray"/>
                <w:lang w:val="sl-SI"/>
              </w:rPr>
            </w:pPr>
          </w:p>
          <w:p w14:paraId="222CEEB8" w14:textId="77777777" w:rsidR="00E04C8A" w:rsidRPr="008E1817" w:rsidRDefault="008E1817">
            <w:pPr>
              <w:pStyle w:val="a3"/>
              <w:ind w:leftChars="181" w:left="605" w:hanging="207"/>
              <w:rPr>
                <w:highlight w:val="lightGray"/>
                <w:lang w:val="sl-SI" w:eastAsia="ko-KR"/>
              </w:rPr>
            </w:pPr>
            <w:r w:rsidRPr="008E1817">
              <w:rPr>
                <w:rFonts w:eastAsia="Times New Roman"/>
                <w:b/>
                <w:bCs/>
                <w:highlight w:val="lightGray"/>
                <w:lang w:val="sl-SI" w:eastAsia="ko-KR"/>
              </w:rPr>
              <w:t>a.</w:t>
            </w:r>
            <w:r w:rsidRPr="008E1817">
              <w:rPr>
                <w:rFonts w:eastAsia="Times New Roman"/>
                <w:highlight w:val="lightGray"/>
                <w:lang w:val="sl-SI" w:eastAsia="ko-KR"/>
              </w:rPr>
              <w:t xml:space="preserve"> Pripravite čisto, ravno površino, kot je miza ali pult, v dobro osvetljenem prostoru.</w:t>
            </w:r>
          </w:p>
          <w:p w14:paraId="30CEDFD6" w14:textId="77777777" w:rsidR="00E04C8A" w:rsidRPr="008E1817" w:rsidRDefault="008E1817">
            <w:pPr>
              <w:pStyle w:val="a3"/>
              <w:ind w:leftChars="181" w:left="605" w:hanging="207"/>
              <w:rPr>
                <w:highlight w:val="lightGray"/>
                <w:lang w:val="sl-SI" w:eastAsia="ko-KR"/>
              </w:rPr>
            </w:pPr>
            <w:r w:rsidRPr="008E1817">
              <w:rPr>
                <w:rFonts w:eastAsia="Times New Roman"/>
                <w:b/>
                <w:bCs/>
                <w:highlight w:val="lightGray"/>
                <w:lang w:val="sl-SI" w:eastAsia="ko-KR"/>
              </w:rPr>
              <w:t>b.</w:t>
            </w:r>
            <w:r w:rsidRPr="008E1817">
              <w:rPr>
                <w:rFonts w:eastAsia="Times New Roman"/>
                <w:highlight w:val="lightGray"/>
                <w:lang w:val="sl-SI" w:eastAsia="ko-KR"/>
              </w:rPr>
              <w:t xml:space="preserve"> Iz škatle, shranjene v hladilniku, vzemite 1 napolnjeno injekcijsko brizgo.</w:t>
            </w:r>
          </w:p>
          <w:p w14:paraId="0B6DEA2A" w14:textId="77777777" w:rsidR="00E04C8A" w:rsidRPr="008E1817" w:rsidRDefault="008E1817">
            <w:pPr>
              <w:pStyle w:val="a3"/>
              <w:ind w:leftChars="300" w:left="660" w:rightChars="100" w:right="220"/>
              <w:rPr>
                <w:highlight w:val="lightGray"/>
                <w:lang w:val="sl-SI" w:eastAsia="ko-KR"/>
              </w:rPr>
            </w:pPr>
            <w:r w:rsidRPr="008E1817">
              <w:rPr>
                <w:rFonts w:ascii="맑은 고딕" w:eastAsia="맑은 고딕" w:hAnsi="맑은 고딕"/>
                <w:highlight w:val="lightGray"/>
                <w:lang w:val="sl-SI" w:eastAsia="ko-KR"/>
              </w:rPr>
              <w:t>•</w:t>
            </w:r>
            <w:r w:rsidRPr="008E1817">
              <w:rPr>
                <w:rFonts w:eastAsia="Times New Roman"/>
                <w:highlight w:val="lightGray"/>
                <w:lang w:val="sl-SI" w:eastAsia="ko-KR"/>
              </w:rPr>
              <w:t xml:space="preserve"> Napolnjeno injekcijsko brizgo držite za telo, ko jo vzamete iz škatle.</w:t>
            </w:r>
            <w:r w:rsidRPr="008E1817">
              <w:rPr>
                <w:rFonts w:eastAsia="Times New Roman"/>
                <w:b/>
                <w:bCs/>
                <w:highlight w:val="lightGray"/>
                <w:lang w:val="sl-SI" w:eastAsia="ko-KR"/>
              </w:rPr>
              <w:t xml:space="preserve"> Ne</w:t>
            </w:r>
            <w:r w:rsidRPr="008E1817">
              <w:rPr>
                <w:rFonts w:eastAsia="Times New Roman"/>
                <w:highlight w:val="lightGray"/>
                <w:lang w:val="sl-SI" w:eastAsia="ko-KR"/>
              </w:rPr>
              <w:t xml:space="preserve"> dotikajte se bata.</w:t>
            </w:r>
          </w:p>
          <w:p w14:paraId="12BD036F" w14:textId="77777777" w:rsidR="00E04C8A" w:rsidRPr="008E1817" w:rsidRDefault="008E1817">
            <w:pPr>
              <w:pStyle w:val="a3"/>
              <w:ind w:leftChars="181" w:left="605" w:hanging="207"/>
              <w:rPr>
                <w:highlight w:val="lightGray"/>
                <w:lang w:val="sl-SI" w:eastAsia="ko-KR"/>
              </w:rPr>
            </w:pPr>
            <w:r w:rsidRPr="008E1817">
              <w:rPr>
                <w:rFonts w:eastAsia="Times New Roman"/>
                <w:b/>
                <w:bCs/>
                <w:highlight w:val="lightGray"/>
                <w:lang w:val="sl-SI" w:eastAsia="ko-KR"/>
              </w:rPr>
              <w:t>c.</w:t>
            </w:r>
            <w:r w:rsidRPr="008E1817">
              <w:rPr>
                <w:rFonts w:eastAsia="Times New Roman"/>
                <w:highlight w:val="lightGray"/>
                <w:lang w:val="sl-SI" w:eastAsia="ko-KR"/>
              </w:rPr>
              <w:t xml:space="preserve"> Prepričajte se, da imate naslednjo opremo:</w:t>
            </w:r>
          </w:p>
          <w:p w14:paraId="7839794F" w14:textId="77777777" w:rsidR="00E04C8A" w:rsidRPr="008E1817" w:rsidRDefault="008E1817">
            <w:pPr>
              <w:pStyle w:val="a3"/>
              <w:ind w:leftChars="337" w:left="741"/>
              <w:rPr>
                <w:highlight w:val="lightGray"/>
                <w:lang w:val="sl-SI" w:eastAsia="ko-KR"/>
              </w:rPr>
            </w:pPr>
            <w:r w:rsidRPr="008E1817">
              <w:rPr>
                <w:rFonts w:eastAsia="Times New Roman"/>
                <w:highlight w:val="lightGray"/>
                <w:lang w:val="sl-SI" w:eastAsia="ko-KR"/>
              </w:rPr>
              <w:t>- Napolnjena injekcijska brizga</w:t>
            </w:r>
          </w:p>
          <w:p w14:paraId="4FEFD08C" w14:textId="77777777" w:rsidR="00E04C8A" w:rsidRPr="008E1817" w:rsidRDefault="008E1817">
            <w:pPr>
              <w:pStyle w:val="a3"/>
              <w:ind w:leftChars="337" w:left="1264" w:hanging="523"/>
              <w:rPr>
                <w:highlight w:val="lightGray"/>
                <w:lang w:val="sl-SI" w:eastAsia="ko-KR"/>
              </w:rPr>
            </w:pPr>
            <w:r w:rsidRPr="008E1817">
              <w:rPr>
                <w:rFonts w:eastAsia="Times New Roman"/>
                <w:highlight w:val="lightGray"/>
                <w:lang w:val="sl-SI" w:eastAsia="ko-KR"/>
              </w:rPr>
              <w:t>- Alkoholni zloženec</w:t>
            </w:r>
          </w:p>
          <w:p w14:paraId="3E2066A6" w14:textId="77777777" w:rsidR="00E04C8A" w:rsidRPr="008E1817" w:rsidRDefault="00E04C8A">
            <w:pPr>
              <w:pStyle w:val="a3"/>
              <w:ind w:leftChars="337" w:left="1264" w:hanging="523"/>
              <w:rPr>
                <w:highlight w:val="lightGray"/>
                <w:lang w:val="sl-SI" w:eastAsia="ko-KR"/>
              </w:rPr>
            </w:pPr>
          </w:p>
          <w:p w14:paraId="7C0EB555" w14:textId="77777777" w:rsidR="00E04C8A" w:rsidRPr="008E1817" w:rsidRDefault="008E1817">
            <w:pPr>
              <w:pStyle w:val="a3"/>
              <w:ind w:left="720"/>
              <w:rPr>
                <w:b/>
                <w:highlight w:val="lightGray"/>
                <w:lang w:val="sl-SI" w:eastAsia="ko-KR"/>
              </w:rPr>
            </w:pPr>
            <w:r w:rsidRPr="008E1817">
              <w:rPr>
                <w:rFonts w:eastAsia="Times New Roman"/>
                <w:b/>
                <w:bCs/>
                <w:highlight w:val="lightGray"/>
                <w:lang w:val="sl-SI" w:eastAsia="ko-KR"/>
              </w:rPr>
              <w:t>Ni priloženo pakiranju:</w:t>
            </w:r>
          </w:p>
          <w:p w14:paraId="5B4F8593" w14:textId="77777777" w:rsidR="00E04C8A" w:rsidRPr="008E1817" w:rsidRDefault="008E1817">
            <w:pPr>
              <w:pStyle w:val="a3"/>
              <w:ind w:left="720"/>
              <w:rPr>
                <w:highlight w:val="lightGray"/>
                <w:lang w:val="sl-SI" w:eastAsia="ko-KR"/>
              </w:rPr>
            </w:pPr>
            <w:r w:rsidRPr="008E1817">
              <w:rPr>
                <w:rFonts w:eastAsia="Times New Roman"/>
                <w:highlight w:val="lightGray"/>
                <w:lang w:val="sl-SI" w:eastAsia="ko-KR"/>
              </w:rPr>
              <w:t>- Bombažna blazinica ali gaza</w:t>
            </w:r>
          </w:p>
          <w:p w14:paraId="14C43072" w14:textId="77777777" w:rsidR="00E04C8A" w:rsidRPr="008E1817" w:rsidRDefault="008E1817">
            <w:pPr>
              <w:pStyle w:val="a3"/>
              <w:ind w:left="720"/>
              <w:rPr>
                <w:highlight w:val="lightGray"/>
                <w:lang w:val="sl-SI" w:eastAsia="ko-KR"/>
              </w:rPr>
            </w:pPr>
            <w:r w:rsidRPr="008E1817">
              <w:rPr>
                <w:rFonts w:eastAsia="Times New Roman"/>
                <w:highlight w:val="lightGray"/>
                <w:lang w:val="sl-SI" w:eastAsia="ko-KR"/>
              </w:rPr>
              <w:t>- Lepilni povoj</w:t>
            </w:r>
          </w:p>
          <w:p w14:paraId="4583494D" w14:textId="77777777" w:rsidR="00E04C8A" w:rsidRDefault="008E1817">
            <w:pPr>
              <w:pStyle w:val="a3"/>
              <w:ind w:left="720"/>
              <w:rPr>
                <w:lang w:val="sl-SI" w:eastAsia="ko-KR"/>
              </w:rPr>
            </w:pPr>
            <w:r w:rsidRPr="008E1817">
              <w:rPr>
                <w:rFonts w:eastAsia="Times New Roman"/>
                <w:highlight w:val="lightGray"/>
                <w:lang w:val="sl-SI" w:eastAsia="ko-KR"/>
              </w:rPr>
              <w:t>- Vsebnik za ostre predmete</w:t>
            </w:r>
          </w:p>
        </w:tc>
      </w:tr>
      <w:tr w:rsidR="00E04C8A" w:rsidRPr="00475A1E" w14:paraId="4DC70556" w14:textId="77777777" w:rsidTr="009746C7">
        <w:trPr>
          <w:trHeight w:val="4592"/>
        </w:trPr>
        <w:tc>
          <w:tcPr>
            <w:tcW w:w="9550" w:type="dxa"/>
          </w:tcPr>
          <w:p w14:paraId="073521F3" w14:textId="77777777" w:rsidR="00E04C8A" w:rsidRDefault="00E04C8A">
            <w:pPr>
              <w:ind w:left="224" w:right="1248"/>
              <w:rPr>
                <w:rFonts w:ascii="Times New Roman" w:eastAsia="Times New Roman" w:hAnsi="Times New Roman" w:cs="Times New Roman"/>
                <w:b/>
                <w:bCs/>
                <w:spacing w:val="-1"/>
                <w:lang w:val="sl-SI"/>
              </w:rPr>
            </w:pPr>
          </w:p>
          <w:p w14:paraId="1C641476" w14:textId="58F8CABA" w:rsidR="00E04C8A" w:rsidRDefault="009746C7">
            <w:pPr>
              <w:pStyle w:val="a3"/>
              <w:rPr>
                <w:lang w:val="sl-SI"/>
              </w:rPr>
            </w:pPr>
            <w:r>
              <w:rPr>
                <w:noProof/>
                <w:lang w:eastAsia="ko-KR"/>
              </w:rPr>
              <mc:AlternateContent>
                <mc:Choice Requires="wpg">
                  <w:drawing>
                    <wp:anchor distT="0" distB="0" distL="114300" distR="114300" simplePos="0" relativeHeight="251658266" behindDoc="0" locked="0" layoutInCell="1" allowOverlap="1" wp14:anchorId="58659372" wp14:editId="78F5C8DC">
                      <wp:simplePos x="0" y="0"/>
                      <wp:positionH relativeFrom="column">
                        <wp:posOffset>6350</wp:posOffset>
                      </wp:positionH>
                      <wp:positionV relativeFrom="paragraph">
                        <wp:posOffset>63500</wp:posOffset>
                      </wp:positionV>
                      <wp:extent cx="2116455" cy="2620645"/>
                      <wp:effectExtent l="0" t="0" r="0" b="8255"/>
                      <wp:wrapSquare wrapText="bothSides"/>
                      <wp:docPr id="1052" name="그룹 1052"/>
                      <wp:cNvGraphicFramePr/>
                      <a:graphic xmlns:a="http://schemas.openxmlformats.org/drawingml/2006/main">
                        <a:graphicData uri="http://schemas.microsoft.com/office/word/2010/wordprocessingGroup">
                          <wpg:wgp>
                            <wpg:cNvGrpSpPr/>
                            <wpg:grpSpPr>
                              <a:xfrm>
                                <a:off x="0" y="0"/>
                                <a:ext cx="2116455" cy="2620645"/>
                                <a:chOff x="0" y="3"/>
                                <a:chExt cx="2117990" cy="2623022"/>
                              </a:xfrm>
                            </wpg:grpSpPr>
                            <wpg:grpSp>
                              <wpg:cNvPr id="67" name="그룹 67"/>
                              <wpg:cNvGrpSpPr/>
                              <wpg:grpSpPr>
                                <a:xfrm>
                                  <a:off x="0" y="3"/>
                                  <a:ext cx="2117990" cy="2623022"/>
                                  <a:chOff x="0" y="3"/>
                                  <a:chExt cx="2117990" cy="2623022"/>
                                </a:xfrm>
                              </wpg:grpSpPr>
                              <pic:pic xmlns:pic="http://schemas.openxmlformats.org/drawingml/2006/picture">
                                <pic:nvPicPr>
                                  <pic:cNvPr id="91" name="그림 91"/>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bwMode="auto">
                                  <a:xfrm>
                                    <a:off x="0" y="3"/>
                                    <a:ext cx="2117990" cy="2468240"/>
                                  </a:xfrm>
                                  <a:prstGeom prst="rect">
                                    <a:avLst/>
                                  </a:prstGeom>
                                  <a:noFill/>
                                  <a:ln>
                                    <a:noFill/>
                                  </a:ln>
                                </pic:spPr>
                              </pic:pic>
                              <wps:wsp>
                                <wps:cNvPr id="66" name="Text Box 66"/>
                                <wps:cNvSpPr txBox="1"/>
                                <wps:spPr>
                                  <a:xfrm>
                                    <a:off x="1324093" y="2476975"/>
                                    <a:ext cx="719758" cy="146050"/>
                                  </a:xfrm>
                                  <a:prstGeom prst="rect">
                                    <a:avLst/>
                                  </a:prstGeom>
                                  <a:solidFill>
                                    <a:prstClr val="white"/>
                                  </a:solidFill>
                                  <a:ln>
                                    <a:noFill/>
                                  </a:ln>
                                </wps:spPr>
                                <wps:txbx>
                                  <w:txbxContent>
                                    <w:p w14:paraId="566FBC33"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11" name="Text Box 111"/>
                              <wps:cNvSpPr txBox="1"/>
                              <wps:spPr>
                                <a:xfrm>
                                  <a:off x="1123619" y="1468832"/>
                                  <a:ext cx="920761" cy="15932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B994BE4" w14:textId="77777777" w:rsidR="00474DFB" w:rsidRPr="009D4E53" w:rsidRDefault="00474DFB">
                                    <w:pPr>
                                      <w:rPr>
                                        <w:rFonts w:asciiTheme="majorBidi" w:hAnsiTheme="majorBidi" w:cstheme="majorBidi"/>
                                        <w:b/>
                                        <w:bCs/>
                                        <w:sz w:val="16"/>
                                        <w:szCs w:val="10"/>
                                      </w:rPr>
                                    </w:pPr>
                                    <w:r w:rsidRPr="009D4E53">
                                      <w:rPr>
                                        <w:rFonts w:ascii="Times New Roman" w:eastAsia="Times New Roman" w:hAnsi="Times New Roman" w:cs="Times New Roman"/>
                                        <w:b/>
                                        <w:bCs/>
                                        <w:sz w:val="16"/>
                                        <w:szCs w:val="10"/>
                                        <w:lang w:val="sl-SI"/>
                                      </w:rPr>
                                      <w:t xml:space="preserve">EXP.: </w:t>
                                    </w:r>
                                    <w:r w:rsidRPr="009D4E53">
                                      <w:rPr>
                                        <w:rFonts w:ascii="Times New Roman" w:eastAsia="Times New Roman" w:hAnsi="Times New Roman" w:cs="Times New Roman"/>
                                        <w:sz w:val="16"/>
                                        <w:szCs w:val="10"/>
                                        <w:lang w:val="sl-SI"/>
                                      </w:rPr>
                                      <w:t>MESEC LETO</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8659372" id="그룹 1052" o:spid="_x0000_s1088" style="position:absolute;margin-left:.5pt;margin-top:5pt;width:166.65pt;height:206.35pt;z-index:251658266;mso-width-relative:margin;mso-height-relative:margin" coordorigin="" coordsize="21179,262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">
                      <v:group id="그룹 67" o:spid="_x0000_s1089" style="position:absolute;width:21179;height:26230" coordorigin="" coordsize="21179,2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그림 91" o:spid="_x0000_s1090" type="#_x0000_t75" style="position:absolute;width:21179;height:24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">
                          <v:imagedata r:id="rId56" o:title=""/>
                        </v:shape>
                        <v:shape id="Text Box 66" o:spid="_x0000_s1091" type="#_x0000_t202" style="position:absolute;left:13240;top:24769;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" stroked="f">
                          <v:textbox style="mso-fit-shape-to-text:t" inset="0,0,0,0">
                            <w:txbxContent>
                              <w:p w14:paraId="566FBC33"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B</w:t>
                                </w:r>
                              </w:p>
                            </w:txbxContent>
                          </v:textbox>
                        </v:shape>
                      </v:group>
                      <v:shape id="Text Box 111" o:spid="_x0000_s1092" type="#_x0000_t202" style="position:absolute;left:11236;top:14688;width:9207;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" fillcolor="white [3212]" stroked="f" strokeweight=".5pt">
                        <v:textbox inset="0,0,0,0">
                          <w:txbxContent>
                            <w:p w14:paraId="1B994BE4" w14:textId="77777777" w:rsidR="00474DFB" w:rsidRPr="009D4E53" w:rsidRDefault="00474DFB">
                              <w:pPr>
                                <w:rPr>
                                  <w:rFonts w:asciiTheme="majorBidi" w:hAnsiTheme="majorBidi" w:cstheme="majorBidi"/>
                                  <w:b/>
                                  <w:bCs/>
                                  <w:sz w:val="16"/>
                                  <w:szCs w:val="10"/>
                                </w:rPr>
                              </w:pPr>
                              <w:r w:rsidRPr="009D4E53">
                                <w:rPr>
                                  <w:rFonts w:ascii="Times New Roman" w:eastAsia="Times New Roman" w:hAnsi="Times New Roman" w:cs="Times New Roman"/>
                                  <w:b/>
                                  <w:bCs/>
                                  <w:sz w:val="16"/>
                                  <w:szCs w:val="10"/>
                                  <w:lang w:val="sl-SI"/>
                                </w:rPr>
                                <w:t xml:space="preserve">EXP.: </w:t>
                              </w:r>
                              <w:r w:rsidRPr="009D4E53">
                                <w:rPr>
                                  <w:rFonts w:ascii="Times New Roman" w:eastAsia="Times New Roman" w:hAnsi="Times New Roman" w:cs="Times New Roman"/>
                                  <w:sz w:val="16"/>
                                  <w:szCs w:val="10"/>
                                  <w:lang w:val="sl-SI"/>
                                </w:rPr>
                                <w:t>MESEC LETO</w:t>
                              </w:r>
                            </w:p>
                          </w:txbxContent>
                        </v:textbox>
                      </v:shape>
                      <w10:wrap type="square"/>
                    </v:group>
                  </w:pict>
                </mc:Fallback>
              </mc:AlternateContent>
            </w:r>
          </w:p>
          <w:p w14:paraId="4671BAA6" w14:textId="04415223" w:rsidR="00E04C8A" w:rsidRDefault="00E04C8A">
            <w:pPr>
              <w:pStyle w:val="a3"/>
              <w:rPr>
                <w:lang w:val="sl-SI"/>
              </w:rPr>
            </w:pPr>
          </w:p>
          <w:p w14:paraId="14124C99" w14:textId="77777777" w:rsidR="00E04C8A" w:rsidRPr="008E1817" w:rsidRDefault="008E1817">
            <w:pPr>
              <w:pStyle w:val="a3"/>
              <w:numPr>
                <w:ilvl w:val="0"/>
                <w:numId w:val="23"/>
              </w:numPr>
              <w:rPr>
                <w:b/>
                <w:highlight w:val="lightGray"/>
                <w:lang w:val="sl-SI"/>
              </w:rPr>
            </w:pPr>
            <w:r w:rsidRPr="008E1817">
              <w:rPr>
                <w:rFonts w:eastAsia="Times New Roman"/>
                <w:b/>
                <w:bCs/>
                <w:highlight w:val="lightGray"/>
                <w:lang w:val="sl-SI"/>
              </w:rPr>
              <w:t>Preglejte napolnjeno injekcijsko brizgo</w:t>
            </w:r>
          </w:p>
          <w:p w14:paraId="1D113857" w14:textId="77777777" w:rsidR="00E04C8A" w:rsidRPr="008E1817" w:rsidRDefault="00E04C8A">
            <w:pPr>
              <w:pStyle w:val="a3"/>
              <w:numPr>
                <w:ilvl w:val="0"/>
                <w:numId w:val="0"/>
              </w:numPr>
              <w:ind w:left="471"/>
              <w:rPr>
                <w:b/>
                <w:highlight w:val="lightGray"/>
                <w:lang w:val="sl-SI"/>
              </w:rPr>
            </w:pPr>
          </w:p>
          <w:p w14:paraId="38AB2245" w14:textId="77777777" w:rsidR="00E04C8A" w:rsidRPr="008E1817" w:rsidRDefault="008E1817">
            <w:pPr>
              <w:pStyle w:val="a3"/>
              <w:ind w:left="4387" w:hanging="270"/>
              <w:rPr>
                <w:highlight w:val="lightGray"/>
                <w:lang w:val="sl-SI" w:eastAsia="ko-KR"/>
              </w:rPr>
            </w:pPr>
            <w:r w:rsidRPr="008E1817">
              <w:rPr>
                <w:rFonts w:eastAsia="Times New Roman"/>
                <w:b/>
                <w:bCs/>
                <w:highlight w:val="lightGray"/>
                <w:lang w:val="sl-SI" w:eastAsia="ko-KR"/>
              </w:rPr>
              <w:t>a.</w:t>
            </w:r>
            <w:r w:rsidRPr="008E1817">
              <w:rPr>
                <w:rFonts w:eastAsia="Times New Roman"/>
                <w:highlight w:val="lightGray"/>
                <w:lang w:val="sl-SI" w:eastAsia="ko-KR"/>
              </w:rPr>
              <w:t xml:space="preserve"> Poskrbite, da imate pravo zdravilo (Yuflyma) in odmerek. </w:t>
            </w:r>
          </w:p>
          <w:p w14:paraId="184E818B" w14:textId="77777777" w:rsidR="00E04C8A" w:rsidRPr="008E1817" w:rsidRDefault="008E1817">
            <w:pPr>
              <w:pStyle w:val="a3"/>
              <w:ind w:left="4387" w:hanging="270"/>
              <w:rPr>
                <w:highlight w:val="lightGray"/>
                <w:lang w:val="sl-SI" w:eastAsia="ko-KR"/>
              </w:rPr>
            </w:pPr>
            <w:r w:rsidRPr="008E1817">
              <w:rPr>
                <w:rFonts w:eastAsia="Times New Roman"/>
                <w:b/>
                <w:bCs/>
                <w:highlight w:val="lightGray"/>
                <w:lang w:val="sl-SI" w:eastAsia="ko-KR"/>
              </w:rPr>
              <w:t>b.</w:t>
            </w:r>
            <w:r w:rsidRPr="008E1817">
              <w:rPr>
                <w:rFonts w:eastAsia="Times New Roman"/>
                <w:highlight w:val="lightGray"/>
                <w:lang w:val="sl-SI" w:eastAsia="ko-KR"/>
              </w:rPr>
              <w:t xml:space="preserve"> Poglejte napolnjeno injekcijsko brizgo in se prepričajte, da ni razpokana ali poškodovana. </w:t>
            </w:r>
          </w:p>
          <w:p w14:paraId="16CC681F" w14:textId="77777777" w:rsidR="00E04C8A" w:rsidRPr="008E1817" w:rsidRDefault="008E1817">
            <w:pPr>
              <w:pStyle w:val="a3"/>
              <w:ind w:left="4387" w:hanging="270"/>
              <w:rPr>
                <w:highlight w:val="lightGray"/>
                <w:lang w:val="sl-SI" w:eastAsia="ko-KR"/>
              </w:rPr>
            </w:pPr>
            <w:r w:rsidRPr="008E1817">
              <w:rPr>
                <w:rFonts w:eastAsia="Times New Roman"/>
                <w:b/>
                <w:bCs/>
                <w:highlight w:val="lightGray"/>
                <w:lang w:val="sl-SI" w:eastAsia="ko-KR"/>
              </w:rPr>
              <w:t>c.</w:t>
            </w:r>
            <w:r w:rsidRPr="008E1817">
              <w:rPr>
                <w:rFonts w:eastAsia="Times New Roman"/>
                <w:highlight w:val="lightGray"/>
                <w:lang w:val="sl-SI" w:eastAsia="ko-KR"/>
              </w:rPr>
              <w:t xml:space="preserve"> Preverite rok uporabnosti na oznaki napolnjene injekcijske brizge. </w:t>
            </w:r>
          </w:p>
          <w:p w14:paraId="3AC330B3" w14:textId="77777777" w:rsidR="00E04C8A" w:rsidRPr="008E1817" w:rsidRDefault="00E04C8A">
            <w:pPr>
              <w:spacing w:line="260" w:lineRule="exact"/>
              <w:rPr>
                <w:sz w:val="26"/>
                <w:szCs w:val="26"/>
                <w:highlight w:val="lightGray"/>
                <w:lang w:val="sl-SI"/>
              </w:rPr>
            </w:pPr>
          </w:p>
          <w:p w14:paraId="6D3008C8" w14:textId="77777777" w:rsidR="00E04C8A" w:rsidRPr="008E1817" w:rsidRDefault="008E1817">
            <w:pPr>
              <w:pStyle w:val="a3"/>
              <w:numPr>
                <w:ilvl w:val="0"/>
                <w:numId w:val="0"/>
              </w:numPr>
              <w:rPr>
                <w:highlight w:val="lightGray"/>
                <w:lang w:val="sl-SI" w:eastAsia="ko-KR"/>
              </w:rPr>
            </w:pPr>
            <w:r w:rsidRPr="008E1817">
              <w:rPr>
                <w:rFonts w:eastAsia="Times New Roman"/>
                <w:highlight w:val="lightGray"/>
                <w:lang w:val="sl-SI" w:eastAsia="ko-KR"/>
              </w:rPr>
              <w:t xml:space="preserve">Napolnjene injekcijske brizge </w:t>
            </w:r>
            <w:r w:rsidRPr="008E1817">
              <w:rPr>
                <w:rFonts w:eastAsia="Times New Roman"/>
                <w:b/>
                <w:bCs/>
                <w:highlight w:val="lightGray"/>
                <w:lang w:val="sl-SI" w:eastAsia="ko-KR"/>
              </w:rPr>
              <w:t>ne</w:t>
            </w:r>
            <w:r w:rsidRPr="008E1817">
              <w:rPr>
                <w:rFonts w:eastAsia="Times New Roman"/>
                <w:highlight w:val="lightGray"/>
                <w:lang w:val="sl-SI" w:eastAsia="ko-KR"/>
              </w:rPr>
              <w:t xml:space="preserve"> uporabljajte ponovno, če:</w:t>
            </w:r>
          </w:p>
          <w:p w14:paraId="66CDE4FA" w14:textId="77777777" w:rsidR="00E04C8A" w:rsidRPr="008E1817" w:rsidRDefault="008E1817">
            <w:pPr>
              <w:pStyle w:val="a3"/>
              <w:numPr>
                <w:ilvl w:val="2"/>
                <w:numId w:val="39"/>
              </w:numPr>
              <w:rPr>
                <w:sz w:val="26"/>
                <w:szCs w:val="26"/>
                <w:highlight w:val="lightGray"/>
                <w:lang w:val="sl-SI"/>
              </w:rPr>
            </w:pPr>
            <w:r w:rsidRPr="008E1817">
              <w:rPr>
                <w:rFonts w:eastAsia="Times New Roman"/>
                <w:highlight w:val="lightGray"/>
                <w:lang w:val="sl-SI" w:eastAsia="ko-KR"/>
              </w:rPr>
              <w:t xml:space="preserve">je razpokana ali poškodovana, </w:t>
            </w:r>
          </w:p>
          <w:p w14:paraId="489DD828" w14:textId="77777777" w:rsidR="00E04C8A" w:rsidRPr="00366D10" w:rsidRDefault="008E1817">
            <w:pPr>
              <w:pStyle w:val="a3"/>
              <w:numPr>
                <w:ilvl w:val="2"/>
                <w:numId w:val="39"/>
              </w:numPr>
              <w:rPr>
                <w:rFonts w:eastAsia="Times New Roman"/>
                <w:highlight w:val="lightGray"/>
                <w:lang w:val="sl-SI" w:eastAsia="ko-KR"/>
              </w:rPr>
            </w:pPr>
            <w:r w:rsidRPr="008E1817">
              <w:rPr>
                <w:rFonts w:eastAsia="Times New Roman"/>
                <w:highlight w:val="lightGray"/>
                <w:lang w:val="sl-SI" w:eastAsia="ko-KR"/>
              </w:rPr>
              <w:t>je pretekel rok uporabnosti.</w:t>
            </w:r>
            <w:r>
              <w:rPr>
                <w:rFonts w:eastAsia="Times New Roman"/>
                <w:lang w:val="sl-SI" w:eastAsia="ko-KR"/>
              </w:rPr>
              <w:t xml:space="preserve"> </w:t>
            </w:r>
          </w:p>
          <w:p w14:paraId="03D642A2" w14:textId="27BFF72A" w:rsidR="00F90CAB" w:rsidRDefault="00F90CAB">
            <w:pPr>
              <w:pStyle w:val="a3"/>
              <w:numPr>
                <w:ilvl w:val="2"/>
                <w:numId w:val="39"/>
              </w:numPr>
              <w:rPr>
                <w:sz w:val="26"/>
                <w:szCs w:val="26"/>
                <w:lang w:val="sl-SI"/>
              </w:rPr>
            </w:pPr>
            <w:r w:rsidRPr="00366D10">
              <w:rPr>
                <w:rFonts w:eastAsia="Times New Roman"/>
                <w:highlight w:val="lightGray"/>
                <w:lang w:val="sl-SI" w:eastAsia="ko-KR"/>
              </w:rPr>
              <w:t>je padel na trdo površino.</w:t>
            </w:r>
          </w:p>
        </w:tc>
      </w:tr>
      <w:tr w:rsidR="00E04C8A" w:rsidRPr="008E1817" w14:paraId="6DD31703" w14:textId="77777777" w:rsidTr="009746C7">
        <w:trPr>
          <w:trHeight w:val="4309"/>
        </w:trPr>
        <w:tc>
          <w:tcPr>
            <w:tcW w:w="9550" w:type="dxa"/>
          </w:tcPr>
          <w:p w14:paraId="67248ED4" w14:textId="74068F91" w:rsidR="00E04C8A" w:rsidRDefault="009746C7">
            <w:pPr>
              <w:spacing w:line="260" w:lineRule="exact"/>
              <w:rPr>
                <w:sz w:val="26"/>
                <w:szCs w:val="26"/>
                <w:lang w:val="sl-SI"/>
              </w:rPr>
            </w:pPr>
            <w:r w:rsidRPr="008E1817">
              <w:rPr>
                <w:noProof/>
                <w:sz w:val="26"/>
                <w:szCs w:val="26"/>
                <w:highlight w:val="lightGray"/>
                <w:lang w:eastAsia="ko-KR"/>
              </w:rPr>
              <mc:AlternateContent>
                <mc:Choice Requires="wpg">
                  <w:drawing>
                    <wp:anchor distT="0" distB="0" distL="114300" distR="114300" simplePos="0" relativeHeight="251658255" behindDoc="0" locked="0" layoutInCell="1" allowOverlap="1" wp14:anchorId="791F48A0" wp14:editId="48885F45">
                      <wp:simplePos x="0" y="0"/>
                      <wp:positionH relativeFrom="column">
                        <wp:posOffset>-4445</wp:posOffset>
                      </wp:positionH>
                      <wp:positionV relativeFrom="paragraph">
                        <wp:posOffset>130175</wp:posOffset>
                      </wp:positionV>
                      <wp:extent cx="2086610" cy="2548890"/>
                      <wp:effectExtent l="0" t="0" r="8890" b="3810"/>
                      <wp:wrapSquare wrapText="bothSides"/>
                      <wp:docPr id="69" name="그룹 69"/>
                      <wp:cNvGraphicFramePr/>
                      <a:graphic xmlns:a="http://schemas.openxmlformats.org/drawingml/2006/main">
                        <a:graphicData uri="http://schemas.microsoft.com/office/word/2010/wordprocessingGroup">
                          <wpg:wgp>
                            <wpg:cNvGrpSpPr/>
                            <wpg:grpSpPr>
                              <a:xfrm>
                                <a:off x="0" y="0"/>
                                <a:ext cx="2086610" cy="2548890"/>
                                <a:chOff x="0" y="1"/>
                                <a:chExt cx="2088338" cy="2549575"/>
                              </a:xfrm>
                            </wpg:grpSpPr>
                            <pic:pic xmlns:pic="http://schemas.openxmlformats.org/drawingml/2006/picture">
                              <pic:nvPicPr>
                                <pic:cNvPr id="92" name="그림 92"/>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bwMode="auto">
                                <a:xfrm>
                                  <a:off x="0" y="1"/>
                                  <a:ext cx="2088338" cy="2403525"/>
                                </a:xfrm>
                                <a:prstGeom prst="rect">
                                  <a:avLst/>
                                </a:prstGeom>
                                <a:noFill/>
                                <a:ln>
                                  <a:noFill/>
                                </a:ln>
                              </pic:spPr>
                            </pic:pic>
                            <wps:wsp>
                              <wps:cNvPr id="68" name="Text Box 68"/>
                              <wps:cNvSpPr txBox="1"/>
                              <wps:spPr>
                                <a:xfrm>
                                  <a:off x="1334870" y="2403526"/>
                                  <a:ext cx="719758" cy="146050"/>
                                </a:xfrm>
                                <a:prstGeom prst="rect">
                                  <a:avLst/>
                                </a:prstGeom>
                                <a:solidFill>
                                  <a:prstClr val="white"/>
                                </a:solidFill>
                                <a:ln>
                                  <a:noFill/>
                                </a:ln>
                              </wps:spPr>
                              <wps:txbx>
                                <w:txbxContent>
                                  <w:p w14:paraId="40DE9C31"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91F48A0" id="그룹 69" o:spid="_x0000_s1093" style="position:absolute;margin-left:-.35pt;margin-top:10.25pt;width:164.3pt;height:200.7pt;z-index:251658255;mso-width-relative:margin;mso-height-relative:margin" coordorigin="" coordsize="20883,254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">
                      <v:shape id="그림 92" o:spid="_x0000_s1094" type="#_x0000_t75" style="position:absolute;width:20883;height:24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">
                        <v:imagedata r:id="rId58" o:title=""/>
                      </v:shape>
                      <v:shape id="Text Box 68" o:spid="_x0000_s1095" type="#_x0000_t202" style="position:absolute;left:13348;top:24035;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" stroked="f">
                        <v:textbox style="mso-fit-shape-to-text:t" inset="0,0,0,0">
                          <w:txbxContent>
                            <w:p w14:paraId="40DE9C31"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C</w:t>
                              </w:r>
                            </w:p>
                          </w:txbxContent>
                        </v:textbox>
                      </v:shape>
                      <w10:wrap type="square"/>
                    </v:group>
                  </w:pict>
                </mc:Fallback>
              </mc:AlternateContent>
            </w:r>
          </w:p>
          <w:p w14:paraId="07D8BF46" w14:textId="46062001" w:rsidR="00E04C8A" w:rsidRDefault="00E04C8A">
            <w:pPr>
              <w:spacing w:line="260" w:lineRule="exact"/>
              <w:rPr>
                <w:sz w:val="26"/>
                <w:szCs w:val="26"/>
                <w:lang w:val="sl-SI"/>
              </w:rPr>
            </w:pPr>
          </w:p>
          <w:p w14:paraId="212E8C0B" w14:textId="57050140" w:rsidR="00E04C8A" w:rsidRPr="008E1817" w:rsidRDefault="00E04C8A">
            <w:pPr>
              <w:spacing w:line="260" w:lineRule="exact"/>
              <w:rPr>
                <w:sz w:val="26"/>
                <w:szCs w:val="26"/>
                <w:highlight w:val="lightGray"/>
                <w:lang w:val="sl-SI"/>
              </w:rPr>
            </w:pPr>
          </w:p>
          <w:p w14:paraId="11BF3609" w14:textId="77777777" w:rsidR="00E04C8A" w:rsidRPr="008E1817" w:rsidRDefault="008E1817">
            <w:pPr>
              <w:pStyle w:val="a3"/>
              <w:numPr>
                <w:ilvl w:val="0"/>
                <w:numId w:val="23"/>
              </w:numPr>
              <w:rPr>
                <w:b/>
                <w:highlight w:val="lightGray"/>
                <w:lang w:val="sl-SI" w:eastAsia="ko-KR"/>
              </w:rPr>
            </w:pPr>
            <w:r w:rsidRPr="008E1817">
              <w:rPr>
                <w:rFonts w:eastAsia="Times New Roman"/>
                <w:b/>
                <w:bCs/>
                <w:highlight w:val="lightGray"/>
                <w:lang w:val="sl-SI"/>
              </w:rPr>
              <w:t>Preglejte zdravilo.</w:t>
            </w:r>
          </w:p>
          <w:p w14:paraId="6F88C3A8" w14:textId="77777777" w:rsidR="00E04C8A" w:rsidRPr="008E1817" w:rsidRDefault="00E04C8A">
            <w:pPr>
              <w:pStyle w:val="a3"/>
              <w:rPr>
                <w:b/>
                <w:highlight w:val="lightGray"/>
                <w:lang w:val="sl-SI" w:eastAsia="ko-KR"/>
              </w:rPr>
            </w:pPr>
          </w:p>
          <w:p w14:paraId="6CC6F80E" w14:textId="77777777" w:rsidR="00E04C8A" w:rsidRPr="008E1817" w:rsidRDefault="008E1817">
            <w:pPr>
              <w:pStyle w:val="a3"/>
              <w:ind w:left="4387" w:hanging="270"/>
              <w:rPr>
                <w:highlight w:val="lightGray"/>
                <w:lang w:val="sl-SI" w:eastAsia="ko-KR"/>
              </w:rPr>
            </w:pPr>
            <w:r w:rsidRPr="008E1817">
              <w:rPr>
                <w:rFonts w:eastAsia="Times New Roman"/>
                <w:b/>
                <w:bCs/>
                <w:highlight w:val="lightGray"/>
                <w:lang w:val="sl-SI" w:eastAsia="ko-KR"/>
              </w:rPr>
              <w:t>a.</w:t>
            </w:r>
            <w:r w:rsidRPr="008E1817">
              <w:rPr>
                <w:rFonts w:eastAsia="Times New Roman"/>
                <w:highlight w:val="lightGray"/>
                <w:lang w:val="sl-SI" w:eastAsia="ko-KR"/>
              </w:rPr>
              <w:t xml:space="preserve"> Preglejte zdravilo in se prepričajte, da je tekočina bistra, brezbarvna do bledo rjava in brez delcev.</w:t>
            </w:r>
          </w:p>
          <w:p w14:paraId="28272899" w14:textId="77777777" w:rsidR="00E04C8A" w:rsidRPr="008E1817" w:rsidRDefault="008E1817">
            <w:pPr>
              <w:pStyle w:val="a3"/>
              <w:rPr>
                <w:sz w:val="26"/>
                <w:szCs w:val="26"/>
                <w:highlight w:val="lightGray"/>
                <w:lang w:val="sl-SI"/>
              </w:rPr>
            </w:pPr>
            <w:r w:rsidRPr="008E1817">
              <w:rPr>
                <w:highlight w:val="lightGray"/>
                <w:lang w:val="sl-SI" w:eastAsia="ko-KR"/>
              </w:rPr>
              <w:t>.</w:t>
            </w:r>
          </w:p>
          <w:p w14:paraId="014D44A3" w14:textId="77777777" w:rsidR="00E04C8A" w:rsidRPr="008E1817" w:rsidRDefault="008E1817">
            <w:pPr>
              <w:pStyle w:val="a3"/>
              <w:numPr>
                <w:ilvl w:val="0"/>
                <w:numId w:val="17"/>
              </w:numPr>
              <w:ind w:left="4387"/>
              <w:rPr>
                <w:highlight w:val="lightGray"/>
                <w:lang w:val="sl-SI"/>
              </w:rPr>
            </w:pPr>
            <w:r w:rsidRPr="008E1817">
              <w:rPr>
                <w:rFonts w:eastAsia="Times New Roman"/>
                <w:highlight w:val="lightGray"/>
                <w:lang w:val="sl-SI"/>
              </w:rPr>
              <w:t xml:space="preserve">Napolnjene injekcijske brizge </w:t>
            </w:r>
            <w:r w:rsidRPr="008E1817">
              <w:rPr>
                <w:rFonts w:eastAsia="Times New Roman"/>
                <w:b/>
                <w:bCs/>
                <w:highlight w:val="lightGray"/>
                <w:lang w:val="sl-SI"/>
              </w:rPr>
              <w:t>ne</w:t>
            </w:r>
            <w:r w:rsidRPr="008E1817">
              <w:rPr>
                <w:rFonts w:eastAsia="Times New Roman"/>
                <w:highlight w:val="lightGray"/>
                <w:lang w:val="sl-SI"/>
              </w:rPr>
              <w:t xml:space="preserve"> uporabljajte, če je tekočina obarvana (rumena ali temno rjavo), motna ali vsebuje delce.</w:t>
            </w:r>
          </w:p>
          <w:p w14:paraId="0C4EC688" w14:textId="77777777" w:rsidR="00E04C8A" w:rsidRPr="008E1817" w:rsidRDefault="00E04C8A">
            <w:pPr>
              <w:pStyle w:val="a3"/>
              <w:numPr>
                <w:ilvl w:val="0"/>
                <w:numId w:val="0"/>
              </w:numPr>
              <w:rPr>
                <w:highlight w:val="lightGray"/>
                <w:lang w:val="sl-SI"/>
              </w:rPr>
            </w:pPr>
          </w:p>
          <w:p w14:paraId="4523146B" w14:textId="77777777" w:rsidR="00E04C8A" w:rsidRPr="008E1817" w:rsidRDefault="008E1817">
            <w:pPr>
              <w:pStyle w:val="a3"/>
              <w:numPr>
                <w:ilvl w:val="0"/>
                <w:numId w:val="17"/>
              </w:numPr>
              <w:ind w:left="4387"/>
              <w:rPr>
                <w:sz w:val="26"/>
                <w:szCs w:val="26"/>
                <w:highlight w:val="lightGray"/>
                <w:lang w:val="sl-SI"/>
              </w:rPr>
            </w:pPr>
            <w:r w:rsidRPr="008E1817">
              <w:rPr>
                <w:rFonts w:eastAsia="Times New Roman"/>
                <w:highlight w:val="lightGray"/>
                <w:lang w:val="sl-SI"/>
              </w:rPr>
              <w:t>V tekočini so lahko vidni zračni mehurčki. To je normalno.</w:t>
            </w:r>
          </w:p>
        </w:tc>
      </w:tr>
      <w:tr w:rsidR="00E04C8A" w:rsidRPr="00475A1E" w14:paraId="77EA2183" w14:textId="77777777" w:rsidTr="009746C7">
        <w:trPr>
          <w:trHeight w:val="4649"/>
        </w:trPr>
        <w:tc>
          <w:tcPr>
            <w:tcW w:w="9550" w:type="dxa"/>
          </w:tcPr>
          <w:p w14:paraId="377C1579" w14:textId="171B89DB" w:rsidR="00E04C8A" w:rsidRPr="008E1817" w:rsidRDefault="009746C7">
            <w:pPr>
              <w:spacing w:line="260" w:lineRule="exact"/>
              <w:rPr>
                <w:sz w:val="26"/>
                <w:szCs w:val="26"/>
                <w:highlight w:val="lightGray"/>
                <w:lang w:val="sl-SI"/>
              </w:rPr>
            </w:pPr>
            <w:r>
              <w:rPr>
                <w:noProof/>
                <w:sz w:val="26"/>
                <w:szCs w:val="26"/>
                <w:lang w:eastAsia="ko-KR"/>
              </w:rPr>
              <mc:AlternateContent>
                <mc:Choice Requires="wpg">
                  <w:drawing>
                    <wp:anchor distT="0" distB="0" distL="114300" distR="114300" simplePos="0" relativeHeight="251658268" behindDoc="0" locked="0" layoutInCell="1" allowOverlap="1" wp14:anchorId="5F0DFA3E" wp14:editId="45F62E9C">
                      <wp:simplePos x="0" y="0"/>
                      <wp:positionH relativeFrom="column">
                        <wp:posOffset>69850</wp:posOffset>
                      </wp:positionH>
                      <wp:positionV relativeFrom="paragraph">
                        <wp:posOffset>173355</wp:posOffset>
                      </wp:positionV>
                      <wp:extent cx="2061210" cy="2682875"/>
                      <wp:effectExtent l="0" t="0" r="0" b="3175"/>
                      <wp:wrapSquare wrapText="bothSides"/>
                      <wp:docPr id="1053" name="그룹 1053"/>
                      <wp:cNvGraphicFramePr/>
                      <a:graphic xmlns:a="http://schemas.openxmlformats.org/drawingml/2006/main">
                        <a:graphicData uri="http://schemas.microsoft.com/office/word/2010/wordprocessingGroup">
                          <wpg:wgp>
                            <wpg:cNvGrpSpPr/>
                            <wpg:grpSpPr>
                              <a:xfrm>
                                <a:off x="0" y="0"/>
                                <a:ext cx="2061210" cy="2682875"/>
                                <a:chOff x="0" y="1"/>
                                <a:chExt cx="2061761" cy="2683592"/>
                              </a:xfrm>
                            </wpg:grpSpPr>
                            <wpg:grpSp>
                              <wpg:cNvPr id="71" name="그룹 71"/>
                              <wpg:cNvGrpSpPr/>
                              <wpg:grpSpPr>
                                <a:xfrm>
                                  <a:off x="0" y="1"/>
                                  <a:ext cx="2061761" cy="2683592"/>
                                  <a:chOff x="0" y="1"/>
                                  <a:chExt cx="2061761" cy="2683592"/>
                                </a:xfrm>
                              </wpg:grpSpPr>
                              <pic:pic xmlns:pic="http://schemas.openxmlformats.org/drawingml/2006/picture">
                                <pic:nvPicPr>
                                  <pic:cNvPr id="176" name="그림 176"/>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1"/>
                                    <a:ext cx="2061761" cy="2516284"/>
                                  </a:xfrm>
                                  <a:prstGeom prst="rect">
                                    <a:avLst/>
                                  </a:prstGeom>
                                  <a:noFill/>
                                  <a:ln>
                                    <a:noFill/>
                                  </a:ln>
                                </pic:spPr>
                              </pic:pic>
                              <wps:wsp>
                                <wps:cNvPr id="70" name="Text Box 70"/>
                                <wps:cNvSpPr txBox="1"/>
                                <wps:spPr>
                                  <a:xfrm>
                                    <a:off x="1257976" y="2537543"/>
                                    <a:ext cx="719455" cy="146050"/>
                                  </a:xfrm>
                                  <a:prstGeom prst="rect">
                                    <a:avLst/>
                                  </a:prstGeom>
                                  <a:solidFill>
                                    <a:prstClr val="white"/>
                                  </a:solidFill>
                                  <a:ln>
                                    <a:noFill/>
                                  </a:ln>
                                </wps:spPr>
                                <wps:txbx>
                                  <w:txbxContent>
                                    <w:p w14:paraId="1D4B2787"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1" name="Text Box 121"/>
                              <wps:cNvSpPr txBox="1"/>
                              <wps:spPr>
                                <a:xfrm>
                                  <a:off x="1032969" y="191432"/>
                                  <a:ext cx="858520" cy="89705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87FA58" w14:textId="66A7AF76" w:rsidR="00474DFB" w:rsidRDefault="00474DFB">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sl-SI"/>
                                      </w:rPr>
                                      <w:t>15 – 30 minut</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F0DFA3E" id="그룹 1053" o:spid="_x0000_s1096" style="position:absolute;margin-left:5.5pt;margin-top:13.65pt;width:162.3pt;height:211.25pt;z-index:251658268;mso-width-relative:margin;mso-height-relative:margin" coordorigin="" coordsize="20617,2683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">
                      <v:group id="그룹 71" o:spid="_x0000_s1097" style="position:absolute;width:20617;height:26835" coordorigin="" coordsize="20617,2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그림 176" o:spid="_x0000_s1098" type="#_x0000_t75" style="position:absolute;width:20617;height:25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">
                          <v:imagedata r:id="rId60" o:title=""/>
                        </v:shape>
                        <v:shape id="Text Box 70" o:spid="_x0000_s1099" type="#_x0000_t202" style="position:absolute;left:12579;top:25375;width:7195;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" stroked="f">
                          <v:textbox style="mso-fit-shape-to-text:t" inset="0,0,0,0">
                            <w:txbxContent>
                              <w:p w14:paraId="1D4B2787"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D</w:t>
                                </w:r>
                              </w:p>
                            </w:txbxContent>
                          </v:textbox>
                        </v:shape>
                      </v:group>
                      <v:shape id="Text Box 121" o:spid="_x0000_s1100" type="#_x0000_t202" style="position:absolute;left:10329;top:1914;width:8585;height:8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" fillcolor="white [3212]" stroked="f" strokeweight=".5pt">
                        <v:textbox inset="0,0,0,0">
                          <w:txbxContent>
                            <w:p w14:paraId="7087FA58" w14:textId="66A7AF76" w:rsidR="00474DFB" w:rsidRDefault="00474DFB">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sl-SI"/>
                                </w:rPr>
                                <w:t>15 – 30 minut</w:t>
                              </w:r>
                            </w:p>
                          </w:txbxContent>
                        </v:textbox>
                      </v:shape>
                      <w10:wrap type="square"/>
                    </v:group>
                  </w:pict>
                </mc:Fallback>
              </mc:AlternateContent>
            </w:r>
          </w:p>
          <w:p w14:paraId="2E508F29" w14:textId="64E743A9" w:rsidR="00E04C8A" w:rsidRPr="008E1817" w:rsidRDefault="00E04C8A">
            <w:pPr>
              <w:spacing w:line="260" w:lineRule="exact"/>
              <w:rPr>
                <w:sz w:val="26"/>
                <w:szCs w:val="26"/>
                <w:highlight w:val="lightGray"/>
                <w:lang w:val="sl-SI"/>
              </w:rPr>
            </w:pPr>
          </w:p>
          <w:p w14:paraId="6390E751" w14:textId="77777777" w:rsidR="00E04C8A" w:rsidRPr="008E1817" w:rsidRDefault="00E04C8A">
            <w:pPr>
              <w:spacing w:line="260" w:lineRule="exact"/>
              <w:rPr>
                <w:sz w:val="26"/>
                <w:szCs w:val="26"/>
                <w:highlight w:val="lightGray"/>
                <w:lang w:val="sl-SI"/>
              </w:rPr>
            </w:pPr>
          </w:p>
          <w:p w14:paraId="4906FCF2" w14:textId="77777777" w:rsidR="00E04C8A" w:rsidRPr="008E1817" w:rsidRDefault="008E1817">
            <w:pPr>
              <w:pStyle w:val="a3"/>
              <w:numPr>
                <w:ilvl w:val="0"/>
                <w:numId w:val="23"/>
              </w:numPr>
              <w:rPr>
                <w:b/>
                <w:highlight w:val="lightGray"/>
                <w:lang w:val="sl-SI"/>
              </w:rPr>
            </w:pPr>
            <w:r w:rsidRPr="008E1817">
              <w:rPr>
                <w:rFonts w:eastAsia="Times New Roman"/>
                <w:b/>
                <w:bCs/>
                <w:highlight w:val="lightGray"/>
                <w:lang w:val="sl-SI"/>
              </w:rPr>
              <w:t>Počakajte 15 do 30 minut.</w:t>
            </w:r>
          </w:p>
          <w:p w14:paraId="2C22A6AF" w14:textId="77777777" w:rsidR="00E04C8A" w:rsidRPr="008E1817" w:rsidRDefault="008E1817">
            <w:pPr>
              <w:pStyle w:val="Default"/>
              <w:rPr>
                <w:highlight w:val="lightGray"/>
                <w:lang w:val="sl-SI"/>
              </w:rPr>
            </w:pPr>
            <w:r w:rsidRPr="008E1817">
              <w:rPr>
                <w:highlight w:val="lightGray"/>
                <w:lang w:val="sl-SI"/>
              </w:rPr>
              <w:t xml:space="preserve"> </w:t>
            </w:r>
          </w:p>
          <w:p w14:paraId="48614816" w14:textId="77777777" w:rsidR="00E04C8A" w:rsidRPr="008E1817" w:rsidRDefault="008E1817">
            <w:pPr>
              <w:pStyle w:val="a3"/>
              <w:ind w:left="4387" w:hanging="270"/>
              <w:rPr>
                <w:highlight w:val="lightGray"/>
                <w:lang w:val="sl-SI"/>
              </w:rPr>
            </w:pPr>
            <w:r w:rsidRPr="008E1817">
              <w:rPr>
                <w:rFonts w:eastAsia="Times New Roman"/>
                <w:b/>
                <w:bCs/>
                <w:highlight w:val="lightGray"/>
                <w:lang w:val="sl-SI"/>
              </w:rPr>
              <w:t>a.</w:t>
            </w:r>
            <w:r w:rsidRPr="008E1817">
              <w:rPr>
                <w:rFonts w:eastAsia="Times New Roman"/>
                <w:highlight w:val="lightGray"/>
                <w:lang w:val="sl-SI"/>
              </w:rPr>
              <w:t xml:space="preserve"> Napolnjeno injekcijsko brizgo pustite pri sobni temperaturi 15 do 30 minut, da se segreje.</w:t>
            </w:r>
          </w:p>
          <w:p w14:paraId="57175CE4" w14:textId="77777777" w:rsidR="00E04C8A" w:rsidRPr="008E1817" w:rsidRDefault="00E04C8A">
            <w:pPr>
              <w:pStyle w:val="Default"/>
              <w:rPr>
                <w:color w:val="211D1E"/>
                <w:sz w:val="20"/>
                <w:szCs w:val="20"/>
                <w:highlight w:val="lightGray"/>
                <w:lang w:val="sl-SI"/>
              </w:rPr>
            </w:pPr>
          </w:p>
          <w:p w14:paraId="36537C0F" w14:textId="77777777" w:rsidR="00E04C8A" w:rsidRPr="008E1817" w:rsidRDefault="00E04C8A">
            <w:pPr>
              <w:pStyle w:val="a3"/>
              <w:numPr>
                <w:ilvl w:val="0"/>
                <w:numId w:val="0"/>
              </w:numPr>
              <w:tabs>
                <w:tab w:val="left" w:pos="3861"/>
              </w:tabs>
              <w:ind w:left="911"/>
              <w:rPr>
                <w:b/>
                <w:highlight w:val="lightGray"/>
                <w:lang w:val="sl-SI"/>
              </w:rPr>
            </w:pPr>
          </w:p>
          <w:p w14:paraId="3BCB0E23" w14:textId="57F92095" w:rsidR="00E04C8A" w:rsidRPr="008E1817" w:rsidRDefault="008E1817">
            <w:pPr>
              <w:pStyle w:val="a3"/>
              <w:numPr>
                <w:ilvl w:val="0"/>
                <w:numId w:val="17"/>
              </w:numPr>
              <w:ind w:left="4387"/>
              <w:rPr>
                <w:sz w:val="26"/>
                <w:szCs w:val="26"/>
                <w:highlight w:val="lightGray"/>
                <w:lang w:val="sl-SI"/>
              </w:rPr>
            </w:pPr>
            <w:r w:rsidRPr="008E1817">
              <w:rPr>
                <w:rFonts w:eastAsia="Times New Roman"/>
                <w:highlight w:val="lightGray"/>
                <w:lang w:val="sl-SI"/>
              </w:rPr>
              <w:t xml:space="preserve">Napolnjene injekcijske brizge </w:t>
            </w:r>
            <w:r w:rsidRPr="008E1817">
              <w:rPr>
                <w:rFonts w:eastAsia="Times New Roman"/>
                <w:b/>
                <w:bCs/>
                <w:highlight w:val="lightGray"/>
                <w:lang w:val="sl-SI"/>
              </w:rPr>
              <w:t>ne smete</w:t>
            </w:r>
            <w:r w:rsidRPr="008E1817">
              <w:rPr>
                <w:rFonts w:eastAsia="Times New Roman"/>
                <w:highlight w:val="lightGray"/>
                <w:lang w:val="sl-SI"/>
              </w:rPr>
              <w:t xml:space="preserve"> segrevati na kateri koli drug način, </w:t>
            </w:r>
            <w:r w:rsidRPr="008E1817">
              <w:rPr>
                <w:rFonts w:eastAsia="Calibri"/>
                <w:highlight w:val="lightGray"/>
                <w:lang w:val="sl-SI"/>
              </w:rPr>
              <w:t xml:space="preserve">na </w:t>
            </w:r>
            <w:r w:rsidRPr="008E1817">
              <w:rPr>
                <w:rFonts w:eastAsia="Times New Roman"/>
                <w:highlight w:val="lightGray"/>
                <w:lang w:val="sl-SI"/>
              </w:rPr>
              <w:t>primer</w:t>
            </w:r>
            <w:r w:rsidRPr="008E1817">
              <w:rPr>
                <w:rFonts w:eastAsia="Calibri"/>
                <w:highlight w:val="lightGray"/>
                <w:lang w:val="sl-SI"/>
              </w:rPr>
              <w:t xml:space="preserve"> v mikrovalovni pečici ali vroči vodi.</w:t>
            </w:r>
          </w:p>
        </w:tc>
      </w:tr>
      <w:tr w:rsidR="00E04C8A" w:rsidRPr="00475A1E" w14:paraId="0B12C7BB" w14:textId="77777777">
        <w:trPr>
          <w:trHeight w:val="6517"/>
        </w:trPr>
        <w:tc>
          <w:tcPr>
            <w:tcW w:w="9550" w:type="dxa"/>
          </w:tcPr>
          <w:p w14:paraId="6C14A5C2" w14:textId="77777777" w:rsidR="00E04C8A" w:rsidRDefault="00E04C8A">
            <w:pPr>
              <w:ind w:left="224" w:right="1248"/>
              <w:rPr>
                <w:rFonts w:ascii="Times New Roman" w:eastAsia="Times New Roman" w:hAnsi="Times New Roman" w:cs="Times New Roman"/>
                <w:b/>
                <w:bCs/>
                <w:spacing w:val="-1"/>
                <w:lang w:val="sl-SI"/>
              </w:rPr>
            </w:pPr>
          </w:p>
          <w:p w14:paraId="6F27F763" w14:textId="77777777" w:rsidR="00E04C8A" w:rsidRDefault="00E04C8A">
            <w:pPr>
              <w:spacing w:line="260" w:lineRule="exact"/>
              <w:rPr>
                <w:lang w:val="sl-SI"/>
              </w:rPr>
            </w:pPr>
          </w:p>
          <w:p w14:paraId="6B4A912A" w14:textId="77777777" w:rsidR="00E04C8A" w:rsidRPr="008E1817" w:rsidRDefault="00CB6F31">
            <w:pPr>
              <w:pStyle w:val="a4"/>
              <w:ind w:left="471"/>
              <w:rPr>
                <w:rFonts w:ascii="Times New Roman" w:eastAsia="Times New Roman" w:hAnsi="Times New Roman" w:cs="Times New Roman"/>
                <w:spacing w:val="-1"/>
                <w:highlight w:val="lightGray"/>
                <w:lang w:val="sl-SI"/>
              </w:rPr>
            </w:pPr>
            <w:r>
              <w:rPr>
                <w:rFonts w:ascii="Times New Roman" w:eastAsia="Times New Roman" w:hAnsi="Times New Roman" w:cs="Times New Roman"/>
                <w:noProof/>
                <w:spacing w:val="-1"/>
                <w:lang w:eastAsia="ko-KR"/>
              </w:rPr>
              <mc:AlternateContent>
                <mc:Choice Requires="wpg">
                  <w:drawing>
                    <wp:anchor distT="0" distB="0" distL="114300" distR="114300" simplePos="0" relativeHeight="251658272" behindDoc="0" locked="0" layoutInCell="1" allowOverlap="1" wp14:anchorId="37F75DB4" wp14:editId="6C5714B9">
                      <wp:simplePos x="0" y="0"/>
                      <wp:positionH relativeFrom="column">
                        <wp:posOffset>123190</wp:posOffset>
                      </wp:positionH>
                      <wp:positionV relativeFrom="paragraph">
                        <wp:posOffset>132080</wp:posOffset>
                      </wp:positionV>
                      <wp:extent cx="2280285" cy="4050665"/>
                      <wp:effectExtent l="0" t="0" r="5715" b="6985"/>
                      <wp:wrapSquare wrapText="bothSides"/>
                      <wp:docPr id="1054" name="그룹 1054"/>
                      <wp:cNvGraphicFramePr/>
                      <a:graphic xmlns:a="http://schemas.openxmlformats.org/drawingml/2006/main">
                        <a:graphicData uri="http://schemas.microsoft.com/office/word/2010/wordprocessingGroup">
                          <wpg:wgp>
                            <wpg:cNvGrpSpPr/>
                            <wpg:grpSpPr>
                              <a:xfrm>
                                <a:off x="0" y="0"/>
                                <a:ext cx="2280285" cy="4050665"/>
                                <a:chOff x="0" y="0"/>
                                <a:chExt cx="2091690" cy="3670300"/>
                              </a:xfrm>
                            </wpg:grpSpPr>
                            <wpg:grpSp>
                              <wpg:cNvPr id="73" name="그룹 73"/>
                              <wpg:cNvGrpSpPr/>
                              <wpg:grpSpPr>
                                <a:xfrm>
                                  <a:off x="0" y="0"/>
                                  <a:ext cx="2091690" cy="3670300"/>
                                  <a:chOff x="0" y="0"/>
                                  <a:chExt cx="2091690" cy="3670300"/>
                                </a:xfrm>
                              </wpg:grpSpPr>
                              <pic:pic xmlns:pic="http://schemas.openxmlformats.org/drawingml/2006/picture">
                                <pic:nvPicPr>
                                  <pic:cNvPr id="188" name="그림 188"/>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091690" cy="3538220"/>
                                  </a:xfrm>
                                  <a:prstGeom prst="rect">
                                    <a:avLst/>
                                  </a:prstGeom>
                                  <a:noFill/>
                                  <a:ln>
                                    <a:noFill/>
                                  </a:ln>
                                </pic:spPr>
                              </pic:pic>
                              <wps:wsp>
                                <wps:cNvPr id="72" name="Text Box 72"/>
                                <wps:cNvSpPr txBox="1"/>
                                <wps:spPr>
                                  <a:xfrm>
                                    <a:off x="1371600" y="3524250"/>
                                    <a:ext cx="719455" cy="146050"/>
                                  </a:xfrm>
                                  <a:prstGeom prst="rect">
                                    <a:avLst/>
                                  </a:prstGeom>
                                  <a:solidFill>
                                    <a:prstClr val="white"/>
                                  </a:solidFill>
                                  <a:ln>
                                    <a:noFill/>
                                  </a:ln>
                                </wps:spPr>
                                <wps:txbx>
                                  <w:txbxContent>
                                    <w:p w14:paraId="1A3D2D0C"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27" name="Text Box 127"/>
                              <wps:cNvSpPr txBox="1"/>
                              <wps:spPr>
                                <a:xfrm>
                                  <a:off x="616527" y="2660072"/>
                                  <a:ext cx="1392071" cy="75062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FF81C0" w14:textId="77777777" w:rsidR="00474DFB" w:rsidRDefault="00474DFB">
                                    <w:pPr>
                                      <w:rPr>
                                        <w:rFonts w:asciiTheme="majorBidi" w:hAnsiTheme="majorBidi" w:cstheme="majorBidi"/>
                                        <w:b/>
                                        <w:bCs/>
                                        <w:sz w:val="20"/>
                                        <w:szCs w:val="20"/>
                                      </w:rPr>
                                    </w:pPr>
                                    <w:r>
                                      <w:rPr>
                                        <w:rFonts w:ascii="Times New Roman" w:eastAsia="Times New Roman" w:hAnsi="Times New Roman" w:cs="Times New Roman"/>
                                        <w:b/>
                                        <w:bCs/>
                                        <w:sz w:val="20"/>
                                        <w:szCs w:val="20"/>
                                        <w:lang w:val="sl-SI"/>
                                      </w:rPr>
                                      <w:t xml:space="preserve">SAMO za negovalce </w:t>
                                    </w:r>
                                  </w:p>
                                  <w:p w14:paraId="21218642" w14:textId="77777777" w:rsidR="00474DFB" w:rsidRDefault="00474DFB">
                                    <w:pPr>
                                      <w:rPr>
                                        <w:rFonts w:asciiTheme="majorBidi" w:hAnsiTheme="majorBidi" w:cstheme="majorBidi"/>
                                        <w:b/>
                                        <w:bCs/>
                                        <w:sz w:val="20"/>
                                        <w:szCs w:val="20"/>
                                      </w:rPr>
                                    </w:pPr>
                                  </w:p>
                                  <w:p w14:paraId="1E284DD9" w14:textId="77777777" w:rsidR="00474DFB" w:rsidRDefault="00474DFB">
                                    <w:pPr>
                                      <w:rPr>
                                        <w:rFonts w:asciiTheme="majorBidi" w:hAnsiTheme="majorBidi" w:cstheme="majorBidi"/>
                                        <w:b/>
                                        <w:bCs/>
                                        <w:sz w:val="20"/>
                                        <w:szCs w:val="20"/>
                                      </w:rPr>
                                    </w:pPr>
                                    <w:r>
                                      <w:rPr>
                                        <w:rFonts w:ascii="Times New Roman" w:eastAsia="Times New Roman" w:hAnsi="Times New Roman" w:cs="Times New Roman"/>
                                        <w:b/>
                                        <w:bCs/>
                                        <w:sz w:val="20"/>
                                        <w:szCs w:val="20"/>
                                        <w:lang w:val="sl-SI"/>
                                      </w:rPr>
                                      <w:t xml:space="preserve">Samoinjiciranje in negovalec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7F75DB4" id="그룹 1054" o:spid="_x0000_s1101" style="position:absolute;left:0;text-align:left;margin-left:9.7pt;margin-top:10.4pt;width:179.55pt;height:318.95pt;z-index:251658272;mso-width-relative:margin;mso-height-relative:margin" coordsize="20916,367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">
                      <v:group id="그룹 73" o:spid="_x0000_s1102" style="position:absolute;width:20916;height:36703" coordsize="20916,36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그림 188" o:spid="_x0000_s1103" type="#_x0000_t75" style="position:absolute;width:20916;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">
                          <v:imagedata r:id="rId41" o:title=""/>
                        </v:shape>
                        <v:shape id="Text Box 72" o:spid="_x0000_s1104" type="#_x0000_t202" style="position:absolute;left:13716;top:35242;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" stroked="f">
                          <v:textbox inset="0,0,0,0">
                            <w:txbxContent>
                              <w:p w14:paraId="1A3D2D0C"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E</w:t>
                                </w:r>
                              </w:p>
                            </w:txbxContent>
                          </v:textbox>
                        </v:shape>
                      </v:group>
                      <v:shape id="Text Box 127" o:spid="_x0000_s1105" type="#_x0000_t202" style="position:absolute;left:6165;top:26600;width:13920;height:7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" fillcolor="white [3212]" stroked="f" strokeweight=".5pt">
                        <v:textbox inset="0,0,0,0">
                          <w:txbxContent>
                            <w:p w14:paraId="6CFF81C0" w14:textId="77777777" w:rsidR="00474DFB" w:rsidRDefault="00474DFB">
                              <w:pPr>
                                <w:rPr>
                                  <w:rFonts w:asciiTheme="majorBidi" w:hAnsiTheme="majorBidi" w:cstheme="majorBidi"/>
                                  <w:b/>
                                  <w:bCs/>
                                  <w:sz w:val="20"/>
                                  <w:szCs w:val="20"/>
                                </w:rPr>
                              </w:pPr>
                              <w:r>
                                <w:rPr>
                                  <w:rFonts w:ascii="Times New Roman" w:eastAsia="Times New Roman" w:hAnsi="Times New Roman" w:cs="Times New Roman"/>
                                  <w:b/>
                                  <w:bCs/>
                                  <w:sz w:val="20"/>
                                  <w:szCs w:val="20"/>
                                  <w:lang w:val="sl-SI"/>
                                </w:rPr>
                                <w:t xml:space="preserve">SAMO za negovalce </w:t>
                              </w:r>
                            </w:p>
                            <w:p w14:paraId="21218642" w14:textId="77777777" w:rsidR="00474DFB" w:rsidRDefault="00474DFB">
                              <w:pPr>
                                <w:rPr>
                                  <w:rFonts w:asciiTheme="majorBidi" w:hAnsiTheme="majorBidi" w:cstheme="majorBidi"/>
                                  <w:b/>
                                  <w:bCs/>
                                  <w:sz w:val="20"/>
                                  <w:szCs w:val="20"/>
                                </w:rPr>
                              </w:pPr>
                            </w:p>
                            <w:p w14:paraId="1E284DD9" w14:textId="77777777" w:rsidR="00474DFB" w:rsidRDefault="00474DFB">
                              <w:pPr>
                                <w:rPr>
                                  <w:rFonts w:asciiTheme="majorBidi" w:hAnsiTheme="majorBidi" w:cstheme="majorBidi"/>
                                  <w:b/>
                                  <w:bCs/>
                                  <w:sz w:val="20"/>
                                  <w:szCs w:val="20"/>
                                </w:rPr>
                              </w:pPr>
                              <w:r>
                                <w:rPr>
                                  <w:rFonts w:ascii="Times New Roman" w:eastAsia="Times New Roman" w:hAnsi="Times New Roman" w:cs="Times New Roman"/>
                                  <w:b/>
                                  <w:bCs/>
                                  <w:sz w:val="20"/>
                                  <w:szCs w:val="20"/>
                                  <w:lang w:val="sl-SI"/>
                                </w:rPr>
                                <w:t xml:space="preserve">Samoinjiciranje in negovalec </w:t>
                              </w:r>
                            </w:p>
                          </w:txbxContent>
                        </v:textbox>
                      </v:shape>
                      <w10:wrap type="square"/>
                    </v:group>
                  </w:pict>
                </mc:Fallback>
              </mc:AlternateContent>
            </w:r>
          </w:p>
          <w:p w14:paraId="26AFF05F" w14:textId="77777777" w:rsidR="00E04C8A" w:rsidRPr="008E1817" w:rsidRDefault="008E1817">
            <w:pPr>
              <w:pStyle w:val="a4"/>
              <w:numPr>
                <w:ilvl w:val="0"/>
                <w:numId w:val="23"/>
              </w:numPr>
              <w:rPr>
                <w:rFonts w:ascii="Times New Roman" w:eastAsia="Times New Roman" w:hAnsi="Times New Roman" w:cs="Times New Roman"/>
                <w:b/>
                <w:spacing w:val="-1"/>
                <w:highlight w:val="lightGray"/>
                <w:lang w:val="sl-SI"/>
              </w:rPr>
            </w:pPr>
            <w:r w:rsidRPr="008E1817">
              <w:rPr>
                <w:rFonts w:ascii="Times New Roman" w:eastAsia="Times New Roman" w:hAnsi="Times New Roman" w:cs="Times New Roman"/>
                <w:b/>
                <w:bCs/>
                <w:spacing w:val="-1"/>
                <w:highlight w:val="lightGray"/>
                <w:lang w:val="sl-SI"/>
              </w:rPr>
              <w:t>Izberite mesto injiciranja</w:t>
            </w:r>
            <w:r w:rsidRPr="008E1817">
              <w:rPr>
                <w:rFonts w:ascii="Times New Roman" w:eastAsia="Times New Roman" w:hAnsi="Times New Roman" w:cs="Times New Roman"/>
                <w:spacing w:val="-1"/>
                <w:highlight w:val="lightGray"/>
                <w:lang w:val="sl-SI"/>
              </w:rPr>
              <w:t>.</w:t>
            </w:r>
          </w:p>
          <w:p w14:paraId="46A52695" w14:textId="77777777" w:rsidR="00E04C8A" w:rsidRPr="008E1817" w:rsidRDefault="00E04C8A">
            <w:pPr>
              <w:pStyle w:val="a3"/>
              <w:rPr>
                <w:highlight w:val="lightGray"/>
                <w:lang w:val="sl-SI"/>
              </w:rPr>
            </w:pPr>
          </w:p>
          <w:p w14:paraId="48C5F333" w14:textId="77777777" w:rsidR="00E04C8A" w:rsidRPr="008E1817" w:rsidRDefault="008E1817">
            <w:pPr>
              <w:pStyle w:val="a3"/>
              <w:ind w:left="4387" w:hanging="270"/>
              <w:rPr>
                <w:highlight w:val="lightGray"/>
                <w:lang w:val="sl-SI"/>
              </w:rPr>
            </w:pPr>
            <w:r w:rsidRPr="008E1817">
              <w:rPr>
                <w:rFonts w:eastAsia="Times New Roman"/>
                <w:b/>
                <w:bCs/>
                <w:highlight w:val="lightGray"/>
                <w:lang w:val="sl-SI"/>
              </w:rPr>
              <w:t xml:space="preserve">a. </w:t>
            </w:r>
            <w:r w:rsidRPr="008E1817">
              <w:rPr>
                <w:rFonts w:eastAsia="Times New Roman"/>
                <w:highlight w:val="lightGray"/>
                <w:lang w:val="sl-SI"/>
              </w:rPr>
              <w:t>Injicirate lahko v:</w:t>
            </w:r>
          </w:p>
          <w:p w14:paraId="6D0FD9E5" w14:textId="77777777" w:rsidR="00E04C8A" w:rsidRPr="008E1817" w:rsidRDefault="008E1817">
            <w:pPr>
              <w:pStyle w:val="a3"/>
              <w:ind w:left="4297"/>
              <w:rPr>
                <w:highlight w:val="lightGray"/>
                <w:lang w:val="sl-SI"/>
              </w:rPr>
            </w:pPr>
            <w:r w:rsidRPr="008E1817">
              <w:rPr>
                <w:rFonts w:eastAsia="Times New Roman"/>
                <w:highlight w:val="lightGray"/>
                <w:lang w:val="sl-SI"/>
              </w:rPr>
              <w:t xml:space="preserve">- sprednjo stran stegen. </w:t>
            </w:r>
          </w:p>
          <w:p w14:paraId="14271563" w14:textId="77777777" w:rsidR="00E04C8A" w:rsidRPr="008E1817" w:rsidRDefault="008E1817">
            <w:pPr>
              <w:pStyle w:val="a3"/>
              <w:ind w:left="4297"/>
              <w:rPr>
                <w:highlight w:val="lightGray"/>
                <w:lang w:val="sl-SI"/>
              </w:rPr>
            </w:pPr>
            <w:r w:rsidRPr="008E1817">
              <w:rPr>
                <w:rFonts w:eastAsia="Times New Roman"/>
                <w:highlight w:val="lightGray"/>
                <w:lang w:val="sl-SI"/>
              </w:rPr>
              <w:t xml:space="preserve">- trebuh, najmanj 5 cm oddaljeno od popka. </w:t>
            </w:r>
          </w:p>
          <w:p w14:paraId="3A6C3FB9" w14:textId="566C7302" w:rsidR="00E04C8A" w:rsidRPr="008E1817" w:rsidRDefault="00CB6F31">
            <w:pPr>
              <w:pStyle w:val="a3"/>
              <w:ind w:left="4297"/>
              <w:rPr>
                <w:highlight w:val="lightGray"/>
                <w:lang w:val="sl-SI"/>
              </w:rPr>
            </w:pPr>
            <w:r>
              <w:rPr>
                <w:rFonts w:eastAsia="Times New Roman"/>
                <w:highlight w:val="lightGray"/>
                <w:lang w:val="sl-SI"/>
              </w:rPr>
              <w:t>-</w:t>
            </w:r>
            <w:r w:rsidR="008E1817" w:rsidRPr="008E1817">
              <w:rPr>
                <w:rFonts w:eastAsia="Times New Roman"/>
                <w:highlight w:val="lightGray"/>
                <w:lang w:val="sl-SI"/>
              </w:rPr>
              <w:t xml:space="preserve"> zunanji del nadlakti (SAMO, če ste negovalec). </w:t>
            </w:r>
          </w:p>
          <w:p w14:paraId="65D55DFE" w14:textId="77777777" w:rsidR="00E04C8A" w:rsidRPr="008E1817" w:rsidRDefault="00E04C8A">
            <w:pPr>
              <w:pStyle w:val="a3"/>
              <w:rPr>
                <w:highlight w:val="lightGray"/>
                <w:lang w:val="sl-SI"/>
              </w:rPr>
            </w:pPr>
          </w:p>
          <w:p w14:paraId="4583C58B" w14:textId="77777777" w:rsidR="00E04C8A" w:rsidRPr="008E1817" w:rsidRDefault="008E1817">
            <w:pPr>
              <w:pStyle w:val="a3"/>
              <w:numPr>
                <w:ilvl w:val="0"/>
                <w:numId w:val="17"/>
              </w:numPr>
              <w:ind w:left="4387"/>
              <w:rPr>
                <w:highlight w:val="lightGray"/>
                <w:lang w:val="sl-SI"/>
              </w:rPr>
            </w:pPr>
            <w:r w:rsidRPr="008E1817">
              <w:rPr>
                <w:rFonts w:eastAsia="Times New Roman"/>
                <w:b/>
                <w:bCs/>
                <w:highlight w:val="lightGray"/>
                <w:lang w:val="sl-SI"/>
              </w:rPr>
              <w:t>Ne</w:t>
            </w:r>
            <w:r w:rsidRPr="008E1817">
              <w:rPr>
                <w:rFonts w:eastAsia="Times New Roman"/>
                <w:highlight w:val="lightGray"/>
                <w:lang w:val="sl-SI"/>
              </w:rPr>
              <w:t xml:space="preserve"> injicirajte v kožo, ki je od popka oddaljena manj kot 5 cm, je rdeča, trda, občutljiva, poškodovana, podpluta ali zabrazgotinjena. </w:t>
            </w:r>
          </w:p>
          <w:p w14:paraId="6B3E5164" w14:textId="77777777" w:rsidR="00E04C8A" w:rsidRPr="008E1817" w:rsidRDefault="008E1817">
            <w:pPr>
              <w:pStyle w:val="a3"/>
              <w:numPr>
                <w:ilvl w:val="0"/>
                <w:numId w:val="17"/>
              </w:numPr>
              <w:ind w:left="4387"/>
              <w:rPr>
                <w:highlight w:val="lightGray"/>
                <w:lang w:val="sl-SI"/>
              </w:rPr>
            </w:pPr>
            <w:r w:rsidRPr="008E1817">
              <w:rPr>
                <w:rFonts w:eastAsia="Times New Roman"/>
                <w:highlight w:val="lightGray"/>
                <w:lang w:val="sl-SI"/>
              </w:rPr>
              <w:t xml:space="preserve">Če imate luskavico, </w:t>
            </w:r>
            <w:r w:rsidRPr="008E1817">
              <w:rPr>
                <w:rFonts w:eastAsia="Times New Roman"/>
                <w:b/>
                <w:bCs/>
                <w:highlight w:val="lightGray"/>
                <w:lang w:val="sl-SI"/>
              </w:rPr>
              <w:t>ne</w:t>
            </w:r>
            <w:r w:rsidRPr="008E1817">
              <w:rPr>
                <w:rFonts w:eastAsia="Times New Roman"/>
                <w:highlight w:val="lightGray"/>
                <w:lang w:val="sl-SI"/>
              </w:rPr>
              <w:t xml:space="preserve"> injicirajte neposredno v dvignjene, odebeljene, rdeče ali luskaste zaplate ali lezije na koži. </w:t>
            </w:r>
          </w:p>
          <w:p w14:paraId="50C558BF" w14:textId="77777777" w:rsidR="00E04C8A" w:rsidRPr="008E1817" w:rsidRDefault="008E1817">
            <w:pPr>
              <w:pStyle w:val="a3"/>
              <w:numPr>
                <w:ilvl w:val="0"/>
                <w:numId w:val="17"/>
              </w:numPr>
              <w:ind w:left="4387"/>
              <w:rPr>
                <w:highlight w:val="lightGray"/>
                <w:lang w:val="sl-SI"/>
              </w:rPr>
            </w:pPr>
            <w:r w:rsidRPr="008E1817">
              <w:rPr>
                <w:rFonts w:eastAsia="Times New Roman"/>
                <w:b/>
                <w:bCs/>
                <w:highlight w:val="lightGray"/>
                <w:lang w:val="sl-SI"/>
              </w:rPr>
              <w:t>Ne</w:t>
            </w:r>
            <w:r w:rsidRPr="008E1817">
              <w:rPr>
                <w:rFonts w:eastAsia="Times New Roman"/>
                <w:highlight w:val="lightGray"/>
                <w:lang w:val="sl-SI"/>
              </w:rPr>
              <w:t xml:space="preserve"> injicirajte </w:t>
            </w:r>
            <w:r w:rsidRPr="008E1817">
              <w:rPr>
                <w:rFonts w:eastAsia="Calibri"/>
                <w:highlight w:val="lightGray"/>
                <w:lang w:val="sl-SI"/>
              </w:rPr>
              <w:t>skozi</w:t>
            </w:r>
            <w:r w:rsidRPr="008E1817">
              <w:rPr>
                <w:rFonts w:eastAsia="Times New Roman"/>
                <w:highlight w:val="lightGray"/>
                <w:lang w:val="sl-SI"/>
              </w:rPr>
              <w:t xml:space="preserve"> oblačila.</w:t>
            </w:r>
          </w:p>
          <w:p w14:paraId="3DEA751F" w14:textId="77777777" w:rsidR="00E04C8A" w:rsidRPr="008E1817" w:rsidRDefault="00E04C8A">
            <w:pPr>
              <w:pStyle w:val="a3"/>
              <w:numPr>
                <w:ilvl w:val="0"/>
                <w:numId w:val="0"/>
              </w:numPr>
              <w:ind w:left="911"/>
              <w:rPr>
                <w:highlight w:val="lightGray"/>
                <w:lang w:val="sl-SI"/>
              </w:rPr>
            </w:pPr>
          </w:p>
          <w:p w14:paraId="669C0904" w14:textId="77777777" w:rsidR="00E04C8A" w:rsidRPr="008E1817" w:rsidRDefault="008E1817">
            <w:pPr>
              <w:pStyle w:val="a3"/>
              <w:ind w:left="4387" w:hanging="270"/>
              <w:rPr>
                <w:sz w:val="26"/>
                <w:szCs w:val="26"/>
                <w:highlight w:val="lightGray"/>
                <w:lang w:val="sl-SI"/>
              </w:rPr>
            </w:pPr>
            <w:r w:rsidRPr="008E1817">
              <w:rPr>
                <w:rFonts w:eastAsia="Times New Roman"/>
                <w:b/>
                <w:bCs/>
                <w:highlight w:val="lightGray"/>
                <w:lang w:val="sl-SI"/>
              </w:rPr>
              <w:t>b.</w:t>
            </w:r>
            <w:r w:rsidRPr="008E1817">
              <w:rPr>
                <w:rFonts w:eastAsia="Times New Roman"/>
                <w:highlight w:val="lightGray"/>
                <w:lang w:val="sl-SI"/>
              </w:rPr>
              <w:t xml:space="preserve"> Za vsako injiciranje zamenjajte mesto injiciranja. Vsako novo mesto injiciranja mora biti vsaj 3 cm oddaljeno od prejšnjega mesta injiciranja.</w:t>
            </w:r>
          </w:p>
        </w:tc>
      </w:tr>
      <w:tr w:rsidR="00E04C8A" w14:paraId="7226BDD0" w14:textId="77777777" w:rsidTr="00851138">
        <w:trPr>
          <w:trHeight w:val="5805"/>
        </w:trPr>
        <w:tc>
          <w:tcPr>
            <w:tcW w:w="9550" w:type="dxa"/>
          </w:tcPr>
          <w:p w14:paraId="0D34D43E" w14:textId="77777777" w:rsidR="00E04C8A" w:rsidRPr="008E1817" w:rsidRDefault="00E04C8A">
            <w:pPr>
              <w:pStyle w:val="1"/>
              <w:spacing w:before="76"/>
              <w:ind w:left="0" w:right="2736"/>
              <w:rPr>
                <w:rFonts w:cs="Times New Roman"/>
                <w:spacing w:val="-1"/>
                <w:highlight w:val="lightGray"/>
                <w:lang w:val="sl-SI"/>
              </w:rPr>
            </w:pPr>
          </w:p>
          <w:p w14:paraId="3EBEF6D6" w14:textId="4CDA905F" w:rsidR="00E04C8A" w:rsidRPr="008E1817" w:rsidRDefault="002734DB">
            <w:pPr>
              <w:pStyle w:val="1"/>
              <w:spacing w:before="76"/>
              <w:ind w:left="0" w:right="2736"/>
              <w:rPr>
                <w:rFonts w:eastAsiaTheme="minorEastAsia"/>
                <w:highlight w:val="lightGray"/>
                <w:lang w:val="sl-SI" w:eastAsia="ko-KR"/>
              </w:rPr>
            </w:pPr>
            <w:r>
              <w:rPr>
                <w:rFonts w:eastAsiaTheme="minorEastAsia"/>
                <w:noProof/>
                <w:lang w:eastAsia="ko-KR"/>
              </w:rPr>
              <mc:AlternateContent>
                <mc:Choice Requires="wpg">
                  <w:drawing>
                    <wp:anchor distT="0" distB="0" distL="114300" distR="114300" simplePos="0" relativeHeight="251658280" behindDoc="0" locked="0" layoutInCell="1" allowOverlap="1" wp14:anchorId="55787856" wp14:editId="09AD6EEF">
                      <wp:simplePos x="0" y="0"/>
                      <wp:positionH relativeFrom="column">
                        <wp:posOffset>-6350</wp:posOffset>
                      </wp:positionH>
                      <wp:positionV relativeFrom="paragraph">
                        <wp:posOffset>211455</wp:posOffset>
                      </wp:positionV>
                      <wp:extent cx="2407920" cy="3092450"/>
                      <wp:effectExtent l="0" t="0" r="0" b="0"/>
                      <wp:wrapSquare wrapText="bothSides"/>
                      <wp:docPr id="1064" name="그룹 1064"/>
                      <wp:cNvGraphicFramePr/>
                      <a:graphic xmlns:a="http://schemas.openxmlformats.org/drawingml/2006/main">
                        <a:graphicData uri="http://schemas.microsoft.com/office/word/2010/wordprocessingGroup">
                          <wpg:wgp>
                            <wpg:cNvGrpSpPr/>
                            <wpg:grpSpPr>
                              <a:xfrm>
                                <a:off x="0" y="0"/>
                                <a:ext cx="2407920" cy="3092450"/>
                                <a:chOff x="0" y="0"/>
                                <a:chExt cx="2407920" cy="3092450"/>
                              </a:xfrm>
                            </wpg:grpSpPr>
                            <pic:pic xmlns:pic="http://schemas.openxmlformats.org/drawingml/2006/picture">
                              <pic:nvPicPr>
                                <pic:cNvPr id="1065" name="그림 1065"/>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066" name="Text Box 1066"/>
                              <wps:cNvSpPr txBox="1"/>
                              <wps:spPr>
                                <a:xfrm>
                                  <a:off x="1670050" y="2946400"/>
                                  <a:ext cx="719758" cy="146050"/>
                                </a:xfrm>
                                <a:prstGeom prst="rect">
                                  <a:avLst/>
                                </a:prstGeom>
                                <a:solidFill>
                                  <a:prstClr val="white"/>
                                </a:solidFill>
                                <a:ln>
                                  <a:noFill/>
                                </a:ln>
                              </wps:spPr>
                              <wps:txbx>
                                <w:txbxContent>
                                  <w:p w14:paraId="13140CB6" w14:textId="77777777" w:rsidR="00474DFB" w:rsidRPr="00D978ED" w:rsidRDefault="00474DFB" w:rsidP="002734DB">
                                    <w:pPr>
                                      <w:pStyle w:val="af0"/>
                                      <w:jc w:val="right"/>
                                      <w:rPr>
                                        <w:rFonts w:ascii="Times New Roman" w:hAnsi="Times New Roman" w:cs="Times New Roman"/>
                                        <w:noProof/>
                                        <w:spacing w:val="-1"/>
                                      </w:rPr>
                                    </w:pPr>
                                    <w:r w:rsidRPr="00337BB0">
                                      <w:rPr>
                                        <w:rFonts w:ascii="Times New Roman" w:hAnsi="Times New Roman" w:cs="Times New Roman"/>
                                        <w:bCs w:val="0"/>
                                        <w:highlight w:val="lightGray"/>
                                      </w:rPr>
                                      <w:t>Figure</w:t>
                                    </w:r>
                                    <w:r w:rsidRPr="00337BB0">
                                      <w:rPr>
                                        <w:rFonts w:ascii="Times New Roman" w:hAnsi="Times New Roman" w:cs="Times New Roman"/>
                                        <w:highlight w:val="lightGray"/>
                                      </w:rPr>
                                      <w:t> 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5787856" id="그룹 1064" o:spid="_x0000_s1106" style="position:absolute;margin-left:-.5pt;margin-top:16.65pt;width:189.6pt;height:243.5pt;z-index:251658280"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">
                      <v:shape id="그림 1065" o:spid="_x0000_s1107"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">
                        <v:imagedata r:id="rId43" o:title=""/>
                      </v:shape>
                      <v:shape id="Text Box 1066" o:spid="_x0000_s1108"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" stroked="f">
                        <v:textbox style="mso-fit-shape-to-text:t" inset="0,0,0,0">
                          <w:txbxContent>
                            <w:p w14:paraId="13140CB6" w14:textId="77777777" w:rsidR="00474DFB" w:rsidRPr="00D978ED" w:rsidRDefault="00474DFB" w:rsidP="002734DB">
                              <w:pPr>
                                <w:pStyle w:val="af0"/>
                                <w:jc w:val="right"/>
                                <w:rPr>
                                  <w:rFonts w:ascii="Times New Roman" w:hAnsi="Times New Roman" w:cs="Times New Roman"/>
                                  <w:noProof/>
                                  <w:spacing w:val="-1"/>
                                </w:rPr>
                              </w:pPr>
                              <w:r w:rsidRPr="00337BB0">
                                <w:rPr>
                                  <w:rFonts w:ascii="Times New Roman" w:hAnsi="Times New Roman" w:cs="Times New Roman"/>
                                  <w:bCs w:val="0"/>
                                  <w:highlight w:val="lightGray"/>
                                </w:rPr>
                                <w:t>Figure</w:t>
                              </w:r>
                              <w:r w:rsidRPr="00337BB0">
                                <w:rPr>
                                  <w:rFonts w:ascii="Times New Roman" w:hAnsi="Times New Roman" w:cs="Times New Roman"/>
                                  <w:highlight w:val="lightGray"/>
                                </w:rPr>
                                <w:t> F</w:t>
                              </w:r>
                            </w:p>
                          </w:txbxContent>
                        </v:textbox>
                      </v:shape>
                      <w10:wrap type="square"/>
                    </v:group>
                  </w:pict>
                </mc:Fallback>
              </mc:AlternateContent>
            </w:r>
          </w:p>
          <w:p w14:paraId="3F103EF1" w14:textId="77777777" w:rsidR="00E04C8A" w:rsidRPr="008E1817" w:rsidRDefault="008E1817">
            <w:pPr>
              <w:pStyle w:val="a3"/>
              <w:numPr>
                <w:ilvl w:val="0"/>
                <w:numId w:val="23"/>
              </w:numPr>
              <w:rPr>
                <w:b/>
                <w:highlight w:val="lightGray"/>
                <w:lang w:val="sl-SI"/>
              </w:rPr>
            </w:pPr>
            <w:r w:rsidRPr="008E1817">
              <w:rPr>
                <w:rFonts w:eastAsia="Times New Roman"/>
                <w:b/>
                <w:bCs/>
                <w:highlight w:val="lightGray"/>
                <w:lang w:val="sl-SI"/>
              </w:rPr>
              <w:t>Umijte si roke</w:t>
            </w:r>
          </w:p>
          <w:p w14:paraId="6D4B7D2A" w14:textId="77777777" w:rsidR="00E04C8A" w:rsidRPr="008E1817" w:rsidRDefault="00E04C8A">
            <w:pPr>
              <w:pStyle w:val="a3"/>
              <w:rPr>
                <w:highlight w:val="lightGray"/>
                <w:lang w:val="sl-SI"/>
              </w:rPr>
            </w:pPr>
          </w:p>
          <w:p w14:paraId="040D9764" w14:textId="77777777" w:rsidR="00E04C8A" w:rsidRDefault="008E1817">
            <w:pPr>
              <w:pStyle w:val="a3"/>
              <w:ind w:left="4387" w:hanging="270"/>
              <w:rPr>
                <w:lang w:val="sl-SI"/>
              </w:rPr>
            </w:pPr>
            <w:r w:rsidRPr="008E1817">
              <w:rPr>
                <w:rFonts w:eastAsia="Times New Roman"/>
                <w:b/>
                <w:bCs/>
                <w:highlight w:val="lightGray"/>
                <w:lang w:val="sl-SI"/>
              </w:rPr>
              <w:t>a.</w:t>
            </w:r>
            <w:r w:rsidRPr="008E1817">
              <w:rPr>
                <w:rFonts w:eastAsia="Times New Roman"/>
                <w:highlight w:val="lightGray"/>
                <w:lang w:val="sl-SI"/>
              </w:rPr>
              <w:t xml:space="preserve"> Roke si umijte z milom in vodo ter jih temeljito posušite.</w:t>
            </w:r>
            <w:r>
              <w:rPr>
                <w:rFonts w:eastAsia="Times New Roman"/>
                <w:lang w:val="sl-SI"/>
              </w:rPr>
              <w:t xml:space="preserve"> </w:t>
            </w:r>
          </w:p>
          <w:p w14:paraId="187596CC" w14:textId="77777777" w:rsidR="00E04C8A" w:rsidRDefault="00E04C8A">
            <w:pPr>
              <w:pStyle w:val="1"/>
              <w:spacing w:before="76"/>
              <w:ind w:left="0" w:right="2736"/>
              <w:rPr>
                <w:rFonts w:eastAsiaTheme="minorEastAsia"/>
                <w:lang w:val="sl-SI" w:eastAsia="ko-KR"/>
              </w:rPr>
            </w:pPr>
          </w:p>
        </w:tc>
      </w:tr>
      <w:tr w:rsidR="00E04C8A" w:rsidRPr="00652F18" w14:paraId="232C05B0" w14:textId="77777777" w:rsidTr="00851138">
        <w:trPr>
          <w:trHeight w:val="5201"/>
        </w:trPr>
        <w:tc>
          <w:tcPr>
            <w:tcW w:w="9550" w:type="dxa"/>
          </w:tcPr>
          <w:p w14:paraId="534CCD1F" w14:textId="77777777" w:rsidR="00E04C8A" w:rsidRPr="008E1817" w:rsidRDefault="00E04C8A">
            <w:pPr>
              <w:ind w:left="104"/>
              <w:rPr>
                <w:rFonts w:ascii="Times New Roman" w:eastAsia="Times New Roman" w:hAnsi="Times New Roman" w:cs="Times New Roman"/>
                <w:b/>
                <w:bCs/>
                <w:spacing w:val="-1"/>
                <w:highlight w:val="lightGray"/>
                <w:lang w:val="sl-SI"/>
              </w:rPr>
            </w:pPr>
          </w:p>
          <w:p w14:paraId="44660224" w14:textId="77777777" w:rsidR="00E04C8A" w:rsidRPr="008E1817" w:rsidRDefault="00E04C8A">
            <w:pPr>
              <w:ind w:left="104"/>
              <w:rPr>
                <w:rFonts w:ascii="Times New Roman" w:eastAsia="Times New Roman" w:hAnsi="Times New Roman" w:cs="Times New Roman"/>
                <w:highlight w:val="lightGray"/>
                <w:lang w:val="sl-SI"/>
              </w:rPr>
            </w:pPr>
          </w:p>
          <w:p w14:paraId="186CFDCA" w14:textId="77777777" w:rsidR="00E04C8A" w:rsidRPr="008E1817" w:rsidRDefault="008E1817">
            <w:pPr>
              <w:pStyle w:val="a3"/>
              <w:numPr>
                <w:ilvl w:val="0"/>
                <w:numId w:val="23"/>
              </w:numPr>
              <w:rPr>
                <w:b/>
                <w:highlight w:val="lightGray"/>
                <w:lang w:val="sl-SI"/>
              </w:rPr>
            </w:pPr>
            <w:r w:rsidRPr="008E1817">
              <w:rPr>
                <w:b/>
                <w:noProof/>
                <w:highlight w:val="lightGray"/>
                <w:lang w:eastAsia="ko-KR"/>
              </w:rPr>
              <mc:AlternateContent>
                <mc:Choice Requires="wpg">
                  <w:drawing>
                    <wp:anchor distT="0" distB="0" distL="114300" distR="114300" simplePos="0" relativeHeight="251658256" behindDoc="0" locked="0" layoutInCell="1" allowOverlap="1" wp14:anchorId="7F2F62F6" wp14:editId="57F47625">
                      <wp:simplePos x="0" y="0"/>
                      <wp:positionH relativeFrom="column">
                        <wp:posOffset>10795</wp:posOffset>
                      </wp:positionH>
                      <wp:positionV relativeFrom="paragraph">
                        <wp:posOffset>31115</wp:posOffset>
                      </wp:positionV>
                      <wp:extent cx="2256458" cy="2901950"/>
                      <wp:effectExtent l="0" t="0" r="0" b="0"/>
                      <wp:wrapSquare wrapText="bothSides"/>
                      <wp:docPr id="86" name="그룹 86"/>
                      <wp:cNvGraphicFramePr/>
                      <a:graphic xmlns:a="http://schemas.openxmlformats.org/drawingml/2006/main">
                        <a:graphicData uri="http://schemas.microsoft.com/office/word/2010/wordprocessingGroup">
                          <wpg:wgp>
                            <wpg:cNvGrpSpPr/>
                            <wpg:grpSpPr>
                              <a:xfrm>
                                <a:off x="0" y="0"/>
                                <a:ext cx="2256458" cy="2901950"/>
                                <a:chOff x="0" y="0"/>
                                <a:chExt cx="2256458" cy="2901950"/>
                              </a:xfrm>
                            </wpg:grpSpPr>
                            <pic:pic xmlns:pic="http://schemas.openxmlformats.org/drawingml/2006/picture">
                              <pic:nvPicPr>
                                <pic:cNvPr id="4012" name="그림 4012"/>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78" name="Text Box 78"/>
                              <wps:cNvSpPr txBox="1"/>
                              <wps:spPr>
                                <a:xfrm>
                                  <a:off x="1536700" y="2755900"/>
                                  <a:ext cx="719758" cy="146050"/>
                                </a:xfrm>
                                <a:prstGeom prst="rect">
                                  <a:avLst/>
                                </a:prstGeom>
                                <a:solidFill>
                                  <a:prstClr val="white"/>
                                </a:solidFill>
                                <a:ln>
                                  <a:noFill/>
                                </a:ln>
                              </wps:spPr>
                              <wps:txbx>
                                <w:txbxContent>
                                  <w:p w14:paraId="348838E0"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F2F62F6" id="그룹 86" o:spid="_x0000_s1109" style="position:absolute;left:0;text-align:left;margin-left:.85pt;margin-top:2.45pt;width:177.65pt;height:228.5pt;z-index:251658256" coordsize="22564,290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">
                      <v:shape id="그림 4012" o:spid="_x0000_s1110"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">
                        <v:imagedata r:id="rId45" o:title=""/>
                      </v:shape>
                      <v:shape id="Text Box 78" o:spid="_x0000_s1111" type="#_x0000_t202" style="position:absolute;left:15367;top:27559;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" stroked="f">
                        <v:textbox style="mso-fit-shape-to-text:t" inset="0,0,0,0">
                          <w:txbxContent>
                            <w:p w14:paraId="348838E0"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G</w:t>
                              </w:r>
                            </w:p>
                          </w:txbxContent>
                        </v:textbox>
                      </v:shape>
                      <w10:wrap type="square"/>
                    </v:group>
                  </w:pict>
                </mc:Fallback>
              </mc:AlternateContent>
            </w:r>
            <w:r w:rsidRPr="008E1817">
              <w:rPr>
                <w:rFonts w:eastAsia="Times New Roman"/>
                <w:b/>
                <w:bCs/>
                <w:highlight w:val="lightGray"/>
                <w:lang w:val="sl-SI"/>
              </w:rPr>
              <w:t>Očistite mesto injiciranja</w:t>
            </w:r>
            <w:r w:rsidRPr="008E1817">
              <w:rPr>
                <w:rFonts w:eastAsia="Times New Roman"/>
                <w:highlight w:val="lightGray"/>
                <w:lang w:val="sl-SI"/>
              </w:rPr>
              <w:t xml:space="preserve"> </w:t>
            </w:r>
          </w:p>
          <w:p w14:paraId="2850F8A3" w14:textId="77777777" w:rsidR="00E04C8A" w:rsidRPr="00337BB0" w:rsidRDefault="00E04C8A">
            <w:pPr>
              <w:pStyle w:val="a3"/>
              <w:numPr>
                <w:ilvl w:val="0"/>
                <w:numId w:val="0"/>
              </w:numPr>
              <w:ind w:left="471"/>
              <w:rPr>
                <w:b/>
                <w:highlight w:val="lightGray"/>
                <w:lang w:val="sl-SI"/>
              </w:rPr>
            </w:pPr>
          </w:p>
          <w:p w14:paraId="455F5F47" w14:textId="5724CB95" w:rsidR="00E04C8A" w:rsidRPr="00337BB0" w:rsidRDefault="008E1817">
            <w:pPr>
              <w:pStyle w:val="a3"/>
              <w:ind w:left="4387" w:hanging="270"/>
              <w:rPr>
                <w:highlight w:val="lightGray"/>
                <w:lang w:val="sl-SI"/>
              </w:rPr>
            </w:pPr>
            <w:r w:rsidRPr="00337BB0">
              <w:rPr>
                <w:rFonts w:eastAsia="Times New Roman"/>
                <w:b/>
                <w:bCs/>
                <w:highlight w:val="lightGray"/>
                <w:lang w:val="sl-SI"/>
              </w:rPr>
              <w:t>a.</w:t>
            </w:r>
            <w:r w:rsidRPr="00337BB0">
              <w:rPr>
                <w:rFonts w:eastAsia="Times New Roman"/>
                <w:highlight w:val="lightGray"/>
                <w:lang w:val="sl-SI"/>
              </w:rPr>
              <w:t xml:space="preserve"> Mesto injiciranja očistite z </w:t>
            </w:r>
            <w:r w:rsidR="00E07158" w:rsidRPr="00337BB0">
              <w:rPr>
                <w:rFonts w:eastAsia="Times New Roman"/>
                <w:highlight w:val="lightGray"/>
                <w:lang w:val="sl-SI"/>
              </w:rPr>
              <w:t>alkoholn</w:t>
            </w:r>
            <w:r w:rsidR="009B3B8C" w:rsidRPr="00337BB0">
              <w:rPr>
                <w:rFonts w:eastAsia="Times New Roman"/>
                <w:highlight w:val="lightGray"/>
                <w:lang w:val="sl-SI"/>
              </w:rPr>
              <w:t>im</w:t>
            </w:r>
            <w:r w:rsidR="00E07158" w:rsidRPr="00337BB0">
              <w:rPr>
                <w:rFonts w:eastAsia="Times New Roman"/>
                <w:highlight w:val="lightGray"/>
                <w:lang w:val="sl-SI"/>
              </w:rPr>
              <w:t xml:space="preserve"> zloženc</w:t>
            </w:r>
            <w:r w:rsidR="009B3B8C" w:rsidRPr="00337BB0">
              <w:rPr>
                <w:rFonts w:eastAsia="Times New Roman"/>
                <w:highlight w:val="lightGray"/>
                <w:lang w:val="sl-SI"/>
              </w:rPr>
              <w:t>em</w:t>
            </w:r>
            <w:r w:rsidRPr="00337BB0">
              <w:rPr>
                <w:rFonts w:eastAsia="Times New Roman"/>
                <w:highlight w:val="lightGray"/>
                <w:lang w:val="sl-SI"/>
              </w:rPr>
              <w:t xml:space="preserve"> s krožnimi gibi.</w:t>
            </w:r>
          </w:p>
          <w:p w14:paraId="76D70D5E" w14:textId="77777777" w:rsidR="00E04C8A" w:rsidRPr="008E1817" w:rsidRDefault="008E1817">
            <w:pPr>
              <w:pStyle w:val="a3"/>
              <w:ind w:left="4387" w:hanging="270"/>
              <w:rPr>
                <w:highlight w:val="lightGray"/>
                <w:lang w:val="sl-SI"/>
              </w:rPr>
            </w:pPr>
            <w:r w:rsidRPr="00337BB0">
              <w:rPr>
                <w:rFonts w:eastAsia="Times New Roman"/>
                <w:b/>
                <w:bCs/>
                <w:highlight w:val="lightGray"/>
                <w:lang w:val="sl-SI"/>
              </w:rPr>
              <w:t>b.</w:t>
            </w:r>
            <w:r w:rsidRPr="00337BB0">
              <w:rPr>
                <w:rFonts w:eastAsia="Times New Roman"/>
                <w:highlight w:val="lightGray"/>
                <w:lang w:val="sl-SI"/>
              </w:rPr>
              <w:t xml:space="preserve"> Pred injiciranjem počakajt</w:t>
            </w:r>
            <w:r w:rsidRPr="008E1817">
              <w:rPr>
                <w:rFonts w:eastAsia="Times New Roman"/>
                <w:highlight w:val="lightGray"/>
                <w:lang w:val="sl-SI"/>
              </w:rPr>
              <w:t>e, da se koža posuši.</w:t>
            </w:r>
          </w:p>
          <w:p w14:paraId="3328C28A" w14:textId="77777777" w:rsidR="00E04C8A" w:rsidRPr="008E1817" w:rsidRDefault="00E04C8A">
            <w:pPr>
              <w:pStyle w:val="a3"/>
              <w:rPr>
                <w:highlight w:val="lightGray"/>
                <w:lang w:val="sl-SI"/>
              </w:rPr>
            </w:pPr>
          </w:p>
          <w:p w14:paraId="3DBBF77B" w14:textId="77777777" w:rsidR="00E04C8A" w:rsidRPr="008E1817" w:rsidRDefault="00E04C8A">
            <w:pPr>
              <w:pStyle w:val="a3"/>
              <w:rPr>
                <w:highlight w:val="lightGray"/>
                <w:lang w:val="sl-SI"/>
              </w:rPr>
            </w:pPr>
          </w:p>
          <w:p w14:paraId="6F12113B" w14:textId="77777777" w:rsidR="00E04C8A" w:rsidRPr="008E1817" w:rsidRDefault="008E1817">
            <w:pPr>
              <w:pStyle w:val="a3"/>
              <w:rPr>
                <w:highlight w:val="lightGray"/>
                <w:lang w:val="sl-SI" w:eastAsia="ko-KR"/>
              </w:rPr>
            </w:pPr>
            <w:r w:rsidRPr="008E1817">
              <w:rPr>
                <w:rFonts w:ascii="맑은 고딕" w:eastAsia="맑은 고딕" w:hAnsi="맑은 고딕"/>
                <w:highlight w:val="lightGray"/>
                <w:lang w:val="sl-SI"/>
              </w:rPr>
              <w:t>•</w:t>
            </w:r>
            <w:r w:rsidRPr="008E1817">
              <w:rPr>
                <w:rFonts w:eastAsia="Times New Roman"/>
                <w:highlight w:val="lightGray"/>
                <w:lang w:val="sl-SI"/>
              </w:rPr>
              <w:t xml:space="preserve"> Pred </w:t>
            </w:r>
            <w:r w:rsidRPr="008E1817">
              <w:rPr>
                <w:rFonts w:eastAsia="맑은 고딕"/>
                <w:highlight w:val="lightGray"/>
                <w:lang w:val="sl-SI"/>
              </w:rPr>
              <w:t>injiciranjem zdravila na mesto</w:t>
            </w:r>
            <w:r w:rsidRPr="008E1817">
              <w:rPr>
                <w:rFonts w:ascii="맑은 고딕" w:eastAsia="맑은 고딕" w:hAnsi="맑은 고딕"/>
                <w:highlight w:val="lightGray"/>
                <w:lang w:val="sl-SI"/>
              </w:rPr>
              <w:t xml:space="preserve"> </w:t>
            </w:r>
            <w:r w:rsidRPr="008E1817">
              <w:rPr>
                <w:rFonts w:eastAsia="Times New Roman"/>
                <w:highlight w:val="lightGray"/>
                <w:lang w:val="sl-SI"/>
              </w:rPr>
              <w:t>injiciranja</w:t>
            </w:r>
            <w:r w:rsidRPr="008E1817">
              <w:rPr>
                <w:rFonts w:ascii="맑은 고딕" w:eastAsia="맑은 고딕" w:hAnsi="맑은 고딕"/>
                <w:highlight w:val="lightGray"/>
                <w:lang w:val="sl-SI"/>
              </w:rPr>
              <w:t xml:space="preserve"> </w:t>
            </w:r>
            <w:r w:rsidRPr="008E1817">
              <w:rPr>
                <w:rFonts w:eastAsia="맑은 고딕"/>
                <w:b/>
                <w:bCs/>
                <w:highlight w:val="lightGray"/>
                <w:lang w:val="sl-SI"/>
              </w:rPr>
              <w:t>ne</w:t>
            </w:r>
            <w:r w:rsidRPr="008E1817">
              <w:rPr>
                <w:rFonts w:eastAsia="Times New Roman"/>
                <w:highlight w:val="lightGray"/>
                <w:lang w:val="sl-SI"/>
              </w:rPr>
              <w:t xml:space="preserve"> pihajte in se ga ne dotikajte ponovno.</w:t>
            </w:r>
          </w:p>
        </w:tc>
      </w:tr>
      <w:tr w:rsidR="00E04C8A" w:rsidRPr="003138FB" w14:paraId="2810AEFC" w14:textId="77777777" w:rsidTr="00851138">
        <w:trPr>
          <w:trHeight w:val="4941"/>
        </w:trPr>
        <w:tc>
          <w:tcPr>
            <w:tcW w:w="9550" w:type="dxa"/>
          </w:tcPr>
          <w:p w14:paraId="6AE2F126" w14:textId="77777777" w:rsidR="00E04C8A" w:rsidRPr="008E1817" w:rsidRDefault="00E04C8A">
            <w:pPr>
              <w:pStyle w:val="Default"/>
              <w:rPr>
                <w:highlight w:val="lightGray"/>
                <w:lang w:val="sl-SI"/>
              </w:rPr>
            </w:pPr>
          </w:p>
          <w:p w14:paraId="1F4A3232" w14:textId="77777777" w:rsidR="00E04C8A" w:rsidRPr="008E1817" w:rsidRDefault="00E04C8A">
            <w:pPr>
              <w:pStyle w:val="Default"/>
              <w:rPr>
                <w:highlight w:val="lightGray"/>
                <w:lang w:val="sl-SI"/>
              </w:rPr>
            </w:pPr>
          </w:p>
          <w:p w14:paraId="7C747782" w14:textId="77777777" w:rsidR="00E04C8A" w:rsidRPr="008E1817" w:rsidRDefault="008E1817">
            <w:pPr>
              <w:pStyle w:val="Default"/>
              <w:rPr>
                <w:highlight w:val="lightGray"/>
                <w:lang w:val="sl-SI"/>
              </w:rPr>
            </w:pPr>
            <w:r w:rsidRPr="008E1817">
              <w:rPr>
                <w:noProof/>
                <w:highlight w:val="lightGray"/>
                <w:lang w:eastAsia="ko-KR"/>
              </w:rPr>
              <mc:AlternateContent>
                <mc:Choice Requires="wpg">
                  <w:drawing>
                    <wp:anchor distT="0" distB="0" distL="114300" distR="114300" simplePos="0" relativeHeight="251658257" behindDoc="0" locked="0" layoutInCell="1" allowOverlap="1" wp14:anchorId="5865502B" wp14:editId="5A0B270A">
                      <wp:simplePos x="0" y="0"/>
                      <wp:positionH relativeFrom="column">
                        <wp:posOffset>26670</wp:posOffset>
                      </wp:positionH>
                      <wp:positionV relativeFrom="paragraph">
                        <wp:posOffset>23495</wp:posOffset>
                      </wp:positionV>
                      <wp:extent cx="2237105" cy="3048000"/>
                      <wp:effectExtent l="0" t="0" r="0" b="0"/>
                      <wp:wrapSquare wrapText="bothSides"/>
                      <wp:docPr id="90" name="그룹 90"/>
                      <wp:cNvGraphicFramePr/>
                      <a:graphic xmlns:a="http://schemas.openxmlformats.org/drawingml/2006/main">
                        <a:graphicData uri="http://schemas.microsoft.com/office/word/2010/wordprocessingGroup">
                          <wpg:wgp>
                            <wpg:cNvGrpSpPr/>
                            <wpg:grpSpPr>
                              <a:xfrm>
                                <a:off x="0" y="0"/>
                                <a:ext cx="2237105" cy="3048000"/>
                                <a:chOff x="0" y="0"/>
                                <a:chExt cx="2161208" cy="2717800"/>
                              </a:xfrm>
                            </wpg:grpSpPr>
                            <pic:pic xmlns:pic="http://schemas.openxmlformats.org/drawingml/2006/picture">
                              <pic:nvPicPr>
                                <pic:cNvPr id="4023" name="그림 4023"/>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bwMode="auto">
                                <a:xfrm>
                                  <a:off x="0" y="0"/>
                                  <a:ext cx="2159000" cy="2582545"/>
                                </a:xfrm>
                                <a:prstGeom prst="rect">
                                  <a:avLst/>
                                </a:prstGeom>
                                <a:noFill/>
                                <a:ln>
                                  <a:noFill/>
                                </a:ln>
                              </pic:spPr>
                            </pic:pic>
                            <wps:wsp>
                              <wps:cNvPr id="88" name="Text Box 88"/>
                              <wps:cNvSpPr txBox="1"/>
                              <wps:spPr>
                                <a:xfrm>
                                  <a:off x="1441450" y="2571750"/>
                                  <a:ext cx="719758" cy="146050"/>
                                </a:xfrm>
                                <a:prstGeom prst="rect">
                                  <a:avLst/>
                                </a:prstGeom>
                                <a:solidFill>
                                  <a:prstClr val="white"/>
                                </a:solidFill>
                                <a:ln>
                                  <a:noFill/>
                                </a:ln>
                              </wps:spPr>
                              <wps:txbx>
                                <w:txbxContent>
                                  <w:p w14:paraId="7861D82A"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65502B" id="그룹 90" o:spid="_x0000_s1112" style="position:absolute;margin-left:2.1pt;margin-top:1.85pt;width:176.15pt;height:240pt;z-index:251658257;mso-width-relative:margin;mso-height-relative:margin" coordsize="21612,271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">
                      <v:shape id="그림 4023" o:spid="_x0000_s1113" type="#_x0000_t75" style="position:absolute;width:21590;height:25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">
                        <v:imagedata r:id="rId62" o:title=""/>
                      </v:shape>
                      <v:shape id="Text Box 88" o:spid="_x0000_s1114" type="#_x0000_t202" style="position:absolute;left:14414;top:25717;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" stroked="f">
                        <v:textbox inset="0,0,0,0">
                          <w:txbxContent>
                            <w:p w14:paraId="7861D82A"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H</w:t>
                              </w:r>
                            </w:p>
                          </w:txbxContent>
                        </v:textbox>
                      </v:shape>
                      <w10:wrap type="square"/>
                    </v:group>
                  </w:pict>
                </mc:Fallback>
              </mc:AlternateContent>
            </w:r>
          </w:p>
          <w:p w14:paraId="1B19C425" w14:textId="77777777" w:rsidR="00E04C8A" w:rsidRPr="008E1817" w:rsidRDefault="008E1817" w:rsidP="006238AA">
            <w:pPr>
              <w:pStyle w:val="a3"/>
              <w:numPr>
                <w:ilvl w:val="0"/>
                <w:numId w:val="17"/>
              </w:numPr>
              <w:rPr>
                <w:b/>
                <w:highlight w:val="lightGray"/>
                <w:lang w:val="sl-SI"/>
              </w:rPr>
            </w:pPr>
            <w:r w:rsidRPr="008E1817">
              <w:rPr>
                <w:rFonts w:eastAsia="Times New Roman"/>
                <w:b/>
                <w:bCs/>
                <w:highlight w:val="lightGray"/>
                <w:lang w:val="sl-SI"/>
              </w:rPr>
              <w:t>Odstranite pokrovček.</w:t>
            </w:r>
          </w:p>
          <w:p w14:paraId="4686741E" w14:textId="77777777" w:rsidR="00E04C8A" w:rsidRPr="008E1817" w:rsidRDefault="00E04C8A">
            <w:pPr>
              <w:pStyle w:val="a3"/>
              <w:rPr>
                <w:b/>
                <w:highlight w:val="lightGray"/>
                <w:lang w:val="sl-SI"/>
              </w:rPr>
            </w:pPr>
          </w:p>
          <w:p w14:paraId="2F2170FA" w14:textId="77777777" w:rsidR="00E04C8A" w:rsidRPr="008E1817" w:rsidRDefault="008E1817">
            <w:pPr>
              <w:pStyle w:val="a3"/>
              <w:ind w:left="4297" w:hanging="270"/>
              <w:rPr>
                <w:highlight w:val="lightGray"/>
                <w:lang w:val="sl-SI"/>
              </w:rPr>
            </w:pPr>
            <w:r w:rsidRPr="008E1817">
              <w:rPr>
                <w:rFonts w:eastAsia="Times New Roman"/>
                <w:b/>
                <w:bCs/>
                <w:highlight w:val="lightGray"/>
                <w:lang w:val="sl-SI"/>
              </w:rPr>
              <w:t>a</w:t>
            </w:r>
            <w:r w:rsidRPr="008E1817">
              <w:rPr>
                <w:rFonts w:eastAsia="Times New Roman"/>
                <w:highlight w:val="lightGray"/>
                <w:lang w:val="sl-SI"/>
              </w:rPr>
              <w:t>. Odstranite pokrovček, tako da držite telo napolnjene injekcijske brizge z eno roko. Pokrovček z drugo roko nežno povlecite ravno navzdol.</w:t>
            </w:r>
          </w:p>
          <w:p w14:paraId="30F7E4A3" w14:textId="77777777" w:rsidR="00E04C8A" w:rsidRPr="008E1817" w:rsidRDefault="008E1817">
            <w:pPr>
              <w:pStyle w:val="a3"/>
              <w:numPr>
                <w:ilvl w:val="0"/>
                <w:numId w:val="0"/>
              </w:numPr>
              <w:ind w:left="1384"/>
              <w:rPr>
                <w:highlight w:val="lightGray"/>
                <w:lang w:val="sl-SI"/>
              </w:rPr>
            </w:pPr>
            <w:r w:rsidRPr="008E1817">
              <w:rPr>
                <w:b/>
                <w:highlight w:val="lightGray"/>
                <w:lang w:val="sl-SI"/>
              </w:rPr>
              <w:t xml:space="preserve"> </w:t>
            </w:r>
          </w:p>
          <w:p w14:paraId="310B156F" w14:textId="77777777" w:rsidR="00E04C8A" w:rsidRPr="008E1817" w:rsidRDefault="008E1817" w:rsidP="006238AA">
            <w:pPr>
              <w:pStyle w:val="a3"/>
              <w:numPr>
                <w:ilvl w:val="0"/>
                <w:numId w:val="17"/>
              </w:numPr>
              <w:rPr>
                <w:highlight w:val="lightGray"/>
                <w:lang w:val="sl-SI"/>
              </w:rPr>
            </w:pPr>
            <w:r w:rsidRPr="008E1817">
              <w:rPr>
                <w:rFonts w:eastAsia="Times New Roman"/>
                <w:b/>
                <w:bCs/>
                <w:highlight w:val="lightGray"/>
                <w:lang w:val="sl-SI"/>
              </w:rPr>
              <w:t>Ne</w:t>
            </w:r>
            <w:r w:rsidRPr="008E1817">
              <w:rPr>
                <w:rFonts w:eastAsia="Times New Roman"/>
                <w:highlight w:val="lightGray"/>
                <w:lang w:val="sl-SI"/>
              </w:rPr>
              <w:t xml:space="preserve"> odstranjujte pokrovčka, dokler niste pripravljeni na injiciranje. </w:t>
            </w:r>
          </w:p>
          <w:p w14:paraId="11422376" w14:textId="77777777" w:rsidR="00E04C8A" w:rsidRPr="008E1817" w:rsidRDefault="00E04C8A">
            <w:pPr>
              <w:pStyle w:val="a3"/>
              <w:numPr>
                <w:ilvl w:val="0"/>
                <w:numId w:val="0"/>
              </w:numPr>
              <w:ind w:left="4297"/>
              <w:rPr>
                <w:highlight w:val="lightGray"/>
                <w:lang w:val="sl-SI"/>
              </w:rPr>
            </w:pPr>
          </w:p>
          <w:p w14:paraId="31571B11" w14:textId="77777777" w:rsidR="00E04C8A" w:rsidRPr="008E1817" w:rsidRDefault="008E1817" w:rsidP="006238AA">
            <w:pPr>
              <w:pStyle w:val="a3"/>
              <w:numPr>
                <w:ilvl w:val="0"/>
                <w:numId w:val="17"/>
              </w:numPr>
              <w:rPr>
                <w:highlight w:val="lightGray"/>
                <w:lang w:val="sl-SI"/>
              </w:rPr>
            </w:pPr>
            <w:r w:rsidRPr="008E1817">
              <w:rPr>
                <w:rFonts w:eastAsia="Times New Roman"/>
                <w:highlight w:val="lightGray"/>
                <w:lang w:val="sl-SI"/>
              </w:rPr>
              <w:t xml:space="preserve">Igle se </w:t>
            </w:r>
            <w:r w:rsidRPr="008E1817">
              <w:rPr>
                <w:rFonts w:eastAsia="Times New Roman"/>
                <w:b/>
                <w:bCs/>
                <w:highlight w:val="lightGray"/>
                <w:lang w:val="sl-SI"/>
              </w:rPr>
              <w:t>ne</w:t>
            </w:r>
            <w:r w:rsidRPr="008E1817">
              <w:rPr>
                <w:rFonts w:eastAsia="Times New Roman"/>
                <w:highlight w:val="lightGray"/>
                <w:lang w:val="sl-SI"/>
              </w:rPr>
              <w:t xml:space="preserve"> dotikajte. V nasprotnem primeru lahko pride do poškodbe zaradi vboda z iglo.</w:t>
            </w:r>
            <w:r w:rsidRPr="008E1817">
              <w:rPr>
                <w:rFonts w:eastAsia="Times New Roman"/>
                <w:b/>
                <w:bCs/>
                <w:highlight w:val="lightGray"/>
                <w:lang w:val="sl-SI"/>
              </w:rPr>
              <w:t xml:space="preserve"> </w:t>
            </w:r>
          </w:p>
          <w:p w14:paraId="75B633AA" w14:textId="77777777" w:rsidR="00E04C8A" w:rsidRPr="008E1817" w:rsidRDefault="00E04C8A">
            <w:pPr>
              <w:pStyle w:val="a4"/>
              <w:ind w:left="4297"/>
              <w:rPr>
                <w:highlight w:val="lightGray"/>
                <w:lang w:val="sl-SI"/>
              </w:rPr>
            </w:pPr>
          </w:p>
          <w:p w14:paraId="36CD7AF2" w14:textId="77777777" w:rsidR="00E04C8A" w:rsidRPr="006238AA" w:rsidRDefault="008E1817" w:rsidP="006238AA">
            <w:pPr>
              <w:pStyle w:val="a3"/>
              <w:numPr>
                <w:ilvl w:val="0"/>
                <w:numId w:val="17"/>
              </w:numPr>
              <w:rPr>
                <w:highlight w:val="lightGray"/>
                <w:lang w:val="sl-SI"/>
              </w:rPr>
            </w:pPr>
            <w:r w:rsidRPr="008E1817">
              <w:rPr>
                <w:rFonts w:eastAsia="Times New Roman"/>
                <w:highlight w:val="lightGray"/>
                <w:lang w:val="sl-SI"/>
              </w:rPr>
              <w:t xml:space="preserve">Na napolnjeno injekcijsko brizgo </w:t>
            </w:r>
            <w:r w:rsidRPr="008E1817">
              <w:rPr>
                <w:rFonts w:eastAsia="Times New Roman"/>
                <w:b/>
                <w:bCs/>
                <w:highlight w:val="lightGray"/>
                <w:lang w:val="sl-SI"/>
              </w:rPr>
              <w:t>ne</w:t>
            </w:r>
            <w:r w:rsidRPr="008E1817">
              <w:rPr>
                <w:rFonts w:eastAsia="Times New Roman"/>
                <w:highlight w:val="lightGray"/>
                <w:lang w:val="sl-SI"/>
              </w:rPr>
              <w:t xml:space="preserve"> natikajte ponovno pokrovčka. Pokrovček takoj zavrzite v vsebnik za ostre predmete.</w:t>
            </w:r>
          </w:p>
          <w:p w14:paraId="03F257DB" w14:textId="77777777" w:rsidR="006238AA" w:rsidRDefault="006238AA" w:rsidP="006238AA">
            <w:pPr>
              <w:pStyle w:val="a4"/>
              <w:rPr>
                <w:highlight w:val="lightGray"/>
                <w:lang w:val="sl-SI"/>
              </w:rPr>
            </w:pPr>
          </w:p>
          <w:p w14:paraId="510D31C4" w14:textId="77777777" w:rsidR="006238AA" w:rsidRPr="007C415F" w:rsidRDefault="006238AA" w:rsidP="006238AA">
            <w:pPr>
              <w:pStyle w:val="a3"/>
              <w:numPr>
                <w:ilvl w:val="0"/>
                <w:numId w:val="17"/>
              </w:numPr>
              <w:rPr>
                <w:rFonts w:eastAsia="Times New Roman"/>
                <w:lang w:val="sl-SI"/>
              </w:rPr>
            </w:pPr>
            <w:r w:rsidRPr="007C415F">
              <w:rPr>
                <w:rFonts w:eastAsia="Times New Roman"/>
                <w:lang w:val="sl-SI"/>
              </w:rPr>
              <w:t>Na konici igle lahko vidite kapljico tekočine; to je normalno.</w:t>
            </w:r>
          </w:p>
          <w:p w14:paraId="69E8EE73" w14:textId="77777777" w:rsidR="006238AA" w:rsidRPr="008E1817" w:rsidRDefault="006238AA" w:rsidP="006238AA">
            <w:pPr>
              <w:pStyle w:val="a3"/>
              <w:numPr>
                <w:ilvl w:val="0"/>
                <w:numId w:val="0"/>
              </w:numPr>
              <w:ind w:left="1384"/>
              <w:rPr>
                <w:highlight w:val="lightGray"/>
                <w:lang w:val="sl-SI"/>
              </w:rPr>
            </w:pPr>
          </w:p>
        </w:tc>
      </w:tr>
      <w:tr w:rsidR="00E04C8A" w:rsidRPr="00652F18" w14:paraId="1E6FA38B" w14:textId="77777777" w:rsidTr="00851138">
        <w:trPr>
          <w:trHeight w:val="7028"/>
        </w:trPr>
        <w:tc>
          <w:tcPr>
            <w:tcW w:w="9550" w:type="dxa"/>
          </w:tcPr>
          <w:p w14:paraId="2315C108" w14:textId="77777777" w:rsidR="00E04C8A" w:rsidRPr="008E1817" w:rsidRDefault="00E04C8A">
            <w:pPr>
              <w:ind w:left="104"/>
              <w:rPr>
                <w:rFonts w:ascii="Times New Roman" w:eastAsia="Times New Roman" w:hAnsi="Times New Roman" w:cs="Times New Roman"/>
                <w:b/>
                <w:bCs/>
                <w:spacing w:val="-1"/>
                <w:highlight w:val="lightGray"/>
                <w:lang w:val="sl-SI"/>
              </w:rPr>
            </w:pPr>
          </w:p>
          <w:p w14:paraId="149B0E53" w14:textId="77777777" w:rsidR="00E04C8A" w:rsidRPr="008E1817" w:rsidRDefault="008E1817">
            <w:pPr>
              <w:pStyle w:val="1"/>
              <w:spacing w:before="76"/>
              <w:ind w:left="0" w:right="2736"/>
              <w:rPr>
                <w:rFonts w:eastAsiaTheme="minorEastAsia"/>
                <w:highlight w:val="lightGray"/>
                <w:lang w:val="sl-SI" w:eastAsia="ko-KR"/>
              </w:rPr>
            </w:pPr>
            <w:r w:rsidRPr="008E1817">
              <w:rPr>
                <w:rFonts w:eastAsiaTheme="minorEastAsia"/>
                <w:noProof/>
                <w:highlight w:val="lightGray"/>
                <w:lang w:eastAsia="ko-KR"/>
              </w:rPr>
              <mc:AlternateContent>
                <mc:Choice Requires="wpg">
                  <w:drawing>
                    <wp:anchor distT="0" distB="0" distL="114300" distR="114300" simplePos="0" relativeHeight="251658258" behindDoc="0" locked="0" layoutInCell="1" allowOverlap="1" wp14:anchorId="3209AD9A" wp14:editId="3855AEE2">
                      <wp:simplePos x="0" y="0"/>
                      <wp:positionH relativeFrom="column">
                        <wp:posOffset>61595</wp:posOffset>
                      </wp:positionH>
                      <wp:positionV relativeFrom="paragraph">
                        <wp:posOffset>154305</wp:posOffset>
                      </wp:positionV>
                      <wp:extent cx="2302510" cy="3956050"/>
                      <wp:effectExtent l="0" t="0" r="2540" b="6350"/>
                      <wp:wrapSquare wrapText="bothSides"/>
                      <wp:docPr id="94" name="그룹 94"/>
                      <wp:cNvGraphicFramePr/>
                      <a:graphic xmlns:a="http://schemas.openxmlformats.org/drawingml/2006/main">
                        <a:graphicData uri="http://schemas.microsoft.com/office/word/2010/wordprocessingGroup">
                          <wpg:wgp>
                            <wpg:cNvGrpSpPr/>
                            <wpg:grpSpPr>
                              <a:xfrm>
                                <a:off x="0" y="0"/>
                                <a:ext cx="2302510" cy="3956050"/>
                                <a:chOff x="0" y="0"/>
                                <a:chExt cx="2302510" cy="3956050"/>
                              </a:xfrm>
                            </wpg:grpSpPr>
                            <pic:pic xmlns:pic="http://schemas.openxmlformats.org/drawingml/2006/picture">
                              <pic:nvPicPr>
                                <pic:cNvPr id="4024" name="그림 4024"/>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bwMode="auto">
                                <a:xfrm>
                                  <a:off x="0" y="0"/>
                                  <a:ext cx="2302510" cy="3806825"/>
                                </a:xfrm>
                                <a:prstGeom prst="rect">
                                  <a:avLst/>
                                </a:prstGeom>
                                <a:noFill/>
                                <a:ln>
                                  <a:noFill/>
                                </a:ln>
                              </pic:spPr>
                            </pic:pic>
                            <wps:wsp>
                              <wps:cNvPr id="93" name="Text Box 93"/>
                              <wps:cNvSpPr txBox="1"/>
                              <wps:spPr>
                                <a:xfrm>
                                  <a:off x="1581150" y="3810000"/>
                                  <a:ext cx="719758" cy="146050"/>
                                </a:xfrm>
                                <a:prstGeom prst="rect">
                                  <a:avLst/>
                                </a:prstGeom>
                                <a:solidFill>
                                  <a:prstClr val="white"/>
                                </a:solidFill>
                                <a:ln>
                                  <a:noFill/>
                                </a:ln>
                              </wps:spPr>
                              <wps:txbx>
                                <w:txbxContent>
                                  <w:p w14:paraId="374E1A76"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209AD9A" id="그룹 94" o:spid="_x0000_s1115" style="position:absolute;margin-left:4.85pt;margin-top:12.15pt;width:181.3pt;height:311.5pt;z-index:251658258" coordsize="23025,395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">
                      <v:shape id="그림 4024" o:spid="_x0000_s1116" type="#_x0000_t75" style="position:absolute;width:23025;height:38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">
                        <v:imagedata r:id="rId64" o:title=""/>
                      </v:shape>
                      <v:shape id="Text Box 93" o:spid="_x0000_s1117" type="#_x0000_t202" style="position:absolute;left:15811;top:38100;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" stroked="f">
                        <v:textbox style="mso-fit-shape-to-text:t" inset="0,0,0,0">
                          <w:txbxContent>
                            <w:p w14:paraId="374E1A76"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I</w:t>
                              </w:r>
                            </w:p>
                          </w:txbxContent>
                        </v:textbox>
                      </v:shape>
                      <w10:wrap type="square"/>
                    </v:group>
                  </w:pict>
                </mc:Fallback>
              </mc:AlternateContent>
            </w:r>
          </w:p>
          <w:p w14:paraId="1B814565" w14:textId="77777777" w:rsidR="00E04C8A" w:rsidRPr="008E1817" w:rsidRDefault="008E1817">
            <w:pPr>
              <w:pStyle w:val="a3"/>
              <w:numPr>
                <w:ilvl w:val="0"/>
                <w:numId w:val="23"/>
              </w:numPr>
              <w:ind w:left="4297"/>
              <w:rPr>
                <w:b/>
                <w:highlight w:val="lightGray"/>
                <w:lang w:val="sl-SI"/>
              </w:rPr>
            </w:pPr>
            <w:r w:rsidRPr="008E1817">
              <w:rPr>
                <w:rFonts w:eastAsia="Times New Roman"/>
                <w:b/>
                <w:bCs/>
                <w:highlight w:val="lightGray"/>
                <w:lang w:val="sl-SI"/>
              </w:rPr>
              <w:t>Napolnjeno injekcijsko brizgo vstavite v mesto injiciranja.</w:t>
            </w:r>
          </w:p>
          <w:p w14:paraId="494FF2DB" w14:textId="77777777" w:rsidR="00E04C8A" w:rsidRPr="008E1817" w:rsidRDefault="00E04C8A">
            <w:pPr>
              <w:pStyle w:val="a3"/>
              <w:numPr>
                <w:ilvl w:val="0"/>
                <w:numId w:val="0"/>
              </w:numPr>
              <w:ind w:left="471"/>
              <w:rPr>
                <w:b/>
                <w:highlight w:val="lightGray"/>
                <w:lang w:val="sl-SI"/>
              </w:rPr>
            </w:pPr>
          </w:p>
          <w:p w14:paraId="1B249A1F" w14:textId="77777777" w:rsidR="00E04C8A" w:rsidRPr="008E1817" w:rsidRDefault="00E04C8A">
            <w:pPr>
              <w:pStyle w:val="a3"/>
              <w:numPr>
                <w:ilvl w:val="0"/>
                <w:numId w:val="0"/>
              </w:numPr>
              <w:ind w:left="471"/>
              <w:rPr>
                <w:b/>
                <w:highlight w:val="lightGray"/>
                <w:lang w:val="sl-SI"/>
              </w:rPr>
            </w:pPr>
          </w:p>
          <w:p w14:paraId="66395394" w14:textId="39A2FA15" w:rsidR="00E04C8A" w:rsidRPr="008E1817" w:rsidRDefault="008E1817">
            <w:pPr>
              <w:pStyle w:val="a3"/>
              <w:ind w:left="4387" w:hanging="270"/>
              <w:rPr>
                <w:highlight w:val="lightGray"/>
                <w:lang w:val="sl-SI"/>
              </w:rPr>
            </w:pPr>
            <w:r w:rsidRPr="008E1817">
              <w:rPr>
                <w:rFonts w:eastAsia="Times New Roman"/>
                <w:b/>
                <w:bCs/>
                <w:highlight w:val="lightGray"/>
                <w:lang w:val="sl-SI"/>
              </w:rPr>
              <w:t>a.</w:t>
            </w:r>
            <w:r w:rsidRPr="008E1817">
              <w:rPr>
                <w:rFonts w:eastAsia="Times New Roman"/>
                <w:highlight w:val="lightGray"/>
                <w:lang w:val="sl-SI"/>
              </w:rPr>
              <w:t xml:space="preserve"> Z eno roko nežno stisnite kožno gubo na mestu injiciranja.</w:t>
            </w:r>
          </w:p>
          <w:p w14:paraId="40483712" w14:textId="7FD85952" w:rsidR="00E04C8A" w:rsidRPr="008E1817" w:rsidRDefault="00E04C8A">
            <w:pPr>
              <w:pStyle w:val="a3"/>
              <w:rPr>
                <w:highlight w:val="lightGray"/>
                <w:lang w:val="sl-SI"/>
              </w:rPr>
            </w:pPr>
          </w:p>
          <w:p w14:paraId="2D75935E" w14:textId="77777777" w:rsidR="00E04C8A" w:rsidRPr="008E1817" w:rsidRDefault="008E1817">
            <w:pPr>
              <w:pStyle w:val="a3"/>
              <w:ind w:left="4387" w:hanging="270"/>
              <w:rPr>
                <w:highlight w:val="lightGray"/>
                <w:lang w:val="sl-SI"/>
              </w:rPr>
            </w:pPr>
            <w:r w:rsidRPr="008E1817">
              <w:rPr>
                <w:rFonts w:eastAsia="Times New Roman"/>
                <w:b/>
                <w:bCs/>
                <w:highlight w:val="lightGray"/>
                <w:lang w:val="sl-SI"/>
              </w:rPr>
              <w:t xml:space="preserve">b. </w:t>
            </w:r>
            <w:r w:rsidRPr="008E1817">
              <w:rPr>
                <w:rFonts w:eastAsia="Times New Roman"/>
                <w:highlight w:val="lightGray"/>
                <w:lang w:val="sl-SI"/>
              </w:rPr>
              <w:t>Napolnjeno injekcijsko brizgo držite za telo in vstavite iglo do konca v kožno gubo pod kotom 45° s hitrim, kratkim gibom.</w:t>
            </w:r>
          </w:p>
          <w:p w14:paraId="12A35139" w14:textId="15334B19" w:rsidR="00E04C8A" w:rsidRPr="008E1817" w:rsidRDefault="009D4E53">
            <w:pPr>
              <w:pStyle w:val="a3"/>
              <w:ind w:firstLineChars="300" w:firstLine="660"/>
              <w:rPr>
                <w:highlight w:val="lightGray"/>
                <w:lang w:val="sl-SI" w:eastAsia="ko-KR"/>
              </w:rPr>
            </w:pPr>
            <w:r w:rsidRPr="008E1817">
              <w:rPr>
                <w:noProof/>
                <w:highlight w:val="lightGray"/>
                <w:lang w:eastAsia="ko-KR"/>
              </w:rPr>
              <mc:AlternateContent>
                <mc:Choice Requires="wps">
                  <w:drawing>
                    <wp:anchor distT="0" distB="0" distL="114300" distR="114300" simplePos="0" relativeHeight="251658274" behindDoc="0" locked="0" layoutInCell="1" allowOverlap="1" wp14:anchorId="70F139EE" wp14:editId="24D924F0">
                      <wp:simplePos x="0" y="0"/>
                      <wp:positionH relativeFrom="column">
                        <wp:posOffset>93345</wp:posOffset>
                      </wp:positionH>
                      <wp:positionV relativeFrom="paragraph">
                        <wp:posOffset>95250</wp:posOffset>
                      </wp:positionV>
                      <wp:extent cx="2214880" cy="280035"/>
                      <wp:effectExtent l="0" t="0" r="0" b="5715"/>
                      <wp:wrapNone/>
                      <wp:docPr id="1028" name="Text Box 1028"/>
                      <wp:cNvGraphicFramePr/>
                      <a:graphic xmlns:a="http://schemas.openxmlformats.org/drawingml/2006/main">
                        <a:graphicData uri="http://schemas.microsoft.com/office/word/2010/wordprocessingShape">
                          <wps:wsp>
                            <wps:cNvSpPr txBox="1"/>
                            <wps:spPr>
                              <a:xfrm>
                                <a:off x="0" y="0"/>
                                <a:ext cx="2214880" cy="28003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E057B6" w14:textId="77777777" w:rsidR="00474DFB" w:rsidRDefault="00474DFB">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sl-SI"/>
                                    </w:rPr>
                                    <w:t>ALI</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0F139EE" id="Text Box 1028" o:spid="_x0000_s1118" type="#_x0000_t202" style="position:absolute;left:0;text-align:left;margin-left:7.35pt;margin-top:7.5pt;width:174.4pt;height:22.0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" fillcolor="black [3213]" stroked="f" strokeweight=".5pt">
                      <v:textbox inset="0,0,0,0">
                        <w:txbxContent>
                          <w:p w14:paraId="67E057B6" w14:textId="77777777" w:rsidR="00474DFB" w:rsidRDefault="00474DFB">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sl-SI"/>
                              </w:rPr>
                              <w:t>ALI</w:t>
                            </w:r>
                          </w:p>
                        </w:txbxContent>
                      </v:textbox>
                    </v:shape>
                  </w:pict>
                </mc:Fallback>
              </mc:AlternateContent>
            </w:r>
            <w:r w:rsidR="008E1817" w:rsidRPr="008E1817">
              <w:rPr>
                <w:rFonts w:eastAsia="Times New Roman"/>
                <w:highlight w:val="lightGray"/>
                <w:lang w:val="sl-SI"/>
              </w:rPr>
              <w:t xml:space="preserve"> </w:t>
            </w:r>
          </w:p>
        </w:tc>
      </w:tr>
      <w:tr w:rsidR="00E04C8A" w:rsidRPr="00652F18" w14:paraId="52FD1A84" w14:textId="77777777" w:rsidTr="00851138">
        <w:trPr>
          <w:trHeight w:val="6293"/>
        </w:trPr>
        <w:tc>
          <w:tcPr>
            <w:tcW w:w="9550" w:type="dxa"/>
          </w:tcPr>
          <w:p w14:paraId="3BE1C8F0" w14:textId="77777777" w:rsidR="00E04C8A" w:rsidRPr="008E1817" w:rsidRDefault="00E04C8A">
            <w:pPr>
              <w:ind w:left="104"/>
              <w:rPr>
                <w:rFonts w:ascii="Times New Roman" w:eastAsia="Times New Roman" w:hAnsi="Times New Roman" w:cs="Times New Roman"/>
                <w:b/>
                <w:bCs/>
                <w:spacing w:val="-1"/>
                <w:highlight w:val="lightGray"/>
                <w:lang w:val="sl-SI"/>
              </w:rPr>
            </w:pPr>
          </w:p>
          <w:p w14:paraId="5FE676ED" w14:textId="416BFAB6" w:rsidR="00E04C8A" w:rsidRPr="008E1817" w:rsidRDefault="00851138">
            <w:pPr>
              <w:pStyle w:val="1"/>
              <w:spacing w:before="76"/>
              <w:ind w:left="0" w:right="2736"/>
              <w:rPr>
                <w:rFonts w:eastAsiaTheme="minorEastAsia"/>
                <w:highlight w:val="lightGray"/>
                <w:lang w:val="sl-SI" w:eastAsia="ko-KR"/>
              </w:rPr>
            </w:pPr>
            <w:r w:rsidRPr="008E1817">
              <w:rPr>
                <w:noProof/>
                <w:highlight w:val="lightGray"/>
                <w:lang w:eastAsia="ko-KR"/>
              </w:rPr>
              <mc:AlternateContent>
                <mc:Choice Requires="wpg">
                  <w:drawing>
                    <wp:anchor distT="0" distB="0" distL="114300" distR="114300" simplePos="0" relativeHeight="251658259" behindDoc="0" locked="0" layoutInCell="1" allowOverlap="1" wp14:anchorId="7E4BE85E" wp14:editId="0E065F9A">
                      <wp:simplePos x="0" y="0"/>
                      <wp:positionH relativeFrom="column">
                        <wp:posOffset>38100</wp:posOffset>
                      </wp:positionH>
                      <wp:positionV relativeFrom="paragraph">
                        <wp:posOffset>27940</wp:posOffset>
                      </wp:positionV>
                      <wp:extent cx="2286635" cy="3075940"/>
                      <wp:effectExtent l="0" t="0" r="0" b="0"/>
                      <wp:wrapSquare wrapText="bothSides"/>
                      <wp:docPr id="97" name="그룹 97"/>
                      <wp:cNvGraphicFramePr/>
                      <a:graphic xmlns:a="http://schemas.openxmlformats.org/drawingml/2006/main">
                        <a:graphicData uri="http://schemas.microsoft.com/office/word/2010/wordprocessingGroup">
                          <wpg:wgp>
                            <wpg:cNvGrpSpPr/>
                            <wpg:grpSpPr>
                              <a:xfrm>
                                <a:off x="0" y="0"/>
                                <a:ext cx="2286635" cy="3075940"/>
                                <a:chOff x="0" y="510363"/>
                                <a:chExt cx="2382539" cy="3076170"/>
                              </a:xfrm>
                            </wpg:grpSpPr>
                            <pic:pic xmlns:pic="http://schemas.openxmlformats.org/drawingml/2006/picture">
                              <pic:nvPicPr>
                                <pic:cNvPr id="4025" name="그림 4025"/>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bwMode="auto">
                                <a:xfrm>
                                  <a:off x="0" y="510363"/>
                                  <a:ext cx="2382539" cy="2901492"/>
                                </a:xfrm>
                                <a:prstGeom prst="rect">
                                  <a:avLst/>
                                </a:prstGeom>
                                <a:noFill/>
                                <a:ln>
                                  <a:noFill/>
                                </a:ln>
                              </pic:spPr>
                            </pic:pic>
                            <wps:wsp>
                              <wps:cNvPr id="96" name="Text Box 96"/>
                              <wps:cNvSpPr txBox="1"/>
                              <wps:spPr>
                                <a:xfrm>
                                  <a:off x="1642775" y="3440483"/>
                                  <a:ext cx="719758" cy="146050"/>
                                </a:xfrm>
                                <a:prstGeom prst="rect">
                                  <a:avLst/>
                                </a:prstGeom>
                                <a:solidFill>
                                  <a:prstClr val="white"/>
                                </a:solidFill>
                                <a:ln>
                                  <a:noFill/>
                                </a:ln>
                              </wps:spPr>
                              <wps:txbx>
                                <w:txbxContent>
                                  <w:p w14:paraId="08CEE2D6"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J</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4BE85E" id="그룹 97" o:spid="_x0000_s1119" style="position:absolute;margin-left:3pt;margin-top:2.2pt;width:180.05pt;height:242.2pt;z-index:251658259;mso-width-relative:margin;mso-height-relative:margin" coordorigin=",5103" coordsize="23825,3076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">
                      <v:shape id="그림 4025" o:spid="_x0000_s1120" type="#_x0000_t75" style="position:absolute;top:5103;width:23825;height:29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">
                        <v:imagedata r:id="rId66" o:title=""/>
                      </v:shape>
                      <v:shape id="Text Box 96" o:spid="_x0000_s1121" type="#_x0000_t202" style="position:absolute;left:16427;top:34404;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" stroked="f">
                        <v:textbox inset="0,0,0,0">
                          <w:txbxContent>
                            <w:p w14:paraId="08CEE2D6"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J</w:t>
                              </w:r>
                            </w:p>
                          </w:txbxContent>
                        </v:textbox>
                      </v:shape>
                      <w10:wrap type="square"/>
                    </v:group>
                  </w:pict>
                </mc:Fallback>
              </mc:AlternateContent>
            </w:r>
          </w:p>
          <w:p w14:paraId="276D56D6" w14:textId="39408228" w:rsidR="00E04C8A" w:rsidRPr="008E1817" w:rsidRDefault="00E04C8A">
            <w:pPr>
              <w:pStyle w:val="Default"/>
              <w:rPr>
                <w:highlight w:val="lightGray"/>
                <w:lang w:val="sl-SI"/>
              </w:rPr>
            </w:pPr>
          </w:p>
          <w:p w14:paraId="28A9296F" w14:textId="4056B233" w:rsidR="00E04C8A" w:rsidRPr="008E1817" w:rsidRDefault="008E1817">
            <w:pPr>
              <w:pStyle w:val="a3"/>
              <w:numPr>
                <w:ilvl w:val="0"/>
                <w:numId w:val="23"/>
              </w:numPr>
              <w:rPr>
                <w:b/>
                <w:highlight w:val="lightGray"/>
                <w:lang w:val="sl-SI"/>
              </w:rPr>
            </w:pPr>
            <w:r w:rsidRPr="008E1817">
              <w:rPr>
                <w:rFonts w:eastAsia="Times New Roman"/>
                <w:b/>
                <w:bCs/>
                <w:highlight w:val="lightGray"/>
                <w:lang w:val="sl-SI"/>
              </w:rPr>
              <w:t>Dajte si injekcijo</w:t>
            </w:r>
          </w:p>
          <w:p w14:paraId="7CA74B0E" w14:textId="77777777" w:rsidR="00E04C8A" w:rsidRPr="008E1817" w:rsidRDefault="00E04C8A">
            <w:pPr>
              <w:pStyle w:val="a3"/>
              <w:rPr>
                <w:highlight w:val="lightGray"/>
                <w:lang w:val="sl-SI"/>
              </w:rPr>
            </w:pPr>
          </w:p>
          <w:p w14:paraId="38F76015" w14:textId="3EEDBCAC" w:rsidR="00E04C8A" w:rsidRPr="008E1817" w:rsidRDefault="008E1817" w:rsidP="00851138">
            <w:pPr>
              <w:pStyle w:val="a3"/>
              <w:ind w:left="4136" w:hanging="1345"/>
              <w:rPr>
                <w:highlight w:val="lightGray"/>
                <w:lang w:val="sl-SI"/>
              </w:rPr>
            </w:pPr>
            <w:r w:rsidRPr="008E1817">
              <w:rPr>
                <w:rFonts w:eastAsia="Times New Roman"/>
                <w:b/>
                <w:bCs/>
                <w:highlight w:val="lightGray"/>
                <w:lang w:val="sl-SI"/>
              </w:rPr>
              <w:t>a.</w:t>
            </w:r>
            <w:r w:rsidRPr="008E1817">
              <w:rPr>
                <w:rFonts w:eastAsia="Times New Roman"/>
                <w:highlight w:val="lightGray"/>
                <w:lang w:val="sl-SI"/>
              </w:rPr>
              <w:t xml:space="preserve"> Ko iglo vstavite, spustite stisnjeno kožo.</w:t>
            </w:r>
          </w:p>
          <w:p w14:paraId="052DD32F" w14:textId="77777777" w:rsidR="00E04C8A" w:rsidRPr="008E1817" w:rsidRDefault="008E1817" w:rsidP="00851138">
            <w:pPr>
              <w:pStyle w:val="a3"/>
              <w:ind w:left="4136" w:hanging="1345"/>
              <w:rPr>
                <w:highlight w:val="lightGray"/>
                <w:lang w:val="sl-SI"/>
              </w:rPr>
            </w:pPr>
            <w:r w:rsidRPr="008E1817">
              <w:rPr>
                <w:rFonts w:eastAsia="Times New Roman"/>
                <w:b/>
                <w:bCs/>
                <w:highlight w:val="lightGray"/>
                <w:lang w:val="sl-SI"/>
              </w:rPr>
              <w:t>b.</w:t>
            </w:r>
            <w:r w:rsidRPr="008E1817">
              <w:rPr>
                <w:rFonts w:eastAsia="Times New Roman"/>
                <w:highlight w:val="lightGray"/>
                <w:lang w:val="sl-SI"/>
              </w:rPr>
              <w:t xml:space="preserve"> Počasi potisnite bat do konca, dokler ne vbrizgate celotne tekočine in je injekcijska brizga prazna.</w:t>
            </w:r>
          </w:p>
          <w:p w14:paraId="4A0B657A" w14:textId="77777777" w:rsidR="00E04C8A" w:rsidRPr="008E1817" w:rsidRDefault="00E04C8A">
            <w:pPr>
              <w:pStyle w:val="a3"/>
              <w:rPr>
                <w:highlight w:val="lightGray"/>
                <w:lang w:val="sl-SI"/>
              </w:rPr>
            </w:pPr>
          </w:p>
          <w:p w14:paraId="3240C406" w14:textId="77777777" w:rsidR="00E04C8A" w:rsidRPr="008E1817" w:rsidRDefault="00E04C8A">
            <w:pPr>
              <w:pStyle w:val="a3"/>
              <w:rPr>
                <w:highlight w:val="lightGray"/>
                <w:lang w:val="sl-SI"/>
              </w:rPr>
            </w:pPr>
          </w:p>
          <w:p w14:paraId="79ACF7B0" w14:textId="3C60C122" w:rsidR="00E04C8A" w:rsidRPr="008E1817" w:rsidRDefault="008E1817">
            <w:pPr>
              <w:pStyle w:val="a3"/>
              <w:rPr>
                <w:highlight w:val="lightGray"/>
                <w:lang w:val="sl-SI"/>
              </w:rPr>
            </w:pPr>
            <w:r w:rsidRPr="008E1817">
              <w:rPr>
                <w:rFonts w:ascii="맑은 고딕" w:eastAsia="맑은 고딕" w:hAnsi="맑은 고딕"/>
                <w:highlight w:val="lightGray"/>
                <w:lang w:val="sl-SI"/>
              </w:rPr>
              <w:t>•</w:t>
            </w:r>
            <w:r w:rsidRPr="008E1817">
              <w:rPr>
                <w:rFonts w:eastAsia="Times New Roman"/>
                <w:highlight w:val="lightGray"/>
                <w:lang w:val="sl-SI"/>
              </w:rPr>
              <w:t xml:space="preserve"> </w:t>
            </w:r>
            <w:r w:rsidRPr="008E1817">
              <w:rPr>
                <w:rFonts w:eastAsia="Times New Roman"/>
                <w:bCs/>
                <w:highlight w:val="lightGray"/>
                <w:lang w:val="sl-SI"/>
              </w:rPr>
              <w:t>Po začetku</w:t>
            </w:r>
            <w:r w:rsidRPr="008E1817">
              <w:rPr>
                <w:rFonts w:eastAsia="Times New Roman"/>
                <w:b/>
                <w:bCs/>
                <w:highlight w:val="lightGray"/>
                <w:lang w:val="sl-SI"/>
              </w:rPr>
              <w:t xml:space="preserve"> </w:t>
            </w:r>
            <w:r w:rsidRPr="008E1817">
              <w:rPr>
                <w:rFonts w:eastAsia="맑은 고딕"/>
                <w:highlight w:val="lightGray"/>
                <w:lang w:val="sl-SI"/>
              </w:rPr>
              <w:t xml:space="preserve">injiciranja </w:t>
            </w:r>
            <w:r w:rsidRPr="008E1817">
              <w:rPr>
                <w:rFonts w:eastAsia="맑은 고딕"/>
                <w:b/>
                <w:highlight w:val="lightGray"/>
                <w:lang w:val="sl-SI"/>
              </w:rPr>
              <w:t>ne</w:t>
            </w:r>
            <w:r w:rsidRPr="008E1817">
              <w:rPr>
                <w:rFonts w:eastAsia="Times New Roman"/>
                <w:highlight w:val="lightGray"/>
                <w:lang w:val="sl-SI"/>
              </w:rPr>
              <w:t xml:space="preserve"> spreminjajte položaja napolnjene injekcijske brizge.</w:t>
            </w:r>
          </w:p>
          <w:p w14:paraId="7BA70F26" w14:textId="77777777" w:rsidR="00E04C8A" w:rsidRPr="008E1817" w:rsidRDefault="008E1817">
            <w:pPr>
              <w:pStyle w:val="a3"/>
              <w:rPr>
                <w:highlight w:val="lightGray"/>
                <w:lang w:val="sl-SI"/>
              </w:rPr>
            </w:pPr>
            <w:r w:rsidRPr="008E1817">
              <w:rPr>
                <w:highlight w:val="lightGray"/>
                <w:lang w:val="sl-SI"/>
              </w:rPr>
              <w:t xml:space="preserve"> </w:t>
            </w:r>
          </w:p>
        </w:tc>
      </w:tr>
      <w:tr w:rsidR="00E04C8A" w14:paraId="28BF4339" w14:textId="77777777" w:rsidTr="00851138">
        <w:trPr>
          <w:trHeight w:val="6520"/>
        </w:trPr>
        <w:tc>
          <w:tcPr>
            <w:tcW w:w="9550" w:type="dxa"/>
          </w:tcPr>
          <w:p w14:paraId="52EF2194" w14:textId="77777777" w:rsidR="00E04C8A" w:rsidRPr="008E1817" w:rsidRDefault="008E1817">
            <w:pPr>
              <w:ind w:left="104"/>
              <w:rPr>
                <w:rFonts w:ascii="Times New Roman" w:eastAsia="Times New Roman" w:hAnsi="Times New Roman" w:cs="Times New Roman"/>
                <w:b/>
                <w:bCs/>
                <w:spacing w:val="-1"/>
                <w:highlight w:val="lightGray"/>
                <w:lang w:val="sl-SI"/>
              </w:rPr>
            </w:pPr>
            <w:r w:rsidRPr="008E1817">
              <w:rPr>
                <w:rFonts w:ascii="Times New Roman" w:eastAsia="Times New Roman" w:hAnsi="Times New Roman" w:cs="Times New Roman"/>
                <w:b/>
                <w:bCs/>
                <w:spacing w:val="-1"/>
                <w:highlight w:val="lightGray"/>
                <w:lang w:val="sl-SI"/>
              </w:rPr>
              <w:lastRenderedPageBreak/>
              <w:t xml:space="preserve"> </w:t>
            </w:r>
          </w:p>
          <w:p w14:paraId="73391224" w14:textId="77777777" w:rsidR="00E04C8A" w:rsidRPr="008E1817" w:rsidRDefault="00E04C8A">
            <w:pPr>
              <w:ind w:left="104"/>
              <w:rPr>
                <w:rFonts w:ascii="Times New Roman" w:eastAsia="Times New Roman" w:hAnsi="Times New Roman" w:cs="Times New Roman"/>
                <w:highlight w:val="lightGray"/>
                <w:lang w:val="sl-SI"/>
              </w:rPr>
            </w:pPr>
          </w:p>
          <w:p w14:paraId="6F79DBDF" w14:textId="77777777" w:rsidR="00E04C8A" w:rsidRPr="008E1817" w:rsidRDefault="008E1817">
            <w:pPr>
              <w:pStyle w:val="a3"/>
              <w:rPr>
                <w:highlight w:val="lightGray"/>
                <w:lang w:val="sl-SI"/>
              </w:rPr>
            </w:pPr>
            <w:r w:rsidRPr="008E1817">
              <w:rPr>
                <w:noProof/>
                <w:highlight w:val="lightGray"/>
                <w:lang w:eastAsia="ko-KR"/>
              </w:rPr>
              <mc:AlternateContent>
                <mc:Choice Requires="wpg">
                  <w:drawing>
                    <wp:anchor distT="0" distB="0" distL="114300" distR="114300" simplePos="0" relativeHeight="251658260" behindDoc="0" locked="0" layoutInCell="1" allowOverlap="1" wp14:anchorId="431C8B34" wp14:editId="391526A7">
                      <wp:simplePos x="0" y="0"/>
                      <wp:positionH relativeFrom="column">
                        <wp:posOffset>48895</wp:posOffset>
                      </wp:positionH>
                      <wp:positionV relativeFrom="paragraph">
                        <wp:posOffset>11430</wp:posOffset>
                      </wp:positionV>
                      <wp:extent cx="2796208" cy="3536950"/>
                      <wp:effectExtent l="0" t="0" r="4445" b="6350"/>
                      <wp:wrapSquare wrapText="bothSides"/>
                      <wp:docPr id="100" name="그룹 100"/>
                      <wp:cNvGraphicFramePr/>
                      <a:graphic xmlns:a="http://schemas.openxmlformats.org/drawingml/2006/main">
                        <a:graphicData uri="http://schemas.microsoft.com/office/word/2010/wordprocessingGroup">
                          <wpg:wgp>
                            <wpg:cNvGrpSpPr/>
                            <wpg:grpSpPr>
                              <a:xfrm>
                                <a:off x="0" y="0"/>
                                <a:ext cx="2796208" cy="3536950"/>
                                <a:chOff x="0" y="0"/>
                                <a:chExt cx="2796208" cy="3536950"/>
                              </a:xfrm>
                            </wpg:grpSpPr>
                            <pic:pic xmlns:pic="http://schemas.openxmlformats.org/drawingml/2006/picture">
                              <pic:nvPicPr>
                                <pic:cNvPr id="4026" name="그림 4026"/>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bwMode="auto">
                                <a:xfrm>
                                  <a:off x="0" y="0"/>
                                  <a:ext cx="2794000" cy="3429000"/>
                                </a:xfrm>
                                <a:prstGeom prst="rect">
                                  <a:avLst/>
                                </a:prstGeom>
                                <a:noFill/>
                                <a:ln>
                                  <a:noFill/>
                                </a:ln>
                              </pic:spPr>
                            </pic:pic>
                            <wps:wsp>
                              <wps:cNvPr id="99" name="Text Box 99"/>
                              <wps:cNvSpPr txBox="1"/>
                              <wps:spPr>
                                <a:xfrm>
                                  <a:off x="2076450" y="3390900"/>
                                  <a:ext cx="719758" cy="146050"/>
                                </a:xfrm>
                                <a:prstGeom prst="rect">
                                  <a:avLst/>
                                </a:prstGeom>
                                <a:solidFill>
                                  <a:prstClr val="white"/>
                                </a:solidFill>
                                <a:ln>
                                  <a:noFill/>
                                </a:ln>
                              </wps:spPr>
                              <wps:txbx>
                                <w:txbxContent>
                                  <w:p w14:paraId="677B1B03"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31C8B34" id="그룹 100" o:spid="_x0000_s1122" style="position:absolute;margin-left:3.85pt;margin-top:.9pt;width:220.15pt;height:278.5pt;z-index:251658260" coordsize="27962,353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">
                      <v:shape id="그림 4026" o:spid="_x0000_s1123" type="#_x0000_t75" style="position:absolute;width:27940;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">
                        <v:imagedata r:id="rId68" o:title=""/>
                      </v:shape>
                      <v:shape id="Text Box 99" o:spid="_x0000_s1124" type="#_x0000_t202" style="position:absolute;left:20764;top:33909;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" stroked="f">
                        <v:textbox style="mso-fit-shape-to-text:t" inset="0,0,0,0">
                          <w:txbxContent>
                            <w:p w14:paraId="677B1B03"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K</w:t>
                              </w:r>
                            </w:p>
                          </w:txbxContent>
                        </v:textbox>
                      </v:shape>
                      <w10:wrap type="square"/>
                    </v:group>
                  </w:pict>
                </mc:Fallback>
              </mc:AlternateContent>
            </w:r>
          </w:p>
          <w:p w14:paraId="30F4F053" w14:textId="77777777" w:rsidR="00E04C8A" w:rsidRPr="008E1817" w:rsidRDefault="008E1817">
            <w:pPr>
              <w:pStyle w:val="a3"/>
              <w:numPr>
                <w:ilvl w:val="0"/>
                <w:numId w:val="23"/>
              </w:numPr>
              <w:ind w:left="5017"/>
              <w:rPr>
                <w:highlight w:val="lightGray"/>
                <w:lang w:val="sl-SI"/>
              </w:rPr>
            </w:pPr>
            <w:r w:rsidRPr="008E1817">
              <w:rPr>
                <w:rFonts w:eastAsia="Times New Roman"/>
                <w:b/>
                <w:bCs/>
                <w:highlight w:val="lightGray"/>
                <w:lang w:val="sl-SI"/>
              </w:rPr>
              <w:t>Napolnjeno injekcijsko brizgo vzemite iz mesta injiciranja in</w:t>
            </w:r>
            <w:r w:rsidRPr="008E1817">
              <w:rPr>
                <w:rFonts w:eastAsia="Times New Roman"/>
                <w:highlight w:val="lightGray"/>
                <w:lang w:val="sl-SI"/>
              </w:rPr>
              <w:t xml:space="preserve"> </w:t>
            </w:r>
            <w:r w:rsidRPr="008E1817">
              <w:rPr>
                <w:rFonts w:eastAsia="Times New Roman"/>
                <w:b/>
                <w:bCs/>
                <w:highlight w:val="lightGray"/>
                <w:lang w:val="sl-SI"/>
              </w:rPr>
              <w:t>poskrbite za mesto injiciranja</w:t>
            </w:r>
            <w:r w:rsidRPr="008E1817">
              <w:rPr>
                <w:rFonts w:eastAsia="Times New Roman"/>
                <w:highlight w:val="lightGray"/>
                <w:lang w:val="sl-SI"/>
              </w:rPr>
              <w:t>.</w:t>
            </w:r>
          </w:p>
          <w:p w14:paraId="3FB472CC" w14:textId="66DE1675" w:rsidR="00E04C8A" w:rsidRPr="008E1817" w:rsidRDefault="008E1817">
            <w:pPr>
              <w:pStyle w:val="a3"/>
              <w:ind w:left="5017" w:hanging="180"/>
              <w:rPr>
                <w:highlight w:val="lightGray"/>
                <w:lang w:val="sl-SI"/>
              </w:rPr>
            </w:pPr>
            <w:r w:rsidRPr="008E1817">
              <w:rPr>
                <w:rFonts w:eastAsia="Times New Roman"/>
                <w:b/>
                <w:bCs/>
                <w:highlight w:val="lightGray"/>
                <w:lang w:val="sl-SI"/>
              </w:rPr>
              <w:t>a.</w:t>
            </w:r>
            <w:r w:rsidRPr="008E1817">
              <w:rPr>
                <w:rFonts w:eastAsia="Times New Roman"/>
                <w:highlight w:val="lightGray"/>
                <w:lang w:val="sl-SI"/>
              </w:rPr>
              <w:t xml:space="preserve"> Ko je napolnjena injekcijska brizga prazna, palec počasi dvignite z bata, dokler ni igla popolnoma prekrita </w:t>
            </w:r>
            <w:r w:rsidR="00E07158">
              <w:rPr>
                <w:rFonts w:eastAsia="Times New Roman"/>
                <w:highlight w:val="lightGray"/>
                <w:lang w:val="sl-SI"/>
              </w:rPr>
              <w:t>s ščitnikom za iglo</w:t>
            </w:r>
            <w:r w:rsidRPr="008E1817">
              <w:rPr>
                <w:rFonts w:eastAsia="Times New Roman"/>
                <w:highlight w:val="lightGray"/>
                <w:lang w:val="sl-SI"/>
              </w:rPr>
              <w:t>.</w:t>
            </w:r>
          </w:p>
          <w:p w14:paraId="08A4E35D" w14:textId="77777777" w:rsidR="00E04C8A" w:rsidRPr="008E1817" w:rsidRDefault="008E1817">
            <w:pPr>
              <w:pStyle w:val="a3"/>
              <w:ind w:left="5017" w:hanging="180"/>
              <w:rPr>
                <w:highlight w:val="lightGray"/>
                <w:lang w:val="sl-SI"/>
              </w:rPr>
            </w:pPr>
            <w:r w:rsidRPr="008E1817">
              <w:rPr>
                <w:rFonts w:eastAsia="Times New Roman"/>
                <w:b/>
                <w:bCs/>
                <w:highlight w:val="lightGray"/>
                <w:lang w:val="sl-SI"/>
              </w:rPr>
              <w:t>b.</w:t>
            </w:r>
            <w:r w:rsidRPr="008E1817">
              <w:rPr>
                <w:rFonts w:eastAsia="Times New Roman"/>
                <w:highlight w:val="lightGray"/>
                <w:lang w:val="sl-SI"/>
              </w:rPr>
              <w:t xml:space="preserve"> Na mesto injiciranja nežno pritisnite (ne drgnite) z vato ali z gazo na mesto vboda in nanesite lepilno obvezo, če je treba. Pojavi se lahko rahla krvavitev.</w:t>
            </w:r>
          </w:p>
          <w:p w14:paraId="38B325CD" w14:textId="77777777" w:rsidR="00E04C8A" w:rsidRPr="008E1817" w:rsidRDefault="00E04C8A">
            <w:pPr>
              <w:pStyle w:val="a3"/>
              <w:rPr>
                <w:highlight w:val="lightGray"/>
                <w:lang w:val="sl-SI"/>
              </w:rPr>
            </w:pPr>
          </w:p>
          <w:p w14:paraId="4BBDFA18" w14:textId="77777777" w:rsidR="00E04C8A" w:rsidRPr="008E1817" w:rsidRDefault="00E04C8A">
            <w:pPr>
              <w:pStyle w:val="a3"/>
              <w:rPr>
                <w:highlight w:val="lightGray"/>
                <w:lang w:val="sl-SI"/>
              </w:rPr>
            </w:pPr>
          </w:p>
          <w:p w14:paraId="523055A4" w14:textId="77777777" w:rsidR="00E04C8A" w:rsidRPr="008E1817" w:rsidRDefault="008E1817">
            <w:pPr>
              <w:pStyle w:val="a3"/>
              <w:rPr>
                <w:highlight w:val="lightGray"/>
                <w:lang w:val="sl-SI"/>
              </w:rPr>
            </w:pPr>
            <w:r w:rsidRPr="008E1817">
              <w:rPr>
                <w:rFonts w:ascii="맑은 고딕" w:eastAsia="맑은 고딕" w:hAnsi="맑은 고딕"/>
                <w:highlight w:val="lightGray"/>
                <w:lang w:val="sl-SI"/>
              </w:rPr>
              <w:t>•</w:t>
            </w:r>
            <w:r w:rsidRPr="008E1817">
              <w:rPr>
                <w:rFonts w:eastAsia="Times New Roman"/>
                <w:highlight w:val="lightGray"/>
                <w:lang w:val="sl-SI"/>
              </w:rPr>
              <w:t xml:space="preserve"> Napolnjene injekcijske brizge</w:t>
            </w:r>
            <w:r w:rsidRPr="008E1817">
              <w:rPr>
                <w:rFonts w:ascii="맑은 고딕" w:eastAsia="맑은 고딕" w:hAnsi="맑은 고딕"/>
                <w:highlight w:val="lightGray"/>
                <w:lang w:val="sl-SI"/>
              </w:rPr>
              <w:t xml:space="preserve"> </w:t>
            </w:r>
            <w:r w:rsidRPr="008E1817">
              <w:rPr>
                <w:rFonts w:eastAsia="맑은 고딕"/>
                <w:b/>
                <w:bCs/>
                <w:highlight w:val="lightGray"/>
                <w:lang w:val="sl-SI"/>
              </w:rPr>
              <w:t>ne</w:t>
            </w:r>
            <w:r w:rsidRPr="008E1817">
              <w:rPr>
                <w:rFonts w:eastAsia="맑은 고딕"/>
                <w:highlight w:val="lightGray"/>
                <w:lang w:val="sl-SI"/>
              </w:rPr>
              <w:t xml:space="preserve"> uporabljajte ponovno</w:t>
            </w:r>
            <w:r w:rsidRPr="008E1817">
              <w:rPr>
                <w:rFonts w:eastAsia="Times New Roman"/>
                <w:highlight w:val="lightGray"/>
                <w:lang w:val="sl-SI"/>
              </w:rPr>
              <w:t>.</w:t>
            </w:r>
          </w:p>
          <w:p w14:paraId="23525623" w14:textId="77777777" w:rsidR="00E04C8A" w:rsidRPr="008E1817" w:rsidRDefault="008E1817">
            <w:pPr>
              <w:pStyle w:val="a3"/>
              <w:rPr>
                <w:b/>
                <w:bCs/>
                <w:spacing w:val="-1"/>
                <w:highlight w:val="lightGray"/>
                <w:lang w:val="sl-SI"/>
              </w:rPr>
            </w:pPr>
            <w:r w:rsidRPr="008E1817">
              <w:rPr>
                <w:rFonts w:ascii="맑은 고딕" w:eastAsia="맑은 고딕" w:hAnsi="맑은 고딕"/>
                <w:b/>
                <w:bCs/>
                <w:highlight w:val="lightGray"/>
                <w:lang w:val="sl-SI"/>
              </w:rPr>
              <w:t>•</w:t>
            </w:r>
            <w:r w:rsidRPr="008E1817">
              <w:rPr>
                <w:rFonts w:eastAsia="Times New Roman"/>
                <w:b/>
                <w:bCs/>
                <w:highlight w:val="lightGray"/>
                <w:lang w:val="sl-SI"/>
              </w:rPr>
              <w:t>Mesta injiciranja ne drgnite.</w:t>
            </w:r>
          </w:p>
        </w:tc>
      </w:tr>
      <w:tr w:rsidR="00E04C8A" w:rsidRPr="00652F18" w14:paraId="36EF632F" w14:textId="77777777" w:rsidTr="00851138">
        <w:trPr>
          <w:trHeight w:val="6372"/>
        </w:trPr>
        <w:tc>
          <w:tcPr>
            <w:tcW w:w="9550" w:type="dxa"/>
          </w:tcPr>
          <w:p w14:paraId="4C82B8A0" w14:textId="77777777" w:rsidR="00E04C8A" w:rsidRPr="008E1817" w:rsidRDefault="00E04C8A">
            <w:pPr>
              <w:ind w:left="104"/>
              <w:rPr>
                <w:rFonts w:ascii="Times New Roman" w:eastAsia="Times New Roman" w:hAnsi="Times New Roman" w:cs="Times New Roman"/>
                <w:b/>
                <w:bCs/>
                <w:spacing w:val="-1"/>
                <w:highlight w:val="lightGray"/>
                <w:lang w:val="sl-SI"/>
              </w:rPr>
            </w:pPr>
          </w:p>
          <w:p w14:paraId="4DF1A093" w14:textId="77777777" w:rsidR="00E04C8A" w:rsidRPr="008E1817" w:rsidRDefault="00E04C8A">
            <w:pPr>
              <w:pStyle w:val="a3"/>
              <w:rPr>
                <w:highlight w:val="lightGray"/>
                <w:lang w:val="sl-SI"/>
              </w:rPr>
            </w:pPr>
          </w:p>
          <w:p w14:paraId="49AA080F" w14:textId="77777777" w:rsidR="00E04C8A" w:rsidRPr="008E1817" w:rsidRDefault="008E1817">
            <w:pPr>
              <w:pStyle w:val="a3"/>
              <w:rPr>
                <w:highlight w:val="lightGray"/>
                <w:lang w:val="sl-SI"/>
              </w:rPr>
            </w:pPr>
            <w:r w:rsidRPr="008E1817">
              <w:rPr>
                <w:noProof/>
                <w:highlight w:val="lightGray"/>
                <w:lang w:eastAsia="ko-KR"/>
              </w:rPr>
              <mc:AlternateContent>
                <mc:Choice Requires="wpg">
                  <w:drawing>
                    <wp:anchor distT="0" distB="0" distL="114300" distR="114300" simplePos="0" relativeHeight="251658261" behindDoc="0" locked="0" layoutInCell="1" allowOverlap="1" wp14:anchorId="7B78A98F" wp14:editId="5F0DCB6F">
                      <wp:simplePos x="0" y="0"/>
                      <wp:positionH relativeFrom="column">
                        <wp:posOffset>36195</wp:posOffset>
                      </wp:positionH>
                      <wp:positionV relativeFrom="paragraph">
                        <wp:posOffset>104140</wp:posOffset>
                      </wp:positionV>
                      <wp:extent cx="2827880" cy="3549650"/>
                      <wp:effectExtent l="0" t="0" r="0" b="0"/>
                      <wp:wrapSquare wrapText="bothSides"/>
                      <wp:docPr id="102" name="그룹 102"/>
                      <wp:cNvGraphicFramePr/>
                      <a:graphic xmlns:a="http://schemas.openxmlformats.org/drawingml/2006/main">
                        <a:graphicData uri="http://schemas.microsoft.com/office/word/2010/wordprocessingGroup">
                          <wpg:wgp>
                            <wpg:cNvGrpSpPr/>
                            <wpg:grpSpPr>
                              <a:xfrm>
                                <a:off x="0" y="0"/>
                                <a:ext cx="2827880" cy="3549650"/>
                                <a:chOff x="0" y="0"/>
                                <a:chExt cx="2827880" cy="3549650"/>
                              </a:xfrm>
                            </wpg:grpSpPr>
                            <pic:pic xmlns:pic="http://schemas.openxmlformats.org/drawingml/2006/picture">
                              <pic:nvPicPr>
                                <pic:cNvPr id="4027" name="그림 4027"/>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bwMode="auto">
                                <a:xfrm>
                                  <a:off x="0" y="0"/>
                                  <a:ext cx="2827655" cy="3403600"/>
                                </a:xfrm>
                                <a:prstGeom prst="rect">
                                  <a:avLst/>
                                </a:prstGeom>
                                <a:noFill/>
                                <a:ln>
                                  <a:noFill/>
                                </a:ln>
                              </pic:spPr>
                            </pic:pic>
                            <wps:wsp>
                              <wps:cNvPr id="101" name="Text Box 101"/>
                              <wps:cNvSpPr txBox="1"/>
                              <wps:spPr>
                                <a:xfrm>
                                  <a:off x="2108200" y="3403600"/>
                                  <a:ext cx="719680" cy="146050"/>
                                </a:xfrm>
                                <a:prstGeom prst="rect">
                                  <a:avLst/>
                                </a:prstGeom>
                                <a:solidFill>
                                  <a:prstClr val="white"/>
                                </a:solidFill>
                                <a:ln>
                                  <a:noFill/>
                                </a:ln>
                              </wps:spPr>
                              <wps:txbx>
                                <w:txbxContent>
                                  <w:p w14:paraId="304606BD"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B78A98F" id="그룹 102" o:spid="_x0000_s1125" style="position:absolute;margin-left:2.85pt;margin-top:8.2pt;width:222.65pt;height:279.5pt;z-index:251658261" coordsize="28278,354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">
                      <v:shape id="그림 4027" o:spid="_x0000_s1126" type="#_x0000_t75" style="position:absolute;width:28276;height:3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">
                        <v:imagedata r:id="rId70" o:title=""/>
                      </v:shape>
                      <v:shape id="Text Box 101" o:spid="_x0000_s1127" type="#_x0000_t202" style="position:absolute;left:21082;top:34036;width:7196;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" stroked="f">
                        <v:textbox style="mso-fit-shape-to-text:t" inset="0,0,0,0">
                          <w:txbxContent>
                            <w:p w14:paraId="304606BD" w14:textId="77777777"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L</w:t>
                              </w:r>
                            </w:p>
                          </w:txbxContent>
                        </v:textbox>
                      </v:shape>
                      <w10:wrap type="square"/>
                    </v:group>
                  </w:pict>
                </mc:Fallback>
              </mc:AlternateContent>
            </w:r>
          </w:p>
          <w:p w14:paraId="1B040D6E" w14:textId="77777777" w:rsidR="00E04C8A" w:rsidRPr="008E1817" w:rsidRDefault="00E04C8A">
            <w:pPr>
              <w:pStyle w:val="a3"/>
              <w:rPr>
                <w:highlight w:val="lightGray"/>
                <w:lang w:val="sl-SI"/>
              </w:rPr>
            </w:pPr>
          </w:p>
          <w:p w14:paraId="0583F09C" w14:textId="77777777" w:rsidR="00E04C8A" w:rsidRPr="008E1817" w:rsidRDefault="008E1817">
            <w:pPr>
              <w:pStyle w:val="a3"/>
              <w:numPr>
                <w:ilvl w:val="0"/>
                <w:numId w:val="23"/>
              </w:numPr>
              <w:rPr>
                <w:b/>
                <w:highlight w:val="lightGray"/>
                <w:lang w:val="sl-SI"/>
              </w:rPr>
            </w:pPr>
            <w:r w:rsidRPr="008E1817">
              <w:rPr>
                <w:rFonts w:eastAsia="Times New Roman"/>
                <w:b/>
                <w:bCs/>
                <w:highlight w:val="lightGray"/>
                <w:lang w:val="sl-SI"/>
              </w:rPr>
              <w:t xml:space="preserve"> Napolnjeno injekcijsko brizgo</w:t>
            </w:r>
            <w:r w:rsidR="0042542C">
              <w:rPr>
                <w:rFonts w:eastAsia="Times New Roman"/>
                <w:b/>
                <w:bCs/>
                <w:highlight w:val="lightGray"/>
                <w:lang w:val="sl-SI"/>
              </w:rPr>
              <w:t xml:space="preserve"> </w:t>
            </w:r>
            <w:r w:rsidRPr="008E1817">
              <w:rPr>
                <w:rFonts w:eastAsia="Times New Roman"/>
                <w:b/>
                <w:bCs/>
                <w:highlight w:val="lightGray"/>
                <w:lang w:val="sl-SI"/>
              </w:rPr>
              <w:t>zavrzite.</w:t>
            </w:r>
          </w:p>
          <w:p w14:paraId="31B23444" w14:textId="77777777" w:rsidR="00E04C8A" w:rsidRPr="008E1817" w:rsidRDefault="00E04C8A">
            <w:pPr>
              <w:pStyle w:val="a3"/>
              <w:rPr>
                <w:highlight w:val="lightGray"/>
                <w:lang w:val="sl-SI"/>
              </w:rPr>
            </w:pPr>
          </w:p>
          <w:p w14:paraId="1C8BD2E5" w14:textId="0E5A5AD9" w:rsidR="00E04C8A" w:rsidRPr="008E1817" w:rsidRDefault="008E1817">
            <w:pPr>
              <w:pStyle w:val="a3"/>
              <w:ind w:left="5017" w:hanging="180"/>
              <w:rPr>
                <w:highlight w:val="lightGray"/>
                <w:lang w:val="sl-SI"/>
              </w:rPr>
            </w:pPr>
            <w:r w:rsidRPr="008E1817">
              <w:rPr>
                <w:rFonts w:eastAsia="Times New Roman"/>
                <w:b/>
                <w:bCs/>
                <w:highlight w:val="lightGray"/>
                <w:lang w:val="sl-SI"/>
              </w:rPr>
              <w:t>a.</w:t>
            </w:r>
            <w:r w:rsidRPr="008E1817">
              <w:rPr>
                <w:rFonts w:eastAsia="Times New Roman"/>
                <w:highlight w:val="lightGray"/>
                <w:lang w:val="sl-SI"/>
              </w:rPr>
              <w:t xml:space="preserve"> Uporabljeno napolnjeno injekcijsko brizgo zavrzite v posebni vsebnik za ostre predmete, kot vam</w:t>
            </w:r>
            <w:r w:rsidR="00657170">
              <w:rPr>
                <w:rFonts w:eastAsia="Times New Roman"/>
                <w:highlight w:val="lightGray"/>
                <w:lang w:val="sl-SI"/>
              </w:rPr>
              <w:t xml:space="preserve">je </w:t>
            </w:r>
            <w:r w:rsidRPr="008E1817">
              <w:rPr>
                <w:rFonts w:eastAsia="Times New Roman"/>
                <w:highlight w:val="lightGray"/>
                <w:lang w:val="sl-SI"/>
              </w:rPr>
              <w:t xml:space="preserve"> naročil zdravnik, medicinska sestra ali farmacevt. </w:t>
            </w:r>
          </w:p>
          <w:p w14:paraId="3B266BE4" w14:textId="77777777" w:rsidR="00E04C8A" w:rsidRPr="008E1817" w:rsidRDefault="00E04C8A">
            <w:pPr>
              <w:pStyle w:val="a3"/>
              <w:ind w:left="5017" w:hanging="180"/>
              <w:rPr>
                <w:highlight w:val="lightGray"/>
                <w:lang w:val="sl-SI"/>
              </w:rPr>
            </w:pPr>
          </w:p>
          <w:p w14:paraId="4C05D55B" w14:textId="3B5BEBBB" w:rsidR="00E04C8A" w:rsidRPr="008E1817" w:rsidRDefault="008E1817">
            <w:pPr>
              <w:pStyle w:val="a3"/>
              <w:ind w:left="5017" w:hanging="180"/>
              <w:rPr>
                <w:b/>
                <w:highlight w:val="lightGray"/>
                <w:lang w:val="sl-SI"/>
              </w:rPr>
            </w:pPr>
            <w:r w:rsidRPr="008E1817">
              <w:rPr>
                <w:rFonts w:eastAsia="Times New Roman"/>
                <w:b/>
                <w:bCs/>
                <w:highlight w:val="lightGray"/>
                <w:lang w:val="sl-SI"/>
              </w:rPr>
              <w:t xml:space="preserve">b. </w:t>
            </w:r>
            <w:r w:rsidRPr="008E1817">
              <w:rPr>
                <w:rFonts w:eastAsia="Times New Roman"/>
                <w:highlight w:val="lightGray"/>
                <w:lang w:val="sl-SI"/>
              </w:rPr>
              <w:t>Alkoholni zloženec in ovojnino lahko odstranite v gospodinjske odpadke.</w:t>
            </w:r>
          </w:p>
          <w:p w14:paraId="16D6E17F" w14:textId="77777777" w:rsidR="00E04C8A" w:rsidRPr="008E1817" w:rsidRDefault="00E04C8A">
            <w:pPr>
              <w:pStyle w:val="a3"/>
              <w:rPr>
                <w:b/>
                <w:highlight w:val="lightGray"/>
                <w:lang w:val="sl-SI"/>
              </w:rPr>
            </w:pPr>
          </w:p>
          <w:p w14:paraId="4C958C05" w14:textId="77777777" w:rsidR="00E04C8A" w:rsidRPr="008E1817" w:rsidRDefault="008E1817">
            <w:pPr>
              <w:pStyle w:val="a3"/>
              <w:numPr>
                <w:ilvl w:val="0"/>
                <w:numId w:val="18"/>
              </w:numPr>
              <w:ind w:left="5107"/>
              <w:rPr>
                <w:highlight w:val="lightGray"/>
                <w:lang w:val="sl-SI"/>
              </w:rPr>
            </w:pPr>
            <w:r w:rsidRPr="008E1817">
              <w:rPr>
                <w:rFonts w:eastAsia="Times New Roman"/>
                <w:highlight w:val="lightGray"/>
                <w:lang w:val="sl-SI"/>
              </w:rPr>
              <w:t>Napolnjeno injekcijsko brizgo in posebni vsebnik za ostre predmete vedno shranjujte nedosegljivo otrokom.</w:t>
            </w:r>
          </w:p>
          <w:p w14:paraId="20296F37" w14:textId="77777777" w:rsidR="00E04C8A" w:rsidRPr="008E1817" w:rsidRDefault="00E04C8A">
            <w:pPr>
              <w:pStyle w:val="a3"/>
              <w:rPr>
                <w:highlight w:val="lightGray"/>
                <w:lang w:val="sl-SI"/>
              </w:rPr>
            </w:pPr>
          </w:p>
          <w:p w14:paraId="709C4AD3" w14:textId="77777777" w:rsidR="00E04C8A" w:rsidRPr="008E1817" w:rsidRDefault="00E04C8A">
            <w:pPr>
              <w:pStyle w:val="a3"/>
              <w:rPr>
                <w:b/>
                <w:bCs/>
                <w:spacing w:val="-1"/>
                <w:highlight w:val="lightGray"/>
                <w:lang w:val="sl-SI" w:eastAsia="ko-KR"/>
              </w:rPr>
            </w:pPr>
          </w:p>
        </w:tc>
      </w:tr>
    </w:tbl>
    <w:p w14:paraId="18BCD685" w14:textId="77777777" w:rsidR="00E04C8A" w:rsidRDefault="00E04C8A">
      <w:pPr>
        <w:spacing w:line="241" w:lineRule="auto"/>
        <w:rPr>
          <w:lang w:val="sl-SI" w:eastAsia="ko-KR"/>
        </w:rPr>
      </w:pPr>
    </w:p>
    <w:p w14:paraId="1F7E7AFE" w14:textId="77777777" w:rsidR="00E04C8A" w:rsidRDefault="008E1817">
      <w:pPr>
        <w:rPr>
          <w:lang w:val="sl-SI" w:eastAsia="ko-KR"/>
        </w:rPr>
      </w:pPr>
      <w:r>
        <w:rPr>
          <w:lang w:val="sl-SI" w:eastAsia="ko-KR"/>
        </w:rPr>
        <w:br w:type="page"/>
      </w:r>
    </w:p>
    <w:p w14:paraId="52413179" w14:textId="77777777" w:rsidR="00E04C8A" w:rsidRDefault="008E1817">
      <w:pPr>
        <w:ind w:left="2350" w:right="2268"/>
        <w:jc w:val="center"/>
        <w:rPr>
          <w:rFonts w:ascii="Times New Roman" w:eastAsia="Times New Roman" w:hAnsi="Times New Roman" w:cs="Times New Roman"/>
          <w:b/>
          <w:bCs/>
          <w:lang w:val="sl-SI"/>
        </w:rPr>
      </w:pPr>
      <w:r>
        <w:rPr>
          <w:rFonts w:ascii="Times New Roman" w:eastAsia="Times New Roman" w:hAnsi="Times New Roman" w:cs="Times New Roman"/>
          <w:b/>
          <w:bCs/>
          <w:lang w:val="sl-SI"/>
        </w:rPr>
        <w:lastRenderedPageBreak/>
        <w:t>Navodilo za uporabo</w:t>
      </w:r>
    </w:p>
    <w:p w14:paraId="2A13C893" w14:textId="77777777" w:rsidR="00E04C8A" w:rsidRDefault="00E04C8A">
      <w:pPr>
        <w:spacing w:before="13" w:line="240" w:lineRule="exact"/>
        <w:rPr>
          <w:sz w:val="24"/>
          <w:szCs w:val="24"/>
          <w:lang w:val="sl-SI"/>
        </w:rPr>
      </w:pPr>
    </w:p>
    <w:p w14:paraId="54026C2B" w14:textId="671CB499" w:rsidR="00E04C8A" w:rsidRDefault="008E1817">
      <w:pPr>
        <w:ind w:left="2350" w:right="2268"/>
        <w:jc w:val="center"/>
        <w:rPr>
          <w:rFonts w:ascii="Times New Roman" w:eastAsia="Times New Roman" w:hAnsi="Times New Roman" w:cs="Times New Roman"/>
          <w:lang w:val="sl-SI"/>
        </w:rPr>
      </w:pPr>
      <w:r>
        <w:rPr>
          <w:rFonts w:ascii="Times New Roman" w:eastAsia="Times New Roman" w:hAnsi="Times New Roman" w:cs="Times New Roman"/>
          <w:b/>
          <w:bCs/>
          <w:lang w:val="sl-SI"/>
        </w:rPr>
        <w:t>Yuflyma 40 mg raztopina za injiciranje v napolnjenem injekcijskem peresniku</w:t>
      </w:r>
    </w:p>
    <w:p w14:paraId="7BFC935F" w14:textId="77777777" w:rsidR="00E04C8A" w:rsidRDefault="008E1817">
      <w:pPr>
        <w:pStyle w:val="a3"/>
        <w:jc w:val="center"/>
        <w:rPr>
          <w:lang w:val="sl-SI"/>
        </w:rPr>
      </w:pPr>
      <w:r>
        <w:rPr>
          <w:rFonts w:eastAsia="Times New Roman"/>
          <w:lang w:val="sl-SI"/>
        </w:rPr>
        <w:t>adalimumab</w:t>
      </w:r>
    </w:p>
    <w:p w14:paraId="23AE96FA" w14:textId="77777777" w:rsidR="00E04C8A" w:rsidRDefault="00E04C8A">
      <w:pPr>
        <w:spacing w:before="18" w:line="240" w:lineRule="exact"/>
        <w:rPr>
          <w:sz w:val="24"/>
          <w:szCs w:val="24"/>
          <w:lang w:val="sl-SI"/>
        </w:rPr>
      </w:pPr>
    </w:p>
    <w:p w14:paraId="7BE2CB36" w14:textId="77777777" w:rsidR="00E04C8A" w:rsidRDefault="008E1817">
      <w:pPr>
        <w:spacing w:before="18" w:line="240" w:lineRule="exact"/>
        <w:ind w:left="108"/>
        <w:rPr>
          <w:sz w:val="24"/>
          <w:szCs w:val="24"/>
          <w:lang w:val="sl-SI"/>
        </w:rPr>
      </w:pPr>
      <w:r>
        <w:rPr>
          <w:rFonts w:ascii="Times New Roman" w:hAnsi="Times New Roman" w:cs="Times New Roman"/>
          <w:noProof/>
          <w:lang w:eastAsia="ko-KR"/>
        </w:rPr>
        <w:drawing>
          <wp:inline distT="0" distB="0" distL="0" distR="0" wp14:anchorId="2F423E29" wp14:editId="1B5786C2">
            <wp:extent cx="203200" cy="169545"/>
            <wp:effectExtent l="0" t="0" r="6350" b="1905"/>
            <wp:docPr id="33" name="그림 33"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98365"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sl-SI"/>
        </w:rPr>
        <w:t>Za to zdravilo se izvaja dodatno spremljanje varnosti. Tako bodo hitreje na voljo nove informacije o njegovi varnosti. Tudi sami lahko k temu prispevate tako, da poročate o katerem koli neželenem učinku zdravila, ki bi se utegnil pojaviti pri vas. Glejte na koncu poglavja 4, kako poročati o neželenih učinkih.</w:t>
      </w:r>
    </w:p>
    <w:p w14:paraId="469AC104" w14:textId="77777777" w:rsidR="00E04C8A" w:rsidRDefault="00E04C8A">
      <w:pPr>
        <w:spacing w:before="18" w:line="240" w:lineRule="exact"/>
        <w:rPr>
          <w:sz w:val="24"/>
          <w:szCs w:val="24"/>
          <w:lang w:val="sl-SI"/>
        </w:rPr>
      </w:pPr>
    </w:p>
    <w:p w14:paraId="39EB8D98" w14:textId="506F47EA" w:rsidR="00E04C8A" w:rsidRDefault="008E1817">
      <w:pPr>
        <w:spacing w:before="18" w:line="240" w:lineRule="exact"/>
        <w:ind w:left="108"/>
        <w:rPr>
          <w:rFonts w:ascii="Times New Roman" w:hAnsi="Times New Roman" w:cs="Times New Roman"/>
          <w:b/>
          <w:lang w:val="sl-SI"/>
        </w:rPr>
      </w:pPr>
      <w:r>
        <w:rPr>
          <w:rFonts w:ascii="Times New Roman" w:eastAsia="Times New Roman" w:hAnsi="Times New Roman" w:cs="Times New Roman"/>
          <w:b/>
          <w:bCs/>
          <w:lang w:val="sl-SI"/>
        </w:rPr>
        <w:t>Pred začetkom uporabe zdravila natančno preberite navodilo, ker vsebuje za vas pomembne podatke</w:t>
      </w:r>
      <w:r w:rsidR="00840868">
        <w:rPr>
          <w:rFonts w:ascii="Times New Roman" w:eastAsia="Times New Roman" w:hAnsi="Times New Roman" w:cs="Times New Roman"/>
          <w:b/>
          <w:bCs/>
          <w:lang w:val="sl-SI"/>
        </w:rPr>
        <w:t>!</w:t>
      </w:r>
    </w:p>
    <w:p w14:paraId="1CA3E393" w14:textId="77777777" w:rsidR="00E04C8A" w:rsidRDefault="008E1817">
      <w:pPr>
        <w:pStyle w:val="a3"/>
        <w:numPr>
          <w:ilvl w:val="0"/>
          <w:numId w:val="5"/>
        </w:numPr>
        <w:ind w:left="660" w:hanging="660"/>
        <w:rPr>
          <w:lang w:val="sl-SI"/>
        </w:rPr>
      </w:pPr>
      <w:r>
        <w:rPr>
          <w:rFonts w:eastAsia="Times New Roman"/>
          <w:lang w:val="sl-SI"/>
        </w:rPr>
        <w:t>Navodilo shranite. Morda ga boste želeli ponovno prebrati.</w:t>
      </w:r>
    </w:p>
    <w:p w14:paraId="565E52B2" w14:textId="1EA2C6BE" w:rsidR="00E04C8A" w:rsidRDefault="008E1817">
      <w:pPr>
        <w:pStyle w:val="a3"/>
        <w:numPr>
          <w:ilvl w:val="0"/>
          <w:numId w:val="5"/>
        </w:numPr>
        <w:ind w:left="660" w:hanging="660"/>
        <w:rPr>
          <w:lang w:val="sl-SI"/>
        </w:rPr>
      </w:pPr>
      <w:r>
        <w:rPr>
          <w:rFonts w:eastAsia="Times New Roman"/>
          <w:lang w:val="sl-SI"/>
        </w:rPr>
        <w:t xml:space="preserve">Prejeli boste </w:t>
      </w:r>
      <w:r>
        <w:rPr>
          <w:rFonts w:eastAsia="Times New Roman"/>
          <w:b/>
          <w:bCs/>
          <w:lang w:val="sl-SI"/>
        </w:rPr>
        <w:t>opozorilno kartico za bolnika</w:t>
      </w:r>
      <w:r>
        <w:rPr>
          <w:rFonts w:eastAsia="Times New Roman"/>
          <w:lang w:val="sl-SI"/>
        </w:rPr>
        <w:t xml:space="preserve">, ki vsebuje pomembne informacije o varnosti, ki jih morate poznati pred in med zdravljenjem z zdravilom Yuflyma. </w:t>
      </w:r>
      <w:r>
        <w:rPr>
          <w:rFonts w:eastAsia="Times New Roman"/>
          <w:b/>
          <w:bCs/>
          <w:lang w:val="sl-SI"/>
        </w:rPr>
        <w:t>Opozorilno kartico za bolnika</w:t>
      </w:r>
      <w:r>
        <w:rPr>
          <w:rFonts w:eastAsia="Times New Roman"/>
          <w:lang w:val="sl-SI"/>
        </w:rPr>
        <w:t xml:space="preserve"> imejte pri </w:t>
      </w:r>
      <w:r w:rsidR="00EB18BA">
        <w:rPr>
          <w:rFonts w:eastAsia="Times New Roman"/>
          <w:lang w:val="sl-SI"/>
        </w:rPr>
        <w:t>sebi</w:t>
      </w:r>
      <w:r>
        <w:rPr>
          <w:rFonts w:eastAsia="Times New Roman"/>
          <w:lang w:val="sl-SI"/>
        </w:rPr>
        <w:t xml:space="preserve"> med zdravljenjem in še 4 mesece po zadnji injekciji zdravila Yuflyma.</w:t>
      </w:r>
    </w:p>
    <w:p w14:paraId="7B975DC3" w14:textId="77777777" w:rsidR="00E04C8A" w:rsidRDefault="008E1817">
      <w:pPr>
        <w:pStyle w:val="a3"/>
        <w:numPr>
          <w:ilvl w:val="0"/>
          <w:numId w:val="5"/>
        </w:numPr>
        <w:ind w:left="660" w:hanging="660"/>
        <w:rPr>
          <w:lang w:val="sl-SI"/>
        </w:rPr>
      </w:pPr>
      <w:r>
        <w:rPr>
          <w:rFonts w:eastAsia="Times New Roman"/>
          <w:lang w:val="sl-SI"/>
        </w:rPr>
        <w:t>Če imate dodatna vprašanja, se posvetujte z zdravnikom ali farmacevtom.</w:t>
      </w:r>
    </w:p>
    <w:p w14:paraId="78F4FFA4" w14:textId="77777777" w:rsidR="00E04C8A" w:rsidRDefault="008E1817">
      <w:pPr>
        <w:pStyle w:val="a3"/>
        <w:numPr>
          <w:ilvl w:val="0"/>
          <w:numId w:val="5"/>
        </w:numPr>
        <w:ind w:left="660" w:hanging="660"/>
        <w:rPr>
          <w:lang w:val="sl-SI"/>
        </w:rPr>
      </w:pPr>
      <w:r>
        <w:rPr>
          <w:rFonts w:eastAsia="Times New Roman"/>
          <w:lang w:val="sl-SI"/>
        </w:rPr>
        <w:t>Zdravilo je bilo predpisano vam osebno in ga ne smete dajati drugim. Njim bi lahko celo škodovalo, čeprav imajo znake bolezni, podobne vašim.</w:t>
      </w:r>
    </w:p>
    <w:p w14:paraId="6A0035E1" w14:textId="5FCD7AFE" w:rsidR="00E04C8A" w:rsidRDefault="008E1817">
      <w:pPr>
        <w:pStyle w:val="a3"/>
        <w:numPr>
          <w:ilvl w:val="0"/>
          <w:numId w:val="5"/>
        </w:numPr>
        <w:ind w:left="660" w:hanging="660"/>
        <w:rPr>
          <w:lang w:val="sl-SI"/>
        </w:rPr>
      </w:pPr>
      <w:r>
        <w:rPr>
          <w:rFonts w:eastAsia="Times New Roman"/>
          <w:lang w:val="sl-SI"/>
        </w:rPr>
        <w:t>Če opazite kater</w:t>
      </w:r>
      <w:r w:rsidR="00840868">
        <w:rPr>
          <w:rFonts w:eastAsia="Times New Roman"/>
          <w:lang w:val="sl-SI"/>
        </w:rPr>
        <w:t>i</w:t>
      </w:r>
      <w:r>
        <w:rPr>
          <w:rFonts w:eastAsia="Times New Roman"/>
          <w:lang w:val="sl-SI"/>
        </w:rPr>
        <w:t> koli neželen</w:t>
      </w:r>
      <w:r w:rsidR="00840868">
        <w:rPr>
          <w:rFonts w:eastAsia="Times New Roman"/>
          <w:lang w:val="sl-SI"/>
        </w:rPr>
        <w:t>i</w:t>
      </w:r>
      <w:r>
        <w:rPr>
          <w:rFonts w:eastAsia="Times New Roman"/>
          <w:lang w:val="sl-SI"/>
        </w:rPr>
        <w:t xml:space="preserve"> učin</w:t>
      </w:r>
      <w:r w:rsidR="00840868">
        <w:rPr>
          <w:rFonts w:eastAsia="Times New Roman"/>
          <w:lang w:val="sl-SI"/>
        </w:rPr>
        <w:t>ek</w:t>
      </w:r>
      <w:r>
        <w:rPr>
          <w:rFonts w:eastAsia="Times New Roman"/>
          <w:lang w:val="sl-SI"/>
        </w:rPr>
        <w:t>, se posvetujte z zdravnikom ali farmacevtom. Posvetujte se tudi, če opazite katere koli neželene učinke, ki niso navedeni v tem navodilu. Glejte poglavje 4.</w:t>
      </w:r>
    </w:p>
    <w:p w14:paraId="251FE9F5" w14:textId="77777777" w:rsidR="00E04C8A" w:rsidRDefault="00E04C8A">
      <w:pPr>
        <w:pStyle w:val="a3"/>
        <w:rPr>
          <w:lang w:val="sl-SI"/>
        </w:rPr>
      </w:pPr>
    </w:p>
    <w:p w14:paraId="545F2116" w14:textId="77777777" w:rsidR="00E04C8A" w:rsidRDefault="008E1817">
      <w:pPr>
        <w:pStyle w:val="a3"/>
        <w:rPr>
          <w:b/>
          <w:lang w:val="sl-SI"/>
        </w:rPr>
      </w:pPr>
      <w:r>
        <w:rPr>
          <w:rFonts w:eastAsia="Times New Roman"/>
          <w:b/>
          <w:bCs/>
          <w:lang w:val="sl-SI"/>
        </w:rPr>
        <w:t>Kaj vsebuje navodilo</w:t>
      </w:r>
    </w:p>
    <w:p w14:paraId="608534F6" w14:textId="77777777" w:rsidR="00E04C8A" w:rsidRDefault="008E1817">
      <w:pPr>
        <w:pStyle w:val="a3"/>
        <w:numPr>
          <w:ilvl w:val="0"/>
          <w:numId w:val="37"/>
        </w:numPr>
        <w:ind w:hanging="760"/>
        <w:rPr>
          <w:lang w:val="sl-SI"/>
        </w:rPr>
      </w:pPr>
      <w:r>
        <w:rPr>
          <w:rFonts w:eastAsia="Times New Roman"/>
          <w:lang w:val="sl-SI"/>
        </w:rPr>
        <w:t>Kaj je zdravilo Yuflyma in za kaj ga uporabljamo</w:t>
      </w:r>
    </w:p>
    <w:p w14:paraId="714DB7C0" w14:textId="77777777" w:rsidR="00E04C8A" w:rsidRDefault="008E1817">
      <w:pPr>
        <w:pStyle w:val="a3"/>
        <w:numPr>
          <w:ilvl w:val="0"/>
          <w:numId w:val="37"/>
        </w:numPr>
        <w:ind w:hanging="760"/>
        <w:rPr>
          <w:lang w:val="sl-SI"/>
        </w:rPr>
      </w:pPr>
      <w:r>
        <w:rPr>
          <w:rFonts w:eastAsia="Times New Roman"/>
          <w:lang w:val="sl-SI"/>
        </w:rPr>
        <w:t>Kaj morate vedeti, preden boste uporabili zdravilo Yuflyma</w:t>
      </w:r>
    </w:p>
    <w:p w14:paraId="4D8F40A7" w14:textId="77777777" w:rsidR="00E04C8A" w:rsidRDefault="008E1817">
      <w:pPr>
        <w:pStyle w:val="a3"/>
        <w:numPr>
          <w:ilvl w:val="0"/>
          <w:numId w:val="37"/>
        </w:numPr>
        <w:ind w:hanging="760"/>
        <w:rPr>
          <w:lang w:val="sl-SI"/>
        </w:rPr>
      </w:pPr>
      <w:r>
        <w:rPr>
          <w:rFonts w:eastAsia="Times New Roman"/>
          <w:lang w:val="sl-SI"/>
        </w:rPr>
        <w:t>Kako uporabljati zdravilo Yuflyma</w:t>
      </w:r>
    </w:p>
    <w:p w14:paraId="0BB022E9" w14:textId="77777777" w:rsidR="00E04C8A" w:rsidRDefault="008E1817">
      <w:pPr>
        <w:pStyle w:val="a3"/>
        <w:numPr>
          <w:ilvl w:val="0"/>
          <w:numId w:val="37"/>
        </w:numPr>
        <w:ind w:hanging="760"/>
        <w:rPr>
          <w:lang w:val="sl-SI"/>
        </w:rPr>
      </w:pPr>
      <w:r>
        <w:rPr>
          <w:rFonts w:eastAsia="Times New Roman"/>
          <w:lang w:val="sl-SI"/>
        </w:rPr>
        <w:t>Možni neželeni učinki</w:t>
      </w:r>
    </w:p>
    <w:p w14:paraId="7F37E8C2" w14:textId="77777777" w:rsidR="00E04C8A" w:rsidRDefault="008E1817">
      <w:pPr>
        <w:pStyle w:val="a3"/>
        <w:numPr>
          <w:ilvl w:val="0"/>
          <w:numId w:val="37"/>
        </w:numPr>
        <w:ind w:hanging="760"/>
        <w:rPr>
          <w:lang w:val="sl-SI"/>
        </w:rPr>
      </w:pPr>
      <w:r>
        <w:rPr>
          <w:rFonts w:eastAsia="Times New Roman"/>
          <w:lang w:val="sl-SI"/>
        </w:rPr>
        <w:t>Shranjevanje zdravila Yuflyma</w:t>
      </w:r>
    </w:p>
    <w:p w14:paraId="1EE94973" w14:textId="77777777" w:rsidR="00E04C8A" w:rsidRDefault="008E1817">
      <w:pPr>
        <w:pStyle w:val="a3"/>
        <w:numPr>
          <w:ilvl w:val="0"/>
          <w:numId w:val="37"/>
        </w:numPr>
        <w:ind w:hanging="760"/>
        <w:rPr>
          <w:lang w:val="sl-SI"/>
        </w:rPr>
      </w:pPr>
      <w:r>
        <w:rPr>
          <w:rFonts w:eastAsia="Times New Roman"/>
          <w:lang w:val="sl-SI"/>
        </w:rPr>
        <w:t>Vsebina pakiranja in dodatne informacije</w:t>
      </w:r>
    </w:p>
    <w:p w14:paraId="76B374B3" w14:textId="77777777" w:rsidR="00E04C8A" w:rsidRDefault="008E1817">
      <w:pPr>
        <w:pStyle w:val="a3"/>
        <w:numPr>
          <w:ilvl w:val="0"/>
          <w:numId w:val="37"/>
        </w:numPr>
        <w:ind w:hanging="760"/>
        <w:rPr>
          <w:lang w:val="sl-SI"/>
        </w:rPr>
      </w:pPr>
      <w:r>
        <w:rPr>
          <w:rFonts w:eastAsia="Times New Roman"/>
          <w:lang w:val="sl-SI"/>
        </w:rPr>
        <w:t>Navodila za uporabo</w:t>
      </w:r>
    </w:p>
    <w:p w14:paraId="5D90F282" w14:textId="77777777" w:rsidR="00E04C8A" w:rsidRDefault="00E04C8A">
      <w:pPr>
        <w:spacing w:line="200" w:lineRule="exact"/>
        <w:rPr>
          <w:sz w:val="20"/>
          <w:szCs w:val="20"/>
          <w:lang w:val="sl-SI"/>
        </w:rPr>
      </w:pPr>
    </w:p>
    <w:p w14:paraId="1CB44C41" w14:textId="77777777" w:rsidR="00E04C8A" w:rsidRDefault="00E04C8A">
      <w:pPr>
        <w:spacing w:line="200" w:lineRule="exact"/>
        <w:rPr>
          <w:sz w:val="20"/>
          <w:szCs w:val="20"/>
          <w:lang w:val="sl-SI"/>
        </w:rPr>
      </w:pPr>
    </w:p>
    <w:p w14:paraId="4BDE2A16" w14:textId="77777777" w:rsidR="00E04C8A" w:rsidRDefault="008E1817">
      <w:pPr>
        <w:pStyle w:val="a4"/>
        <w:numPr>
          <w:ilvl w:val="0"/>
          <w:numId w:val="38"/>
        </w:numPr>
        <w:spacing w:line="240" w:lineRule="exact"/>
        <w:ind w:left="357" w:hanging="357"/>
        <w:rPr>
          <w:rFonts w:ascii="Times New Roman" w:hAnsi="Times New Roman" w:cs="Times New Roman"/>
          <w:b/>
          <w:lang w:val="sl-SI"/>
        </w:rPr>
      </w:pPr>
      <w:r>
        <w:rPr>
          <w:rFonts w:ascii="Times New Roman" w:eastAsia="Times New Roman" w:hAnsi="Times New Roman" w:cs="Times New Roman"/>
          <w:b/>
          <w:bCs/>
          <w:lang w:val="sl-SI"/>
        </w:rPr>
        <w:t>Kaj je zdravilo Yuflyma in za kaj ga uporabljamo</w:t>
      </w:r>
    </w:p>
    <w:p w14:paraId="25016AFB" w14:textId="77777777" w:rsidR="00E04C8A" w:rsidRDefault="00E04C8A">
      <w:pPr>
        <w:spacing w:line="240" w:lineRule="exact"/>
        <w:rPr>
          <w:rFonts w:ascii="Times New Roman" w:hAnsi="Times New Roman" w:cs="Times New Roman"/>
          <w:b/>
          <w:lang w:val="sl-SI"/>
        </w:rPr>
      </w:pPr>
    </w:p>
    <w:p w14:paraId="4271E29F" w14:textId="53494B90" w:rsidR="00E04C8A" w:rsidRDefault="006238AA">
      <w:pPr>
        <w:pStyle w:val="a3"/>
        <w:rPr>
          <w:lang w:val="sl-SI"/>
        </w:rPr>
      </w:pPr>
      <w:r>
        <w:rPr>
          <w:rFonts w:eastAsia="Times New Roman"/>
          <w:lang w:val="sl-SI"/>
        </w:rPr>
        <w:t xml:space="preserve">Zdravilo </w:t>
      </w:r>
      <w:r w:rsidR="008E1817">
        <w:rPr>
          <w:rFonts w:eastAsia="Times New Roman"/>
          <w:lang w:val="sl-SI"/>
        </w:rPr>
        <w:t>Yuflyma vsebuje učinkovino adalimumab, ki deluje na imunski sistem (zaščito) vašega telesa.</w:t>
      </w:r>
    </w:p>
    <w:p w14:paraId="260FB386" w14:textId="77777777" w:rsidR="00E04C8A" w:rsidRDefault="00E04C8A">
      <w:pPr>
        <w:pStyle w:val="a3"/>
        <w:rPr>
          <w:lang w:val="sl-SI"/>
        </w:rPr>
      </w:pPr>
    </w:p>
    <w:p w14:paraId="4366D347" w14:textId="77777777" w:rsidR="00E04C8A" w:rsidRDefault="008E1817">
      <w:pPr>
        <w:pStyle w:val="a3"/>
        <w:rPr>
          <w:lang w:val="sl-SI"/>
        </w:rPr>
      </w:pPr>
      <w:r>
        <w:rPr>
          <w:rFonts w:eastAsia="Times New Roman"/>
          <w:lang w:val="sl-SI"/>
        </w:rPr>
        <w:t>Zdravilo Yuflyma je namenjeno zdravljenju naslednjih vnetnih bolezni:</w:t>
      </w:r>
    </w:p>
    <w:p w14:paraId="5AC41C17" w14:textId="77777777" w:rsidR="00E04C8A" w:rsidRDefault="008E1817">
      <w:pPr>
        <w:pStyle w:val="a3"/>
        <w:numPr>
          <w:ilvl w:val="0"/>
          <w:numId w:val="5"/>
        </w:numPr>
        <w:ind w:left="660" w:hanging="660"/>
        <w:rPr>
          <w:lang w:val="sl-SI"/>
        </w:rPr>
      </w:pPr>
      <w:r>
        <w:rPr>
          <w:rFonts w:eastAsia="Times New Roman"/>
          <w:lang w:val="sl-SI"/>
        </w:rPr>
        <w:t>revmatoidni artritis</w:t>
      </w:r>
    </w:p>
    <w:p w14:paraId="30767B45" w14:textId="77777777" w:rsidR="00E04C8A" w:rsidRDefault="008E1817">
      <w:pPr>
        <w:pStyle w:val="a3"/>
        <w:numPr>
          <w:ilvl w:val="0"/>
          <w:numId w:val="5"/>
        </w:numPr>
        <w:ind w:left="660" w:hanging="660"/>
        <w:rPr>
          <w:lang w:val="sl-SI"/>
        </w:rPr>
      </w:pPr>
      <w:r>
        <w:rPr>
          <w:rFonts w:eastAsia="Times New Roman"/>
          <w:lang w:val="sl-SI"/>
        </w:rPr>
        <w:t>poliartikularni juvenilni idiopatični artritis</w:t>
      </w:r>
    </w:p>
    <w:p w14:paraId="4C63C288" w14:textId="77777777" w:rsidR="00E04C8A" w:rsidRDefault="008E1817">
      <w:pPr>
        <w:pStyle w:val="a3"/>
        <w:numPr>
          <w:ilvl w:val="0"/>
          <w:numId w:val="5"/>
        </w:numPr>
        <w:ind w:left="660" w:hanging="660"/>
        <w:rPr>
          <w:lang w:val="sl-SI"/>
        </w:rPr>
      </w:pPr>
      <w:r>
        <w:rPr>
          <w:rFonts w:eastAsia="Times New Roman"/>
          <w:lang w:val="sl-SI"/>
        </w:rPr>
        <w:t>artritis, povezan z entezitisom</w:t>
      </w:r>
    </w:p>
    <w:p w14:paraId="2A2ACBA7" w14:textId="77777777" w:rsidR="00E04C8A" w:rsidRDefault="008E1817">
      <w:pPr>
        <w:pStyle w:val="a3"/>
        <w:numPr>
          <w:ilvl w:val="0"/>
          <w:numId w:val="5"/>
        </w:numPr>
        <w:ind w:left="660" w:hanging="660"/>
        <w:rPr>
          <w:lang w:val="sl-SI"/>
        </w:rPr>
      </w:pPr>
      <w:r>
        <w:rPr>
          <w:rFonts w:eastAsia="Times New Roman"/>
          <w:lang w:val="sl-SI"/>
        </w:rPr>
        <w:t>ankilozirajoči spondilitis</w:t>
      </w:r>
    </w:p>
    <w:p w14:paraId="46D37CE4" w14:textId="77777777" w:rsidR="00E04C8A" w:rsidRDefault="008E1817">
      <w:pPr>
        <w:pStyle w:val="a3"/>
        <w:numPr>
          <w:ilvl w:val="0"/>
          <w:numId w:val="5"/>
        </w:numPr>
        <w:ind w:left="660" w:hanging="660"/>
        <w:rPr>
          <w:lang w:val="sl-SI"/>
        </w:rPr>
      </w:pPr>
      <w:r>
        <w:rPr>
          <w:rFonts w:eastAsia="Times New Roman"/>
          <w:lang w:val="sl-SI"/>
        </w:rPr>
        <w:t>aksialni spondiloartritis brez radiografskega dokaza za ankilozirajoči spondilitis</w:t>
      </w:r>
    </w:p>
    <w:p w14:paraId="3A6B0BA6" w14:textId="77777777" w:rsidR="00E04C8A" w:rsidRDefault="008E1817">
      <w:pPr>
        <w:pStyle w:val="a3"/>
        <w:numPr>
          <w:ilvl w:val="0"/>
          <w:numId w:val="5"/>
        </w:numPr>
        <w:ind w:left="660" w:hanging="660"/>
        <w:rPr>
          <w:lang w:val="sl-SI"/>
        </w:rPr>
      </w:pPr>
      <w:r>
        <w:rPr>
          <w:rFonts w:eastAsia="Times New Roman"/>
          <w:lang w:val="sl-SI"/>
        </w:rPr>
        <w:t>psoriatični artritis</w:t>
      </w:r>
    </w:p>
    <w:p w14:paraId="37AAAA75" w14:textId="77777777" w:rsidR="00E04C8A" w:rsidRDefault="008E1817">
      <w:pPr>
        <w:pStyle w:val="a3"/>
        <w:numPr>
          <w:ilvl w:val="0"/>
          <w:numId w:val="5"/>
        </w:numPr>
        <w:ind w:left="660" w:hanging="660"/>
        <w:rPr>
          <w:lang w:val="sl-SI"/>
        </w:rPr>
      </w:pPr>
      <w:r>
        <w:rPr>
          <w:rFonts w:eastAsia="Times New Roman"/>
          <w:lang w:val="sl-SI"/>
        </w:rPr>
        <w:t>luskavica (psoriaza) v plakih,</w:t>
      </w:r>
    </w:p>
    <w:p w14:paraId="295A2B76" w14:textId="77777777" w:rsidR="00E04C8A" w:rsidRDefault="008E1817">
      <w:pPr>
        <w:pStyle w:val="a3"/>
        <w:numPr>
          <w:ilvl w:val="0"/>
          <w:numId w:val="5"/>
        </w:numPr>
        <w:ind w:left="660" w:hanging="660"/>
        <w:rPr>
          <w:lang w:val="sl-SI"/>
        </w:rPr>
      </w:pPr>
      <w:r>
        <w:rPr>
          <w:rFonts w:eastAsia="Times New Roman"/>
          <w:lang w:val="sl-SI"/>
        </w:rPr>
        <w:t>hidradenitis suppurativa</w:t>
      </w:r>
    </w:p>
    <w:p w14:paraId="0342295C" w14:textId="77777777" w:rsidR="00E04C8A" w:rsidRDefault="008E1817">
      <w:pPr>
        <w:pStyle w:val="a3"/>
        <w:numPr>
          <w:ilvl w:val="0"/>
          <w:numId w:val="5"/>
        </w:numPr>
        <w:ind w:left="660" w:hanging="660"/>
        <w:rPr>
          <w:lang w:val="sl-SI"/>
        </w:rPr>
      </w:pPr>
      <w:r>
        <w:rPr>
          <w:rFonts w:eastAsia="Times New Roman"/>
          <w:lang w:val="sl-SI"/>
        </w:rPr>
        <w:t>Crohnova bolezen</w:t>
      </w:r>
    </w:p>
    <w:p w14:paraId="1C395995" w14:textId="77777777" w:rsidR="00E04C8A" w:rsidRDefault="008E1817">
      <w:pPr>
        <w:pStyle w:val="a3"/>
        <w:numPr>
          <w:ilvl w:val="0"/>
          <w:numId w:val="5"/>
        </w:numPr>
        <w:ind w:left="660" w:hanging="660"/>
        <w:rPr>
          <w:lang w:val="sl-SI"/>
        </w:rPr>
      </w:pPr>
      <w:r>
        <w:rPr>
          <w:rFonts w:eastAsia="Times New Roman"/>
          <w:lang w:val="sl-SI"/>
        </w:rPr>
        <w:t>ulcerozni kolitis</w:t>
      </w:r>
    </w:p>
    <w:p w14:paraId="5F2E7495" w14:textId="77777777" w:rsidR="00E04C8A" w:rsidRDefault="008E1817">
      <w:pPr>
        <w:pStyle w:val="a3"/>
        <w:numPr>
          <w:ilvl w:val="0"/>
          <w:numId w:val="5"/>
        </w:numPr>
        <w:ind w:left="660" w:hanging="660"/>
        <w:rPr>
          <w:lang w:val="sl-SI"/>
        </w:rPr>
      </w:pPr>
      <w:r>
        <w:rPr>
          <w:rFonts w:eastAsia="Times New Roman"/>
          <w:lang w:val="sl-SI"/>
        </w:rPr>
        <w:t>neinfekcijski uveitis</w:t>
      </w:r>
    </w:p>
    <w:p w14:paraId="143B659A" w14:textId="77777777" w:rsidR="00E04C8A" w:rsidRDefault="00E04C8A">
      <w:pPr>
        <w:spacing w:before="10" w:line="240" w:lineRule="exact"/>
        <w:rPr>
          <w:sz w:val="24"/>
          <w:szCs w:val="24"/>
          <w:lang w:val="sl-SI"/>
        </w:rPr>
      </w:pPr>
    </w:p>
    <w:p w14:paraId="45B586E2" w14:textId="77777777" w:rsidR="00E04C8A" w:rsidRDefault="008E1817">
      <w:pPr>
        <w:pStyle w:val="a3"/>
        <w:rPr>
          <w:lang w:val="sl-SI"/>
        </w:rPr>
      </w:pPr>
      <w:r>
        <w:rPr>
          <w:rFonts w:eastAsia="Times New Roman"/>
          <w:lang w:val="sl-SI"/>
        </w:rPr>
        <w:t>Učinkovina v zdravilu Yuflyma, adalimumab, je humano monoklonsko protitelo. Monoklonska protitelesa so beljakovine, ki se vežejo na specifične tarče.</w:t>
      </w:r>
    </w:p>
    <w:p w14:paraId="60045FF2" w14:textId="77777777" w:rsidR="00E04C8A" w:rsidRDefault="00E04C8A">
      <w:pPr>
        <w:spacing w:before="16" w:line="240" w:lineRule="exact"/>
        <w:rPr>
          <w:sz w:val="24"/>
          <w:szCs w:val="24"/>
          <w:lang w:val="sl-SI"/>
        </w:rPr>
      </w:pPr>
    </w:p>
    <w:p w14:paraId="22E1AA92" w14:textId="77777777" w:rsidR="00E04C8A" w:rsidRDefault="008E1817">
      <w:pPr>
        <w:pStyle w:val="a3"/>
        <w:rPr>
          <w:lang w:val="sl-SI"/>
        </w:rPr>
      </w:pPr>
      <w:r>
        <w:rPr>
          <w:rFonts w:eastAsia="Times New Roman"/>
          <w:lang w:val="sl-SI"/>
        </w:rPr>
        <w:t xml:space="preserve">Tarča adalimumaba je beljakovina, ki se imenuje tumor nekrotizirajoči faktor (TNFα), ki je vključen v imunski (obrambni) sistem in je prisoten v povečanih koncentracijah pri zgoraj navedenih vnetnih boleznih. </w:t>
      </w:r>
      <w:r>
        <w:rPr>
          <w:rFonts w:eastAsia="Times New Roman"/>
          <w:lang w:val="sl-SI"/>
        </w:rPr>
        <w:lastRenderedPageBreak/>
        <w:t>Z vezavo na TNFα zdravilo Yuflyma zmanjša vnetni proces pri teh boleznih.</w:t>
      </w:r>
    </w:p>
    <w:p w14:paraId="46596CD8" w14:textId="77777777" w:rsidR="00E04C8A" w:rsidRDefault="00E04C8A">
      <w:pPr>
        <w:pStyle w:val="a3"/>
        <w:rPr>
          <w:lang w:val="sl-SI"/>
        </w:rPr>
      </w:pPr>
    </w:p>
    <w:p w14:paraId="6FB17115" w14:textId="77777777" w:rsidR="00E04C8A" w:rsidRDefault="008E1817">
      <w:pPr>
        <w:pStyle w:val="a3"/>
        <w:rPr>
          <w:b/>
          <w:lang w:val="sl-SI"/>
        </w:rPr>
      </w:pPr>
      <w:r>
        <w:rPr>
          <w:rFonts w:eastAsia="Times New Roman"/>
          <w:b/>
          <w:bCs/>
          <w:lang w:val="sl-SI"/>
        </w:rPr>
        <w:t>Revmatoidni artritis</w:t>
      </w:r>
    </w:p>
    <w:p w14:paraId="054C31F0" w14:textId="77777777" w:rsidR="00E04C8A" w:rsidRDefault="00E04C8A">
      <w:pPr>
        <w:pStyle w:val="a3"/>
        <w:rPr>
          <w:u w:val="single"/>
          <w:lang w:val="sl-SI"/>
        </w:rPr>
      </w:pPr>
    </w:p>
    <w:p w14:paraId="572468AD" w14:textId="77777777" w:rsidR="00E04C8A" w:rsidRDefault="008E1817">
      <w:pPr>
        <w:pStyle w:val="a3"/>
        <w:rPr>
          <w:lang w:val="sl-SI"/>
        </w:rPr>
      </w:pPr>
      <w:r>
        <w:rPr>
          <w:rFonts w:eastAsia="Times New Roman"/>
          <w:lang w:val="sl-SI"/>
        </w:rPr>
        <w:t>Revmatoidni artritis je vnetna bolezen sklepov.</w:t>
      </w:r>
    </w:p>
    <w:p w14:paraId="2AD0A04C" w14:textId="77777777" w:rsidR="00E04C8A" w:rsidRDefault="00E04C8A">
      <w:pPr>
        <w:spacing w:before="11" w:line="240" w:lineRule="exact"/>
        <w:rPr>
          <w:sz w:val="24"/>
          <w:szCs w:val="24"/>
          <w:lang w:val="sl-SI"/>
        </w:rPr>
      </w:pPr>
    </w:p>
    <w:p w14:paraId="20A24938" w14:textId="77777777" w:rsidR="00E04C8A" w:rsidRDefault="008E1817">
      <w:pPr>
        <w:pStyle w:val="a3"/>
        <w:rPr>
          <w:lang w:val="sl-SI"/>
        </w:rPr>
      </w:pPr>
      <w:r>
        <w:rPr>
          <w:rFonts w:eastAsia="Times New Roman"/>
          <w:lang w:val="sl-SI"/>
        </w:rPr>
        <w:t>Zdravilo Yuflyma se uporablja za zdravljenje zmernega do hudega revmatoidnega artritisa pri odraslih. Morda boste najprej prejeli druga zdravila, ki spreminjajo potek bolezni, npr. metotreksat. Če se na ta zdravila ne odzovete dovolj dobro, boste prejeli zdravilo Yuflyma.</w:t>
      </w:r>
    </w:p>
    <w:p w14:paraId="0CDFB95F" w14:textId="77777777" w:rsidR="00E04C8A" w:rsidRDefault="00E04C8A">
      <w:pPr>
        <w:spacing w:before="17" w:line="240" w:lineRule="exact"/>
        <w:rPr>
          <w:sz w:val="24"/>
          <w:szCs w:val="24"/>
          <w:lang w:val="sl-SI"/>
        </w:rPr>
      </w:pPr>
    </w:p>
    <w:p w14:paraId="7DD724AF" w14:textId="77777777" w:rsidR="00E04C8A" w:rsidRDefault="008E1817">
      <w:pPr>
        <w:pStyle w:val="a3"/>
        <w:rPr>
          <w:lang w:val="sl-SI"/>
        </w:rPr>
      </w:pPr>
      <w:r>
        <w:rPr>
          <w:rFonts w:eastAsia="Times New Roman"/>
          <w:lang w:val="sl-SI"/>
        </w:rPr>
        <w:t>Zdravilo Yuflyma je mogoče uporabljati tudi za zdravljenje hudega, aktivnega in napredujočega revmatoidnega artritisa brez predhodnega zdravljenja z metotreksatom.</w:t>
      </w:r>
    </w:p>
    <w:p w14:paraId="41A75019" w14:textId="77777777" w:rsidR="00E04C8A" w:rsidRDefault="00E04C8A">
      <w:pPr>
        <w:spacing w:before="11" w:line="240" w:lineRule="exact"/>
        <w:rPr>
          <w:sz w:val="24"/>
          <w:szCs w:val="24"/>
          <w:lang w:val="sl-SI"/>
        </w:rPr>
      </w:pPr>
    </w:p>
    <w:p w14:paraId="4AB8B91B" w14:textId="77777777" w:rsidR="00E04C8A" w:rsidRDefault="008E1817">
      <w:pPr>
        <w:pStyle w:val="a3"/>
        <w:rPr>
          <w:lang w:val="sl-SI"/>
        </w:rPr>
      </w:pPr>
      <w:r>
        <w:rPr>
          <w:rFonts w:eastAsia="Times New Roman"/>
          <w:lang w:val="sl-SI"/>
        </w:rPr>
        <w:t>Zdravilo Yuflyma lahko upočasni poškodbe sklepov, ki jih povzroča vnetna bolezen, in jim lahko pomaga, da se bolj prosto gibajo.</w:t>
      </w:r>
    </w:p>
    <w:p w14:paraId="2BA21B79" w14:textId="77777777" w:rsidR="00E04C8A" w:rsidRDefault="00E04C8A">
      <w:pPr>
        <w:spacing w:before="10" w:line="240" w:lineRule="exact"/>
        <w:rPr>
          <w:sz w:val="24"/>
          <w:szCs w:val="24"/>
          <w:lang w:val="sl-SI"/>
        </w:rPr>
      </w:pPr>
    </w:p>
    <w:p w14:paraId="0504C28F" w14:textId="77777777" w:rsidR="00E04C8A" w:rsidRDefault="008E1817">
      <w:pPr>
        <w:pStyle w:val="a3"/>
        <w:rPr>
          <w:lang w:val="sl-SI"/>
        </w:rPr>
      </w:pPr>
      <w:r>
        <w:rPr>
          <w:rFonts w:eastAsia="Times New Roman"/>
          <w:lang w:val="sl-SI"/>
        </w:rPr>
        <w:t>Vaš zdravnik se bo odločil, ali je treba zdravilo Yuflyma uporabljati skupaj z metotreksatom ali samostojno.</w:t>
      </w:r>
    </w:p>
    <w:p w14:paraId="22A89402" w14:textId="77777777" w:rsidR="00E04C8A" w:rsidRDefault="00E04C8A">
      <w:pPr>
        <w:spacing w:before="18" w:line="240" w:lineRule="exact"/>
        <w:rPr>
          <w:sz w:val="24"/>
          <w:szCs w:val="24"/>
          <w:lang w:val="sl-SI"/>
        </w:rPr>
      </w:pPr>
    </w:p>
    <w:p w14:paraId="3842E313" w14:textId="77777777" w:rsidR="00E04C8A" w:rsidRDefault="008E1817">
      <w:pPr>
        <w:pStyle w:val="a3"/>
        <w:rPr>
          <w:b/>
          <w:lang w:val="sl-SI"/>
        </w:rPr>
      </w:pPr>
      <w:r>
        <w:rPr>
          <w:rFonts w:eastAsia="Times New Roman"/>
          <w:b/>
          <w:bCs/>
          <w:lang w:val="sl-SI"/>
        </w:rPr>
        <w:t>Poliartikularni juvenilni idiopatski artritis</w:t>
      </w:r>
    </w:p>
    <w:p w14:paraId="790E1B47" w14:textId="77777777" w:rsidR="00E04C8A" w:rsidRDefault="00E04C8A">
      <w:pPr>
        <w:spacing w:before="9" w:line="240" w:lineRule="exact"/>
        <w:rPr>
          <w:sz w:val="24"/>
          <w:szCs w:val="24"/>
          <w:lang w:val="sl-SI"/>
        </w:rPr>
      </w:pPr>
    </w:p>
    <w:p w14:paraId="2D3968A8" w14:textId="77777777" w:rsidR="00E04C8A" w:rsidRDefault="008E1817">
      <w:pPr>
        <w:pStyle w:val="a3"/>
        <w:rPr>
          <w:lang w:val="sl-SI"/>
        </w:rPr>
      </w:pPr>
      <w:r>
        <w:rPr>
          <w:rFonts w:eastAsia="Times New Roman"/>
          <w:lang w:val="sl-SI"/>
        </w:rPr>
        <w:t>Poliartikularni juvenilni idiopatični artritis je vnetna bolezen sklepov.</w:t>
      </w:r>
    </w:p>
    <w:p w14:paraId="0E70C43C" w14:textId="77777777" w:rsidR="00E04C8A" w:rsidRDefault="00E04C8A">
      <w:pPr>
        <w:spacing w:before="13" w:line="240" w:lineRule="exact"/>
        <w:rPr>
          <w:sz w:val="24"/>
          <w:szCs w:val="24"/>
          <w:lang w:val="sl-SI"/>
        </w:rPr>
      </w:pPr>
    </w:p>
    <w:p w14:paraId="1724E50D" w14:textId="77777777" w:rsidR="00E04C8A" w:rsidRDefault="008E1817">
      <w:pPr>
        <w:pStyle w:val="a3"/>
        <w:rPr>
          <w:lang w:val="sl-SI"/>
        </w:rPr>
      </w:pPr>
      <w:r>
        <w:rPr>
          <w:rFonts w:eastAsia="Times New Roman"/>
          <w:lang w:val="sl-SI"/>
        </w:rPr>
        <w:t>Zdravilo Yuflyma se uporablja za zdravljenje poliartikularnega juvenilnega idiopatskega artritisa pri bolnikih od 2. leta starosti. Morda boste najprej prejeli druga zdravila, ki spreminjajo potek bolezni, npr. metotreksat. Če se na ta zdravila ne odzovete dovolj dobro, boste prejeli zdravilo Yuflyma.</w:t>
      </w:r>
    </w:p>
    <w:p w14:paraId="7D73E07C" w14:textId="77777777" w:rsidR="00E04C8A" w:rsidRDefault="00E04C8A">
      <w:pPr>
        <w:spacing w:before="13" w:line="240" w:lineRule="exact"/>
        <w:rPr>
          <w:sz w:val="24"/>
          <w:szCs w:val="24"/>
          <w:lang w:val="sl-SI"/>
        </w:rPr>
      </w:pPr>
    </w:p>
    <w:p w14:paraId="61780129" w14:textId="77777777" w:rsidR="00E04C8A" w:rsidRDefault="008E1817">
      <w:pPr>
        <w:pStyle w:val="a3"/>
        <w:rPr>
          <w:lang w:val="sl-SI"/>
        </w:rPr>
      </w:pPr>
      <w:r>
        <w:rPr>
          <w:rFonts w:eastAsia="Times New Roman"/>
          <w:lang w:val="sl-SI"/>
        </w:rPr>
        <w:t>Vaš zdravnik se bo odločil, ali je treba zdravilo Yuflyma uporabljati skupaj z metotreksatom ali samostojno.</w:t>
      </w:r>
    </w:p>
    <w:p w14:paraId="53D17582" w14:textId="77777777" w:rsidR="00E04C8A" w:rsidRDefault="00E04C8A">
      <w:pPr>
        <w:spacing w:before="16" w:line="240" w:lineRule="exact"/>
        <w:rPr>
          <w:sz w:val="24"/>
          <w:szCs w:val="24"/>
          <w:lang w:val="sl-SI"/>
        </w:rPr>
      </w:pPr>
    </w:p>
    <w:p w14:paraId="2595E07C" w14:textId="77777777" w:rsidR="00E04C8A" w:rsidRDefault="008E1817">
      <w:pPr>
        <w:pStyle w:val="a3"/>
        <w:rPr>
          <w:b/>
          <w:lang w:val="sl-SI"/>
        </w:rPr>
      </w:pPr>
      <w:r>
        <w:rPr>
          <w:rFonts w:eastAsia="Times New Roman"/>
          <w:b/>
          <w:bCs/>
          <w:lang w:val="sl-SI"/>
        </w:rPr>
        <w:t>Artritis, povezan z entezitisom</w:t>
      </w:r>
    </w:p>
    <w:p w14:paraId="01D1A9E0" w14:textId="77777777" w:rsidR="00E04C8A" w:rsidRDefault="00E04C8A">
      <w:pPr>
        <w:spacing w:before="9" w:line="240" w:lineRule="exact"/>
        <w:rPr>
          <w:sz w:val="24"/>
          <w:szCs w:val="24"/>
          <w:lang w:val="sl-SI"/>
        </w:rPr>
      </w:pPr>
    </w:p>
    <w:p w14:paraId="636EAC06" w14:textId="77777777" w:rsidR="00E04C8A" w:rsidRDefault="008E1817">
      <w:pPr>
        <w:pStyle w:val="a3"/>
        <w:rPr>
          <w:lang w:val="sl-SI"/>
        </w:rPr>
      </w:pPr>
      <w:r>
        <w:rPr>
          <w:rFonts w:eastAsia="Times New Roman"/>
          <w:lang w:val="sl-SI"/>
        </w:rPr>
        <w:t>Artritis, povezan z entezitisom, je vnetna bolezen sklepov in mest, kjer se kite pripnejo na kost.</w:t>
      </w:r>
    </w:p>
    <w:p w14:paraId="27CA3E1F" w14:textId="77777777" w:rsidR="00E04C8A" w:rsidRDefault="00E04C8A">
      <w:pPr>
        <w:spacing w:before="10" w:line="240" w:lineRule="exact"/>
        <w:rPr>
          <w:sz w:val="24"/>
          <w:szCs w:val="24"/>
          <w:lang w:val="sl-SI"/>
        </w:rPr>
      </w:pPr>
    </w:p>
    <w:p w14:paraId="14BDF0E0" w14:textId="77777777" w:rsidR="00E04C8A" w:rsidRDefault="008E1817">
      <w:pPr>
        <w:pStyle w:val="a3"/>
        <w:rPr>
          <w:lang w:val="sl-SI"/>
        </w:rPr>
      </w:pPr>
      <w:r>
        <w:rPr>
          <w:rFonts w:eastAsia="Times New Roman"/>
          <w:lang w:val="sl-SI"/>
        </w:rPr>
        <w:t>Zdravilo Yuflyma se uporablja za zdravljenje artritisa, povezanega z entezitisom pri bolnikih od 6. leta starosti. Morda boste najprej prejeli druga zdravila, ki spreminjajo potek bolezni, npr. metotreksat. Če se na ta zdravila ne odzovete dovolj dobro, boste prejeli zdravilo Yuflyma.</w:t>
      </w:r>
    </w:p>
    <w:p w14:paraId="55CE6B09" w14:textId="77777777" w:rsidR="00E04C8A" w:rsidRDefault="00E04C8A">
      <w:pPr>
        <w:spacing w:before="2" w:line="260" w:lineRule="exact"/>
        <w:rPr>
          <w:sz w:val="26"/>
          <w:szCs w:val="26"/>
          <w:lang w:val="sl-SI"/>
        </w:rPr>
      </w:pPr>
    </w:p>
    <w:p w14:paraId="6AED11CE" w14:textId="77777777" w:rsidR="00E04C8A" w:rsidRDefault="008E1817">
      <w:pPr>
        <w:pStyle w:val="a3"/>
        <w:rPr>
          <w:b/>
          <w:lang w:val="sl-SI"/>
        </w:rPr>
      </w:pPr>
      <w:r>
        <w:rPr>
          <w:rFonts w:eastAsia="Times New Roman"/>
          <w:b/>
          <w:bCs/>
          <w:lang w:val="sl-SI"/>
        </w:rPr>
        <w:t>Ankilozirajoči spondilitis in aksialni spondiloartritis brez radiografskega dokaza za ankilozirajoči spondilitis</w:t>
      </w:r>
    </w:p>
    <w:p w14:paraId="23D10E5D" w14:textId="77777777" w:rsidR="00E04C8A" w:rsidRDefault="00E04C8A">
      <w:pPr>
        <w:spacing w:before="6" w:line="240" w:lineRule="exact"/>
        <w:rPr>
          <w:sz w:val="24"/>
          <w:szCs w:val="24"/>
          <w:lang w:val="sl-SI"/>
        </w:rPr>
      </w:pPr>
    </w:p>
    <w:p w14:paraId="2620C973" w14:textId="77777777" w:rsidR="00E04C8A" w:rsidRDefault="008E1817">
      <w:pPr>
        <w:pStyle w:val="a3"/>
        <w:rPr>
          <w:lang w:val="sl-SI"/>
        </w:rPr>
      </w:pPr>
      <w:r>
        <w:rPr>
          <w:rFonts w:eastAsia="Times New Roman"/>
          <w:lang w:val="sl-SI"/>
        </w:rPr>
        <w:t>Ankilozirajoči spondilitis in aksialni spondiloartritis brez radiografskega dokaza za ankilozirajoči spondilitis sta vnetni bolezni hrbtenice.</w:t>
      </w:r>
    </w:p>
    <w:p w14:paraId="52DCF514" w14:textId="77777777" w:rsidR="00E04C8A" w:rsidRDefault="00E04C8A">
      <w:pPr>
        <w:spacing w:before="10" w:line="240" w:lineRule="exact"/>
        <w:rPr>
          <w:sz w:val="24"/>
          <w:szCs w:val="24"/>
          <w:lang w:val="sl-SI"/>
        </w:rPr>
      </w:pPr>
    </w:p>
    <w:p w14:paraId="01B2D1DE" w14:textId="77777777" w:rsidR="00E04C8A" w:rsidRDefault="008E1817">
      <w:pPr>
        <w:pStyle w:val="a3"/>
        <w:rPr>
          <w:lang w:val="sl-SI"/>
        </w:rPr>
      </w:pPr>
      <w:r>
        <w:rPr>
          <w:rFonts w:eastAsia="Times New Roman"/>
          <w:lang w:val="sl-SI"/>
        </w:rPr>
        <w:t>Zdravilo Yuflyma se uporaba za zdravljenje hudega ankilozirajočega spondilitisa in aksialnega spondiloartritisa brez radiografskega dokaza za ankilozirajoči spondilitis pri odraslih. Najprej boste morda prejeli druga zdravila. Če se na ta zdravila ne odzovete dovolj dobro, boste prejeli zdravilo Yuflyma.</w:t>
      </w:r>
    </w:p>
    <w:p w14:paraId="4429DDB5" w14:textId="77777777" w:rsidR="00E04C8A" w:rsidRDefault="00E04C8A">
      <w:pPr>
        <w:spacing w:before="18" w:line="240" w:lineRule="exact"/>
        <w:rPr>
          <w:sz w:val="24"/>
          <w:szCs w:val="24"/>
          <w:lang w:val="sl-SI"/>
        </w:rPr>
      </w:pPr>
    </w:p>
    <w:p w14:paraId="152B3B1B" w14:textId="77777777" w:rsidR="00E04C8A" w:rsidRDefault="008E1817">
      <w:pPr>
        <w:pStyle w:val="a3"/>
        <w:rPr>
          <w:b/>
          <w:lang w:val="sl-SI"/>
        </w:rPr>
      </w:pPr>
      <w:r>
        <w:rPr>
          <w:rFonts w:eastAsia="Times New Roman"/>
          <w:b/>
          <w:bCs/>
          <w:lang w:val="sl-SI"/>
        </w:rPr>
        <w:t>Psoriatični artritis</w:t>
      </w:r>
    </w:p>
    <w:p w14:paraId="368736D4" w14:textId="77777777" w:rsidR="00E04C8A" w:rsidRDefault="00E04C8A">
      <w:pPr>
        <w:pStyle w:val="a3"/>
        <w:rPr>
          <w:lang w:val="sl-SI"/>
        </w:rPr>
      </w:pPr>
    </w:p>
    <w:p w14:paraId="7C4F2972" w14:textId="77777777" w:rsidR="00E04C8A" w:rsidRDefault="008E1817">
      <w:pPr>
        <w:pStyle w:val="a3"/>
        <w:rPr>
          <w:lang w:val="sl-SI"/>
        </w:rPr>
      </w:pPr>
      <w:r>
        <w:rPr>
          <w:rFonts w:eastAsia="Times New Roman"/>
          <w:lang w:val="sl-SI"/>
        </w:rPr>
        <w:t>Psoriatični artritis je vnetna bolezen sklepov, ki je po navadi povezana s psoriazo.</w:t>
      </w:r>
    </w:p>
    <w:p w14:paraId="03F5F0BB" w14:textId="77777777" w:rsidR="00E04C8A" w:rsidRDefault="00E04C8A">
      <w:pPr>
        <w:spacing w:before="11" w:line="240" w:lineRule="exact"/>
        <w:rPr>
          <w:sz w:val="24"/>
          <w:szCs w:val="24"/>
          <w:lang w:val="sl-SI"/>
        </w:rPr>
      </w:pPr>
    </w:p>
    <w:p w14:paraId="0D20E238" w14:textId="77777777" w:rsidR="00E04C8A" w:rsidRDefault="008E1817">
      <w:pPr>
        <w:pStyle w:val="a3"/>
        <w:rPr>
          <w:lang w:val="sl-SI"/>
        </w:rPr>
      </w:pPr>
      <w:r>
        <w:rPr>
          <w:rFonts w:eastAsia="Times New Roman"/>
          <w:lang w:val="sl-SI"/>
        </w:rPr>
        <w:t>Zdravilo Yuflyma se uporablja za zdravljenje psoriatičnega artritisa pri odraslih. Zdravilo Yuflyma lahko upočasni poškodbe sklepov, ki jih povzroča bolezen, in jim lahko pomaga, da se bolj prosto gibajo. Najprej boste morda prejeli druga zdravila. Če se na ta zdravila ne odzovete dovolj dobro, boste prejeli zdravilo Yuflyma.</w:t>
      </w:r>
    </w:p>
    <w:p w14:paraId="41933F3B" w14:textId="77777777" w:rsidR="00E04C8A" w:rsidRDefault="00E04C8A">
      <w:pPr>
        <w:pStyle w:val="a3"/>
        <w:rPr>
          <w:b/>
          <w:lang w:val="sl-SI"/>
        </w:rPr>
      </w:pPr>
    </w:p>
    <w:p w14:paraId="48ED9FD0" w14:textId="77777777" w:rsidR="00E04C8A" w:rsidRDefault="008E1817">
      <w:pPr>
        <w:pStyle w:val="a3"/>
        <w:rPr>
          <w:b/>
          <w:lang w:val="sl-SI"/>
        </w:rPr>
      </w:pPr>
      <w:r>
        <w:rPr>
          <w:rFonts w:eastAsia="Times New Roman"/>
          <w:b/>
          <w:bCs/>
          <w:lang w:val="sl-SI"/>
        </w:rPr>
        <w:t>Luskavica (psoriaza) v plakih</w:t>
      </w:r>
    </w:p>
    <w:p w14:paraId="5F18BF2F" w14:textId="77777777" w:rsidR="00E04C8A" w:rsidRDefault="00E04C8A">
      <w:pPr>
        <w:spacing w:before="9" w:line="240" w:lineRule="exact"/>
        <w:rPr>
          <w:sz w:val="24"/>
          <w:szCs w:val="24"/>
          <w:lang w:val="sl-SI"/>
        </w:rPr>
      </w:pPr>
    </w:p>
    <w:p w14:paraId="536B58FF" w14:textId="77777777" w:rsidR="00E04C8A" w:rsidRDefault="008E1817">
      <w:pPr>
        <w:pStyle w:val="a3"/>
        <w:rPr>
          <w:lang w:val="sl-SI"/>
        </w:rPr>
      </w:pPr>
      <w:r>
        <w:rPr>
          <w:rFonts w:eastAsia="Times New Roman"/>
          <w:lang w:val="sl-SI"/>
        </w:rPr>
        <w:t>Luskavica v plakih je bolezen kože, pri kateri nastajajo rdeče, kosmičaste, krastave lise na koži, pokrite s srebrnimi luskami. Luskavica v plakih lahko prizadene tudi nohte, ki postanejo krušljivi, zadebeljeni in se dvignejo od nohtne posteljice, kar je lahko boleče.</w:t>
      </w:r>
    </w:p>
    <w:p w14:paraId="58421031" w14:textId="77777777" w:rsidR="00E04C8A" w:rsidRDefault="00E04C8A">
      <w:pPr>
        <w:spacing w:before="13" w:line="240" w:lineRule="exact"/>
        <w:rPr>
          <w:sz w:val="24"/>
          <w:szCs w:val="24"/>
          <w:lang w:val="sl-SI"/>
        </w:rPr>
      </w:pPr>
    </w:p>
    <w:p w14:paraId="797414AB" w14:textId="77777777" w:rsidR="00E04C8A" w:rsidRDefault="008E1817">
      <w:pPr>
        <w:pStyle w:val="a3"/>
        <w:rPr>
          <w:lang w:val="sl-SI"/>
        </w:rPr>
      </w:pPr>
      <w:r>
        <w:rPr>
          <w:rFonts w:eastAsia="Times New Roman"/>
          <w:lang w:val="sl-SI"/>
        </w:rPr>
        <w:t>Zdravilo Yuflyma se uporablja za zdravljenje</w:t>
      </w:r>
    </w:p>
    <w:p w14:paraId="7549E166" w14:textId="77777777" w:rsidR="00E04C8A" w:rsidRDefault="008E1817">
      <w:pPr>
        <w:pStyle w:val="a3"/>
        <w:numPr>
          <w:ilvl w:val="1"/>
          <w:numId w:val="4"/>
        </w:numPr>
        <w:ind w:left="660" w:hanging="660"/>
        <w:rPr>
          <w:lang w:val="sl-SI"/>
        </w:rPr>
      </w:pPr>
      <w:r>
        <w:rPr>
          <w:rFonts w:eastAsia="Times New Roman"/>
          <w:lang w:val="sl-SI"/>
        </w:rPr>
        <w:t>zmerne do hude kronične luskavice v plakih pri odraslih in</w:t>
      </w:r>
    </w:p>
    <w:p w14:paraId="2E58FADF" w14:textId="77777777" w:rsidR="00E04C8A" w:rsidRDefault="008E1817">
      <w:pPr>
        <w:pStyle w:val="a3"/>
        <w:numPr>
          <w:ilvl w:val="1"/>
          <w:numId w:val="4"/>
        </w:numPr>
        <w:ind w:left="660" w:hanging="660"/>
        <w:rPr>
          <w:lang w:val="sl-SI"/>
        </w:rPr>
      </w:pPr>
      <w:r>
        <w:rPr>
          <w:rFonts w:eastAsia="Times New Roman"/>
          <w:lang w:val="sl-SI"/>
        </w:rPr>
        <w:t>hude luskavice v plakih pri otrocih in mladostnikih, starih od 4 do 17 let, pri katerih lokalno zdravljenje in zdravljenje s svetlobo nista dovolj dobro delovala ali pa nista primerna.</w:t>
      </w:r>
    </w:p>
    <w:p w14:paraId="269CF762" w14:textId="77777777" w:rsidR="00E04C8A" w:rsidRDefault="00E04C8A">
      <w:pPr>
        <w:spacing w:before="15" w:line="240" w:lineRule="exact"/>
        <w:rPr>
          <w:sz w:val="24"/>
          <w:szCs w:val="24"/>
          <w:lang w:val="sl-SI"/>
        </w:rPr>
      </w:pPr>
    </w:p>
    <w:p w14:paraId="6ECB312E" w14:textId="77777777" w:rsidR="00E04C8A" w:rsidRDefault="008E1817">
      <w:pPr>
        <w:pStyle w:val="a3"/>
        <w:rPr>
          <w:b/>
          <w:lang w:val="sl-SI"/>
        </w:rPr>
      </w:pPr>
      <w:r>
        <w:rPr>
          <w:rFonts w:eastAsia="Times New Roman"/>
          <w:b/>
          <w:bCs/>
          <w:lang w:val="sl-SI"/>
        </w:rPr>
        <w:t>Hidradenitis suppurativa</w:t>
      </w:r>
    </w:p>
    <w:p w14:paraId="042AB5F7" w14:textId="77777777" w:rsidR="00E04C8A" w:rsidRDefault="00E04C8A">
      <w:pPr>
        <w:spacing w:before="9" w:line="240" w:lineRule="exact"/>
        <w:rPr>
          <w:sz w:val="24"/>
          <w:szCs w:val="24"/>
          <w:lang w:val="sl-SI"/>
        </w:rPr>
      </w:pPr>
    </w:p>
    <w:p w14:paraId="759368C5" w14:textId="77777777" w:rsidR="00E04C8A" w:rsidRDefault="008E1817">
      <w:pPr>
        <w:pStyle w:val="a3"/>
        <w:rPr>
          <w:lang w:val="sl-SI"/>
        </w:rPr>
      </w:pPr>
      <w:r>
        <w:rPr>
          <w:rFonts w:eastAsia="Times New Roman"/>
          <w:lang w:val="sl-SI"/>
        </w:rPr>
        <w:t xml:space="preserve">Hidradenitis suppurativa (včasih imenovan tudi acne inversa) je kronična in pogosto boleča vnetna bolezen kože. Simptomi lahko vključujejo mehke nodule (vozliče) in abscese (ognojke), iz katerih lahko izteka gnoj. Najpogosteje prizadene specifične predele kože, kot je predel </w:t>
      </w:r>
      <w:hyperlink r:id="rId71" w:history="1">
        <w:r>
          <w:rPr>
            <w:rFonts w:eastAsia="Times New Roman"/>
            <w:lang w:val="sl-SI"/>
          </w:rPr>
          <w:t xml:space="preserve">pod prsmi, </w:t>
        </w:r>
      </w:hyperlink>
      <w:r>
        <w:rPr>
          <w:rFonts w:eastAsia="Times New Roman"/>
          <w:lang w:val="sl-SI"/>
        </w:rPr>
        <w:t>pod pazduhami, notranji del stegen, dimlje in zadnjico. Na prizadetih področjih se lahko pojavijo tudi brazgotine.</w:t>
      </w:r>
    </w:p>
    <w:p w14:paraId="33273591" w14:textId="77777777" w:rsidR="00E04C8A" w:rsidRDefault="00E04C8A">
      <w:pPr>
        <w:spacing w:before="13" w:line="240" w:lineRule="exact"/>
        <w:rPr>
          <w:sz w:val="24"/>
          <w:szCs w:val="24"/>
          <w:lang w:val="sl-SI"/>
        </w:rPr>
      </w:pPr>
    </w:p>
    <w:p w14:paraId="023EDA04" w14:textId="77777777" w:rsidR="00E04C8A" w:rsidRDefault="008E1817">
      <w:pPr>
        <w:pStyle w:val="a3"/>
        <w:rPr>
          <w:lang w:val="sl-SI"/>
        </w:rPr>
      </w:pPr>
      <w:r>
        <w:rPr>
          <w:rFonts w:eastAsia="Times New Roman"/>
          <w:lang w:val="sl-SI"/>
        </w:rPr>
        <w:t>Zdravilo Yuflyma se uporablja za zdravljenje</w:t>
      </w:r>
    </w:p>
    <w:p w14:paraId="403E72DE" w14:textId="77777777" w:rsidR="00E04C8A" w:rsidRDefault="008E1817">
      <w:pPr>
        <w:pStyle w:val="a3"/>
        <w:numPr>
          <w:ilvl w:val="1"/>
          <w:numId w:val="4"/>
        </w:numPr>
        <w:ind w:left="660" w:hanging="660"/>
        <w:rPr>
          <w:lang w:val="sl-SI"/>
        </w:rPr>
      </w:pPr>
      <w:r>
        <w:rPr>
          <w:rFonts w:eastAsia="Times New Roman"/>
          <w:lang w:val="sl-SI"/>
        </w:rPr>
        <w:t>zmerne do hude hidradenitis suppurativa pri odraslih in</w:t>
      </w:r>
    </w:p>
    <w:p w14:paraId="36C976F5" w14:textId="77777777" w:rsidR="00E04C8A" w:rsidRDefault="008E1817">
      <w:pPr>
        <w:pStyle w:val="a3"/>
        <w:numPr>
          <w:ilvl w:val="1"/>
          <w:numId w:val="4"/>
        </w:numPr>
        <w:ind w:left="660" w:hanging="660"/>
        <w:rPr>
          <w:lang w:val="sl-SI"/>
        </w:rPr>
      </w:pPr>
      <w:r>
        <w:rPr>
          <w:rFonts w:eastAsia="Times New Roman"/>
          <w:lang w:val="sl-SI"/>
        </w:rPr>
        <w:t>zmerne do hude hidradenitis suppurativa pri mladostnikih, starih od 12 do 17 let.</w:t>
      </w:r>
    </w:p>
    <w:p w14:paraId="69E56A58" w14:textId="77777777" w:rsidR="00E04C8A" w:rsidRDefault="00E04C8A">
      <w:pPr>
        <w:spacing w:before="10" w:line="240" w:lineRule="exact"/>
        <w:rPr>
          <w:sz w:val="24"/>
          <w:szCs w:val="24"/>
          <w:lang w:val="sl-SI"/>
        </w:rPr>
      </w:pPr>
    </w:p>
    <w:p w14:paraId="212DADE7" w14:textId="77777777" w:rsidR="00E04C8A" w:rsidRDefault="008E1817">
      <w:pPr>
        <w:pStyle w:val="a3"/>
        <w:rPr>
          <w:lang w:val="sl-SI"/>
        </w:rPr>
      </w:pPr>
      <w:r>
        <w:rPr>
          <w:rFonts w:eastAsia="Times New Roman"/>
          <w:lang w:val="sl-SI"/>
        </w:rPr>
        <w:t>Zdravilo Yuflyma lahko zmanjša število vozličev in ognojkov, ki jih povzroča bolezen in bolečino, ki je pogosto povezana s to boleznijo. Najprej boste morda prejeli druga zdravila. Če se na ta zdravila ne odzovete dovolj dobro, boste prejeli zdravilo Yuflyma.</w:t>
      </w:r>
    </w:p>
    <w:p w14:paraId="70753B06" w14:textId="77777777" w:rsidR="00E04C8A" w:rsidRDefault="00E04C8A">
      <w:pPr>
        <w:spacing w:before="18" w:line="240" w:lineRule="exact"/>
        <w:rPr>
          <w:sz w:val="24"/>
          <w:szCs w:val="24"/>
          <w:lang w:val="sl-SI"/>
        </w:rPr>
      </w:pPr>
    </w:p>
    <w:p w14:paraId="5C6659A7" w14:textId="77777777" w:rsidR="00E04C8A" w:rsidRDefault="008E1817">
      <w:pPr>
        <w:pStyle w:val="a3"/>
        <w:rPr>
          <w:b/>
          <w:lang w:val="sl-SI"/>
        </w:rPr>
      </w:pPr>
      <w:r>
        <w:rPr>
          <w:rFonts w:eastAsia="Times New Roman"/>
          <w:b/>
          <w:bCs/>
          <w:lang w:val="sl-SI"/>
        </w:rPr>
        <w:t>Crohnova bolezen</w:t>
      </w:r>
    </w:p>
    <w:p w14:paraId="5D8A3AE6" w14:textId="77777777" w:rsidR="00E04C8A" w:rsidRDefault="00E04C8A">
      <w:pPr>
        <w:pStyle w:val="a3"/>
        <w:rPr>
          <w:u w:val="single"/>
          <w:lang w:val="sl-SI"/>
        </w:rPr>
      </w:pPr>
    </w:p>
    <w:p w14:paraId="1B028497" w14:textId="77777777" w:rsidR="00E04C8A" w:rsidRDefault="008E1817">
      <w:pPr>
        <w:pStyle w:val="a3"/>
        <w:rPr>
          <w:lang w:val="sl-SI"/>
        </w:rPr>
      </w:pPr>
      <w:r>
        <w:rPr>
          <w:rFonts w:eastAsia="Times New Roman"/>
          <w:lang w:val="sl-SI"/>
        </w:rPr>
        <w:t>Crohnova bolezen je vnetna bolezen prebavil. Zdravilo Yuflyma se uporablja za zdravljenje</w:t>
      </w:r>
    </w:p>
    <w:p w14:paraId="4AA55212" w14:textId="77777777" w:rsidR="00E04C8A" w:rsidRDefault="008E1817">
      <w:pPr>
        <w:pStyle w:val="a3"/>
        <w:numPr>
          <w:ilvl w:val="1"/>
          <w:numId w:val="4"/>
        </w:numPr>
        <w:ind w:left="660" w:hanging="660"/>
        <w:rPr>
          <w:lang w:val="sl-SI"/>
        </w:rPr>
      </w:pPr>
      <w:r>
        <w:rPr>
          <w:rFonts w:eastAsia="Times New Roman"/>
          <w:lang w:val="sl-SI"/>
        </w:rPr>
        <w:t>zmerne do hude Crohnove bolezni pri odraslih in</w:t>
      </w:r>
    </w:p>
    <w:p w14:paraId="434A65BD" w14:textId="58F08DB7" w:rsidR="00E04C8A" w:rsidRDefault="008E1817">
      <w:pPr>
        <w:pStyle w:val="a3"/>
        <w:numPr>
          <w:ilvl w:val="1"/>
          <w:numId w:val="4"/>
        </w:numPr>
        <w:ind w:left="660" w:hanging="660"/>
        <w:rPr>
          <w:lang w:val="sl-SI"/>
        </w:rPr>
      </w:pPr>
      <w:r>
        <w:rPr>
          <w:rFonts w:eastAsia="Times New Roman"/>
          <w:lang w:val="sl-SI"/>
        </w:rPr>
        <w:t>zmerne do hude Crohnove bolezni pri otrocih in mladostnikih, starih od 6 do 17 let</w:t>
      </w:r>
      <w:r w:rsidR="00653CB4">
        <w:rPr>
          <w:rFonts w:eastAsia="Times New Roman"/>
          <w:lang w:val="sl-SI"/>
        </w:rPr>
        <w:t>.</w:t>
      </w:r>
    </w:p>
    <w:p w14:paraId="182DDE67" w14:textId="77777777" w:rsidR="00E04C8A" w:rsidRDefault="00E04C8A">
      <w:pPr>
        <w:spacing w:before="16" w:line="240" w:lineRule="exact"/>
        <w:rPr>
          <w:sz w:val="24"/>
          <w:szCs w:val="24"/>
          <w:lang w:val="sl-SI"/>
        </w:rPr>
      </w:pPr>
    </w:p>
    <w:p w14:paraId="32B9C79F" w14:textId="77777777" w:rsidR="00E04C8A" w:rsidRDefault="008E1817">
      <w:pPr>
        <w:pStyle w:val="a3"/>
        <w:rPr>
          <w:lang w:val="sl-SI"/>
        </w:rPr>
      </w:pPr>
      <w:r>
        <w:rPr>
          <w:rFonts w:eastAsia="Times New Roman"/>
          <w:lang w:val="sl-SI"/>
        </w:rPr>
        <w:t>Najprej boste morda prejeli druga zdravila. Če se na ta zdravila ne odzovete dovolj dobro, boste prejeli zdravilo Yuflyma.</w:t>
      </w:r>
    </w:p>
    <w:p w14:paraId="1C2BED10" w14:textId="77777777" w:rsidR="00E04C8A" w:rsidRDefault="00E04C8A">
      <w:pPr>
        <w:spacing w:before="15" w:line="240" w:lineRule="exact"/>
        <w:rPr>
          <w:sz w:val="24"/>
          <w:szCs w:val="24"/>
          <w:lang w:val="sl-SI"/>
        </w:rPr>
      </w:pPr>
    </w:p>
    <w:p w14:paraId="5C325188" w14:textId="77777777" w:rsidR="00E04C8A" w:rsidRDefault="008E1817">
      <w:pPr>
        <w:pStyle w:val="a3"/>
        <w:rPr>
          <w:b/>
          <w:lang w:val="sl-SI"/>
        </w:rPr>
      </w:pPr>
      <w:r>
        <w:rPr>
          <w:rFonts w:eastAsia="Times New Roman"/>
          <w:b/>
          <w:bCs/>
          <w:lang w:val="sl-SI"/>
        </w:rPr>
        <w:t>Ulcerozni kolitis</w:t>
      </w:r>
    </w:p>
    <w:p w14:paraId="116EBCA1" w14:textId="77777777" w:rsidR="00E04C8A" w:rsidRDefault="00E04C8A">
      <w:pPr>
        <w:pStyle w:val="a3"/>
        <w:rPr>
          <w:b/>
          <w:lang w:val="sl-SI"/>
        </w:rPr>
      </w:pPr>
    </w:p>
    <w:p w14:paraId="60472761" w14:textId="77777777" w:rsidR="00E04C8A" w:rsidRDefault="008E1817">
      <w:pPr>
        <w:pStyle w:val="a3"/>
        <w:rPr>
          <w:lang w:val="sl-SI"/>
        </w:rPr>
      </w:pPr>
      <w:r>
        <w:rPr>
          <w:rFonts w:eastAsia="Times New Roman"/>
          <w:lang w:val="sl-SI"/>
        </w:rPr>
        <w:t>Ulcerozni kolitis je vnetna bolezen debelega črevesa.</w:t>
      </w:r>
    </w:p>
    <w:p w14:paraId="24BEAB9A" w14:textId="77777777" w:rsidR="00E04C8A" w:rsidRDefault="00E04C8A">
      <w:pPr>
        <w:spacing w:before="17" w:line="240" w:lineRule="exact"/>
        <w:rPr>
          <w:sz w:val="24"/>
          <w:szCs w:val="24"/>
          <w:lang w:val="sl-SI"/>
        </w:rPr>
      </w:pPr>
    </w:p>
    <w:p w14:paraId="1A98D59A" w14:textId="77777777" w:rsidR="009D62D5" w:rsidRDefault="008E1817">
      <w:pPr>
        <w:pStyle w:val="a3"/>
        <w:rPr>
          <w:rFonts w:eastAsia="Times New Roman"/>
          <w:lang w:val="sl-SI"/>
        </w:rPr>
      </w:pPr>
      <w:r>
        <w:rPr>
          <w:rFonts w:eastAsia="Times New Roman"/>
          <w:lang w:val="sl-SI"/>
        </w:rPr>
        <w:t>Zdravilo Yuflyma se uporablja za zdravljenje</w:t>
      </w:r>
      <w:r w:rsidR="009D62D5">
        <w:rPr>
          <w:rFonts w:eastAsia="Times New Roman"/>
          <w:lang w:val="sl-SI"/>
        </w:rPr>
        <w:t>:</w:t>
      </w:r>
    </w:p>
    <w:p w14:paraId="04F4F135" w14:textId="3DE4C86D" w:rsidR="009D62D5" w:rsidRPr="001452D7" w:rsidRDefault="009D62D5" w:rsidP="001452D7">
      <w:pPr>
        <w:pStyle w:val="a3"/>
        <w:numPr>
          <w:ilvl w:val="1"/>
          <w:numId w:val="4"/>
        </w:numPr>
        <w:ind w:left="660" w:hanging="660"/>
        <w:rPr>
          <w:rFonts w:eastAsia="Times New Roman"/>
          <w:lang w:val="sl-SI"/>
        </w:rPr>
      </w:pPr>
      <w:r w:rsidRPr="001452D7">
        <w:rPr>
          <w:rFonts w:eastAsia="Times New Roman"/>
          <w:lang w:val="sl-SI"/>
        </w:rPr>
        <w:t xml:space="preserve">zmernega do hudega ulceroznega kolitisa pri odraslih in </w:t>
      </w:r>
    </w:p>
    <w:p w14:paraId="43D631BB" w14:textId="77777777" w:rsidR="009D62D5" w:rsidRPr="001452D7" w:rsidRDefault="009D62D5" w:rsidP="001452D7">
      <w:pPr>
        <w:pStyle w:val="a3"/>
        <w:numPr>
          <w:ilvl w:val="1"/>
          <w:numId w:val="4"/>
        </w:numPr>
        <w:ind w:left="660" w:hanging="660"/>
        <w:rPr>
          <w:rFonts w:eastAsia="Times New Roman"/>
          <w:lang w:val="sl-SI"/>
        </w:rPr>
      </w:pPr>
      <w:r w:rsidRPr="001452D7">
        <w:rPr>
          <w:rFonts w:eastAsia="Times New Roman"/>
          <w:lang w:val="sl-SI"/>
        </w:rPr>
        <w:t>zmernega do hudega ulceroznega kolitisa pri otrocih in mladostnikih, starih od 6 do 17 let.</w:t>
      </w:r>
    </w:p>
    <w:p w14:paraId="53FC9F9F" w14:textId="2E277294" w:rsidR="009D62D5" w:rsidRDefault="009D62D5">
      <w:pPr>
        <w:pStyle w:val="a3"/>
        <w:rPr>
          <w:rFonts w:eastAsia="Times New Roman"/>
          <w:lang w:val="sl-SI"/>
        </w:rPr>
      </w:pPr>
    </w:p>
    <w:p w14:paraId="41C9F3FC" w14:textId="0A29BDB9" w:rsidR="00E04C8A" w:rsidRDefault="008E1817">
      <w:pPr>
        <w:pStyle w:val="a3"/>
        <w:rPr>
          <w:lang w:val="sl-SI"/>
        </w:rPr>
      </w:pPr>
      <w:r>
        <w:rPr>
          <w:rFonts w:eastAsia="Times New Roman"/>
          <w:lang w:val="sl-SI"/>
        </w:rPr>
        <w:t>Najprej boste morda prejeli druga zdravila. Če se na ta zdravila ne odzovete dovolj dobro, boste prejeli zdravilo Yuflyma.</w:t>
      </w:r>
    </w:p>
    <w:p w14:paraId="7BA1D77F" w14:textId="77777777" w:rsidR="00E04C8A" w:rsidRDefault="00E04C8A">
      <w:pPr>
        <w:spacing w:before="15" w:line="240" w:lineRule="exact"/>
        <w:rPr>
          <w:sz w:val="24"/>
          <w:szCs w:val="24"/>
          <w:lang w:val="sl-SI"/>
        </w:rPr>
      </w:pPr>
    </w:p>
    <w:p w14:paraId="0AD511E2" w14:textId="77777777" w:rsidR="00E04C8A" w:rsidRDefault="008E1817">
      <w:pPr>
        <w:pStyle w:val="a3"/>
        <w:rPr>
          <w:b/>
          <w:lang w:val="sl-SI"/>
        </w:rPr>
      </w:pPr>
      <w:r>
        <w:rPr>
          <w:rFonts w:eastAsia="Times New Roman"/>
          <w:b/>
          <w:bCs/>
          <w:lang w:val="sl-SI"/>
        </w:rPr>
        <w:t>Neinfekcijski uveitis</w:t>
      </w:r>
    </w:p>
    <w:p w14:paraId="2B1BD090" w14:textId="77777777" w:rsidR="00E04C8A" w:rsidRDefault="00E04C8A">
      <w:pPr>
        <w:pStyle w:val="a3"/>
        <w:rPr>
          <w:lang w:val="sl-SI"/>
        </w:rPr>
      </w:pPr>
    </w:p>
    <w:p w14:paraId="651CE666" w14:textId="77777777" w:rsidR="00E04C8A" w:rsidRDefault="008E1817">
      <w:pPr>
        <w:pStyle w:val="a3"/>
        <w:rPr>
          <w:lang w:val="sl-SI"/>
        </w:rPr>
      </w:pPr>
      <w:r>
        <w:rPr>
          <w:rFonts w:eastAsia="Times New Roman"/>
          <w:lang w:val="sl-SI"/>
        </w:rPr>
        <w:t>Neinfekcijski uveitis je vnetna bolezen, ki prizadene določene dele očesa. Zdravilo Yuflyma se uporablja za zdravljenje</w:t>
      </w:r>
    </w:p>
    <w:p w14:paraId="20BFB8D7" w14:textId="77777777" w:rsidR="00E04C8A" w:rsidRDefault="008E1817">
      <w:pPr>
        <w:pStyle w:val="a3"/>
        <w:numPr>
          <w:ilvl w:val="1"/>
          <w:numId w:val="4"/>
        </w:numPr>
        <w:ind w:left="660" w:hanging="660"/>
        <w:rPr>
          <w:lang w:val="sl-SI"/>
        </w:rPr>
      </w:pPr>
      <w:r>
        <w:rPr>
          <w:rFonts w:eastAsia="Times New Roman"/>
          <w:lang w:val="sl-SI"/>
        </w:rPr>
        <w:t>odraslih z neinfekcijskim uveitisom, kjer vnetje prizadene zadnji del očesa,</w:t>
      </w:r>
    </w:p>
    <w:p w14:paraId="7622C527" w14:textId="77777777" w:rsidR="00E04C8A" w:rsidRDefault="008E1817">
      <w:pPr>
        <w:pStyle w:val="a3"/>
        <w:numPr>
          <w:ilvl w:val="1"/>
          <w:numId w:val="4"/>
        </w:numPr>
        <w:ind w:left="660" w:hanging="660"/>
        <w:rPr>
          <w:lang w:val="sl-SI"/>
        </w:rPr>
      </w:pPr>
      <w:r>
        <w:rPr>
          <w:rFonts w:eastAsia="Times New Roman"/>
          <w:lang w:val="sl-SI"/>
        </w:rPr>
        <w:t>otrok, starejših od 2 let, s kroničnim neinfekcijskim uveitisom, kjer vnetje prizadene sprednji del očesa.</w:t>
      </w:r>
    </w:p>
    <w:p w14:paraId="2EF25A16" w14:textId="77777777" w:rsidR="00E04C8A" w:rsidRDefault="00E04C8A">
      <w:pPr>
        <w:pStyle w:val="a3"/>
        <w:rPr>
          <w:lang w:val="sl-SI"/>
        </w:rPr>
      </w:pPr>
    </w:p>
    <w:p w14:paraId="2276CDA5" w14:textId="77777777" w:rsidR="00E04C8A" w:rsidRDefault="008E1817">
      <w:pPr>
        <w:pStyle w:val="a3"/>
        <w:rPr>
          <w:lang w:val="sl-SI"/>
        </w:rPr>
      </w:pPr>
      <w:r>
        <w:rPr>
          <w:rFonts w:eastAsia="Times New Roman"/>
          <w:lang w:val="sl-SI"/>
        </w:rPr>
        <w:t>To vnetje lahko povzroči poslabšanje vida in/ali prisotnost delcev v očesu (črnih pik ali koprenastih črt, ki se premikajo po vidnem polju). Zdravilo Yuflyma deluje tako, da zmanjša takšno vnetje.</w:t>
      </w:r>
    </w:p>
    <w:p w14:paraId="42BBE9A4" w14:textId="77777777" w:rsidR="00E04C8A" w:rsidRDefault="00E04C8A">
      <w:pPr>
        <w:spacing w:before="10" w:line="240" w:lineRule="exact"/>
        <w:rPr>
          <w:sz w:val="24"/>
          <w:szCs w:val="24"/>
          <w:lang w:val="sl-SI"/>
        </w:rPr>
      </w:pPr>
    </w:p>
    <w:p w14:paraId="3DFF02FB" w14:textId="77777777" w:rsidR="00E04C8A" w:rsidRDefault="008E1817">
      <w:pPr>
        <w:pStyle w:val="a3"/>
        <w:rPr>
          <w:lang w:val="sl-SI"/>
        </w:rPr>
      </w:pPr>
      <w:r>
        <w:rPr>
          <w:rFonts w:eastAsia="Times New Roman"/>
          <w:lang w:val="sl-SI"/>
        </w:rPr>
        <w:t>Najprej boste morda prejeli druga zdravila. Če se na ta zdravila ne odzovete dovolj dobro, boste prejeli zdravilo Yuflyma.</w:t>
      </w:r>
    </w:p>
    <w:p w14:paraId="7B223F2E" w14:textId="77777777" w:rsidR="00E04C8A" w:rsidRDefault="00E04C8A">
      <w:pPr>
        <w:spacing w:before="18" w:line="240" w:lineRule="exact"/>
        <w:rPr>
          <w:rFonts w:ascii="Times New Roman" w:hAnsi="Times New Roman" w:cs="Times New Roman"/>
          <w:b/>
          <w:lang w:val="sl-SI"/>
        </w:rPr>
      </w:pPr>
    </w:p>
    <w:p w14:paraId="6BDECC68" w14:textId="77777777" w:rsidR="00E04C8A" w:rsidRDefault="00E04C8A">
      <w:pPr>
        <w:spacing w:before="18" w:line="240" w:lineRule="exact"/>
        <w:ind w:left="108"/>
        <w:rPr>
          <w:rFonts w:ascii="Times New Roman" w:hAnsi="Times New Roman" w:cs="Times New Roman"/>
          <w:b/>
          <w:lang w:val="sl-SI"/>
        </w:rPr>
      </w:pPr>
    </w:p>
    <w:p w14:paraId="5D54A5FE" w14:textId="77777777" w:rsidR="00E04C8A" w:rsidRDefault="008E1817">
      <w:pPr>
        <w:pStyle w:val="a4"/>
        <w:numPr>
          <w:ilvl w:val="0"/>
          <w:numId w:val="38"/>
        </w:numPr>
        <w:spacing w:line="240" w:lineRule="exact"/>
        <w:ind w:hanging="468"/>
        <w:rPr>
          <w:lang w:val="sl-SI"/>
        </w:rPr>
      </w:pPr>
      <w:r>
        <w:rPr>
          <w:rFonts w:ascii="Times New Roman" w:eastAsia="Times New Roman" w:hAnsi="Times New Roman" w:cs="Times New Roman"/>
          <w:b/>
          <w:bCs/>
          <w:lang w:val="sl-SI"/>
        </w:rPr>
        <w:t>Kaj morate vedeti, preden boste uporabili zdravilo Yuflyma</w:t>
      </w:r>
    </w:p>
    <w:p w14:paraId="1370F6FD" w14:textId="77777777" w:rsidR="00E04C8A" w:rsidRDefault="00E04C8A">
      <w:pPr>
        <w:spacing w:before="18" w:line="240" w:lineRule="exact"/>
        <w:ind w:left="108"/>
        <w:rPr>
          <w:b/>
          <w:bCs/>
          <w:lang w:val="sl-SI"/>
        </w:rPr>
      </w:pPr>
    </w:p>
    <w:p w14:paraId="6FC00918" w14:textId="77777777" w:rsidR="00E04C8A" w:rsidRDefault="008E1817">
      <w:pPr>
        <w:pStyle w:val="a3"/>
        <w:rPr>
          <w:b/>
          <w:lang w:val="sl-SI"/>
        </w:rPr>
      </w:pPr>
      <w:r>
        <w:rPr>
          <w:rFonts w:eastAsia="Times New Roman"/>
          <w:b/>
          <w:bCs/>
          <w:lang w:val="sl-SI"/>
        </w:rPr>
        <w:t>Ne uporabljajte zdravila Yuflyma:</w:t>
      </w:r>
    </w:p>
    <w:p w14:paraId="3529DEF9" w14:textId="77777777" w:rsidR="00E04C8A" w:rsidRDefault="00E04C8A">
      <w:pPr>
        <w:pStyle w:val="a3"/>
        <w:rPr>
          <w:b/>
          <w:lang w:val="sl-SI"/>
        </w:rPr>
      </w:pPr>
    </w:p>
    <w:p w14:paraId="225BB6AC" w14:textId="77777777" w:rsidR="00E04C8A" w:rsidRDefault="008E1817">
      <w:pPr>
        <w:pStyle w:val="a3"/>
        <w:numPr>
          <w:ilvl w:val="1"/>
          <w:numId w:val="4"/>
        </w:numPr>
        <w:ind w:left="660" w:hanging="660"/>
        <w:rPr>
          <w:lang w:val="sl-SI"/>
        </w:rPr>
      </w:pPr>
      <w:r>
        <w:rPr>
          <w:rFonts w:eastAsia="Times New Roman"/>
          <w:lang w:val="sl-SI"/>
        </w:rPr>
        <w:t>če ste alergični na adalimumab ali katero koli sestavino tega zdravila (navedeno v poglavju 6).</w:t>
      </w:r>
    </w:p>
    <w:p w14:paraId="337BB183" w14:textId="77777777" w:rsidR="00E04C8A" w:rsidRDefault="00E04C8A">
      <w:pPr>
        <w:pStyle w:val="a3"/>
        <w:numPr>
          <w:ilvl w:val="0"/>
          <w:numId w:val="0"/>
        </w:numPr>
        <w:ind w:left="660"/>
        <w:rPr>
          <w:lang w:val="sl-SI"/>
        </w:rPr>
      </w:pPr>
    </w:p>
    <w:p w14:paraId="2B55BDF1" w14:textId="01CEDB5E" w:rsidR="00E04C8A" w:rsidRDefault="008E1817">
      <w:pPr>
        <w:pStyle w:val="a3"/>
        <w:numPr>
          <w:ilvl w:val="1"/>
          <w:numId w:val="4"/>
        </w:numPr>
        <w:ind w:left="660" w:hanging="660"/>
        <w:rPr>
          <w:lang w:val="sl-SI"/>
        </w:rPr>
      </w:pPr>
      <w:r>
        <w:rPr>
          <w:rFonts w:eastAsia="Times New Roman"/>
          <w:lang w:val="sl-SI"/>
        </w:rPr>
        <w:t xml:space="preserve">če imate aktivno tuberkulozo ali druge hude okužbe (glejte </w:t>
      </w:r>
      <w:r w:rsidR="00840868">
        <w:rPr>
          <w:rFonts w:eastAsia="Times New Roman"/>
          <w:lang w:val="sl-SI"/>
        </w:rPr>
        <w:t>"</w:t>
      </w:r>
      <w:r>
        <w:rPr>
          <w:rFonts w:eastAsia="Times New Roman"/>
          <w:lang w:val="sl-SI"/>
        </w:rPr>
        <w:t>Opozorila in previdnostni ukrepi</w:t>
      </w:r>
      <w:r w:rsidR="00840868">
        <w:rPr>
          <w:rFonts w:eastAsia="Times New Roman"/>
          <w:lang w:val="sl-SI"/>
        </w:rPr>
        <w:t>"</w:t>
      </w:r>
      <w:r>
        <w:rPr>
          <w:rFonts w:eastAsia="Times New Roman"/>
          <w:lang w:val="sl-SI"/>
        </w:rPr>
        <w:t>); Pomembno je, da zdravniku poveste, če imate simptome okužb, npr. zvišano telesno temperaturo, rane, občutek utrujenosti ali težave z zobmi.</w:t>
      </w:r>
    </w:p>
    <w:p w14:paraId="136487BE" w14:textId="77777777" w:rsidR="00E04C8A" w:rsidRDefault="00E04C8A">
      <w:pPr>
        <w:pStyle w:val="a3"/>
        <w:numPr>
          <w:ilvl w:val="0"/>
          <w:numId w:val="0"/>
        </w:numPr>
        <w:ind w:left="660"/>
        <w:rPr>
          <w:lang w:val="sl-SI"/>
        </w:rPr>
      </w:pPr>
    </w:p>
    <w:p w14:paraId="12B8388D" w14:textId="77777777" w:rsidR="00E04C8A" w:rsidRDefault="008E1817">
      <w:pPr>
        <w:pStyle w:val="a3"/>
        <w:numPr>
          <w:ilvl w:val="1"/>
          <w:numId w:val="4"/>
        </w:numPr>
        <w:ind w:left="660" w:hanging="660"/>
        <w:rPr>
          <w:lang w:val="sl-SI"/>
        </w:rPr>
      </w:pPr>
      <w:r>
        <w:rPr>
          <w:rFonts w:eastAsia="Times New Roman"/>
          <w:lang w:val="sl-SI"/>
        </w:rPr>
        <w:t>če imate zmerno ali hudo srčno popuščanje; Pomembno je, da zdravniku poveste, če ste imeli ali imate kakšno resno bolezen srca (glejte "Opozorila in previdnostni ukrepi").</w:t>
      </w:r>
    </w:p>
    <w:p w14:paraId="405E395D" w14:textId="77777777" w:rsidR="00E04C8A" w:rsidRDefault="00E04C8A">
      <w:pPr>
        <w:spacing w:before="13" w:line="240" w:lineRule="exact"/>
        <w:rPr>
          <w:sz w:val="24"/>
          <w:szCs w:val="24"/>
          <w:lang w:val="sl-SI"/>
        </w:rPr>
      </w:pPr>
    </w:p>
    <w:p w14:paraId="79CB6AD7" w14:textId="77777777" w:rsidR="00E04C8A" w:rsidRDefault="008E1817">
      <w:pPr>
        <w:pStyle w:val="a3"/>
        <w:rPr>
          <w:b/>
          <w:lang w:val="sl-SI"/>
        </w:rPr>
      </w:pPr>
      <w:r>
        <w:rPr>
          <w:rFonts w:eastAsia="Times New Roman"/>
          <w:b/>
          <w:bCs/>
          <w:lang w:val="sl-SI"/>
        </w:rPr>
        <w:t>Opozorila in previdnostni ukrepi</w:t>
      </w:r>
    </w:p>
    <w:p w14:paraId="0BCEB3F1" w14:textId="77777777" w:rsidR="00E04C8A" w:rsidRDefault="00E04C8A">
      <w:pPr>
        <w:spacing w:before="9" w:line="240" w:lineRule="exact"/>
        <w:rPr>
          <w:sz w:val="24"/>
          <w:szCs w:val="24"/>
          <w:lang w:val="sl-SI"/>
        </w:rPr>
      </w:pPr>
    </w:p>
    <w:p w14:paraId="13D9E584" w14:textId="77777777" w:rsidR="00E04C8A" w:rsidRDefault="008E1817">
      <w:pPr>
        <w:pStyle w:val="a3"/>
        <w:rPr>
          <w:lang w:val="sl-SI"/>
        </w:rPr>
      </w:pPr>
      <w:r>
        <w:rPr>
          <w:rFonts w:eastAsia="Times New Roman"/>
          <w:lang w:val="sl-SI"/>
        </w:rPr>
        <w:t>Pred začetkom uporabe zdravila Yuflyma se posvetujte s svojim zdravnikom ali farmacevtom.</w:t>
      </w:r>
    </w:p>
    <w:p w14:paraId="2946BEF0" w14:textId="77777777" w:rsidR="00E04C8A" w:rsidRDefault="00E04C8A">
      <w:pPr>
        <w:pStyle w:val="a3"/>
        <w:rPr>
          <w:lang w:val="sl-SI"/>
        </w:rPr>
      </w:pPr>
    </w:p>
    <w:p w14:paraId="1A17C9B1" w14:textId="77777777" w:rsidR="00E04C8A" w:rsidRDefault="008E1817">
      <w:pPr>
        <w:pStyle w:val="a3"/>
        <w:rPr>
          <w:u w:val="single" w:color="000000"/>
          <w:lang w:val="sl-SI"/>
        </w:rPr>
      </w:pPr>
      <w:r>
        <w:rPr>
          <w:rFonts w:eastAsia="Times New Roman"/>
          <w:u w:val="single" w:color="000000"/>
          <w:lang w:val="sl-SI"/>
        </w:rPr>
        <w:t>Alergijske reakcije</w:t>
      </w:r>
    </w:p>
    <w:p w14:paraId="1DA1503D" w14:textId="77777777" w:rsidR="00E04C8A" w:rsidRDefault="00E04C8A">
      <w:pPr>
        <w:pStyle w:val="a3"/>
        <w:rPr>
          <w:u w:val="single"/>
          <w:lang w:val="sl-SI"/>
        </w:rPr>
      </w:pPr>
    </w:p>
    <w:p w14:paraId="508FEBD5" w14:textId="65AF3360" w:rsidR="00E04C8A" w:rsidRDefault="008E1817">
      <w:pPr>
        <w:pStyle w:val="a3"/>
        <w:numPr>
          <w:ilvl w:val="1"/>
          <w:numId w:val="4"/>
        </w:numPr>
        <w:ind w:left="660" w:hanging="660"/>
        <w:rPr>
          <w:lang w:val="sl-SI"/>
        </w:rPr>
      </w:pPr>
      <w:r>
        <w:rPr>
          <w:rFonts w:eastAsia="Times New Roman"/>
          <w:lang w:val="sl-SI"/>
        </w:rPr>
        <w:t>Če doživite alergijske reakcije s simptomi, kot so tiščanje v prsih, piskajoče dihanje, omotica, otekanje ali izpuščaj, zdravila Yuflyma ne injicirajte več in se takoj posvetujte s svojim zdravnikom, saj so v redkih primerih te reakcije lahko življenje ogrožajoče.</w:t>
      </w:r>
    </w:p>
    <w:p w14:paraId="3C5722A5" w14:textId="77777777" w:rsidR="00E04C8A" w:rsidRDefault="00E04C8A">
      <w:pPr>
        <w:pStyle w:val="a3"/>
        <w:rPr>
          <w:b/>
          <w:lang w:val="sl-SI"/>
        </w:rPr>
      </w:pPr>
    </w:p>
    <w:p w14:paraId="75D8ECBA" w14:textId="77777777" w:rsidR="00E04C8A" w:rsidRDefault="008E1817">
      <w:pPr>
        <w:pStyle w:val="a3"/>
        <w:rPr>
          <w:u w:val="single"/>
          <w:lang w:val="sl-SI"/>
        </w:rPr>
      </w:pPr>
      <w:r>
        <w:rPr>
          <w:rFonts w:eastAsia="Times New Roman"/>
          <w:u w:val="single"/>
          <w:lang w:val="sl-SI"/>
        </w:rPr>
        <w:t>Okužbe</w:t>
      </w:r>
    </w:p>
    <w:p w14:paraId="1DFEA524" w14:textId="77777777" w:rsidR="00E04C8A" w:rsidRDefault="00E04C8A">
      <w:pPr>
        <w:pStyle w:val="a3"/>
        <w:rPr>
          <w:b/>
          <w:lang w:val="sl-SI"/>
        </w:rPr>
      </w:pPr>
    </w:p>
    <w:p w14:paraId="4D121C6F" w14:textId="0CE9D3C5" w:rsidR="00E04C8A" w:rsidRDefault="008E1817">
      <w:pPr>
        <w:pStyle w:val="a3"/>
        <w:numPr>
          <w:ilvl w:val="1"/>
          <w:numId w:val="4"/>
        </w:numPr>
        <w:ind w:left="660" w:hanging="660"/>
        <w:rPr>
          <w:lang w:val="sl-SI"/>
        </w:rPr>
      </w:pPr>
      <w:r>
        <w:rPr>
          <w:rFonts w:eastAsia="Times New Roman"/>
          <w:lang w:val="sl-SI"/>
        </w:rPr>
        <w:t xml:space="preserve">Če imate kakšno okužbo, vključno z dolgotrajno ali omejeno okužbo (npr. razjedo na nogi), se pred uporabo zdravila Yuflyma posvetujte s svojim zdravnikom. Če niste </w:t>
      </w:r>
      <w:r w:rsidR="006238AA" w:rsidRPr="0027578E">
        <w:rPr>
          <w:rFonts w:eastAsia="Times New Roman"/>
          <w:lang w:val="sl-SI"/>
        </w:rPr>
        <w:t>prepričani</w:t>
      </w:r>
      <w:r>
        <w:rPr>
          <w:rFonts w:eastAsia="Times New Roman"/>
          <w:lang w:val="sl-SI"/>
        </w:rPr>
        <w:t>, se posvetujte z zdravnikom.</w:t>
      </w:r>
    </w:p>
    <w:p w14:paraId="4AD9BDAB" w14:textId="77777777" w:rsidR="00E04C8A" w:rsidRDefault="00E04C8A">
      <w:pPr>
        <w:pStyle w:val="a3"/>
        <w:rPr>
          <w:lang w:val="sl-SI"/>
        </w:rPr>
      </w:pPr>
    </w:p>
    <w:p w14:paraId="1E4E1FD1" w14:textId="77777777" w:rsidR="00E04C8A" w:rsidRDefault="008E1817">
      <w:pPr>
        <w:pStyle w:val="a3"/>
        <w:numPr>
          <w:ilvl w:val="1"/>
          <w:numId w:val="4"/>
        </w:numPr>
        <w:ind w:left="660" w:hanging="660"/>
        <w:rPr>
          <w:lang w:val="sl-SI"/>
        </w:rPr>
      </w:pPr>
      <w:r>
        <w:rPr>
          <w:rFonts w:eastAsia="Times New Roman"/>
          <w:lang w:val="sl-SI"/>
        </w:rPr>
        <w:t>Med zdravljenjem z zdravilom Yuflyma se lahko poveča dovzetnost za okužbe. Če imate težave s pljuči, se to tveganje lahko poveča. Te okužbe so lahko resne in vključujejo:</w:t>
      </w:r>
    </w:p>
    <w:p w14:paraId="36274E79" w14:textId="77777777" w:rsidR="00E04C8A" w:rsidRDefault="008E1817">
      <w:pPr>
        <w:pStyle w:val="a3"/>
        <w:numPr>
          <w:ilvl w:val="1"/>
          <w:numId w:val="4"/>
        </w:numPr>
        <w:ind w:left="660" w:firstLine="49"/>
        <w:rPr>
          <w:lang w:val="sl-SI"/>
        </w:rPr>
      </w:pPr>
      <w:r>
        <w:rPr>
          <w:rFonts w:eastAsia="Times New Roman"/>
          <w:lang w:val="sl-SI"/>
        </w:rPr>
        <w:t>tuberkulozo,</w:t>
      </w:r>
    </w:p>
    <w:p w14:paraId="1CFA3E9E" w14:textId="77777777" w:rsidR="00E04C8A" w:rsidRDefault="008E1817">
      <w:pPr>
        <w:pStyle w:val="a3"/>
        <w:numPr>
          <w:ilvl w:val="1"/>
          <w:numId w:val="4"/>
        </w:numPr>
        <w:ind w:left="660" w:firstLine="49"/>
        <w:rPr>
          <w:lang w:val="sl-SI"/>
        </w:rPr>
      </w:pPr>
      <w:r>
        <w:rPr>
          <w:rFonts w:eastAsia="Times New Roman"/>
          <w:lang w:val="sl-SI"/>
        </w:rPr>
        <w:t>okužbe, ki jih povzročajo virusi, glive, zajedavci ali bakterije,</w:t>
      </w:r>
    </w:p>
    <w:p w14:paraId="4740F1E3" w14:textId="77777777" w:rsidR="00E04C8A" w:rsidRDefault="008E1817">
      <w:pPr>
        <w:pStyle w:val="a3"/>
        <w:numPr>
          <w:ilvl w:val="1"/>
          <w:numId w:val="4"/>
        </w:numPr>
        <w:ind w:left="660" w:firstLine="49"/>
        <w:rPr>
          <w:lang w:val="sl-SI"/>
        </w:rPr>
      </w:pPr>
      <w:r>
        <w:rPr>
          <w:rFonts w:eastAsia="Times New Roman"/>
          <w:lang w:val="sl-SI"/>
        </w:rPr>
        <w:t>hude okužbe krvi (sepso).</w:t>
      </w:r>
    </w:p>
    <w:p w14:paraId="218C7E0A" w14:textId="77777777" w:rsidR="00E04C8A" w:rsidRDefault="00E04C8A">
      <w:pPr>
        <w:pStyle w:val="a3"/>
        <w:rPr>
          <w:lang w:val="sl-SI"/>
        </w:rPr>
      </w:pPr>
    </w:p>
    <w:p w14:paraId="25CC00AE" w14:textId="77777777" w:rsidR="00E04C8A" w:rsidRDefault="008E1817">
      <w:pPr>
        <w:pStyle w:val="a3"/>
        <w:numPr>
          <w:ilvl w:val="0"/>
          <w:numId w:val="0"/>
        </w:numPr>
        <w:ind w:left="660"/>
        <w:rPr>
          <w:lang w:val="sl-SI"/>
        </w:rPr>
      </w:pPr>
      <w:r>
        <w:rPr>
          <w:rFonts w:eastAsia="Times New Roman"/>
          <w:lang w:val="sl-SI"/>
        </w:rPr>
        <w:t>V redkih primerih so lahko te okužbe smrtno nevarne. Pomembno je, da svojega zdravnika obvestite o simptomih, kot so zvišana telesna temperatura, rane, utrujenost ali težave z zobmi. Vaš zdravnik bo morda priporočil začasno prenehanje uporabe zdravila Yuflyma.</w:t>
      </w:r>
    </w:p>
    <w:p w14:paraId="1E42CBC9" w14:textId="77777777" w:rsidR="00E04C8A" w:rsidRDefault="00E04C8A">
      <w:pPr>
        <w:pStyle w:val="a3"/>
        <w:rPr>
          <w:lang w:val="sl-SI"/>
        </w:rPr>
      </w:pPr>
    </w:p>
    <w:p w14:paraId="039096D2" w14:textId="77777777" w:rsidR="00E04C8A" w:rsidRDefault="008E1817">
      <w:pPr>
        <w:pStyle w:val="a3"/>
        <w:numPr>
          <w:ilvl w:val="1"/>
          <w:numId w:val="4"/>
        </w:numPr>
        <w:ind w:left="660" w:hanging="660"/>
        <w:rPr>
          <w:lang w:val="sl-SI"/>
        </w:rPr>
      </w:pPr>
      <w:r>
        <w:rPr>
          <w:rFonts w:eastAsia="Times New Roman"/>
          <w:lang w:val="sl-SI"/>
        </w:rPr>
        <w:t>Zdravniku povejte, če živite na območju ali potujete v regije, kjer so glivične okužbe (npr. histoplazmoza, kokcidioidomikoza ali blastomikoza) zelo pogoste.</w:t>
      </w:r>
    </w:p>
    <w:p w14:paraId="5CF69DA0" w14:textId="77777777" w:rsidR="00E04C8A" w:rsidRDefault="00E04C8A">
      <w:pPr>
        <w:pStyle w:val="a3"/>
        <w:rPr>
          <w:lang w:val="sl-SI"/>
        </w:rPr>
      </w:pPr>
    </w:p>
    <w:p w14:paraId="7C09EAD3" w14:textId="77C25CE4" w:rsidR="00E04C8A" w:rsidRDefault="008E1817">
      <w:pPr>
        <w:pStyle w:val="a3"/>
        <w:numPr>
          <w:ilvl w:val="1"/>
          <w:numId w:val="4"/>
        </w:numPr>
        <w:ind w:left="660" w:hanging="660"/>
        <w:rPr>
          <w:lang w:val="sl-SI"/>
        </w:rPr>
      </w:pPr>
      <w:r>
        <w:rPr>
          <w:rFonts w:eastAsia="Times New Roman"/>
          <w:lang w:val="sl-SI"/>
        </w:rPr>
        <w:t xml:space="preserve">Zdravniku povejte, če ste v preteklosti </w:t>
      </w:r>
      <w:r w:rsidR="00D504A9">
        <w:rPr>
          <w:rFonts w:eastAsia="Times New Roman"/>
          <w:lang w:val="sl-SI"/>
        </w:rPr>
        <w:t xml:space="preserve">imeli </w:t>
      </w:r>
      <w:r>
        <w:rPr>
          <w:rFonts w:eastAsia="Times New Roman"/>
          <w:lang w:val="sl-SI"/>
        </w:rPr>
        <w:t>ponavljajoče se okužbe ali druga stanja, ki povečajo tveganje za okužbe.</w:t>
      </w:r>
    </w:p>
    <w:p w14:paraId="2382897B" w14:textId="77777777" w:rsidR="00E04C8A" w:rsidRDefault="00E04C8A">
      <w:pPr>
        <w:pStyle w:val="a3"/>
        <w:numPr>
          <w:ilvl w:val="0"/>
          <w:numId w:val="0"/>
        </w:numPr>
        <w:rPr>
          <w:lang w:val="sl-SI"/>
        </w:rPr>
      </w:pPr>
    </w:p>
    <w:p w14:paraId="61E0EBA7" w14:textId="53ACFEF0" w:rsidR="00E04C8A" w:rsidRDefault="008E1817">
      <w:pPr>
        <w:pStyle w:val="a3"/>
        <w:numPr>
          <w:ilvl w:val="1"/>
          <w:numId w:val="4"/>
        </w:numPr>
        <w:ind w:left="660" w:hanging="660"/>
        <w:rPr>
          <w:lang w:val="sl-SI"/>
        </w:rPr>
      </w:pPr>
      <w:r>
        <w:rPr>
          <w:rFonts w:eastAsia="Times New Roman"/>
          <w:lang w:val="sl-SI"/>
        </w:rPr>
        <w:lastRenderedPageBreak/>
        <w:t xml:space="preserve">Če ste starejši od 65 let, </w:t>
      </w:r>
      <w:r w:rsidR="00D504A9">
        <w:rPr>
          <w:rFonts w:eastAsia="Times New Roman"/>
          <w:lang w:val="sl-SI"/>
        </w:rPr>
        <w:t>ste morda dovzetnejši</w:t>
      </w:r>
      <w:r>
        <w:rPr>
          <w:rFonts w:eastAsia="Times New Roman"/>
          <w:lang w:val="sl-SI"/>
        </w:rPr>
        <w:t xml:space="preserve"> za okužb</w:t>
      </w:r>
      <w:r w:rsidR="00D504A9">
        <w:rPr>
          <w:rFonts w:eastAsia="Times New Roman"/>
          <w:lang w:val="sl-SI"/>
        </w:rPr>
        <w:t>e</w:t>
      </w:r>
      <w:r>
        <w:rPr>
          <w:rFonts w:eastAsia="Times New Roman"/>
          <w:lang w:val="sl-SI"/>
        </w:rPr>
        <w:t xml:space="preserve"> </w:t>
      </w:r>
      <w:r w:rsidR="00D504A9">
        <w:rPr>
          <w:rFonts w:eastAsia="Times New Roman"/>
          <w:lang w:val="sl-SI"/>
        </w:rPr>
        <w:t>če jemljete</w:t>
      </w:r>
      <w:r>
        <w:rPr>
          <w:rFonts w:eastAsia="Times New Roman"/>
          <w:lang w:val="sl-SI"/>
        </w:rPr>
        <w:t xml:space="preserve"> zdravil</w:t>
      </w:r>
      <w:r w:rsidR="00D504A9">
        <w:rPr>
          <w:rFonts w:eastAsia="Times New Roman"/>
          <w:lang w:val="sl-SI"/>
        </w:rPr>
        <w:t>o</w:t>
      </w:r>
      <w:r>
        <w:rPr>
          <w:rFonts w:eastAsia="Times New Roman"/>
          <w:lang w:val="sl-SI"/>
        </w:rPr>
        <w:t xml:space="preserve"> Yuflyma. Med zdravljenjem z zdravilom Yuflyma morate biti vi in zdravnik še posebej pozorni na znake okužbe. Pomembno je, da svojemu zdravniku poveste, če dobite znake okužbe, kot so zvišana telesna temperatura, rane, občutek utrujenosti ali težave z zobmi.</w:t>
      </w:r>
    </w:p>
    <w:p w14:paraId="0CBD59CF" w14:textId="77777777" w:rsidR="00E04C8A" w:rsidRDefault="00E04C8A">
      <w:pPr>
        <w:spacing w:before="11" w:line="240" w:lineRule="exact"/>
        <w:rPr>
          <w:sz w:val="24"/>
          <w:szCs w:val="24"/>
          <w:lang w:val="sl-SI"/>
        </w:rPr>
      </w:pPr>
    </w:p>
    <w:p w14:paraId="572B2281" w14:textId="77777777" w:rsidR="00E04C8A" w:rsidRDefault="008E1817">
      <w:pPr>
        <w:pStyle w:val="a3"/>
        <w:rPr>
          <w:u w:val="single"/>
          <w:lang w:val="sl-SI"/>
        </w:rPr>
      </w:pPr>
      <w:r>
        <w:rPr>
          <w:rFonts w:eastAsia="Times New Roman"/>
          <w:u w:val="single" w:color="000000"/>
          <w:lang w:val="sl-SI"/>
        </w:rPr>
        <w:t>Tuberkuloza</w:t>
      </w:r>
    </w:p>
    <w:p w14:paraId="6545004F" w14:textId="77777777" w:rsidR="00E04C8A" w:rsidRDefault="00E04C8A">
      <w:pPr>
        <w:spacing w:before="12" w:line="240" w:lineRule="exact"/>
        <w:rPr>
          <w:sz w:val="24"/>
          <w:szCs w:val="24"/>
          <w:lang w:val="sl-SI"/>
        </w:rPr>
      </w:pPr>
    </w:p>
    <w:p w14:paraId="2329C05A" w14:textId="77777777" w:rsidR="00E04C8A" w:rsidRDefault="008E1817">
      <w:pPr>
        <w:pStyle w:val="a3"/>
        <w:numPr>
          <w:ilvl w:val="1"/>
          <w:numId w:val="4"/>
        </w:numPr>
        <w:ind w:left="660" w:hanging="660"/>
        <w:rPr>
          <w:lang w:val="sl-SI"/>
        </w:rPr>
      </w:pPr>
      <w:r>
        <w:rPr>
          <w:rFonts w:eastAsia="Times New Roman"/>
          <w:lang w:val="sl-SI"/>
        </w:rPr>
        <w:t>Zelo pomembno je, da svojemu zdravniku poveste, če ste kdaj imeli tuberkulozo ali če ste bili v tesnem stiku s kom, ki jo je imel. Če imate aktivno tuberkulozo, ne uporabljajte zdravila Yuflyma.</w:t>
      </w:r>
    </w:p>
    <w:p w14:paraId="13C4F485" w14:textId="77777777" w:rsidR="00E04C8A" w:rsidRDefault="008E1817">
      <w:pPr>
        <w:pStyle w:val="a3"/>
        <w:numPr>
          <w:ilvl w:val="1"/>
          <w:numId w:val="4"/>
        </w:numPr>
        <w:ind w:left="998" w:hanging="340"/>
        <w:rPr>
          <w:lang w:val="sl-SI"/>
        </w:rPr>
      </w:pPr>
      <w:r>
        <w:rPr>
          <w:rFonts w:eastAsia="Times New Roman"/>
          <w:lang w:val="sl-SI"/>
        </w:rPr>
        <w:t xml:space="preserve">Ker so bili pri bolnikih, zdravljenih z zdravilom Yuflyma opisani primeri tuberkuloze, vas bo zdravnik pred začetkom zdravljenja z zdravilom Yuflyma preiskal in preveril, ali imate znake in simptome tuberkuloze. To bo vključevalo natančno zdravniško oceno vključno s poizvedbo o vašem zdravju v preteklosti in ustrezne preiskave (npr. rentgensko slikanje prsnih organov in tuberkulinski test). Izvedbo in rezultate teh preiskav je treba zabeležiti na </w:t>
      </w:r>
      <w:r>
        <w:rPr>
          <w:rFonts w:eastAsia="Times New Roman"/>
          <w:b/>
          <w:bCs/>
          <w:lang w:val="sl-SI"/>
        </w:rPr>
        <w:t>opozorilno kartico za bolnika</w:t>
      </w:r>
      <w:r>
        <w:rPr>
          <w:rFonts w:eastAsia="Times New Roman"/>
          <w:lang w:val="sl-SI"/>
        </w:rPr>
        <w:t>.</w:t>
      </w:r>
    </w:p>
    <w:p w14:paraId="05E55229" w14:textId="77777777" w:rsidR="00E04C8A" w:rsidRDefault="008E1817">
      <w:pPr>
        <w:pStyle w:val="a3"/>
        <w:numPr>
          <w:ilvl w:val="1"/>
          <w:numId w:val="4"/>
        </w:numPr>
        <w:ind w:left="998" w:hanging="340"/>
        <w:rPr>
          <w:lang w:val="sl-SI"/>
        </w:rPr>
      </w:pPr>
      <w:r>
        <w:rPr>
          <w:rFonts w:eastAsia="Times New Roman"/>
          <w:lang w:val="sl-SI"/>
        </w:rPr>
        <w:t>Tuberkuloza se lahko razvije med zdravljenjem, tudi če ste prejeli preventivno zdravljenje za tuberkulozo.</w:t>
      </w:r>
    </w:p>
    <w:p w14:paraId="498D9914" w14:textId="77777777" w:rsidR="00E04C8A" w:rsidRDefault="008E1817">
      <w:pPr>
        <w:pStyle w:val="a3"/>
        <w:numPr>
          <w:ilvl w:val="1"/>
          <w:numId w:val="4"/>
        </w:numPr>
        <w:ind w:left="998" w:hanging="340"/>
        <w:rPr>
          <w:lang w:val="sl-SI"/>
        </w:rPr>
      </w:pPr>
      <w:r>
        <w:rPr>
          <w:rFonts w:eastAsia="Times New Roman"/>
          <w:lang w:val="sl-SI"/>
        </w:rPr>
        <w:t>Če se med zdravljenjem ali po njem pojavijo simptomi tuberkuloze (npr. kašelj, ki ne preneha, hujšanje, pomanjkanje energije, rahlo zvišana telesna temperatura) ali kakšne druge okužbe, to takoj povejte zdravniku.</w:t>
      </w:r>
    </w:p>
    <w:p w14:paraId="58367838" w14:textId="77777777" w:rsidR="00E04C8A" w:rsidRDefault="00E04C8A">
      <w:pPr>
        <w:spacing w:before="11" w:line="240" w:lineRule="exact"/>
        <w:rPr>
          <w:sz w:val="24"/>
          <w:szCs w:val="24"/>
          <w:lang w:val="sl-SI"/>
        </w:rPr>
      </w:pPr>
    </w:p>
    <w:p w14:paraId="3CAEE206" w14:textId="77777777" w:rsidR="00E04C8A" w:rsidRDefault="008E1817">
      <w:pPr>
        <w:pStyle w:val="a3"/>
        <w:rPr>
          <w:u w:val="single"/>
          <w:lang w:val="sl-SI"/>
        </w:rPr>
      </w:pPr>
      <w:r>
        <w:rPr>
          <w:rFonts w:eastAsia="Times New Roman"/>
          <w:u w:val="single" w:color="000000"/>
          <w:lang w:val="sl-SI"/>
        </w:rPr>
        <w:t>Hepatitis B</w:t>
      </w:r>
    </w:p>
    <w:p w14:paraId="1C21C651" w14:textId="77777777" w:rsidR="00E04C8A" w:rsidRDefault="00E04C8A">
      <w:pPr>
        <w:spacing w:before="4" w:line="190" w:lineRule="exact"/>
        <w:rPr>
          <w:sz w:val="19"/>
          <w:szCs w:val="19"/>
          <w:lang w:val="sl-SI"/>
        </w:rPr>
      </w:pPr>
    </w:p>
    <w:p w14:paraId="56C1C580" w14:textId="77777777" w:rsidR="00E04C8A" w:rsidRDefault="008E1817">
      <w:pPr>
        <w:pStyle w:val="a3"/>
        <w:numPr>
          <w:ilvl w:val="1"/>
          <w:numId w:val="4"/>
        </w:numPr>
        <w:ind w:left="660" w:hanging="660"/>
        <w:rPr>
          <w:lang w:val="sl-SI"/>
        </w:rPr>
      </w:pPr>
      <w:r>
        <w:rPr>
          <w:rFonts w:eastAsia="Times New Roman"/>
          <w:lang w:val="sl-SI"/>
        </w:rPr>
        <w:t>Zdravniku morate povedati, če ste nosilec virusa hepatitisa B (HBV), če imate aktiven HBV ali če mislite, da bi lahko dobili HBV</w:t>
      </w:r>
    </w:p>
    <w:p w14:paraId="62C2A28E" w14:textId="77777777" w:rsidR="00E04C8A" w:rsidRDefault="008E1817">
      <w:pPr>
        <w:pStyle w:val="a3"/>
        <w:numPr>
          <w:ilvl w:val="1"/>
          <w:numId w:val="4"/>
        </w:numPr>
        <w:ind w:left="998" w:hanging="340"/>
        <w:rPr>
          <w:lang w:val="sl-SI"/>
        </w:rPr>
      </w:pPr>
      <w:r>
        <w:rPr>
          <w:rFonts w:eastAsia="Times New Roman"/>
          <w:lang w:val="sl-SI"/>
        </w:rPr>
        <w:t>Vaš zdravnik vas mora testirati na HBV. Zdravilo Yuflyma lahko pri nosilcih HBV povzroči reaktivacijo tega virusa.</w:t>
      </w:r>
    </w:p>
    <w:p w14:paraId="5FE3005E" w14:textId="77777777" w:rsidR="00E04C8A" w:rsidRDefault="008E1817">
      <w:pPr>
        <w:pStyle w:val="a3"/>
        <w:numPr>
          <w:ilvl w:val="1"/>
          <w:numId w:val="4"/>
        </w:numPr>
        <w:ind w:left="998" w:hanging="340"/>
        <w:rPr>
          <w:lang w:val="sl-SI"/>
        </w:rPr>
      </w:pPr>
      <w:r>
        <w:rPr>
          <w:rFonts w:eastAsia="Times New Roman"/>
          <w:lang w:val="sl-SI"/>
        </w:rPr>
        <w:t>V redkih primerih, zlasti če jemljete druga zdravila, ki zavirajo imunski sistem, je lahko ponovna aktivacija HBV smrtno nevarna.</w:t>
      </w:r>
    </w:p>
    <w:p w14:paraId="22920DBC" w14:textId="77777777" w:rsidR="00E04C8A" w:rsidRDefault="00E04C8A">
      <w:pPr>
        <w:spacing w:before="11" w:line="240" w:lineRule="exact"/>
        <w:rPr>
          <w:sz w:val="24"/>
          <w:szCs w:val="24"/>
          <w:lang w:val="sl-SI"/>
        </w:rPr>
      </w:pPr>
    </w:p>
    <w:p w14:paraId="5825BB3D" w14:textId="77777777" w:rsidR="00E04C8A" w:rsidRDefault="008E1817">
      <w:pPr>
        <w:pStyle w:val="a3"/>
        <w:rPr>
          <w:u w:val="single"/>
          <w:lang w:val="sl-SI"/>
        </w:rPr>
      </w:pPr>
      <w:r>
        <w:rPr>
          <w:rFonts w:eastAsia="Times New Roman"/>
          <w:u w:val="single" w:color="000000"/>
          <w:lang w:val="sl-SI"/>
        </w:rPr>
        <w:t>Kirurški poseg ali poseg na zobeh</w:t>
      </w:r>
    </w:p>
    <w:p w14:paraId="3A8CFA1D" w14:textId="77777777" w:rsidR="00E04C8A" w:rsidRDefault="00E04C8A">
      <w:pPr>
        <w:spacing w:before="4" w:line="190" w:lineRule="exact"/>
        <w:rPr>
          <w:sz w:val="19"/>
          <w:szCs w:val="19"/>
          <w:lang w:val="sl-SI"/>
        </w:rPr>
      </w:pPr>
    </w:p>
    <w:p w14:paraId="4D63F40A" w14:textId="77777777" w:rsidR="00E04C8A" w:rsidRDefault="008E1817">
      <w:pPr>
        <w:pStyle w:val="a3"/>
        <w:numPr>
          <w:ilvl w:val="1"/>
          <w:numId w:val="4"/>
        </w:numPr>
        <w:ind w:left="660" w:hanging="660"/>
        <w:rPr>
          <w:lang w:val="sl-SI"/>
        </w:rPr>
      </w:pPr>
      <w:r>
        <w:rPr>
          <w:rFonts w:eastAsia="Times New Roman"/>
          <w:lang w:val="sl-SI"/>
        </w:rPr>
        <w:t>Če boste imeli kirurški poseg ali poseg na zobeh, prosimo, povejte svojemu zdravniku, da jemljete zdravilo Yuflyma. Zdravnik vam bo morda priporočil začasno prekinitev zdravljenja z zdravilom Yuflyma.</w:t>
      </w:r>
    </w:p>
    <w:p w14:paraId="0E9604BE" w14:textId="77777777" w:rsidR="00E04C8A" w:rsidRDefault="00E04C8A">
      <w:pPr>
        <w:spacing w:before="8" w:line="240" w:lineRule="exact"/>
        <w:rPr>
          <w:sz w:val="24"/>
          <w:szCs w:val="24"/>
          <w:lang w:val="sl-SI"/>
        </w:rPr>
      </w:pPr>
    </w:p>
    <w:p w14:paraId="2C40B016" w14:textId="77777777" w:rsidR="00E04C8A" w:rsidRDefault="008E1817">
      <w:pPr>
        <w:pStyle w:val="a3"/>
        <w:rPr>
          <w:u w:val="single"/>
          <w:lang w:val="sl-SI"/>
        </w:rPr>
      </w:pPr>
      <w:r>
        <w:rPr>
          <w:rFonts w:eastAsia="Times New Roman"/>
          <w:u w:val="single" w:color="000000"/>
          <w:lang w:val="sl-SI"/>
        </w:rPr>
        <w:t>Demielinizirajoča bolezen</w:t>
      </w:r>
    </w:p>
    <w:p w14:paraId="48B00546" w14:textId="77777777" w:rsidR="00E04C8A" w:rsidRDefault="00E04C8A">
      <w:pPr>
        <w:spacing w:before="4" w:line="190" w:lineRule="exact"/>
        <w:rPr>
          <w:sz w:val="19"/>
          <w:szCs w:val="19"/>
          <w:lang w:val="sl-SI"/>
        </w:rPr>
      </w:pPr>
    </w:p>
    <w:p w14:paraId="23C71AA2" w14:textId="79C6F6AE" w:rsidR="00E04C8A" w:rsidRDefault="008E1817">
      <w:pPr>
        <w:pStyle w:val="a3"/>
        <w:numPr>
          <w:ilvl w:val="1"/>
          <w:numId w:val="4"/>
        </w:numPr>
        <w:ind w:left="660" w:hanging="660"/>
        <w:rPr>
          <w:lang w:val="sl-SI"/>
        </w:rPr>
      </w:pPr>
      <w:r>
        <w:rPr>
          <w:rFonts w:eastAsia="Times New Roman"/>
          <w:lang w:val="sl-SI"/>
        </w:rPr>
        <w:t>Če imate ali pa se pri vas razvija demielinizirajoča bolezen</w:t>
      </w:r>
      <w:r w:rsidR="00D504A9">
        <w:rPr>
          <w:rFonts w:eastAsia="Times New Roman"/>
          <w:lang w:val="sl-SI"/>
        </w:rPr>
        <w:t xml:space="preserve"> (bolezen, ki prizadene izolacijsko plast okrog živcev</w:t>
      </w:r>
      <w:r>
        <w:rPr>
          <w:rFonts w:eastAsia="Times New Roman"/>
          <w:lang w:val="sl-SI"/>
        </w:rPr>
        <w:t>, kot je multipla skleroza</w:t>
      </w:r>
      <w:r w:rsidR="00D504A9">
        <w:rPr>
          <w:rFonts w:eastAsia="Times New Roman"/>
          <w:lang w:val="sl-SI"/>
        </w:rPr>
        <w:t>)</w:t>
      </w:r>
      <w:r>
        <w:rPr>
          <w:rFonts w:eastAsia="Times New Roman"/>
          <w:lang w:val="sl-SI"/>
        </w:rPr>
        <w:t>, bo zdravnik presodil, ali lahko dobivate oziroma tudi še nadalje dobivate zdravilo Yuflyma. Če opazite simptome, kot so spremembe vida, šibkost rok ali nog, otrplost ali mravljinčenje v katerem koli delu telesa, o tem nemudoma obvestite zdravnika.</w:t>
      </w:r>
    </w:p>
    <w:p w14:paraId="28558847" w14:textId="77777777" w:rsidR="00E04C8A" w:rsidRDefault="00E04C8A">
      <w:pPr>
        <w:spacing w:before="14" w:line="240" w:lineRule="exact"/>
        <w:rPr>
          <w:sz w:val="24"/>
          <w:szCs w:val="24"/>
          <w:lang w:val="sl-SI"/>
        </w:rPr>
      </w:pPr>
    </w:p>
    <w:p w14:paraId="7459D3F2" w14:textId="77777777" w:rsidR="00E04C8A" w:rsidRDefault="008E1817">
      <w:pPr>
        <w:pStyle w:val="a3"/>
        <w:rPr>
          <w:u w:val="single"/>
          <w:lang w:val="sl-SI"/>
        </w:rPr>
      </w:pPr>
      <w:r>
        <w:rPr>
          <w:rFonts w:eastAsia="Times New Roman"/>
          <w:u w:val="single" w:color="000000"/>
          <w:lang w:val="sl-SI"/>
        </w:rPr>
        <w:t>Cepljenja</w:t>
      </w:r>
    </w:p>
    <w:p w14:paraId="3524E80C" w14:textId="77777777" w:rsidR="00E04C8A" w:rsidRDefault="00E04C8A">
      <w:pPr>
        <w:spacing w:before="4" w:line="190" w:lineRule="exact"/>
        <w:rPr>
          <w:sz w:val="19"/>
          <w:szCs w:val="19"/>
          <w:lang w:val="sl-SI"/>
        </w:rPr>
      </w:pPr>
    </w:p>
    <w:p w14:paraId="63E6D505" w14:textId="77777777" w:rsidR="00E04C8A" w:rsidRDefault="008E1817">
      <w:pPr>
        <w:pStyle w:val="a3"/>
        <w:numPr>
          <w:ilvl w:val="1"/>
          <w:numId w:val="4"/>
        </w:numPr>
        <w:ind w:left="660" w:hanging="660"/>
        <w:rPr>
          <w:lang w:val="sl-SI"/>
        </w:rPr>
      </w:pPr>
      <w:r>
        <w:rPr>
          <w:rFonts w:eastAsia="Times New Roman"/>
          <w:lang w:val="sl-SI"/>
        </w:rPr>
        <w:t>Določena cepiva lahko povzročijo okužbe, zato se jih med zdravljenjem z zdravilom Yuflyma ne sme uporabljati.</w:t>
      </w:r>
    </w:p>
    <w:p w14:paraId="298717A8" w14:textId="77777777" w:rsidR="00E04C8A" w:rsidRDefault="00E04C8A">
      <w:pPr>
        <w:spacing w:before="11" w:line="240" w:lineRule="exact"/>
        <w:rPr>
          <w:sz w:val="24"/>
          <w:szCs w:val="24"/>
          <w:lang w:val="sl-SI"/>
        </w:rPr>
      </w:pPr>
    </w:p>
    <w:p w14:paraId="3EA33EA8" w14:textId="77777777" w:rsidR="00E04C8A" w:rsidRDefault="008E1817">
      <w:pPr>
        <w:pStyle w:val="a3"/>
        <w:numPr>
          <w:ilvl w:val="1"/>
          <w:numId w:val="4"/>
        </w:numPr>
        <w:ind w:left="998" w:hanging="340"/>
        <w:rPr>
          <w:lang w:val="sl-SI"/>
        </w:rPr>
      </w:pPr>
      <w:r>
        <w:rPr>
          <w:rFonts w:eastAsia="Times New Roman"/>
          <w:lang w:val="sl-SI"/>
        </w:rPr>
        <w:t>Preden opravite kakršno koli cepljenje, se posvetujte z zdravnikom.</w:t>
      </w:r>
    </w:p>
    <w:p w14:paraId="17A77678" w14:textId="77777777" w:rsidR="00E04C8A" w:rsidRDefault="008E1817">
      <w:pPr>
        <w:pStyle w:val="a3"/>
        <w:numPr>
          <w:ilvl w:val="1"/>
          <w:numId w:val="4"/>
        </w:numPr>
        <w:ind w:left="998" w:hanging="340"/>
        <w:rPr>
          <w:lang w:val="sl-SI"/>
        </w:rPr>
      </w:pPr>
      <w:r>
        <w:rPr>
          <w:rFonts w:eastAsia="Times New Roman"/>
          <w:lang w:val="sl-SI"/>
        </w:rPr>
        <w:t>Priporočljivo je, če je le mogoče, da otroci pred začetkom zdravljenja z zdravilom Yuflyma opravijo vsa cepljenja za svojo starost.</w:t>
      </w:r>
    </w:p>
    <w:p w14:paraId="0E789F5B" w14:textId="77777777" w:rsidR="00E04C8A" w:rsidRDefault="008E1817">
      <w:pPr>
        <w:pStyle w:val="a3"/>
        <w:numPr>
          <w:ilvl w:val="1"/>
          <w:numId w:val="4"/>
        </w:numPr>
        <w:ind w:left="998" w:hanging="340"/>
        <w:rPr>
          <w:lang w:val="sl-SI"/>
        </w:rPr>
      </w:pPr>
      <w:r>
        <w:rPr>
          <w:rFonts w:eastAsia="Times New Roman"/>
          <w:lang w:val="sl-SI"/>
        </w:rPr>
        <w:t xml:space="preserve">Če ste prejemali zdravilo Yuflyma med nosečnostjo, obstaja večje tveganje, da bo vaš otrok dobil takšno okužbo do približno pet mesecev po zadnjem odmerku zdravila Yuflyma, ki ste ga prejeli med nosečnostjo. Pomembno je, da o uporabi zdravila Yuflyma med nosečnostjo obvestite </w:t>
      </w:r>
      <w:r>
        <w:rPr>
          <w:rFonts w:eastAsia="Times New Roman"/>
          <w:lang w:val="sl-SI"/>
        </w:rPr>
        <w:lastRenderedPageBreak/>
        <w:t>otrokove zdravnike in druge zdravstvene delavce, da se bodo lahko odločili, kdaj bo vaš otrok prejel katero koli cepivo.</w:t>
      </w:r>
    </w:p>
    <w:p w14:paraId="44861DA8" w14:textId="77777777" w:rsidR="00E04C8A" w:rsidRDefault="00E04C8A">
      <w:pPr>
        <w:spacing w:before="14" w:line="240" w:lineRule="exact"/>
        <w:rPr>
          <w:sz w:val="24"/>
          <w:szCs w:val="24"/>
          <w:lang w:val="sl-SI"/>
        </w:rPr>
      </w:pPr>
    </w:p>
    <w:p w14:paraId="682C8754" w14:textId="77777777" w:rsidR="00E04C8A" w:rsidRDefault="008E1817">
      <w:pPr>
        <w:pStyle w:val="a3"/>
        <w:rPr>
          <w:u w:val="single"/>
          <w:lang w:val="sl-SI"/>
        </w:rPr>
      </w:pPr>
      <w:r>
        <w:rPr>
          <w:rFonts w:eastAsia="Times New Roman"/>
          <w:u w:val="single" w:color="000000"/>
          <w:lang w:val="sl-SI"/>
        </w:rPr>
        <w:t>Srčno popuščanje</w:t>
      </w:r>
    </w:p>
    <w:p w14:paraId="0F507E6E" w14:textId="77777777" w:rsidR="00E04C8A" w:rsidRDefault="00E04C8A">
      <w:pPr>
        <w:spacing w:before="4" w:line="190" w:lineRule="exact"/>
        <w:rPr>
          <w:sz w:val="19"/>
          <w:szCs w:val="19"/>
          <w:lang w:val="sl-SI"/>
        </w:rPr>
      </w:pPr>
    </w:p>
    <w:p w14:paraId="1E0EFE6E" w14:textId="77777777" w:rsidR="00E04C8A" w:rsidRDefault="008E1817">
      <w:pPr>
        <w:pStyle w:val="a3"/>
        <w:numPr>
          <w:ilvl w:val="1"/>
          <w:numId w:val="4"/>
        </w:numPr>
        <w:ind w:left="660" w:hanging="660"/>
        <w:rPr>
          <w:lang w:val="sl-SI"/>
        </w:rPr>
      </w:pPr>
      <w:r>
        <w:rPr>
          <w:rFonts w:eastAsia="Times New Roman"/>
          <w:lang w:val="sl-SI"/>
        </w:rPr>
        <w:t>Če imate blago srčno popuščanje in se zdravite z zdravilom Yuflyma, mora zdravnik natančno spremljati stanje vašega srčnega popuščanja. Pomembno je, da zdravniku poveste, če ste imeli ali imate resnejše težave s srcem. Če se simptomi srčnega popuščanja (npr. težko dihanje ali otekanje nog) pojavijo na novo ali se poslabšajo, se morate takoj obrniti na svojega zdravnika. Ta bo presodil, ali lahko dobivate zdravilo Yuflyma.</w:t>
      </w:r>
    </w:p>
    <w:p w14:paraId="40438BD7" w14:textId="77777777" w:rsidR="00E04C8A" w:rsidRDefault="00E04C8A">
      <w:pPr>
        <w:spacing w:before="14" w:line="240" w:lineRule="exact"/>
        <w:rPr>
          <w:sz w:val="24"/>
          <w:szCs w:val="24"/>
          <w:lang w:val="sl-SI"/>
        </w:rPr>
      </w:pPr>
    </w:p>
    <w:p w14:paraId="7A5894B0" w14:textId="77777777" w:rsidR="00E04C8A" w:rsidRDefault="008E1817">
      <w:pPr>
        <w:pStyle w:val="a3"/>
        <w:rPr>
          <w:u w:val="single"/>
          <w:lang w:val="sl-SI"/>
        </w:rPr>
      </w:pPr>
      <w:r>
        <w:rPr>
          <w:rFonts w:eastAsia="Times New Roman"/>
          <w:u w:val="single" w:color="000000"/>
          <w:lang w:val="sl-SI"/>
        </w:rPr>
        <w:t>Zvišana telesna temperatura, podplutbe, krvavitve ali bledica</w:t>
      </w:r>
    </w:p>
    <w:p w14:paraId="334D1F1F" w14:textId="77777777" w:rsidR="00E04C8A" w:rsidRDefault="00E04C8A">
      <w:pPr>
        <w:spacing w:before="4" w:line="190" w:lineRule="exact"/>
        <w:rPr>
          <w:sz w:val="19"/>
          <w:szCs w:val="19"/>
          <w:lang w:val="sl-SI"/>
        </w:rPr>
      </w:pPr>
    </w:p>
    <w:p w14:paraId="30AFB36B" w14:textId="77777777" w:rsidR="00E04C8A" w:rsidRDefault="008E1817">
      <w:pPr>
        <w:pStyle w:val="a3"/>
        <w:numPr>
          <w:ilvl w:val="1"/>
          <w:numId w:val="4"/>
        </w:numPr>
        <w:ind w:left="660" w:hanging="660"/>
        <w:rPr>
          <w:lang w:val="sl-SI"/>
        </w:rPr>
      </w:pPr>
      <w:r>
        <w:rPr>
          <w:rFonts w:eastAsia="Times New Roman"/>
          <w:lang w:val="sl-SI"/>
        </w:rPr>
        <w:t>Pri nekaterih bolnikih telo ne ustvari dovolj krvnih celic, ki pomagajo pri premagovanju okužbe ali ustavitvi krvavitve. Vaš zdravnik se bo morda odločil, da vaše zdravljenje prekine. Če dobite zvišano telesno temperaturo, ki ne mine, če se vam pojavljajo podplutbe, zlahka zakrvavite ali ste zelo bledi, se takoj posvetujte z zdravnikom.</w:t>
      </w:r>
    </w:p>
    <w:p w14:paraId="5F82CA77" w14:textId="77777777" w:rsidR="00E04C8A" w:rsidRDefault="00E04C8A">
      <w:pPr>
        <w:pStyle w:val="a3"/>
        <w:rPr>
          <w:u w:val="single"/>
          <w:lang w:val="sl-SI"/>
        </w:rPr>
      </w:pPr>
    </w:p>
    <w:p w14:paraId="379E12B8" w14:textId="77777777" w:rsidR="00E04C8A" w:rsidRDefault="008E1817">
      <w:pPr>
        <w:pStyle w:val="a3"/>
        <w:rPr>
          <w:u w:val="single"/>
          <w:lang w:val="sl-SI"/>
        </w:rPr>
      </w:pPr>
      <w:r>
        <w:rPr>
          <w:rFonts w:eastAsia="Times New Roman"/>
          <w:u w:val="single"/>
          <w:lang w:val="sl-SI"/>
        </w:rPr>
        <w:t>Rak</w:t>
      </w:r>
    </w:p>
    <w:p w14:paraId="4640EE5E" w14:textId="77777777" w:rsidR="00E04C8A" w:rsidRDefault="00E04C8A">
      <w:pPr>
        <w:pStyle w:val="a3"/>
        <w:rPr>
          <w:u w:val="single"/>
          <w:lang w:val="sl-SI"/>
        </w:rPr>
      </w:pPr>
    </w:p>
    <w:p w14:paraId="4405579A" w14:textId="77777777" w:rsidR="00E04C8A" w:rsidRDefault="008E1817">
      <w:pPr>
        <w:pStyle w:val="a3"/>
        <w:numPr>
          <w:ilvl w:val="1"/>
          <w:numId w:val="4"/>
        </w:numPr>
        <w:ind w:left="660" w:hanging="660"/>
        <w:rPr>
          <w:lang w:val="sl-SI"/>
        </w:rPr>
      </w:pPr>
      <w:r>
        <w:rPr>
          <w:rFonts w:eastAsia="Times New Roman"/>
          <w:lang w:val="sl-SI"/>
        </w:rPr>
        <w:t>Med bolniki (otroci in odraslimi), ki so jemali zdravilo Yuflyma ali druge zaviralce TNF, so se pojavili zelo redki primeri določenih vrst raka.</w:t>
      </w:r>
    </w:p>
    <w:p w14:paraId="1BFE856A" w14:textId="77777777" w:rsidR="00E04C8A" w:rsidRDefault="00E04C8A">
      <w:pPr>
        <w:pStyle w:val="a3"/>
        <w:rPr>
          <w:lang w:val="sl-SI"/>
        </w:rPr>
      </w:pPr>
    </w:p>
    <w:p w14:paraId="0E50FE84" w14:textId="77777777" w:rsidR="00E04C8A" w:rsidRDefault="008E1817">
      <w:pPr>
        <w:pStyle w:val="a3"/>
        <w:numPr>
          <w:ilvl w:val="1"/>
          <w:numId w:val="4"/>
        </w:numPr>
        <w:ind w:left="998" w:hanging="340"/>
        <w:rPr>
          <w:lang w:val="sl-SI"/>
        </w:rPr>
      </w:pPr>
      <w:r>
        <w:rPr>
          <w:rFonts w:eastAsia="Times New Roman"/>
          <w:lang w:val="sl-SI"/>
        </w:rPr>
        <w:t>Pri bolnikih z resnejšim revmatoidnim artritisom, ki imajo bolezen že dolgo, obstaja povečana verjetnost, da zbolijo za limfomom (rak, ki prizadene limfatični sistem) in levkemijo (rak, ki prizadene kri in kostni mozeg).</w:t>
      </w:r>
    </w:p>
    <w:p w14:paraId="5440BA9C" w14:textId="77777777" w:rsidR="00E04C8A" w:rsidRDefault="008E1817">
      <w:pPr>
        <w:pStyle w:val="a3"/>
        <w:numPr>
          <w:ilvl w:val="1"/>
          <w:numId w:val="4"/>
        </w:numPr>
        <w:ind w:left="998" w:hanging="340"/>
        <w:rPr>
          <w:lang w:val="sl-SI"/>
        </w:rPr>
      </w:pPr>
      <w:r>
        <w:rPr>
          <w:rFonts w:eastAsia="Times New Roman"/>
          <w:lang w:val="sl-SI"/>
        </w:rPr>
        <w:t>Če uporabljate zdravilo Yuflyma, se vam lahko poveča tveganje za pojav limfoma, levkemije ali drugih vrst raka. V redkih primerih so pri bolnikih, ki dobivajo zdravilo Yuflyma, opazili specifično in resno obliko limfoma. Nekateri od teh bolnikov so bili zdravljeni tudi z azatioprinom ali 6-merkaptopurinom.</w:t>
      </w:r>
    </w:p>
    <w:p w14:paraId="5243D667" w14:textId="77777777" w:rsidR="00E04C8A" w:rsidRDefault="008E1817">
      <w:pPr>
        <w:pStyle w:val="a3"/>
        <w:numPr>
          <w:ilvl w:val="1"/>
          <w:numId w:val="4"/>
        </w:numPr>
        <w:ind w:left="998" w:hanging="340"/>
        <w:rPr>
          <w:lang w:val="sl-SI"/>
        </w:rPr>
      </w:pPr>
      <w:r>
        <w:rPr>
          <w:rFonts w:eastAsia="Times New Roman"/>
          <w:lang w:val="sl-SI"/>
        </w:rPr>
        <w:t>Povejte zdravniku, če prejemate azatioprin ali 6-merkaptopurin sočasno z zdravilom Yuflyma.</w:t>
      </w:r>
    </w:p>
    <w:p w14:paraId="0F84FE32" w14:textId="77777777" w:rsidR="00E04C8A" w:rsidRDefault="008E1817">
      <w:pPr>
        <w:pStyle w:val="a3"/>
        <w:numPr>
          <w:ilvl w:val="1"/>
          <w:numId w:val="4"/>
        </w:numPr>
        <w:ind w:left="998" w:hanging="340"/>
        <w:rPr>
          <w:lang w:val="sl-SI"/>
        </w:rPr>
      </w:pPr>
      <w:r>
        <w:rPr>
          <w:rFonts w:eastAsia="Times New Roman"/>
          <w:lang w:val="sl-SI"/>
        </w:rPr>
        <w:t>Poleg tega so pri bolnikih, zdravljenih z zdravilom Yuflyma, opazili primere nemelanomskega kožnega raka.</w:t>
      </w:r>
    </w:p>
    <w:p w14:paraId="7C18704B" w14:textId="77777777" w:rsidR="00E04C8A" w:rsidRDefault="008E1817">
      <w:pPr>
        <w:pStyle w:val="a3"/>
        <w:numPr>
          <w:ilvl w:val="1"/>
          <w:numId w:val="4"/>
        </w:numPr>
        <w:ind w:left="998" w:hanging="340"/>
        <w:rPr>
          <w:lang w:val="sl-SI"/>
        </w:rPr>
      </w:pPr>
      <w:r>
        <w:rPr>
          <w:rFonts w:eastAsia="Times New Roman"/>
          <w:lang w:val="sl-SI"/>
        </w:rPr>
        <w:t>Če se vam med zdravljenjem ali po njem pojavijo nove spremembe na koži, ali če se vam spremeni videz obstoječih sprememb, morate to povedati zdravniku.</w:t>
      </w:r>
    </w:p>
    <w:p w14:paraId="5098ECEC" w14:textId="77777777" w:rsidR="00E04C8A" w:rsidRDefault="00E04C8A">
      <w:pPr>
        <w:pStyle w:val="a3"/>
        <w:rPr>
          <w:lang w:val="sl-SI"/>
        </w:rPr>
      </w:pPr>
    </w:p>
    <w:p w14:paraId="15C6075B" w14:textId="77777777" w:rsidR="00E04C8A" w:rsidRDefault="008E1817">
      <w:pPr>
        <w:pStyle w:val="a3"/>
        <w:numPr>
          <w:ilvl w:val="1"/>
          <w:numId w:val="4"/>
        </w:numPr>
        <w:ind w:left="660" w:hanging="660"/>
        <w:rPr>
          <w:lang w:val="sl-SI"/>
        </w:rPr>
      </w:pPr>
      <w:r>
        <w:rPr>
          <w:rFonts w:eastAsia="Times New Roman"/>
          <w:lang w:val="sl-SI"/>
        </w:rPr>
        <w:t>Pri bolnikih s posebno boleznijo pljuč, t.i. kronično obstruktivno pljučno boleznijo (KOPB), zdravljenih z nekim drugim zaviralcem TNF, so bili primeri rakov, ki niso bili limfomi. Če imate KOPB ali če veliko kadite, se morate z zdravnikom posvetovati, ali je zdravljenje z zaviralcem TNF za vas primerno.</w:t>
      </w:r>
    </w:p>
    <w:p w14:paraId="6914FDEE" w14:textId="77777777" w:rsidR="00E04C8A" w:rsidRDefault="00E04C8A">
      <w:pPr>
        <w:spacing w:before="11" w:line="240" w:lineRule="exact"/>
        <w:rPr>
          <w:sz w:val="24"/>
          <w:szCs w:val="24"/>
          <w:lang w:val="sl-SI"/>
        </w:rPr>
      </w:pPr>
    </w:p>
    <w:p w14:paraId="655E856D" w14:textId="77777777" w:rsidR="00E04C8A" w:rsidRDefault="008E1817">
      <w:pPr>
        <w:pStyle w:val="a3"/>
        <w:rPr>
          <w:u w:val="single"/>
          <w:lang w:val="sl-SI"/>
        </w:rPr>
      </w:pPr>
      <w:r>
        <w:rPr>
          <w:rFonts w:eastAsia="Times New Roman"/>
          <w:u w:val="single" w:color="000000"/>
          <w:lang w:val="sl-SI"/>
        </w:rPr>
        <w:t>Avtoimunska bolezen</w:t>
      </w:r>
    </w:p>
    <w:p w14:paraId="76318B00" w14:textId="77777777" w:rsidR="00E04C8A" w:rsidRDefault="00E04C8A">
      <w:pPr>
        <w:spacing w:before="4" w:line="190" w:lineRule="exact"/>
        <w:rPr>
          <w:sz w:val="19"/>
          <w:szCs w:val="19"/>
          <w:lang w:val="sl-SI"/>
        </w:rPr>
      </w:pPr>
    </w:p>
    <w:p w14:paraId="65AE681F" w14:textId="77777777" w:rsidR="00E04C8A" w:rsidRDefault="008E1817">
      <w:pPr>
        <w:pStyle w:val="a3"/>
        <w:numPr>
          <w:ilvl w:val="1"/>
          <w:numId w:val="4"/>
        </w:numPr>
        <w:ind w:left="660" w:hanging="660"/>
        <w:rPr>
          <w:lang w:val="sl-SI"/>
        </w:rPr>
      </w:pPr>
      <w:r>
        <w:rPr>
          <w:rFonts w:eastAsia="Times New Roman"/>
          <w:lang w:val="sl-SI"/>
        </w:rPr>
        <w:t>V redkih primerih lahko zdravljenje z zdravilom Yuflyma povzroči lupusu podoben sindrom. Če se pojavijo simptomi, kot so trdovratni nepojasnjeni izpuščaji, zvišana telesna temperatura, bolečine v sklepih ali utrujenost, se posvetujte z zdravnikom.</w:t>
      </w:r>
    </w:p>
    <w:p w14:paraId="6EDD6778" w14:textId="77777777" w:rsidR="00E04C8A" w:rsidRDefault="00E04C8A">
      <w:pPr>
        <w:spacing w:before="15" w:line="240" w:lineRule="exact"/>
        <w:rPr>
          <w:sz w:val="24"/>
          <w:szCs w:val="24"/>
          <w:lang w:val="sl-SI"/>
        </w:rPr>
      </w:pPr>
    </w:p>
    <w:p w14:paraId="3ED74A40" w14:textId="77777777" w:rsidR="00E04C8A" w:rsidRDefault="008E1817">
      <w:pPr>
        <w:pStyle w:val="a3"/>
        <w:rPr>
          <w:b/>
          <w:lang w:val="sl-SI"/>
        </w:rPr>
      </w:pPr>
      <w:r>
        <w:rPr>
          <w:rFonts w:eastAsia="Times New Roman"/>
          <w:b/>
          <w:bCs/>
          <w:lang w:val="sl-SI"/>
        </w:rPr>
        <w:t>Otroci in mladostniki</w:t>
      </w:r>
    </w:p>
    <w:p w14:paraId="64484334" w14:textId="77777777" w:rsidR="00E04C8A" w:rsidRDefault="00E04C8A">
      <w:pPr>
        <w:spacing w:before="10" w:line="240" w:lineRule="exact"/>
        <w:rPr>
          <w:sz w:val="24"/>
          <w:szCs w:val="24"/>
          <w:lang w:val="sl-SI"/>
        </w:rPr>
      </w:pPr>
    </w:p>
    <w:p w14:paraId="43470672" w14:textId="2EBD0F29" w:rsidR="00E04C8A" w:rsidRDefault="008E1817">
      <w:pPr>
        <w:pStyle w:val="a3"/>
        <w:numPr>
          <w:ilvl w:val="1"/>
          <w:numId w:val="4"/>
        </w:numPr>
        <w:ind w:left="660" w:hanging="660"/>
        <w:rPr>
          <w:lang w:val="sl-SI"/>
        </w:rPr>
      </w:pPr>
      <w:r>
        <w:rPr>
          <w:rFonts w:eastAsia="Times New Roman"/>
          <w:lang w:val="sl-SI"/>
        </w:rPr>
        <w:t>Cepljenje: če je mogoče, naj imajo otro</w:t>
      </w:r>
      <w:r w:rsidR="007A004C">
        <w:rPr>
          <w:rFonts w:eastAsia="Times New Roman"/>
          <w:lang w:val="sl-SI"/>
        </w:rPr>
        <w:t>c</w:t>
      </w:r>
      <w:r>
        <w:rPr>
          <w:rFonts w:eastAsia="Times New Roman"/>
          <w:lang w:val="sl-SI"/>
        </w:rPr>
        <w:t>i pred začetkom uporabe zdravila Yuflyma opravljena vsa potrebna cepljenja.</w:t>
      </w:r>
    </w:p>
    <w:p w14:paraId="16CF141D" w14:textId="77777777" w:rsidR="00E04C8A" w:rsidRDefault="00E04C8A">
      <w:pPr>
        <w:pStyle w:val="a3"/>
        <w:rPr>
          <w:b/>
          <w:lang w:val="sl-SI"/>
        </w:rPr>
      </w:pPr>
    </w:p>
    <w:p w14:paraId="21436811" w14:textId="77777777" w:rsidR="00E04C8A" w:rsidRDefault="008E1817">
      <w:pPr>
        <w:pStyle w:val="a3"/>
        <w:rPr>
          <w:b/>
          <w:lang w:val="sl-SI"/>
        </w:rPr>
      </w:pPr>
      <w:r>
        <w:rPr>
          <w:rFonts w:eastAsia="Times New Roman"/>
          <w:b/>
          <w:bCs/>
          <w:lang w:val="sl-SI"/>
        </w:rPr>
        <w:t>Druga zdravila in zdravilo Yuflyma</w:t>
      </w:r>
    </w:p>
    <w:p w14:paraId="31FC0B40" w14:textId="77777777" w:rsidR="00E04C8A" w:rsidRDefault="00E04C8A">
      <w:pPr>
        <w:pStyle w:val="a3"/>
        <w:rPr>
          <w:b/>
          <w:lang w:val="sl-SI"/>
        </w:rPr>
      </w:pPr>
    </w:p>
    <w:p w14:paraId="4C29B4BF" w14:textId="25FB66CC" w:rsidR="00E04C8A" w:rsidRDefault="008E1817">
      <w:pPr>
        <w:pStyle w:val="a3"/>
        <w:rPr>
          <w:lang w:val="sl-SI"/>
        </w:rPr>
      </w:pPr>
      <w:r>
        <w:rPr>
          <w:rFonts w:eastAsia="Times New Roman"/>
          <w:lang w:val="sl-SI"/>
        </w:rPr>
        <w:lastRenderedPageBreak/>
        <w:t>Obvestite zdravnika ali farmacevta, če jemljete, ste pred kratkim jemali ali pa boste morda začeli jemati katero koli drugo zdravilo. Zdravila Yuflyma ne smete uporabljati skupaj z zdravili, ki vsebujejo naslednje učinkovine, saj lahko povečajo</w:t>
      </w:r>
      <w:r w:rsidR="00E26C15">
        <w:rPr>
          <w:rFonts w:eastAsia="Times New Roman"/>
          <w:lang w:val="sl-SI"/>
        </w:rPr>
        <w:t xml:space="preserve"> </w:t>
      </w:r>
      <w:r>
        <w:rPr>
          <w:rFonts w:eastAsia="Times New Roman"/>
          <w:lang w:val="sl-SI"/>
        </w:rPr>
        <w:t>tveganje za resno okužbo:</w:t>
      </w:r>
    </w:p>
    <w:p w14:paraId="04B320C1" w14:textId="77777777" w:rsidR="00E04C8A" w:rsidRDefault="008E1817">
      <w:pPr>
        <w:pStyle w:val="a3"/>
        <w:numPr>
          <w:ilvl w:val="1"/>
          <w:numId w:val="4"/>
        </w:numPr>
        <w:ind w:left="660" w:hanging="660"/>
        <w:rPr>
          <w:lang w:val="sl-SI"/>
        </w:rPr>
      </w:pPr>
      <w:r>
        <w:rPr>
          <w:rFonts w:eastAsia="Times New Roman"/>
          <w:lang w:val="sl-SI"/>
        </w:rPr>
        <w:t>anakinra,</w:t>
      </w:r>
    </w:p>
    <w:p w14:paraId="66FC3A31" w14:textId="77777777" w:rsidR="00E04C8A" w:rsidRDefault="008E1817">
      <w:pPr>
        <w:pStyle w:val="a3"/>
        <w:numPr>
          <w:ilvl w:val="1"/>
          <w:numId w:val="4"/>
        </w:numPr>
        <w:ind w:left="660" w:hanging="660"/>
        <w:rPr>
          <w:lang w:val="sl-SI"/>
        </w:rPr>
      </w:pPr>
      <w:r>
        <w:rPr>
          <w:rFonts w:eastAsia="Times New Roman"/>
          <w:lang w:val="sl-SI"/>
        </w:rPr>
        <w:t>abatacept.</w:t>
      </w:r>
    </w:p>
    <w:p w14:paraId="75515ED6" w14:textId="77777777" w:rsidR="00E04C8A" w:rsidRDefault="00E04C8A">
      <w:pPr>
        <w:pStyle w:val="a3"/>
        <w:rPr>
          <w:lang w:val="sl-SI"/>
        </w:rPr>
      </w:pPr>
    </w:p>
    <w:p w14:paraId="4DB02D4E" w14:textId="77777777" w:rsidR="00E04C8A" w:rsidRDefault="008E1817">
      <w:pPr>
        <w:pStyle w:val="a3"/>
        <w:rPr>
          <w:lang w:val="sl-SI"/>
        </w:rPr>
      </w:pPr>
      <w:r>
        <w:rPr>
          <w:rFonts w:eastAsia="Times New Roman"/>
          <w:lang w:val="sl-SI"/>
        </w:rPr>
        <w:t>Zdravilo Yuflyma se lahko jemlje skupaj z:</w:t>
      </w:r>
    </w:p>
    <w:p w14:paraId="7AC6E306" w14:textId="77777777" w:rsidR="00E04C8A" w:rsidRDefault="008E1817">
      <w:pPr>
        <w:pStyle w:val="a3"/>
        <w:numPr>
          <w:ilvl w:val="1"/>
          <w:numId w:val="4"/>
        </w:numPr>
        <w:ind w:left="660" w:hanging="660"/>
        <w:rPr>
          <w:lang w:val="sl-SI"/>
        </w:rPr>
      </w:pPr>
      <w:r>
        <w:rPr>
          <w:rFonts w:eastAsia="Times New Roman"/>
          <w:lang w:val="sl-SI"/>
        </w:rPr>
        <w:t>metotreksatom</w:t>
      </w:r>
    </w:p>
    <w:p w14:paraId="3B004747" w14:textId="77777777" w:rsidR="00E04C8A" w:rsidRDefault="008E1817">
      <w:pPr>
        <w:pStyle w:val="a3"/>
        <w:numPr>
          <w:ilvl w:val="1"/>
          <w:numId w:val="4"/>
        </w:numPr>
        <w:ind w:left="660" w:hanging="660"/>
        <w:rPr>
          <w:lang w:val="sl-SI"/>
        </w:rPr>
      </w:pPr>
      <w:r>
        <w:rPr>
          <w:rFonts w:eastAsia="Times New Roman"/>
          <w:lang w:val="sl-SI"/>
        </w:rPr>
        <w:t>nekaterimi antirevmatičnimi učinkovinami, ki spreminjajo potek bolezni (na primer sulfalasazin, hidroksiklorokin, leflunomid in pripravki zlata za injiciranje)</w:t>
      </w:r>
    </w:p>
    <w:p w14:paraId="14BB506D" w14:textId="77777777" w:rsidR="00E04C8A" w:rsidRDefault="008E1817">
      <w:pPr>
        <w:pStyle w:val="a3"/>
        <w:numPr>
          <w:ilvl w:val="1"/>
          <w:numId w:val="4"/>
        </w:numPr>
        <w:ind w:left="660" w:hanging="660"/>
        <w:rPr>
          <w:lang w:val="sl-SI"/>
        </w:rPr>
      </w:pPr>
      <w:r>
        <w:rPr>
          <w:rFonts w:eastAsia="Times New Roman"/>
          <w:lang w:val="sl-SI"/>
        </w:rPr>
        <w:t>steroidi ali zdravili proti bolečinam, vključno z nesteroidnimi protivnetnimi zdravili.</w:t>
      </w:r>
    </w:p>
    <w:p w14:paraId="71093312" w14:textId="77777777" w:rsidR="00E04C8A" w:rsidRDefault="00E04C8A">
      <w:pPr>
        <w:pStyle w:val="a3"/>
        <w:rPr>
          <w:lang w:val="sl-SI"/>
        </w:rPr>
      </w:pPr>
    </w:p>
    <w:p w14:paraId="08F932B4" w14:textId="77777777" w:rsidR="00E04C8A" w:rsidRDefault="008E1817">
      <w:pPr>
        <w:pStyle w:val="a3"/>
        <w:rPr>
          <w:lang w:val="sl-SI"/>
        </w:rPr>
      </w:pPr>
      <w:r>
        <w:rPr>
          <w:rFonts w:eastAsia="Times New Roman"/>
          <w:lang w:val="sl-SI"/>
        </w:rPr>
        <w:t>Če imate dodatna vprašanja, se posvetujte z zdravnikom.</w:t>
      </w:r>
    </w:p>
    <w:p w14:paraId="5B1ACBED" w14:textId="77777777" w:rsidR="00E04C8A" w:rsidRDefault="00E04C8A">
      <w:pPr>
        <w:spacing w:before="18" w:line="240" w:lineRule="exact"/>
        <w:rPr>
          <w:sz w:val="24"/>
          <w:szCs w:val="24"/>
          <w:lang w:val="sl-SI"/>
        </w:rPr>
      </w:pPr>
    </w:p>
    <w:p w14:paraId="2E0E2734" w14:textId="77777777" w:rsidR="00E04C8A" w:rsidRDefault="008E1817">
      <w:pPr>
        <w:pStyle w:val="a3"/>
        <w:rPr>
          <w:b/>
          <w:lang w:val="sl-SI"/>
        </w:rPr>
      </w:pPr>
      <w:r>
        <w:rPr>
          <w:rFonts w:eastAsia="Times New Roman"/>
          <w:b/>
          <w:bCs/>
          <w:lang w:val="sl-SI"/>
        </w:rPr>
        <w:t>Nosečnost in dojenje</w:t>
      </w:r>
    </w:p>
    <w:p w14:paraId="7002C324" w14:textId="77777777" w:rsidR="00E04C8A" w:rsidRDefault="00E04C8A">
      <w:pPr>
        <w:spacing w:before="9" w:line="260" w:lineRule="exact"/>
        <w:rPr>
          <w:sz w:val="26"/>
          <w:szCs w:val="26"/>
          <w:lang w:val="sl-SI"/>
        </w:rPr>
      </w:pPr>
    </w:p>
    <w:p w14:paraId="35052055" w14:textId="77777777" w:rsidR="00E04C8A" w:rsidRDefault="008E1817">
      <w:pPr>
        <w:pStyle w:val="a3"/>
        <w:numPr>
          <w:ilvl w:val="1"/>
          <w:numId w:val="4"/>
        </w:numPr>
        <w:ind w:left="660" w:hanging="660"/>
        <w:rPr>
          <w:lang w:val="sl-SI"/>
        </w:rPr>
      </w:pPr>
      <w:r>
        <w:rPr>
          <w:rFonts w:eastAsia="Times New Roman"/>
          <w:lang w:val="sl-SI"/>
        </w:rPr>
        <w:t>Premisliti morate o uporabi ustrezne kontracepcijske zaščite za preprečitev nosečnosti in z njo nadaljevati vsaj še 5 mesecev po zadnjem zdravljenju z zdravilom Yuflyma.</w:t>
      </w:r>
    </w:p>
    <w:p w14:paraId="20B63838" w14:textId="77777777" w:rsidR="00E04C8A" w:rsidRDefault="008E1817">
      <w:pPr>
        <w:pStyle w:val="a3"/>
        <w:numPr>
          <w:ilvl w:val="1"/>
          <w:numId w:val="4"/>
        </w:numPr>
        <w:ind w:left="660" w:hanging="660"/>
        <w:rPr>
          <w:lang w:val="sl-SI"/>
        </w:rPr>
      </w:pPr>
      <w:r>
        <w:rPr>
          <w:rFonts w:eastAsia="Times New Roman"/>
          <w:lang w:val="sl-SI"/>
        </w:rPr>
        <w:t>Če ste noseči, mislite, da bi lahko bili noseči ali načrtujete zanositev, se posvetujte z zdravnikom, preden uporabite to zdravilo.</w:t>
      </w:r>
    </w:p>
    <w:p w14:paraId="09977FEF" w14:textId="77777777" w:rsidR="00E04C8A" w:rsidRDefault="008E1817">
      <w:pPr>
        <w:pStyle w:val="a3"/>
        <w:numPr>
          <w:ilvl w:val="1"/>
          <w:numId w:val="4"/>
        </w:numPr>
        <w:ind w:left="660" w:hanging="660"/>
        <w:rPr>
          <w:lang w:val="sl-SI"/>
        </w:rPr>
      </w:pPr>
      <w:r>
        <w:rPr>
          <w:rFonts w:eastAsia="Times New Roman"/>
          <w:lang w:val="sl-SI"/>
        </w:rPr>
        <w:t>Zdravilo Yuflyma se sme med nosečnostjo uporabljati le, če je to potrebno.</w:t>
      </w:r>
    </w:p>
    <w:p w14:paraId="1413A129" w14:textId="77777777" w:rsidR="00E04C8A" w:rsidRDefault="008E1817">
      <w:pPr>
        <w:pStyle w:val="a3"/>
        <w:numPr>
          <w:ilvl w:val="1"/>
          <w:numId w:val="4"/>
        </w:numPr>
        <w:ind w:left="660" w:hanging="660"/>
        <w:rPr>
          <w:lang w:val="sl-SI"/>
        </w:rPr>
      </w:pPr>
      <w:r>
        <w:rPr>
          <w:rFonts w:eastAsia="Times New Roman"/>
          <w:lang w:val="sl-SI"/>
        </w:rPr>
        <w:t>Glede na študijo nosečnosti ni bilo povečanega tveganja za prirojene okvare, če je mati med nosečnostjo prejemala zdravilo Yuflyma, v primerjavi z materami z isto boleznijo, ki zdravila Yuflyma niso prejemale.</w:t>
      </w:r>
    </w:p>
    <w:p w14:paraId="501A5140" w14:textId="77777777" w:rsidR="00E04C8A" w:rsidRDefault="008E1817">
      <w:pPr>
        <w:pStyle w:val="a3"/>
        <w:numPr>
          <w:ilvl w:val="1"/>
          <w:numId w:val="4"/>
        </w:numPr>
        <w:ind w:left="660" w:hanging="660"/>
        <w:rPr>
          <w:lang w:val="sl-SI"/>
        </w:rPr>
      </w:pPr>
      <w:r>
        <w:rPr>
          <w:rFonts w:eastAsia="Times New Roman"/>
          <w:lang w:val="sl-SI"/>
        </w:rPr>
        <w:t>Zdravilo Yuflyma se lahko uporablja med dojenjem.</w:t>
      </w:r>
    </w:p>
    <w:p w14:paraId="1CABD64D" w14:textId="77777777" w:rsidR="00E04C8A" w:rsidRDefault="008E1817">
      <w:pPr>
        <w:pStyle w:val="a3"/>
        <w:numPr>
          <w:ilvl w:val="1"/>
          <w:numId w:val="4"/>
        </w:numPr>
        <w:ind w:left="660" w:hanging="660"/>
        <w:rPr>
          <w:lang w:val="sl-SI"/>
        </w:rPr>
      </w:pPr>
      <w:r>
        <w:rPr>
          <w:rFonts w:eastAsia="Times New Roman"/>
          <w:lang w:val="sl-SI"/>
        </w:rPr>
        <w:t>Če med nosečnostjo prejemate zdravilo Yuflyma, je lahko tveganje za okužbo pri vašem otroku večje.</w:t>
      </w:r>
    </w:p>
    <w:p w14:paraId="0748F77B" w14:textId="77777777" w:rsidR="00E04C8A" w:rsidRDefault="008E1817">
      <w:pPr>
        <w:pStyle w:val="a3"/>
        <w:numPr>
          <w:ilvl w:val="1"/>
          <w:numId w:val="4"/>
        </w:numPr>
        <w:ind w:left="660" w:hanging="660"/>
        <w:rPr>
          <w:lang w:val="sl-SI"/>
        </w:rPr>
      </w:pPr>
      <w:r>
        <w:rPr>
          <w:rFonts w:eastAsia="Times New Roman"/>
          <w:lang w:val="sl-SI"/>
        </w:rPr>
        <w:t>Pomembno je, da o uporabi zdravila Yuflyma med nosečnostjo obvestite otrokove zdravnike in druge zdravstvene delavce, da se bodo lahko odločili, kdaj bo vaš otrok prejel katero koli cepivo. Za več informacij o cepivih glejte poglavje "Opozorila in previdnostni ukrepi".</w:t>
      </w:r>
    </w:p>
    <w:p w14:paraId="154AE34E" w14:textId="77777777" w:rsidR="00E04C8A" w:rsidRDefault="00E04C8A">
      <w:pPr>
        <w:spacing w:before="15" w:line="240" w:lineRule="exact"/>
        <w:rPr>
          <w:b/>
          <w:sz w:val="24"/>
          <w:szCs w:val="24"/>
          <w:lang w:val="sl-SI"/>
        </w:rPr>
      </w:pPr>
    </w:p>
    <w:p w14:paraId="74FEF4F5" w14:textId="77777777" w:rsidR="00E04C8A" w:rsidRDefault="008E1817">
      <w:pPr>
        <w:pStyle w:val="a3"/>
        <w:rPr>
          <w:b/>
          <w:lang w:val="sl-SI"/>
        </w:rPr>
      </w:pPr>
      <w:r>
        <w:rPr>
          <w:rFonts w:eastAsia="Times New Roman"/>
          <w:b/>
          <w:bCs/>
          <w:lang w:val="sl-SI"/>
        </w:rPr>
        <w:t>Vpliv na sposobnost upravljanja vozil in strojev</w:t>
      </w:r>
    </w:p>
    <w:p w14:paraId="74086219" w14:textId="77777777" w:rsidR="00E04C8A" w:rsidRDefault="00E04C8A">
      <w:pPr>
        <w:spacing w:before="12" w:line="240" w:lineRule="exact"/>
        <w:rPr>
          <w:sz w:val="24"/>
          <w:szCs w:val="24"/>
          <w:lang w:val="sl-SI"/>
        </w:rPr>
      </w:pPr>
    </w:p>
    <w:p w14:paraId="00A8461B" w14:textId="77777777" w:rsidR="00E04C8A" w:rsidRDefault="008E1817">
      <w:pPr>
        <w:pStyle w:val="a3"/>
        <w:rPr>
          <w:lang w:val="sl-SI"/>
        </w:rPr>
      </w:pPr>
      <w:r>
        <w:rPr>
          <w:rFonts w:eastAsia="Times New Roman"/>
          <w:lang w:val="sl-SI"/>
        </w:rPr>
        <w:t>Zdravilo Yuflyma ima lahko blag vpliv na sposobnost vožnje, kolesarjenja ali upravljanja strojev. Po jemanju zdravila Yuflyma se lahko pojavita vrtoglavica in poslabšanje vida.</w:t>
      </w:r>
    </w:p>
    <w:p w14:paraId="5296385F" w14:textId="77777777" w:rsidR="00E04C8A" w:rsidRDefault="00E04C8A">
      <w:pPr>
        <w:spacing w:line="200" w:lineRule="exact"/>
        <w:rPr>
          <w:sz w:val="20"/>
          <w:szCs w:val="20"/>
          <w:lang w:val="sl-SI"/>
        </w:rPr>
      </w:pPr>
    </w:p>
    <w:p w14:paraId="67FD880D" w14:textId="348D802D" w:rsidR="00E04C8A" w:rsidRDefault="008E1817">
      <w:pPr>
        <w:pStyle w:val="a3"/>
        <w:rPr>
          <w:b/>
          <w:lang w:val="sl-SI"/>
        </w:rPr>
      </w:pPr>
      <w:r w:rsidRPr="00366D10">
        <w:rPr>
          <w:rFonts w:eastAsia="Times New Roman"/>
          <w:b/>
          <w:lang w:val="sl-SI"/>
        </w:rPr>
        <w:t>Zdravilo</w:t>
      </w:r>
      <w:r>
        <w:rPr>
          <w:rFonts w:eastAsia="Times New Roman"/>
          <w:lang w:val="sl-SI"/>
        </w:rPr>
        <w:t xml:space="preserve"> </w:t>
      </w:r>
      <w:r w:rsidR="00FE3CB3">
        <w:rPr>
          <w:rFonts w:hint="eastAsia"/>
          <w:b/>
          <w:lang w:val="sl-SI" w:eastAsia="ko-KR"/>
        </w:rPr>
        <w:t>Yuflyma</w:t>
      </w:r>
      <w:r w:rsidR="00FE3CB3">
        <w:rPr>
          <w:rFonts w:eastAsia="Times New Roman"/>
          <w:b/>
          <w:bCs/>
          <w:lang w:val="sl-SI"/>
        </w:rPr>
        <w:t xml:space="preserve"> </w:t>
      </w:r>
      <w:r>
        <w:rPr>
          <w:rFonts w:eastAsia="Times New Roman"/>
          <w:b/>
          <w:bCs/>
          <w:lang w:val="sl-SI"/>
        </w:rPr>
        <w:t>vsebuje natrij</w:t>
      </w:r>
    </w:p>
    <w:p w14:paraId="0459437A" w14:textId="77777777" w:rsidR="00E04C8A" w:rsidRDefault="00E04C8A">
      <w:pPr>
        <w:spacing w:before="12" w:line="240" w:lineRule="exact"/>
        <w:rPr>
          <w:sz w:val="24"/>
          <w:szCs w:val="24"/>
          <w:lang w:val="sl-SI"/>
        </w:rPr>
      </w:pPr>
    </w:p>
    <w:p w14:paraId="6F7E503F" w14:textId="77777777" w:rsidR="00E04C8A" w:rsidRDefault="008E1817">
      <w:pPr>
        <w:spacing w:line="200" w:lineRule="exact"/>
        <w:rPr>
          <w:sz w:val="20"/>
          <w:szCs w:val="20"/>
          <w:lang w:val="sl-SI"/>
        </w:rPr>
      </w:pPr>
      <w:r>
        <w:rPr>
          <w:rFonts w:ascii="Times New Roman" w:eastAsia="Times New Roman" w:hAnsi="Times New Roman" w:cs="Times New Roman"/>
          <w:lang w:val="sl-SI"/>
        </w:rPr>
        <w:t>To zdravilo vsebuje manj kot 1 mmol natrija (23</w:t>
      </w:r>
      <w:r>
        <w:rPr>
          <w:rFonts w:ascii="Calibri" w:eastAsia="Calibri" w:hAnsi="Calibri" w:cs="Calibri"/>
          <w:lang w:val="sl-SI"/>
        </w:rPr>
        <w:t> </w:t>
      </w:r>
      <w:r>
        <w:rPr>
          <w:rFonts w:ascii="Times New Roman" w:eastAsia="Times New Roman" w:hAnsi="Times New Roman" w:cs="Times New Roman"/>
          <w:lang w:val="sl-SI"/>
        </w:rPr>
        <w:t>mg) na odmerek 0,4</w:t>
      </w:r>
      <w:r>
        <w:rPr>
          <w:rFonts w:ascii="Calibri" w:eastAsia="Calibri" w:hAnsi="Calibri" w:cs="Calibri"/>
          <w:lang w:val="sl-SI"/>
        </w:rPr>
        <w:t> </w:t>
      </w:r>
      <w:r>
        <w:rPr>
          <w:rFonts w:ascii="Times New Roman" w:eastAsia="Times New Roman" w:hAnsi="Times New Roman" w:cs="Times New Roman"/>
          <w:lang w:val="sl-SI"/>
        </w:rPr>
        <w:t>ml, kar v bistvu pomeni ‛brez natrija’.</w:t>
      </w:r>
    </w:p>
    <w:p w14:paraId="5BD9722D" w14:textId="77777777" w:rsidR="00E04C8A" w:rsidRDefault="00E04C8A">
      <w:pPr>
        <w:spacing w:line="200" w:lineRule="exact"/>
        <w:rPr>
          <w:sz w:val="20"/>
          <w:szCs w:val="20"/>
          <w:lang w:val="sl-SI"/>
        </w:rPr>
      </w:pPr>
    </w:p>
    <w:p w14:paraId="3FFE1AC3" w14:textId="77777777" w:rsidR="00E04C8A" w:rsidRDefault="00E04C8A">
      <w:pPr>
        <w:spacing w:line="200" w:lineRule="exact"/>
        <w:rPr>
          <w:sz w:val="20"/>
          <w:szCs w:val="20"/>
          <w:lang w:val="sl-SI"/>
        </w:rPr>
      </w:pPr>
    </w:p>
    <w:p w14:paraId="125592B2" w14:textId="77777777" w:rsidR="00E04C8A" w:rsidRDefault="008E1817">
      <w:pPr>
        <w:pStyle w:val="a4"/>
        <w:numPr>
          <w:ilvl w:val="0"/>
          <w:numId w:val="38"/>
        </w:numPr>
        <w:spacing w:line="240" w:lineRule="exact"/>
        <w:ind w:hanging="468"/>
        <w:rPr>
          <w:rFonts w:ascii="Times New Roman" w:hAnsi="Times New Roman" w:cs="Times New Roman"/>
          <w:b/>
          <w:lang w:val="sl-SI"/>
        </w:rPr>
      </w:pPr>
      <w:r>
        <w:rPr>
          <w:rFonts w:ascii="Times New Roman" w:eastAsia="Times New Roman" w:hAnsi="Times New Roman" w:cs="Times New Roman"/>
          <w:b/>
          <w:bCs/>
          <w:lang w:val="sl-SI"/>
        </w:rPr>
        <w:t>Kako uporabljati zdravilo Yuflyma</w:t>
      </w:r>
    </w:p>
    <w:p w14:paraId="77E960B2" w14:textId="77777777" w:rsidR="00E04C8A" w:rsidRDefault="00E04C8A">
      <w:pPr>
        <w:spacing w:before="9" w:line="240" w:lineRule="exact"/>
        <w:rPr>
          <w:sz w:val="24"/>
          <w:szCs w:val="24"/>
          <w:lang w:val="sl-SI"/>
        </w:rPr>
      </w:pPr>
    </w:p>
    <w:p w14:paraId="4F2F890B" w14:textId="77777777" w:rsidR="00E04C8A" w:rsidRDefault="008E1817">
      <w:pPr>
        <w:pStyle w:val="a3"/>
        <w:rPr>
          <w:lang w:val="sl-SI"/>
        </w:rPr>
      </w:pPr>
      <w:r>
        <w:rPr>
          <w:rFonts w:eastAsia="Times New Roman"/>
          <w:lang w:val="sl-SI"/>
        </w:rPr>
        <w:t>Pri uporabi tega zdravila natančno upoštevajte navodila zdravnika ali farmacevta. Če ste negotovi, se posvetujte z zdravnikom ali farmacevtom.</w:t>
      </w:r>
    </w:p>
    <w:p w14:paraId="6DA958EA" w14:textId="77777777" w:rsidR="00E04C8A" w:rsidRPr="00BE3BDD" w:rsidRDefault="00E04C8A">
      <w:pPr>
        <w:spacing w:before="10" w:line="240" w:lineRule="exact"/>
        <w:rPr>
          <w:rFonts w:ascii="Times New Roman" w:hAnsi="Times New Roman" w:cs="Times New Roman"/>
          <w:sz w:val="24"/>
          <w:szCs w:val="24"/>
          <w:lang w:val="sl-SI"/>
        </w:rPr>
      </w:pPr>
    </w:p>
    <w:p w14:paraId="35727D3C" w14:textId="35A4B073" w:rsidR="00BE3BDD" w:rsidRPr="00BE3BDD" w:rsidRDefault="00BE3BDD" w:rsidP="00BE3BDD">
      <w:pPr>
        <w:rPr>
          <w:rFonts w:ascii="Times New Roman" w:hAnsi="Times New Roman" w:cs="Times New Roman"/>
          <w:lang w:val="sl-SI"/>
        </w:rPr>
      </w:pPr>
      <w:r w:rsidRPr="00BE3BDD">
        <w:rPr>
          <w:rFonts w:ascii="Times New Roman" w:hAnsi="Times New Roman" w:cs="Times New Roman"/>
          <w:lang w:val="sl-SI"/>
        </w:rPr>
        <w:t xml:space="preserve">Priporočeni odmerki zdravila </w:t>
      </w:r>
      <w:r>
        <w:rPr>
          <w:rFonts w:ascii="Times New Roman" w:hAnsi="Times New Roman" w:cs="Times New Roman" w:hint="eastAsia"/>
          <w:lang w:val="sl-SI" w:eastAsia="ko-KR"/>
        </w:rPr>
        <w:t>Y</w:t>
      </w:r>
      <w:r>
        <w:rPr>
          <w:rFonts w:ascii="Times New Roman" w:hAnsi="Times New Roman" w:cs="Times New Roman"/>
          <w:lang w:val="sl-SI" w:eastAsia="ko-KR"/>
        </w:rPr>
        <w:t>uflyma</w:t>
      </w:r>
      <w:r w:rsidRPr="00BE3BDD">
        <w:rPr>
          <w:rFonts w:ascii="Times New Roman" w:hAnsi="Times New Roman" w:cs="Times New Roman"/>
          <w:lang w:val="sl-SI"/>
        </w:rPr>
        <w:t xml:space="preserve"> za vsako odobreno uporabo so prikazani v naslednji tabeli.</w:t>
      </w:r>
    </w:p>
    <w:p w14:paraId="62EE71BE" w14:textId="0EB4856A" w:rsidR="00E04C8A" w:rsidRDefault="00BE3BDD" w:rsidP="00BE3BDD">
      <w:pPr>
        <w:rPr>
          <w:rFonts w:ascii="Times New Roman" w:hAnsi="Times New Roman" w:cs="Times New Roman"/>
          <w:lang w:val="sl-SI"/>
        </w:rPr>
      </w:pPr>
      <w:r w:rsidRPr="00BE3BDD">
        <w:rPr>
          <w:rFonts w:ascii="Times New Roman" w:hAnsi="Times New Roman" w:cs="Times New Roman"/>
          <w:lang w:val="sl-SI"/>
        </w:rPr>
        <w:t xml:space="preserve">Zdravnik vam lahko predpiše drugo jakost zdravila </w:t>
      </w:r>
      <w:r>
        <w:rPr>
          <w:rFonts w:ascii="Times New Roman" w:hAnsi="Times New Roman" w:cs="Times New Roman" w:hint="eastAsia"/>
          <w:lang w:val="sl-SI" w:eastAsia="ko-KR"/>
        </w:rPr>
        <w:t>Y</w:t>
      </w:r>
      <w:r>
        <w:rPr>
          <w:rFonts w:ascii="Times New Roman" w:hAnsi="Times New Roman" w:cs="Times New Roman"/>
          <w:lang w:val="sl-SI" w:eastAsia="ko-KR"/>
        </w:rPr>
        <w:t>uflyma</w:t>
      </w:r>
      <w:r w:rsidRPr="00BE3BDD">
        <w:rPr>
          <w:rFonts w:ascii="Times New Roman" w:hAnsi="Times New Roman" w:cs="Times New Roman"/>
          <w:lang w:val="sl-SI"/>
        </w:rPr>
        <w:t>, če boste potrebovali drugačen odmerek.</w:t>
      </w:r>
      <w:r w:rsidR="008E1817">
        <w:rPr>
          <w:lang w:val="sl-SI"/>
        </w:rPr>
        <w:br w:type="page"/>
      </w:r>
    </w:p>
    <w:p w14:paraId="708E79DC" w14:textId="77777777" w:rsidR="00E04C8A" w:rsidRDefault="00E04C8A">
      <w:pPr>
        <w:spacing w:before="7" w:line="90" w:lineRule="exact"/>
        <w:rPr>
          <w:sz w:val="9"/>
          <w:szCs w:val="9"/>
          <w:lang w:val="sl-SI"/>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04C8A" w:rsidRPr="00475A1E" w14:paraId="1B745926" w14:textId="77777777" w:rsidTr="00337BB0">
        <w:trPr>
          <w:trHeight w:val="20"/>
        </w:trPr>
        <w:tc>
          <w:tcPr>
            <w:tcW w:w="9288" w:type="dxa"/>
            <w:gridSpan w:val="3"/>
            <w:tcBorders>
              <w:top w:val="single" w:sz="5" w:space="0" w:color="000000"/>
              <w:left w:val="single" w:sz="5" w:space="0" w:color="000000"/>
              <w:bottom w:val="single" w:sz="5" w:space="0" w:color="000000"/>
              <w:right w:val="single" w:sz="5" w:space="0" w:color="000000"/>
            </w:tcBorders>
          </w:tcPr>
          <w:p w14:paraId="24E5E615" w14:textId="77777777" w:rsidR="00E04C8A" w:rsidRDefault="008E1817">
            <w:pPr>
              <w:pStyle w:val="TableParagraph"/>
              <w:spacing w:line="251"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Revmatoidni artritis, psoriatični artritis, ankilozirajoči spondilitis ali aksialni spondiloartritis</w:t>
            </w:r>
          </w:p>
          <w:p w14:paraId="22B88288" w14:textId="77777777" w:rsidR="00E04C8A" w:rsidRDefault="008E1817">
            <w:pPr>
              <w:pStyle w:val="TableParagraph"/>
              <w:spacing w:before="1"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brez radiografskega dokaza za ankilozirajoči spondilitis</w:t>
            </w:r>
          </w:p>
        </w:tc>
      </w:tr>
      <w:tr w:rsidR="00E04C8A" w14:paraId="704CC269" w14:textId="77777777" w:rsidTr="00337BB0">
        <w:trPr>
          <w:trHeight w:val="20"/>
        </w:trPr>
        <w:tc>
          <w:tcPr>
            <w:tcW w:w="3096" w:type="dxa"/>
            <w:tcBorders>
              <w:top w:val="single" w:sz="5" w:space="0" w:color="000000"/>
              <w:left w:val="single" w:sz="5" w:space="0" w:color="000000"/>
              <w:bottom w:val="single" w:sz="5" w:space="0" w:color="000000"/>
              <w:right w:val="single" w:sz="5" w:space="0" w:color="000000"/>
            </w:tcBorders>
          </w:tcPr>
          <w:p w14:paraId="598CD40E"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096" w:type="dxa"/>
            <w:tcBorders>
              <w:top w:val="single" w:sz="5" w:space="0" w:color="000000"/>
              <w:left w:val="single" w:sz="5" w:space="0" w:color="000000"/>
              <w:bottom w:val="single" w:sz="5" w:space="0" w:color="000000"/>
              <w:right w:val="single" w:sz="5" w:space="0" w:color="000000"/>
            </w:tcBorders>
          </w:tcPr>
          <w:p w14:paraId="0AB00158"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1D3041CC" w14:textId="77777777" w:rsidR="00E04C8A" w:rsidRDefault="008E1817">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096" w:type="dxa"/>
            <w:tcBorders>
              <w:top w:val="single" w:sz="5" w:space="0" w:color="000000"/>
              <w:left w:val="single" w:sz="5" w:space="0" w:color="000000"/>
              <w:bottom w:val="single" w:sz="5" w:space="0" w:color="000000"/>
              <w:right w:val="single" w:sz="5" w:space="0" w:color="000000"/>
            </w:tcBorders>
          </w:tcPr>
          <w:p w14:paraId="5F58E4C2"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E04C8A" w:rsidRPr="00475A1E" w14:paraId="279862C9" w14:textId="77777777" w:rsidTr="00337BB0">
        <w:trPr>
          <w:trHeight w:val="20"/>
        </w:trPr>
        <w:tc>
          <w:tcPr>
            <w:tcW w:w="3096" w:type="dxa"/>
            <w:tcBorders>
              <w:top w:val="single" w:sz="5" w:space="0" w:color="000000"/>
              <w:left w:val="single" w:sz="5" w:space="0" w:color="000000"/>
              <w:bottom w:val="single" w:sz="5" w:space="0" w:color="000000"/>
              <w:right w:val="single" w:sz="5" w:space="0" w:color="000000"/>
            </w:tcBorders>
          </w:tcPr>
          <w:p w14:paraId="4BCB317A"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Odrasli</w:t>
            </w:r>
          </w:p>
        </w:tc>
        <w:tc>
          <w:tcPr>
            <w:tcW w:w="3096" w:type="dxa"/>
            <w:tcBorders>
              <w:top w:val="single" w:sz="5" w:space="0" w:color="000000"/>
              <w:left w:val="single" w:sz="5" w:space="0" w:color="000000"/>
              <w:bottom w:val="single" w:sz="5" w:space="0" w:color="000000"/>
              <w:right w:val="single" w:sz="5" w:space="0" w:color="000000"/>
            </w:tcBorders>
          </w:tcPr>
          <w:p w14:paraId="4D35EE8F"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40 mg vsak drugi teden</w:t>
            </w:r>
          </w:p>
        </w:tc>
        <w:tc>
          <w:tcPr>
            <w:tcW w:w="3096" w:type="dxa"/>
            <w:tcBorders>
              <w:top w:val="single" w:sz="5" w:space="0" w:color="000000"/>
              <w:left w:val="single" w:sz="5" w:space="0" w:color="000000"/>
              <w:bottom w:val="single" w:sz="5" w:space="0" w:color="000000"/>
              <w:right w:val="single" w:sz="5" w:space="0" w:color="000000"/>
            </w:tcBorders>
          </w:tcPr>
          <w:p w14:paraId="112249F1" w14:textId="2F883E6F" w:rsidR="00E04C8A" w:rsidRDefault="008E1817" w:rsidP="001452D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Pri revmatoidnem artritisu</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se uporaba metotreksata med uporabo zdravila Yuflyma nadaljuje. Če vaš zdravnik ugotovi, da metotreksat ni primeren, lahko zdravilo Yuflyma dobivate samo.</w:t>
            </w:r>
          </w:p>
          <w:p w14:paraId="6B7B6DC7" w14:textId="77777777" w:rsidR="00E04C8A" w:rsidRDefault="00E04C8A">
            <w:pPr>
              <w:pStyle w:val="TableParagraph"/>
              <w:spacing w:before="13" w:line="240" w:lineRule="exact"/>
              <w:rPr>
                <w:sz w:val="24"/>
                <w:szCs w:val="24"/>
                <w:lang w:val="sl-SI"/>
              </w:rPr>
            </w:pPr>
          </w:p>
          <w:p w14:paraId="792F5337" w14:textId="77777777" w:rsidR="00E04C8A" w:rsidRDefault="008E1817">
            <w:pPr>
              <w:pStyle w:val="TableParagraph"/>
              <w:ind w:left="102" w:right="127"/>
              <w:rPr>
                <w:rFonts w:ascii="Times New Roman" w:eastAsia="Times New Roman" w:hAnsi="Times New Roman" w:cs="Times New Roman"/>
                <w:lang w:val="sl-SI"/>
              </w:rPr>
            </w:pPr>
            <w:r>
              <w:rPr>
                <w:rFonts w:ascii="Times New Roman" w:eastAsia="Times New Roman" w:hAnsi="Times New Roman" w:cs="Times New Roman"/>
                <w:spacing w:val="-1"/>
                <w:lang w:val="sl-SI"/>
              </w:rPr>
              <w:t>Če imate revmatoidni artritis in hkrati z zdravilom Yuflyma ne dobivate metotreksata, vam bo zdravnik morda predpisal zdravilo Yuflyma 40 mg vsak teden ali 80 mg vsak drugi teden.</w:t>
            </w:r>
          </w:p>
        </w:tc>
      </w:tr>
    </w:tbl>
    <w:p w14:paraId="1C1291F6" w14:textId="77777777" w:rsidR="00E04C8A" w:rsidRDefault="00E04C8A">
      <w:pPr>
        <w:spacing w:before="12"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04C8A" w14:paraId="49AD50EC" w14:textId="77777777" w:rsidTr="001452D7">
        <w:tc>
          <w:tcPr>
            <w:tcW w:w="9288" w:type="dxa"/>
            <w:gridSpan w:val="3"/>
            <w:tcBorders>
              <w:top w:val="single" w:sz="5" w:space="0" w:color="000000"/>
              <w:left w:val="single" w:sz="5" w:space="0" w:color="000000"/>
              <w:bottom w:val="single" w:sz="5" w:space="0" w:color="000000"/>
              <w:right w:val="single" w:sz="5" w:space="0" w:color="000000"/>
            </w:tcBorders>
          </w:tcPr>
          <w:p w14:paraId="0F765526" w14:textId="77777777" w:rsidR="00E04C8A" w:rsidRDefault="008E1817">
            <w:pPr>
              <w:pStyle w:val="TableParagraph"/>
              <w:spacing w:line="250"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Poliartikularni juvenilni idiopatski artritis</w:t>
            </w:r>
          </w:p>
        </w:tc>
      </w:tr>
      <w:tr w:rsidR="00E04C8A" w14:paraId="080C0261"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19063777"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096" w:type="dxa"/>
            <w:tcBorders>
              <w:top w:val="single" w:sz="5" w:space="0" w:color="000000"/>
              <w:left w:val="single" w:sz="5" w:space="0" w:color="000000"/>
              <w:bottom w:val="single" w:sz="5" w:space="0" w:color="000000"/>
              <w:right w:val="single" w:sz="5" w:space="0" w:color="000000"/>
            </w:tcBorders>
          </w:tcPr>
          <w:p w14:paraId="1E8A9FE2"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472457CD" w14:textId="77777777" w:rsidR="00E04C8A" w:rsidRDefault="008E1817">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096" w:type="dxa"/>
            <w:tcBorders>
              <w:top w:val="single" w:sz="5" w:space="0" w:color="000000"/>
              <w:left w:val="single" w:sz="5" w:space="0" w:color="000000"/>
              <w:bottom w:val="single" w:sz="5" w:space="0" w:color="000000"/>
              <w:right w:val="single" w:sz="5" w:space="0" w:color="000000"/>
            </w:tcBorders>
          </w:tcPr>
          <w:p w14:paraId="58491DE0"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E04C8A" w14:paraId="7FA6D53D"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2C891465" w14:textId="18D0077C" w:rsidR="00E04C8A" w:rsidRDefault="008E1817" w:rsidP="001452D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Otroci, mladostniki in odrasli</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starejši od 2 let, s telesno maso 30 kg ali več</w:t>
            </w:r>
          </w:p>
        </w:tc>
        <w:tc>
          <w:tcPr>
            <w:tcW w:w="3096" w:type="dxa"/>
            <w:tcBorders>
              <w:top w:val="single" w:sz="5" w:space="0" w:color="000000"/>
              <w:left w:val="single" w:sz="5" w:space="0" w:color="000000"/>
              <w:bottom w:val="single" w:sz="5" w:space="0" w:color="000000"/>
              <w:right w:val="single" w:sz="5" w:space="0" w:color="000000"/>
            </w:tcBorders>
          </w:tcPr>
          <w:p w14:paraId="21E02F00"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40 mg vsak drugi teden</w:t>
            </w:r>
          </w:p>
        </w:tc>
        <w:tc>
          <w:tcPr>
            <w:tcW w:w="3096" w:type="dxa"/>
            <w:tcBorders>
              <w:top w:val="single" w:sz="5" w:space="0" w:color="000000"/>
              <w:left w:val="single" w:sz="5" w:space="0" w:color="000000"/>
              <w:bottom w:val="single" w:sz="5" w:space="0" w:color="000000"/>
              <w:right w:val="single" w:sz="5" w:space="0" w:color="000000"/>
            </w:tcBorders>
          </w:tcPr>
          <w:p w14:paraId="3077D157"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Navedba smiselno ni potrebna.</w:t>
            </w:r>
          </w:p>
        </w:tc>
      </w:tr>
      <w:tr w:rsidR="0026401E" w14:paraId="7D6270A2"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07805027" w14:textId="62E50A30" w:rsidR="0026401E" w:rsidRDefault="0026401E" w:rsidP="0026401E">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Otroci in mladostniki, starejši od 2 let, ki tehtajo od 10 kg do manj kot 30 kg</w:t>
            </w:r>
          </w:p>
        </w:tc>
        <w:tc>
          <w:tcPr>
            <w:tcW w:w="3096" w:type="dxa"/>
            <w:tcBorders>
              <w:top w:val="single" w:sz="5" w:space="0" w:color="000000"/>
              <w:left w:val="single" w:sz="5" w:space="0" w:color="000000"/>
              <w:bottom w:val="single" w:sz="5" w:space="0" w:color="000000"/>
              <w:right w:val="single" w:sz="5" w:space="0" w:color="000000"/>
            </w:tcBorders>
          </w:tcPr>
          <w:p w14:paraId="608FA934" w14:textId="07C4B466" w:rsidR="0026401E" w:rsidRDefault="0026401E" w:rsidP="0026401E">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20 mg vsak drugi teden</w:t>
            </w:r>
          </w:p>
        </w:tc>
        <w:tc>
          <w:tcPr>
            <w:tcW w:w="3096" w:type="dxa"/>
            <w:tcBorders>
              <w:top w:val="single" w:sz="5" w:space="0" w:color="000000"/>
              <w:left w:val="single" w:sz="5" w:space="0" w:color="000000"/>
              <w:bottom w:val="single" w:sz="5" w:space="0" w:color="000000"/>
              <w:right w:val="single" w:sz="5" w:space="0" w:color="000000"/>
            </w:tcBorders>
          </w:tcPr>
          <w:p w14:paraId="025B2336" w14:textId="2049622E" w:rsidR="0026401E" w:rsidRDefault="0026401E" w:rsidP="0026401E">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Navedba smiselno ni potrebna.</w:t>
            </w:r>
          </w:p>
        </w:tc>
      </w:tr>
    </w:tbl>
    <w:p w14:paraId="3E4F6ECF" w14:textId="77777777" w:rsidR="00E04C8A" w:rsidRDefault="00E04C8A">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04C8A" w14:paraId="20582A8C" w14:textId="77777777" w:rsidTr="001452D7">
        <w:tc>
          <w:tcPr>
            <w:tcW w:w="9288" w:type="dxa"/>
            <w:gridSpan w:val="3"/>
            <w:tcBorders>
              <w:top w:val="single" w:sz="5" w:space="0" w:color="000000"/>
              <w:left w:val="single" w:sz="5" w:space="0" w:color="000000"/>
              <w:bottom w:val="single" w:sz="5" w:space="0" w:color="000000"/>
              <w:right w:val="single" w:sz="5" w:space="0" w:color="000000"/>
            </w:tcBorders>
          </w:tcPr>
          <w:p w14:paraId="085AD98A" w14:textId="77777777" w:rsidR="00E04C8A" w:rsidRDefault="008E1817">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Artritis, povezan z entezitisom</w:t>
            </w:r>
          </w:p>
        </w:tc>
      </w:tr>
      <w:tr w:rsidR="00E04C8A" w14:paraId="48D8FF7D"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7165052A"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096" w:type="dxa"/>
            <w:tcBorders>
              <w:top w:val="single" w:sz="5" w:space="0" w:color="000000"/>
              <w:left w:val="single" w:sz="5" w:space="0" w:color="000000"/>
              <w:bottom w:val="single" w:sz="5" w:space="0" w:color="000000"/>
              <w:right w:val="single" w:sz="5" w:space="0" w:color="000000"/>
            </w:tcBorders>
          </w:tcPr>
          <w:p w14:paraId="4B8400F6"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2225BC01" w14:textId="77777777" w:rsidR="00E04C8A" w:rsidRDefault="008E1817">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096" w:type="dxa"/>
            <w:tcBorders>
              <w:top w:val="single" w:sz="5" w:space="0" w:color="000000"/>
              <w:left w:val="single" w:sz="5" w:space="0" w:color="000000"/>
              <w:bottom w:val="single" w:sz="5" w:space="0" w:color="000000"/>
              <w:right w:val="single" w:sz="5" w:space="0" w:color="000000"/>
            </w:tcBorders>
          </w:tcPr>
          <w:p w14:paraId="1CAA35A7"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E04C8A" w14:paraId="25FCCAD6"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4F2B0B95" w14:textId="7FBBEDBE" w:rsidR="00E04C8A" w:rsidRDefault="008E1817" w:rsidP="001452D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Otroci, mladostniki in odrasli</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starejši od 6 let, s telesno maso 30 kg ali več</w:t>
            </w:r>
          </w:p>
        </w:tc>
        <w:tc>
          <w:tcPr>
            <w:tcW w:w="3096" w:type="dxa"/>
            <w:tcBorders>
              <w:top w:val="single" w:sz="5" w:space="0" w:color="000000"/>
              <w:left w:val="single" w:sz="5" w:space="0" w:color="000000"/>
              <w:bottom w:val="single" w:sz="5" w:space="0" w:color="000000"/>
              <w:right w:val="single" w:sz="5" w:space="0" w:color="000000"/>
            </w:tcBorders>
          </w:tcPr>
          <w:p w14:paraId="41683715"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40 mg vsak drugi teden</w:t>
            </w:r>
          </w:p>
        </w:tc>
        <w:tc>
          <w:tcPr>
            <w:tcW w:w="3096" w:type="dxa"/>
            <w:tcBorders>
              <w:top w:val="single" w:sz="5" w:space="0" w:color="000000"/>
              <w:left w:val="single" w:sz="5" w:space="0" w:color="000000"/>
              <w:bottom w:val="single" w:sz="5" w:space="0" w:color="000000"/>
              <w:right w:val="single" w:sz="5" w:space="0" w:color="000000"/>
            </w:tcBorders>
          </w:tcPr>
          <w:p w14:paraId="5616064E"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Navedba smiselno ni potrebna.</w:t>
            </w:r>
          </w:p>
        </w:tc>
      </w:tr>
      <w:tr w:rsidR="0026401E" w14:paraId="0DCFBFF3"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20364B6B" w14:textId="548D188B" w:rsidR="0026401E" w:rsidRDefault="0026401E" w:rsidP="0026401E">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Otroci in mladostniki, starejši od 6 let, ki tehtajo od 15 kg do manj kot 30 kg</w:t>
            </w:r>
          </w:p>
        </w:tc>
        <w:tc>
          <w:tcPr>
            <w:tcW w:w="3096" w:type="dxa"/>
            <w:tcBorders>
              <w:top w:val="single" w:sz="5" w:space="0" w:color="000000"/>
              <w:left w:val="single" w:sz="5" w:space="0" w:color="000000"/>
              <w:bottom w:val="single" w:sz="5" w:space="0" w:color="000000"/>
              <w:right w:val="single" w:sz="5" w:space="0" w:color="000000"/>
            </w:tcBorders>
          </w:tcPr>
          <w:p w14:paraId="5DF8083C" w14:textId="43F37073" w:rsidR="0026401E" w:rsidRDefault="0026401E" w:rsidP="0026401E">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20 mg vsak drugi teden</w:t>
            </w:r>
          </w:p>
        </w:tc>
        <w:tc>
          <w:tcPr>
            <w:tcW w:w="3096" w:type="dxa"/>
            <w:tcBorders>
              <w:top w:val="single" w:sz="5" w:space="0" w:color="000000"/>
              <w:left w:val="single" w:sz="5" w:space="0" w:color="000000"/>
              <w:bottom w:val="single" w:sz="5" w:space="0" w:color="000000"/>
              <w:right w:val="single" w:sz="5" w:space="0" w:color="000000"/>
            </w:tcBorders>
          </w:tcPr>
          <w:p w14:paraId="0F60C0C3" w14:textId="6D2DD174" w:rsidR="0026401E" w:rsidRDefault="0026401E" w:rsidP="0026401E">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Navedba smiselno ni potrebna.</w:t>
            </w:r>
          </w:p>
        </w:tc>
      </w:tr>
    </w:tbl>
    <w:p w14:paraId="6DFE27D1" w14:textId="77777777" w:rsidR="00E04C8A" w:rsidRDefault="00E04C8A">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04C8A" w14:paraId="2250FF1F" w14:textId="77777777" w:rsidTr="001452D7">
        <w:tc>
          <w:tcPr>
            <w:tcW w:w="9288" w:type="dxa"/>
            <w:gridSpan w:val="3"/>
            <w:tcBorders>
              <w:top w:val="single" w:sz="5" w:space="0" w:color="000000"/>
              <w:left w:val="single" w:sz="5" w:space="0" w:color="000000"/>
              <w:bottom w:val="single" w:sz="5" w:space="0" w:color="000000"/>
              <w:right w:val="single" w:sz="5" w:space="0" w:color="000000"/>
            </w:tcBorders>
          </w:tcPr>
          <w:p w14:paraId="4A4A5FFB" w14:textId="77777777" w:rsidR="00E04C8A" w:rsidRDefault="008E1817">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Luskavica (psoriaza) v plakih</w:t>
            </w:r>
          </w:p>
        </w:tc>
      </w:tr>
      <w:tr w:rsidR="00E04C8A" w14:paraId="4B2DB132"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1858010F"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096" w:type="dxa"/>
            <w:tcBorders>
              <w:top w:val="single" w:sz="5" w:space="0" w:color="000000"/>
              <w:left w:val="single" w:sz="5" w:space="0" w:color="000000"/>
              <w:bottom w:val="single" w:sz="5" w:space="0" w:color="000000"/>
              <w:right w:val="single" w:sz="5" w:space="0" w:color="000000"/>
            </w:tcBorders>
          </w:tcPr>
          <w:p w14:paraId="032D6A27"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004E1B82" w14:textId="77777777" w:rsidR="00E04C8A" w:rsidRDefault="008E1817">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096" w:type="dxa"/>
            <w:tcBorders>
              <w:top w:val="single" w:sz="5" w:space="0" w:color="000000"/>
              <w:left w:val="single" w:sz="5" w:space="0" w:color="000000"/>
              <w:bottom w:val="single" w:sz="5" w:space="0" w:color="000000"/>
              <w:right w:val="single" w:sz="5" w:space="0" w:color="000000"/>
            </w:tcBorders>
          </w:tcPr>
          <w:p w14:paraId="4F820CB1"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E04C8A" w:rsidRPr="00475A1E" w14:paraId="3DD18A6A"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32F39F03"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Odrasli</w:t>
            </w:r>
          </w:p>
        </w:tc>
        <w:tc>
          <w:tcPr>
            <w:tcW w:w="3096" w:type="dxa"/>
            <w:tcBorders>
              <w:top w:val="single" w:sz="5" w:space="0" w:color="000000"/>
              <w:left w:val="single" w:sz="5" w:space="0" w:color="000000"/>
              <w:bottom w:val="single" w:sz="5" w:space="0" w:color="000000"/>
              <w:right w:val="single" w:sz="5" w:space="0" w:color="000000"/>
            </w:tcBorders>
          </w:tcPr>
          <w:p w14:paraId="62B0C067" w14:textId="3B23F976" w:rsidR="00E04C8A" w:rsidRDefault="008E1817" w:rsidP="004E161B">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Prvi odmerek 80 mg (dve 40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injekciji v enem dnevu), nato pa 40 mg vsak drugi teden, z začetkom en teden po začetnem odmerku.</w:t>
            </w:r>
          </w:p>
        </w:tc>
        <w:tc>
          <w:tcPr>
            <w:tcW w:w="3096" w:type="dxa"/>
            <w:tcBorders>
              <w:top w:val="single" w:sz="5" w:space="0" w:color="000000"/>
              <w:left w:val="single" w:sz="5" w:space="0" w:color="000000"/>
              <w:bottom w:val="single" w:sz="5" w:space="0" w:color="000000"/>
              <w:right w:val="single" w:sz="5" w:space="0" w:color="000000"/>
            </w:tcBorders>
          </w:tcPr>
          <w:p w14:paraId="66FE1DFE" w14:textId="7EB654D0" w:rsidR="00E04C8A" w:rsidRDefault="008E1817" w:rsidP="001452D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Če imate neustrezen odziv, lahko zdravnik poveča odmerek na 40 mg vsak teden ali 80 mg vsak drugi teden.</w:t>
            </w:r>
          </w:p>
        </w:tc>
      </w:tr>
      <w:tr w:rsidR="00E04C8A" w14:paraId="32C7B41A"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6C71FBA3" w14:textId="3C52ABF3" w:rsidR="00E04C8A" w:rsidRPr="00D8507F" w:rsidRDefault="008E1817">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Otroci in mladostniki, stari od 4</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do 17 let</w:t>
            </w:r>
            <w:r w:rsidR="0026401E">
              <w:rPr>
                <w:rFonts w:ascii="Times New Roman" w:eastAsia="Times New Roman" w:hAnsi="Times New Roman" w:cs="Times New Roman"/>
                <w:spacing w:val="-1"/>
                <w:lang w:val="sl-SI"/>
              </w:rPr>
              <w:t>, ki tehtajo</w:t>
            </w:r>
            <w:r>
              <w:rPr>
                <w:rFonts w:ascii="Times New Roman" w:eastAsia="Times New Roman" w:hAnsi="Times New Roman" w:cs="Times New Roman"/>
                <w:spacing w:val="-1"/>
                <w:lang w:val="sl-SI"/>
              </w:rPr>
              <w:t xml:space="preserve"> 30 kg ali več</w:t>
            </w:r>
          </w:p>
        </w:tc>
        <w:tc>
          <w:tcPr>
            <w:tcW w:w="3096" w:type="dxa"/>
            <w:tcBorders>
              <w:top w:val="single" w:sz="5" w:space="0" w:color="000000"/>
              <w:left w:val="single" w:sz="5" w:space="0" w:color="000000"/>
              <w:bottom w:val="single" w:sz="5" w:space="0" w:color="000000"/>
              <w:right w:val="single" w:sz="5" w:space="0" w:color="000000"/>
            </w:tcBorders>
          </w:tcPr>
          <w:p w14:paraId="15299836" w14:textId="4A9B5FF8" w:rsidR="00E04C8A" w:rsidRDefault="008E1817" w:rsidP="001452D7">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Prvi odmerek 40 mg, </w:t>
            </w:r>
            <w:r w:rsidR="0026401E">
              <w:rPr>
                <w:rFonts w:ascii="Times New Roman" w:eastAsia="Times New Roman" w:hAnsi="Times New Roman" w:cs="Times New Roman"/>
                <w:spacing w:val="-1"/>
                <w:lang w:val="sl-SI"/>
              </w:rPr>
              <w:t>kateremu</w:t>
            </w:r>
            <w:r>
              <w:rPr>
                <w:rFonts w:ascii="Times New Roman" w:eastAsia="Times New Roman" w:hAnsi="Times New Roman" w:cs="Times New Roman"/>
                <w:spacing w:val="-1"/>
                <w:lang w:val="sl-SI"/>
              </w:rPr>
              <w:t xml:space="preserve"> sledi</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40 mg en teden kasneje.</w:t>
            </w:r>
          </w:p>
          <w:p w14:paraId="49E0471B" w14:textId="77777777" w:rsidR="0026401E" w:rsidRDefault="0026401E" w:rsidP="001452D7">
            <w:pPr>
              <w:pStyle w:val="TableParagraph"/>
              <w:spacing w:line="246" w:lineRule="exact"/>
              <w:ind w:left="102" w:right="57"/>
              <w:rPr>
                <w:rFonts w:ascii="Times New Roman" w:eastAsia="Times New Roman" w:hAnsi="Times New Roman" w:cs="Times New Roman"/>
                <w:spacing w:val="-1"/>
                <w:lang w:val="sl-SI"/>
              </w:rPr>
            </w:pPr>
          </w:p>
          <w:p w14:paraId="415E8FE0" w14:textId="547E690E" w:rsidR="00E04C8A" w:rsidRDefault="008E1817" w:rsidP="001452D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lang w:val="sl-SI"/>
              </w:rPr>
              <w:t>Nato je običajni odmerek 40 </w:t>
            </w:r>
            <w:r>
              <w:rPr>
                <w:rFonts w:ascii="Times New Roman" w:eastAsia="Times New Roman" w:hAnsi="Times New Roman" w:cs="Times New Roman"/>
                <w:spacing w:val="-1"/>
                <w:lang w:val="sl-SI"/>
              </w:rPr>
              <w:t>mg vsak drugi teden.</w:t>
            </w:r>
          </w:p>
        </w:tc>
        <w:tc>
          <w:tcPr>
            <w:tcW w:w="3096" w:type="dxa"/>
            <w:tcBorders>
              <w:top w:val="single" w:sz="5" w:space="0" w:color="000000"/>
              <w:left w:val="single" w:sz="5" w:space="0" w:color="000000"/>
              <w:bottom w:val="single" w:sz="5" w:space="0" w:color="000000"/>
              <w:right w:val="single" w:sz="5" w:space="0" w:color="000000"/>
            </w:tcBorders>
          </w:tcPr>
          <w:p w14:paraId="63C25F1C" w14:textId="45BD8D00"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Navedba </w:t>
            </w:r>
            <w:r w:rsidR="0026401E">
              <w:rPr>
                <w:rFonts w:ascii="Times New Roman" w:eastAsia="Times New Roman" w:hAnsi="Times New Roman" w:cs="Times New Roman"/>
                <w:spacing w:val="-1"/>
                <w:lang w:val="sl-SI"/>
              </w:rPr>
              <w:t xml:space="preserve">ni </w:t>
            </w:r>
            <w:r>
              <w:rPr>
                <w:rFonts w:ascii="Times New Roman" w:eastAsia="Times New Roman" w:hAnsi="Times New Roman" w:cs="Times New Roman"/>
                <w:spacing w:val="-1"/>
                <w:lang w:val="sl-SI"/>
              </w:rPr>
              <w:t>smiseln</w:t>
            </w:r>
            <w:r w:rsidR="0026401E">
              <w:rPr>
                <w:rFonts w:ascii="Times New Roman" w:eastAsia="Times New Roman" w:hAnsi="Times New Roman" w:cs="Times New Roman"/>
                <w:spacing w:val="-1"/>
                <w:lang w:val="sl-SI"/>
              </w:rPr>
              <w:t>a</w:t>
            </w:r>
            <w:r>
              <w:rPr>
                <w:rFonts w:ascii="Times New Roman" w:eastAsia="Times New Roman" w:hAnsi="Times New Roman" w:cs="Times New Roman"/>
                <w:spacing w:val="-1"/>
                <w:lang w:val="sl-SI"/>
              </w:rPr>
              <w:t>.</w:t>
            </w:r>
          </w:p>
        </w:tc>
      </w:tr>
      <w:tr w:rsidR="0026401E" w14:paraId="0026277C"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2F3FF4C0" w14:textId="10979097" w:rsidR="0026401E" w:rsidRDefault="0026401E" w:rsidP="0026401E">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Otroci in mladostniki, stari od </w:t>
            </w:r>
            <w:r>
              <w:rPr>
                <w:rFonts w:ascii="Times New Roman" w:eastAsia="Times New Roman" w:hAnsi="Times New Roman" w:cs="Times New Roman"/>
                <w:spacing w:val="-1"/>
                <w:lang w:val="sl-SI"/>
              </w:rPr>
              <w:lastRenderedPageBreak/>
              <w:t>4 do 17 let, ki tehtajo od 15 kg do manj kot 30 kg</w:t>
            </w:r>
          </w:p>
        </w:tc>
        <w:tc>
          <w:tcPr>
            <w:tcW w:w="3096" w:type="dxa"/>
            <w:tcBorders>
              <w:top w:val="single" w:sz="5" w:space="0" w:color="000000"/>
              <w:left w:val="single" w:sz="5" w:space="0" w:color="000000"/>
              <w:bottom w:val="single" w:sz="5" w:space="0" w:color="000000"/>
              <w:right w:val="single" w:sz="5" w:space="0" w:color="000000"/>
            </w:tcBorders>
          </w:tcPr>
          <w:p w14:paraId="09239CBC" w14:textId="77777777" w:rsidR="0026401E" w:rsidRDefault="0026401E" w:rsidP="0026401E">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lastRenderedPageBreak/>
              <w:t xml:space="preserve">Prvi odmerek je 20 mg, kateremu  </w:t>
            </w:r>
            <w:r>
              <w:rPr>
                <w:rFonts w:ascii="Times New Roman" w:eastAsia="Times New Roman" w:hAnsi="Times New Roman" w:cs="Times New Roman"/>
                <w:spacing w:val="-1"/>
                <w:lang w:val="sl-SI"/>
              </w:rPr>
              <w:lastRenderedPageBreak/>
              <w:t>sledi 20 mg en teden kasneje.</w:t>
            </w:r>
          </w:p>
          <w:p w14:paraId="3640967D" w14:textId="77777777" w:rsidR="0026401E" w:rsidRPr="00C85A7C" w:rsidRDefault="0026401E" w:rsidP="0026401E">
            <w:pPr>
              <w:pStyle w:val="TableParagraph"/>
              <w:spacing w:line="246" w:lineRule="exact"/>
              <w:ind w:left="102" w:right="57"/>
              <w:rPr>
                <w:rFonts w:ascii="Times New Roman" w:eastAsia="Times New Roman" w:hAnsi="Times New Roman" w:cs="Times New Roman"/>
                <w:spacing w:val="-1"/>
                <w:lang w:val="sl-SI"/>
              </w:rPr>
            </w:pPr>
          </w:p>
          <w:p w14:paraId="439D2984" w14:textId="66DA0A1B" w:rsidR="0026401E" w:rsidRDefault="0026401E" w:rsidP="0026401E">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lang w:val="sl-SI"/>
              </w:rPr>
              <w:t>Nato je običajni odmerek 20 </w:t>
            </w:r>
            <w:r>
              <w:rPr>
                <w:rFonts w:ascii="Times New Roman" w:eastAsia="Times New Roman" w:hAnsi="Times New Roman" w:cs="Times New Roman"/>
                <w:spacing w:val="-1"/>
                <w:lang w:val="sl-SI"/>
              </w:rPr>
              <w:t>mg vsak drugi teden.</w:t>
            </w:r>
          </w:p>
        </w:tc>
        <w:tc>
          <w:tcPr>
            <w:tcW w:w="3096" w:type="dxa"/>
            <w:tcBorders>
              <w:top w:val="single" w:sz="5" w:space="0" w:color="000000"/>
              <w:left w:val="single" w:sz="5" w:space="0" w:color="000000"/>
              <w:bottom w:val="single" w:sz="5" w:space="0" w:color="000000"/>
              <w:right w:val="single" w:sz="5" w:space="0" w:color="000000"/>
            </w:tcBorders>
          </w:tcPr>
          <w:p w14:paraId="7F4E7687" w14:textId="55C29FB3" w:rsidR="0026401E" w:rsidRDefault="0026401E" w:rsidP="0026401E">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lastRenderedPageBreak/>
              <w:t>Navedba ni smiselna.</w:t>
            </w:r>
          </w:p>
        </w:tc>
      </w:tr>
    </w:tbl>
    <w:p w14:paraId="325517BF" w14:textId="77777777" w:rsidR="00E04C8A" w:rsidRDefault="00E04C8A">
      <w:pPr>
        <w:spacing w:before="7" w:line="90" w:lineRule="exact"/>
        <w:rPr>
          <w:sz w:val="9"/>
          <w:szCs w:val="9"/>
          <w:lang w:val="sl-SI"/>
        </w:rPr>
      </w:pPr>
    </w:p>
    <w:p w14:paraId="057CCD1D" w14:textId="77777777" w:rsidR="00E04C8A" w:rsidRDefault="00E04C8A">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04C8A" w14:paraId="5AAAB4CC" w14:textId="77777777" w:rsidTr="001452D7">
        <w:tc>
          <w:tcPr>
            <w:tcW w:w="9288" w:type="dxa"/>
            <w:gridSpan w:val="3"/>
            <w:tcBorders>
              <w:top w:val="single" w:sz="5" w:space="0" w:color="000000"/>
              <w:left w:val="single" w:sz="5" w:space="0" w:color="000000"/>
              <w:bottom w:val="single" w:sz="5" w:space="0" w:color="000000"/>
              <w:right w:val="single" w:sz="5" w:space="0" w:color="000000"/>
            </w:tcBorders>
          </w:tcPr>
          <w:p w14:paraId="1FD57308" w14:textId="77777777" w:rsidR="00E04C8A" w:rsidRDefault="008E1817">
            <w:pPr>
              <w:pStyle w:val="TableParagraph"/>
              <w:spacing w:line="251"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Hidradenitis suppurativa</w:t>
            </w:r>
          </w:p>
        </w:tc>
      </w:tr>
      <w:tr w:rsidR="00E04C8A" w14:paraId="6EE1934F"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61E6ED78"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096" w:type="dxa"/>
            <w:tcBorders>
              <w:top w:val="single" w:sz="5" w:space="0" w:color="000000"/>
              <w:left w:val="single" w:sz="5" w:space="0" w:color="000000"/>
              <w:bottom w:val="single" w:sz="5" w:space="0" w:color="000000"/>
              <w:right w:val="single" w:sz="5" w:space="0" w:color="000000"/>
            </w:tcBorders>
          </w:tcPr>
          <w:p w14:paraId="7330FBFE" w14:textId="77777777" w:rsidR="00E04C8A" w:rsidRDefault="008E1817">
            <w:pPr>
              <w:pStyle w:val="TableParagraph"/>
              <w:spacing w:before="1"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 vzeti?</w:t>
            </w:r>
          </w:p>
        </w:tc>
        <w:tc>
          <w:tcPr>
            <w:tcW w:w="3096" w:type="dxa"/>
            <w:tcBorders>
              <w:top w:val="single" w:sz="5" w:space="0" w:color="000000"/>
              <w:left w:val="single" w:sz="5" w:space="0" w:color="000000"/>
              <w:bottom w:val="single" w:sz="5" w:space="0" w:color="000000"/>
              <w:right w:val="single" w:sz="5" w:space="0" w:color="000000"/>
            </w:tcBorders>
          </w:tcPr>
          <w:p w14:paraId="39403297"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E04C8A" w:rsidRPr="00475A1E" w14:paraId="3868CFE3"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5EDD3057" w14:textId="77777777" w:rsidR="00E04C8A" w:rsidRDefault="008E1817">
            <w:pPr>
              <w:pStyle w:val="TableParagraph"/>
              <w:spacing w:line="248"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Odrasli</w:t>
            </w:r>
          </w:p>
        </w:tc>
        <w:tc>
          <w:tcPr>
            <w:tcW w:w="3096" w:type="dxa"/>
            <w:tcBorders>
              <w:top w:val="single" w:sz="5" w:space="0" w:color="000000"/>
              <w:left w:val="single" w:sz="5" w:space="0" w:color="000000"/>
              <w:bottom w:val="single" w:sz="5" w:space="0" w:color="000000"/>
              <w:right w:val="single" w:sz="5" w:space="0" w:color="000000"/>
            </w:tcBorders>
          </w:tcPr>
          <w:p w14:paraId="69D90831" w14:textId="1D38CFC5" w:rsidR="00E04C8A" w:rsidRDefault="008E1817" w:rsidP="001452D7">
            <w:pPr>
              <w:pStyle w:val="TableParagraph"/>
              <w:spacing w:line="248"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Prvi 160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odmerek (štiri 40</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 xml:space="preserve">injekcije v enem dnevu ali dve 40 mg injekciji na dan </w:t>
            </w:r>
            <w:r w:rsidR="00D8507F">
              <w:rPr>
                <w:rFonts w:ascii="Times New Roman" w:eastAsia="Times New Roman" w:hAnsi="Times New Roman" w:cs="Times New Roman"/>
                <w:spacing w:val="-1"/>
                <w:lang w:val="sl-SI"/>
              </w:rPr>
              <w:t>dva zaporedna dneva</w:t>
            </w:r>
            <w:r>
              <w:rPr>
                <w:rFonts w:ascii="Times New Roman" w:eastAsia="Times New Roman" w:hAnsi="Times New Roman" w:cs="Times New Roman"/>
                <w:spacing w:val="-1"/>
                <w:lang w:val="sl-SI"/>
              </w:rPr>
              <w:t>), ki mu sledi odmerek 80 mg (dve 40</w:t>
            </w:r>
            <w:r w:rsidR="00D8507F">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w:t>
            </w:r>
          </w:p>
          <w:p w14:paraId="79DD6DA8" w14:textId="7A626F41" w:rsidR="00E04C8A" w:rsidRDefault="008E1817" w:rsidP="001452D7">
            <w:pPr>
              <w:pStyle w:val="TableParagraph"/>
              <w:spacing w:before="2" w:line="252" w:lineRule="exact"/>
              <w:ind w:left="102" w:right="193"/>
              <w:rPr>
                <w:rFonts w:ascii="Times New Roman" w:eastAsia="Times New Roman" w:hAnsi="Times New Roman" w:cs="Times New Roman"/>
                <w:lang w:val="sl-SI"/>
              </w:rPr>
            </w:pPr>
            <w:r>
              <w:rPr>
                <w:rFonts w:ascii="Times New Roman" w:eastAsia="Times New Roman" w:hAnsi="Times New Roman" w:cs="Times New Roman"/>
                <w:spacing w:val="-1"/>
                <w:lang w:val="sl-SI"/>
              </w:rPr>
              <w:t>injekciji v enem dnevu) dva tedna kasneje. Po dveh dodatnih</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tednih nadaljujte z odmerkom 40 mg vsak teden ali 80 mg</w:t>
            </w:r>
            <w:r w:rsidR="00B93735">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vsak drugi teden, kot vam je predpisal</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zdravnik.</w:t>
            </w:r>
          </w:p>
        </w:tc>
        <w:tc>
          <w:tcPr>
            <w:tcW w:w="3096" w:type="dxa"/>
            <w:tcBorders>
              <w:top w:val="single" w:sz="5" w:space="0" w:color="000000"/>
              <w:left w:val="single" w:sz="5" w:space="0" w:color="000000"/>
              <w:bottom w:val="single" w:sz="5" w:space="0" w:color="000000"/>
              <w:right w:val="single" w:sz="5" w:space="0" w:color="000000"/>
            </w:tcBorders>
          </w:tcPr>
          <w:p w14:paraId="1E297B38" w14:textId="25654A6E" w:rsidR="00E04C8A" w:rsidRDefault="008E1817" w:rsidP="001452D7">
            <w:pPr>
              <w:pStyle w:val="TableParagraph"/>
              <w:spacing w:line="248"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4"/>
                <w:lang w:val="sl-SI"/>
              </w:rPr>
              <w:t xml:space="preserve">Priporočamo </w:t>
            </w:r>
            <w:r w:rsidR="00D8507F">
              <w:rPr>
                <w:rFonts w:ascii="Times New Roman" w:eastAsia="Times New Roman" w:hAnsi="Times New Roman" w:cs="Times New Roman"/>
                <w:spacing w:val="-4"/>
                <w:lang w:val="sl-SI"/>
              </w:rPr>
              <w:t xml:space="preserve">je, da </w:t>
            </w:r>
            <w:r>
              <w:rPr>
                <w:rFonts w:ascii="Times New Roman" w:eastAsia="Times New Roman" w:hAnsi="Times New Roman" w:cs="Times New Roman"/>
                <w:spacing w:val="-1"/>
                <w:lang w:val="sl-SI"/>
              </w:rPr>
              <w:t>na prizadetih področjih vsak dan uporabite antiseptično čistilno sredstvo.</w:t>
            </w:r>
          </w:p>
        </w:tc>
      </w:tr>
      <w:tr w:rsidR="00E04C8A" w:rsidRPr="00475A1E" w14:paraId="500A0EF1"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0AD7BE88" w14:textId="63FE7306" w:rsidR="00E04C8A" w:rsidRDefault="008E1817" w:rsidP="001452D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Mladostniki, stari od 12. do 17. let</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s telesno maso 30 kg ali več</w:t>
            </w:r>
          </w:p>
        </w:tc>
        <w:tc>
          <w:tcPr>
            <w:tcW w:w="3096" w:type="dxa"/>
            <w:tcBorders>
              <w:top w:val="single" w:sz="5" w:space="0" w:color="000000"/>
              <w:left w:val="single" w:sz="5" w:space="0" w:color="000000"/>
              <w:bottom w:val="single" w:sz="5" w:space="0" w:color="000000"/>
              <w:right w:val="single" w:sz="5" w:space="0" w:color="000000"/>
            </w:tcBorders>
          </w:tcPr>
          <w:p w14:paraId="6B22E9CA" w14:textId="278772A3" w:rsidR="00E04C8A" w:rsidRDefault="008E1817" w:rsidP="00D8507F">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Prvi odmerek 80 mg (dve 40</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 xml:space="preserve">injekciji v enem dnevu), </w:t>
            </w:r>
            <w:r w:rsidR="00D8507F">
              <w:rPr>
                <w:rFonts w:ascii="Times New Roman" w:eastAsia="Times New Roman" w:hAnsi="Times New Roman" w:cs="Times New Roman"/>
                <w:spacing w:val="-4"/>
                <w:lang w:val="sl-SI"/>
              </w:rPr>
              <w:t>čemur sledi</w:t>
            </w:r>
            <w:r>
              <w:rPr>
                <w:rFonts w:ascii="Times New Roman" w:eastAsia="Times New Roman" w:hAnsi="Times New Roman" w:cs="Times New Roman"/>
                <w:spacing w:val="-1"/>
                <w:lang w:val="sl-SI"/>
              </w:rPr>
              <w:t xml:space="preserve"> 40 mg vsak drugi teden, z začetkom en teden po začetnem odmerku.</w:t>
            </w:r>
          </w:p>
        </w:tc>
        <w:tc>
          <w:tcPr>
            <w:tcW w:w="3096" w:type="dxa"/>
            <w:tcBorders>
              <w:top w:val="single" w:sz="5" w:space="0" w:color="000000"/>
              <w:left w:val="single" w:sz="5" w:space="0" w:color="000000"/>
              <w:bottom w:val="single" w:sz="5" w:space="0" w:color="000000"/>
              <w:right w:val="single" w:sz="5" w:space="0" w:color="000000"/>
            </w:tcBorders>
          </w:tcPr>
          <w:p w14:paraId="554EE633" w14:textId="1998803B" w:rsidR="00E04C8A" w:rsidRDefault="008E1817" w:rsidP="001452D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Če imate neustrezen </w:t>
            </w:r>
            <w:r>
              <w:rPr>
                <w:rFonts w:ascii="Times New Roman" w:eastAsia="Times New Roman" w:hAnsi="Times New Roman" w:cs="Times New Roman"/>
                <w:lang w:val="sl-SI"/>
              </w:rPr>
              <w:t xml:space="preserve">odziv na zdravilo Yuflyma 40 mg vsak drugi teden, lahko zdravnik poveča odmerek na 40 mg vsak teden ali 80 mg vsak </w:t>
            </w:r>
            <w:r>
              <w:rPr>
                <w:rFonts w:ascii="Times New Roman" w:eastAsia="Times New Roman" w:hAnsi="Times New Roman" w:cs="Times New Roman"/>
                <w:spacing w:val="-1"/>
                <w:lang w:val="sl-SI"/>
              </w:rPr>
              <w:t>drugi teden.</w:t>
            </w:r>
          </w:p>
          <w:p w14:paraId="4EE205EC" w14:textId="77777777" w:rsidR="00E04C8A" w:rsidRDefault="008E1817">
            <w:pPr>
              <w:pStyle w:val="TableParagraph"/>
              <w:spacing w:before="1"/>
              <w:ind w:left="102" w:right="223"/>
              <w:jc w:val="both"/>
              <w:rPr>
                <w:rFonts w:ascii="Times New Roman" w:eastAsia="Times New Roman" w:hAnsi="Times New Roman" w:cs="Times New Roman"/>
                <w:lang w:val="sl-SI"/>
              </w:rPr>
            </w:pPr>
            <w:r>
              <w:rPr>
                <w:rFonts w:ascii="Times New Roman" w:eastAsia="Times New Roman" w:hAnsi="Times New Roman" w:cs="Times New Roman"/>
                <w:spacing w:val="-4"/>
                <w:lang w:val="sl-SI"/>
              </w:rPr>
              <w:t>Priporočljivo je, da na prizadetih predelih vsak dan uporabite antiseptično čistilno sredstvo.</w:t>
            </w:r>
          </w:p>
        </w:tc>
      </w:tr>
    </w:tbl>
    <w:p w14:paraId="2CEC1615" w14:textId="77777777" w:rsidR="00E04C8A" w:rsidRDefault="00E04C8A">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04C8A" w14:paraId="4A91DFB5" w14:textId="77777777" w:rsidTr="001452D7">
        <w:tc>
          <w:tcPr>
            <w:tcW w:w="9288" w:type="dxa"/>
            <w:gridSpan w:val="3"/>
            <w:tcBorders>
              <w:top w:val="single" w:sz="5" w:space="0" w:color="000000"/>
              <w:left w:val="single" w:sz="5" w:space="0" w:color="000000"/>
              <w:bottom w:val="single" w:sz="5" w:space="0" w:color="000000"/>
              <w:right w:val="single" w:sz="5" w:space="0" w:color="000000"/>
            </w:tcBorders>
          </w:tcPr>
          <w:p w14:paraId="7817F7FF" w14:textId="77777777" w:rsidR="00E04C8A" w:rsidRDefault="008E1817">
            <w:pPr>
              <w:pStyle w:val="TableParagraph"/>
              <w:spacing w:line="251"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Crohnova bolezen</w:t>
            </w:r>
          </w:p>
        </w:tc>
      </w:tr>
      <w:tr w:rsidR="00E04C8A" w14:paraId="4768F921"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593FF626"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096" w:type="dxa"/>
            <w:tcBorders>
              <w:top w:val="single" w:sz="5" w:space="0" w:color="000000"/>
              <w:left w:val="single" w:sz="5" w:space="0" w:color="000000"/>
              <w:bottom w:val="single" w:sz="5" w:space="0" w:color="000000"/>
              <w:right w:val="single" w:sz="5" w:space="0" w:color="000000"/>
            </w:tcBorders>
          </w:tcPr>
          <w:p w14:paraId="05D2F004" w14:textId="77777777" w:rsidR="00E04C8A" w:rsidRDefault="008E1817">
            <w:pPr>
              <w:pStyle w:val="TableParagraph"/>
              <w:spacing w:before="1"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 vzeti?</w:t>
            </w:r>
          </w:p>
        </w:tc>
        <w:tc>
          <w:tcPr>
            <w:tcW w:w="3096" w:type="dxa"/>
            <w:tcBorders>
              <w:top w:val="single" w:sz="5" w:space="0" w:color="000000"/>
              <w:left w:val="single" w:sz="5" w:space="0" w:color="000000"/>
              <w:bottom w:val="single" w:sz="5" w:space="0" w:color="000000"/>
              <w:right w:val="single" w:sz="5" w:space="0" w:color="000000"/>
            </w:tcBorders>
          </w:tcPr>
          <w:p w14:paraId="084E85A0"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E04C8A" w:rsidRPr="00475A1E" w14:paraId="3F98AA5F"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700DF3C4" w14:textId="0A7C1720" w:rsidR="00E04C8A" w:rsidRDefault="008E1817" w:rsidP="001452D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lang w:val="sl-SI"/>
              </w:rPr>
              <w:t>Otroci, mladostniki in odrasli</w:t>
            </w:r>
            <w:r w:rsidR="00653CB4">
              <w:rPr>
                <w:rFonts w:ascii="Times New Roman" w:eastAsia="Times New Roman" w:hAnsi="Times New Roman" w:cs="Times New Roman"/>
                <w:lang w:val="sl-SI"/>
              </w:rPr>
              <w:t xml:space="preserve"> </w:t>
            </w:r>
            <w:r>
              <w:rPr>
                <w:rFonts w:ascii="Times New Roman" w:eastAsia="Times New Roman" w:hAnsi="Times New Roman" w:cs="Times New Roman"/>
                <w:spacing w:val="-1"/>
                <w:lang w:val="sl-SI"/>
              </w:rPr>
              <w:t>od starosti 6 let s telesno maso 40 kg ali več</w:t>
            </w:r>
          </w:p>
        </w:tc>
        <w:tc>
          <w:tcPr>
            <w:tcW w:w="3096" w:type="dxa"/>
            <w:tcBorders>
              <w:top w:val="single" w:sz="5" w:space="0" w:color="000000"/>
              <w:left w:val="single" w:sz="5" w:space="0" w:color="000000"/>
              <w:bottom w:val="single" w:sz="5" w:space="0" w:color="000000"/>
              <w:right w:val="single" w:sz="5" w:space="0" w:color="000000"/>
            </w:tcBorders>
          </w:tcPr>
          <w:p w14:paraId="57DEB690" w14:textId="1245A84A" w:rsidR="00E04C8A" w:rsidRDefault="008E1817" w:rsidP="001452D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Prvi odmerek 80 mg (dve 40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injekciji v enem dnevu), ki mu sledi 40 mg dva tedna kasneje.</w:t>
            </w:r>
          </w:p>
          <w:p w14:paraId="160E8D47" w14:textId="77777777" w:rsidR="00E04C8A" w:rsidRDefault="00E04C8A">
            <w:pPr>
              <w:pStyle w:val="TableParagraph"/>
              <w:spacing w:before="11" w:line="240" w:lineRule="exact"/>
              <w:rPr>
                <w:sz w:val="24"/>
                <w:szCs w:val="24"/>
                <w:lang w:val="sl-SI"/>
              </w:rPr>
            </w:pPr>
          </w:p>
          <w:p w14:paraId="474EA3E6" w14:textId="06B40EF5" w:rsidR="00E04C8A" w:rsidRDefault="008E1817">
            <w:pPr>
              <w:pStyle w:val="TableParagraph"/>
              <w:ind w:left="102" w:right="76"/>
              <w:rPr>
                <w:rFonts w:ascii="Times New Roman" w:eastAsia="Times New Roman" w:hAnsi="Times New Roman" w:cs="Times New Roman"/>
                <w:lang w:val="sl-SI"/>
              </w:rPr>
            </w:pPr>
            <w:r>
              <w:rPr>
                <w:rFonts w:ascii="Times New Roman" w:eastAsia="Times New Roman" w:hAnsi="Times New Roman" w:cs="Times New Roman"/>
                <w:spacing w:val="-1"/>
                <w:lang w:val="sl-SI"/>
              </w:rPr>
              <w:t>Če je potreben hitrejši odziv, lahko zdravnik predpiše prvi odmerek 160 mg (štiri 40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injekcije v enem dnevu ali dve 40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injekciji na dan v dveh zaporednih dneh), čemur sledi 80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(dve 40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injekciji v enem dnevu) dva tedna kasneje.</w:t>
            </w:r>
          </w:p>
          <w:p w14:paraId="2EF296DB" w14:textId="77777777" w:rsidR="00E04C8A" w:rsidRDefault="00E04C8A">
            <w:pPr>
              <w:pStyle w:val="TableParagraph"/>
              <w:spacing w:before="17" w:line="240" w:lineRule="exact"/>
              <w:rPr>
                <w:sz w:val="24"/>
                <w:szCs w:val="24"/>
                <w:lang w:val="sl-SI"/>
              </w:rPr>
            </w:pPr>
          </w:p>
          <w:p w14:paraId="2B922368" w14:textId="7846E08A" w:rsidR="00E04C8A" w:rsidRDefault="00BD6E8B" w:rsidP="00D8507F">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Nato</w:t>
            </w:r>
            <w:r w:rsidR="008E1817">
              <w:rPr>
                <w:rFonts w:ascii="Times New Roman" w:eastAsia="Times New Roman" w:hAnsi="Times New Roman" w:cs="Times New Roman"/>
                <w:spacing w:val="-1"/>
                <w:lang w:val="sl-SI"/>
              </w:rPr>
              <w:t xml:space="preserve"> je običajni odmerek 40 mg vsak drugi teden.</w:t>
            </w:r>
          </w:p>
        </w:tc>
        <w:tc>
          <w:tcPr>
            <w:tcW w:w="3096" w:type="dxa"/>
            <w:tcBorders>
              <w:top w:val="single" w:sz="5" w:space="0" w:color="000000"/>
              <w:left w:val="single" w:sz="5" w:space="0" w:color="000000"/>
              <w:bottom w:val="single" w:sz="5" w:space="0" w:color="000000"/>
              <w:right w:val="single" w:sz="5" w:space="0" w:color="000000"/>
            </w:tcBorders>
          </w:tcPr>
          <w:p w14:paraId="5F4044B5" w14:textId="226E1738" w:rsidR="00E04C8A" w:rsidRDefault="003125F7" w:rsidP="001452D7">
            <w:pPr>
              <w:pStyle w:val="TableParagraph"/>
              <w:spacing w:line="246" w:lineRule="exact"/>
              <w:ind w:left="102" w:right="57"/>
              <w:rPr>
                <w:rFonts w:ascii="Times New Roman" w:eastAsia="Times New Roman" w:hAnsi="Times New Roman" w:cs="Times New Roman"/>
                <w:lang w:val="sl-SI"/>
              </w:rPr>
            </w:pPr>
            <w:r w:rsidRPr="00C85A7C">
              <w:rPr>
                <w:rFonts w:ascii="Times New Roman" w:eastAsia="Times New Roman" w:hAnsi="Times New Roman" w:cs="Times New Roman"/>
                <w:spacing w:val="-1"/>
                <w:lang w:val="sl-SI"/>
              </w:rPr>
              <w:t>Vaš zdravnik</w:t>
            </w:r>
            <w:r>
              <w:rPr>
                <w:rFonts w:ascii="Times New Roman" w:eastAsia="Times New Roman" w:hAnsi="Times New Roman" w:cs="Times New Roman"/>
                <w:spacing w:val="-1"/>
                <w:lang w:val="sl-SI"/>
              </w:rPr>
              <w:t xml:space="preserve"> </w:t>
            </w:r>
            <w:r w:rsidR="008E1817">
              <w:rPr>
                <w:rFonts w:ascii="Times New Roman" w:eastAsia="Times New Roman" w:hAnsi="Times New Roman" w:cs="Times New Roman"/>
                <w:spacing w:val="-1"/>
                <w:lang w:val="sl-SI"/>
              </w:rPr>
              <w:t>vam lahko odmerek poveča na 40 mg vsak teden ali 80 mg vsak drugi teden.</w:t>
            </w:r>
          </w:p>
        </w:tc>
      </w:tr>
      <w:tr w:rsidR="0026401E" w:rsidRPr="00475A1E" w14:paraId="67563003"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7DA6BD3E" w14:textId="09CEE662" w:rsidR="0026401E" w:rsidRDefault="0026401E" w:rsidP="0026401E">
            <w:pPr>
              <w:pStyle w:val="TableParagraph"/>
              <w:spacing w:line="246" w:lineRule="exact"/>
              <w:ind w:left="102" w:right="57"/>
              <w:rPr>
                <w:rFonts w:ascii="Times New Roman" w:eastAsia="Times New Roman" w:hAnsi="Times New Roman" w:cs="Times New Roman"/>
                <w:lang w:val="sl-SI"/>
              </w:rPr>
            </w:pPr>
            <w:r w:rsidRPr="00C85A7C">
              <w:rPr>
                <w:rFonts w:ascii="Times New Roman" w:eastAsia="Times New Roman" w:hAnsi="Times New Roman" w:cs="Times New Roman"/>
                <w:lang w:val="sl-SI"/>
              </w:rPr>
              <w:t>Otroci in mladostniki, stari od</w:t>
            </w:r>
            <w:r>
              <w:rPr>
                <w:rFonts w:ascii="Times New Roman" w:eastAsia="Times New Roman" w:hAnsi="Times New Roman" w:cs="Times New Roman"/>
                <w:lang w:val="sl-SI"/>
              </w:rPr>
              <w:t xml:space="preserve"> </w:t>
            </w:r>
            <w:r w:rsidRPr="00C85A7C">
              <w:rPr>
                <w:rFonts w:ascii="Times New Roman" w:eastAsia="Times New Roman" w:hAnsi="Times New Roman" w:cs="Times New Roman"/>
                <w:lang w:val="sl-SI"/>
              </w:rPr>
              <w:t>6 do 17 let, ki tehtajo manj kot</w:t>
            </w:r>
            <w:r>
              <w:rPr>
                <w:rFonts w:ascii="Times New Roman" w:eastAsia="Times New Roman" w:hAnsi="Times New Roman" w:cs="Times New Roman"/>
                <w:lang w:val="sl-SI"/>
              </w:rPr>
              <w:t xml:space="preserve"> </w:t>
            </w:r>
            <w:r w:rsidRPr="00C85A7C">
              <w:rPr>
                <w:rFonts w:ascii="Times New Roman" w:eastAsia="Times New Roman" w:hAnsi="Times New Roman" w:cs="Times New Roman"/>
                <w:lang w:val="sl-SI"/>
              </w:rPr>
              <w:t>40 kg</w:t>
            </w:r>
          </w:p>
        </w:tc>
        <w:tc>
          <w:tcPr>
            <w:tcW w:w="3096" w:type="dxa"/>
            <w:tcBorders>
              <w:top w:val="single" w:sz="5" w:space="0" w:color="000000"/>
              <w:left w:val="single" w:sz="5" w:space="0" w:color="000000"/>
              <w:bottom w:val="single" w:sz="5" w:space="0" w:color="000000"/>
              <w:right w:val="single" w:sz="5" w:space="0" w:color="000000"/>
            </w:tcBorders>
          </w:tcPr>
          <w:p w14:paraId="6168FBF1" w14:textId="77777777" w:rsidR="0026401E" w:rsidRDefault="0026401E" w:rsidP="0026401E">
            <w:pPr>
              <w:pStyle w:val="TableParagraph"/>
              <w:spacing w:line="246" w:lineRule="exact"/>
              <w:ind w:left="102" w:right="57"/>
              <w:rPr>
                <w:sz w:val="24"/>
                <w:szCs w:val="24"/>
                <w:lang w:val="sl-SI"/>
              </w:rPr>
            </w:pPr>
            <w:r w:rsidRPr="00C85A7C">
              <w:rPr>
                <w:rFonts w:ascii="Times New Roman" w:eastAsia="Times New Roman" w:hAnsi="Times New Roman" w:cs="Times New Roman"/>
                <w:spacing w:val="-1"/>
                <w:lang w:val="sl-SI"/>
              </w:rPr>
              <w:t>Prvi odmerek je 40 mg, čemur</w:t>
            </w:r>
            <w:r>
              <w:rPr>
                <w:rFonts w:ascii="Times New Roman" w:eastAsia="Times New Roman" w:hAnsi="Times New Roman" w:cs="Times New Roman"/>
                <w:spacing w:val="-1"/>
                <w:lang w:val="sl-SI"/>
              </w:rPr>
              <w:t xml:space="preserve"> </w:t>
            </w:r>
            <w:r w:rsidRPr="00C85A7C">
              <w:rPr>
                <w:rFonts w:ascii="Times New Roman" w:eastAsia="Times New Roman" w:hAnsi="Times New Roman" w:cs="Times New Roman"/>
                <w:spacing w:val="-1"/>
                <w:lang w:val="sl-SI"/>
              </w:rPr>
              <w:t>sledi 20 mg dva tedna kasneje.</w:t>
            </w:r>
          </w:p>
          <w:p w14:paraId="13962B30" w14:textId="77777777" w:rsidR="0026401E" w:rsidRDefault="0026401E" w:rsidP="0026401E">
            <w:pPr>
              <w:pStyle w:val="TableParagraph"/>
              <w:ind w:left="102" w:right="76"/>
              <w:rPr>
                <w:rFonts w:ascii="Times New Roman" w:eastAsia="Times New Roman" w:hAnsi="Times New Roman" w:cs="Times New Roman"/>
                <w:spacing w:val="-1"/>
                <w:lang w:val="sl-SI"/>
              </w:rPr>
            </w:pPr>
          </w:p>
          <w:p w14:paraId="030393BA" w14:textId="77777777" w:rsidR="0026401E" w:rsidRDefault="0026401E" w:rsidP="0026401E">
            <w:pPr>
              <w:pStyle w:val="TableParagraph"/>
              <w:ind w:left="102" w:right="76"/>
              <w:rPr>
                <w:rFonts w:ascii="Times New Roman" w:eastAsia="Times New Roman" w:hAnsi="Times New Roman" w:cs="Times New Roman"/>
                <w:lang w:val="sl-SI"/>
              </w:rPr>
            </w:pPr>
            <w:r>
              <w:rPr>
                <w:rFonts w:ascii="Times New Roman" w:eastAsia="Times New Roman" w:hAnsi="Times New Roman" w:cs="Times New Roman"/>
                <w:spacing w:val="-1"/>
                <w:lang w:val="sl-SI"/>
              </w:rPr>
              <w:t>Če je potreben hitrejši odziv, lahko zdravnik predpiše prvi odmerek 80 mg (dve 40 mg injekcije v enem dnevu), čemur sledi 40 mg dva tedna kasneje.</w:t>
            </w:r>
          </w:p>
          <w:p w14:paraId="3B46FE64" w14:textId="77777777" w:rsidR="0026401E" w:rsidRPr="00C85A7C" w:rsidRDefault="0026401E" w:rsidP="0026401E">
            <w:pPr>
              <w:pStyle w:val="TableParagraph"/>
              <w:spacing w:before="17" w:line="240" w:lineRule="exact"/>
              <w:rPr>
                <w:sz w:val="24"/>
                <w:szCs w:val="24"/>
                <w:lang w:val="sl-SI"/>
              </w:rPr>
            </w:pPr>
          </w:p>
          <w:p w14:paraId="00B6F4DB" w14:textId="2D9A2889" w:rsidR="0026401E" w:rsidRDefault="0026401E" w:rsidP="0026401E">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Nato je običajni odmerek 20 mg </w:t>
            </w:r>
            <w:r>
              <w:rPr>
                <w:rFonts w:ascii="Times New Roman" w:eastAsia="Times New Roman" w:hAnsi="Times New Roman" w:cs="Times New Roman"/>
                <w:spacing w:val="-1"/>
                <w:lang w:val="sl-SI"/>
              </w:rPr>
              <w:lastRenderedPageBreak/>
              <w:t>vsak drugi teden.</w:t>
            </w:r>
          </w:p>
        </w:tc>
        <w:tc>
          <w:tcPr>
            <w:tcW w:w="3096" w:type="dxa"/>
            <w:tcBorders>
              <w:top w:val="single" w:sz="5" w:space="0" w:color="000000"/>
              <w:left w:val="single" w:sz="5" w:space="0" w:color="000000"/>
              <w:bottom w:val="single" w:sz="5" w:space="0" w:color="000000"/>
              <w:right w:val="single" w:sz="5" w:space="0" w:color="000000"/>
            </w:tcBorders>
          </w:tcPr>
          <w:p w14:paraId="05DC1675" w14:textId="0E11D0F6" w:rsidR="0026401E" w:rsidRDefault="0026401E" w:rsidP="0026401E">
            <w:pPr>
              <w:pStyle w:val="TableParagraph"/>
              <w:spacing w:line="246" w:lineRule="exact"/>
              <w:ind w:left="102" w:right="57"/>
              <w:rPr>
                <w:rFonts w:ascii="Times New Roman" w:eastAsia="Times New Roman" w:hAnsi="Times New Roman" w:cs="Times New Roman"/>
                <w:spacing w:val="-1"/>
                <w:lang w:val="sl-SI"/>
              </w:rPr>
            </w:pPr>
            <w:r w:rsidRPr="00C85A7C">
              <w:rPr>
                <w:rFonts w:ascii="Times New Roman" w:eastAsia="Times New Roman" w:hAnsi="Times New Roman" w:cs="Times New Roman"/>
                <w:spacing w:val="-1"/>
                <w:lang w:val="sl-SI"/>
              </w:rPr>
              <w:lastRenderedPageBreak/>
              <w:t>Vaš zdravnik vam lahko</w:t>
            </w:r>
            <w:r>
              <w:rPr>
                <w:rFonts w:ascii="Times New Roman" w:eastAsia="Times New Roman" w:hAnsi="Times New Roman" w:cs="Times New Roman"/>
                <w:spacing w:val="-1"/>
                <w:lang w:val="sl-SI"/>
              </w:rPr>
              <w:t xml:space="preserve"> </w:t>
            </w:r>
            <w:r w:rsidRPr="00C85A7C">
              <w:rPr>
                <w:rFonts w:ascii="Times New Roman" w:eastAsia="Times New Roman" w:hAnsi="Times New Roman" w:cs="Times New Roman"/>
                <w:spacing w:val="-1"/>
                <w:lang w:val="sl-SI"/>
              </w:rPr>
              <w:t>poveča pogostnost odmerjanja</w:t>
            </w:r>
            <w:r>
              <w:rPr>
                <w:rFonts w:ascii="Times New Roman" w:eastAsia="Times New Roman" w:hAnsi="Times New Roman" w:cs="Times New Roman"/>
                <w:spacing w:val="-1"/>
                <w:lang w:val="sl-SI"/>
              </w:rPr>
              <w:t xml:space="preserve"> </w:t>
            </w:r>
            <w:r w:rsidRPr="00C85A7C">
              <w:rPr>
                <w:rFonts w:ascii="Times New Roman" w:eastAsia="Times New Roman" w:hAnsi="Times New Roman" w:cs="Times New Roman"/>
                <w:spacing w:val="-1"/>
                <w:lang w:val="sl-SI"/>
              </w:rPr>
              <w:t>na 20 mg vsak teden</w:t>
            </w:r>
          </w:p>
        </w:tc>
      </w:tr>
    </w:tbl>
    <w:p w14:paraId="5ECCD773" w14:textId="77777777" w:rsidR="00E04C8A" w:rsidRDefault="00E04C8A">
      <w:pPr>
        <w:spacing w:before="7" w:line="90" w:lineRule="exact"/>
        <w:rPr>
          <w:sz w:val="9"/>
          <w:szCs w:val="9"/>
          <w:lang w:val="sl-SI"/>
        </w:rPr>
      </w:pPr>
    </w:p>
    <w:p w14:paraId="737247EB" w14:textId="77777777" w:rsidR="00E04C8A" w:rsidRDefault="00E04C8A">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04C8A" w14:paraId="1BCE0301" w14:textId="77777777" w:rsidTr="001452D7">
        <w:tc>
          <w:tcPr>
            <w:tcW w:w="9288" w:type="dxa"/>
            <w:gridSpan w:val="3"/>
            <w:tcBorders>
              <w:top w:val="single" w:sz="5" w:space="0" w:color="000000"/>
              <w:left w:val="single" w:sz="5" w:space="0" w:color="000000"/>
              <w:bottom w:val="single" w:sz="5" w:space="0" w:color="000000"/>
              <w:right w:val="single" w:sz="5" w:space="0" w:color="000000"/>
            </w:tcBorders>
          </w:tcPr>
          <w:p w14:paraId="023DE6DB" w14:textId="77777777" w:rsidR="00E04C8A" w:rsidRDefault="008E1817">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Ulcerozni kolitis</w:t>
            </w:r>
          </w:p>
        </w:tc>
      </w:tr>
      <w:tr w:rsidR="00E04C8A" w14:paraId="19447C13"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4955ED9F"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096" w:type="dxa"/>
            <w:tcBorders>
              <w:top w:val="single" w:sz="5" w:space="0" w:color="000000"/>
              <w:left w:val="single" w:sz="5" w:space="0" w:color="000000"/>
              <w:bottom w:val="single" w:sz="5" w:space="0" w:color="000000"/>
              <w:right w:val="single" w:sz="5" w:space="0" w:color="000000"/>
            </w:tcBorders>
          </w:tcPr>
          <w:p w14:paraId="0089B658"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3E250FAE" w14:textId="77777777" w:rsidR="00E04C8A" w:rsidRDefault="008E1817">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096" w:type="dxa"/>
            <w:tcBorders>
              <w:top w:val="single" w:sz="5" w:space="0" w:color="000000"/>
              <w:left w:val="single" w:sz="5" w:space="0" w:color="000000"/>
              <w:bottom w:val="single" w:sz="5" w:space="0" w:color="000000"/>
              <w:right w:val="single" w:sz="5" w:space="0" w:color="000000"/>
            </w:tcBorders>
          </w:tcPr>
          <w:p w14:paraId="2ED76B84"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E04C8A" w:rsidRPr="00475A1E" w14:paraId="0C4E04A5"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7358A590"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Odrasli</w:t>
            </w:r>
          </w:p>
        </w:tc>
        <w:tc>
          <w:tcPr>
            <w:tcW w:w="3096" w:type="dxa"/>
            <w:tcBorders>
              <w:top w:val="single" w:sz="5" w:space="0" w:color="000000"/>
              <w:left w:val="single" w:sz="5" w:space="0" w:color="000000"/>
              <w:bottom w:val="single" w:sz="5" w:space="0" w:color="000000"/>
              <w:right w:val="single" w:sz="5" w:space="0" w:color="000000"/>
            </w:tcBorders>
          </w:tcPr>
          <w:p w14:paraId="34AB9AF1" w14:textId="36657A75" w:rsidR="00E04C8A" w:rsidRDefault="008E1817" w:rsidP="001452D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Prvi 160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odmerek (štiri 40</w:t>
            </w:r>
            <w:r w:rsidR="00E95755">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injekcije v enem dnevu ali dve 40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injekciji na dan v dveh zaporednih dneh), čemur sledi 80</w:t>
            </w:r>
            <w:r w:rsidR="00E95755">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(dve 40</w:t>
            </w:r>
            <w:r w:rsidR="00E95755">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injekciji v enem dnevu) dva tedna kasneje.</w:t>
            </w:r>
          </w:p>
          <w:p w14:paraId="3663E0EC" w14:textId="77777777" w:rsidR="00E04C8A" w:rsidRDefault="00E04C8A">
            <w:pPr>
              <w:pStyle w:val="TableParagraph"/>
              <w:spacing w:before="17" w:line="240" w:lineRule="exact"/>
              <w:rPr>
                <w:sz w:val="24"/>
                <w:szCs w:val="24"/>
                <w:lang w:val="sl-SI"/>
              </w:rPr>
            </w:pPr>
          </w:p>
          <w:p w14:paraId="30B8A19D" w14:textId="1D9F6EF4" w:rsidR="00E04C8A" w:rsidRDefault="00BD6E8B" w:rsidP="00D8507F">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Nato</w:t>
            </w:r>
            <w:r w:rsidR="008E1817">
              <w:rPr>
                <w:rFonts w:ascii="Times New Roman" w:eastAsia="Times New Roman" w:hAnsi="Times New Roman" w:cs="Times New Roman"/>
                <w:spacing w:val="-1"/>
                <w:lang w:val="sl-SI"/>
              </w:rPr>
              <w:t xml:space="preserve"> je običajni odmerek 40 mg vsak drugi teden.</w:t>
            </w:r>
          </w:p>
        </w:tc>
        <w:tc>
          <w:tcPr>
            <w:tcW w:w="3096" w:type="dxa"/>
            <w:tcBorders>
              <w:top w:val="single" w:sz="5" w:space="0" w:color="000000"/>
              <w:left w:val="single" w:sz="5" w:space="0" w:color="000000"/>
              <w:bottom w:val="single" w:sz="5" w:space="0" w:color="000000"/>
              <w:right w:val="single" w:sz="5" w:space="0" w:color="000000"/>
            </w:tcBorders>
          </w:tcPr>
          <w:p w14:paraId="0D3383A5" w14:textId="589FB276" w:rsidR="00E04C8A" w:rsidRDefault="008E1817" w:rsidP="00D8507F">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Zdravnik vam </w:t>
            </w:r>
            <w:r w:rsidR="007A004C">
              <w:rPr>
                <w:rFonts w:ascii="Times New Roman" w:eastAsia="Times New Roman" w:hAnsi="Times New Roman" w:cs="Times New Roman"/>
                <w:spacing w:val="-1"/>
                <w:lang w:val="sl-SI"/>
              </w:rPr>
              <w:t xml:space="preserve">lahko odmerek </w:t>
            </w:r>
            <w:r w:rsidR="00D8507F">
              <w:rPr>
                <w:rFonts w:ascii="Times New Roman" w:eastAsia="Times New Roman" w:hAnsi="Times New Roman" w:cs="Times New Roman"/>
                <w:spacing w:val="-1"/>
                <w:lang w:val="sl-SI"/>
              </w:rPr>
              <w:t>poveča</w:t>
            </w:r>
            <w:r>
              <w:rPr>
                <w:rFonts w:ascii="Times New Roman" w:eastAsia="Times New Roman" w:hAnsi="Times New Roman" w:cs="Times New Roman"/>
                <w:spacing w:val="-1"/>
                <w:lang w:val="sl-SI"/>
              </w:rPr>
              <w:t xml:space="preserve"> na 40 mg vsak teden ali 80 mg vsak drugi teden.</w:t>
            </w:r>
          </w:p>
        </w:tc>
      </w:tr>
      <w:tr w:rsidR="009D62D5" w:rsidRPr="00475A1E" w14:paraId="794DD3AF"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4643E5E0" w14:textId="4463E424" w:rsidR="009D62D5" w:rsidRPr="009D62D5" w:rsidRDefault="009D62D5" w:rsidP="009D62D5">
            <w:pPr>
              <w:pStyle w:val="TableParagraph"/>
              <w:spacing w:line="246" w:lineRule="exact"/>
              <w:ind w:left="102" w:right="57"/>
              <w:rPr>
                <w:rFonts w:ascii="Times New Roman" w:eastAsia="Times New Roman" w:hAnsi="Times New Roman" w:cs="Times New Roman"/>
                <w:spacing w:val="-1"/>
                <w:lang w:val="sl-SI"/>
              </w:rPr>
            </w:pPr>
            <w:r w:rsidRPr="009D62D5">
              <w:rPr>
                <w:rFonts w:ascii="Times New Roman" w:hAnsi="Times New Roman" w:cs="Times New Roman"/>
                <w:lang w:val="sl-SI"/>
              </w:rPr>
              <w:t>Otroci in mladostniki, starejši od 6 let, ki tehtajo manj kot 40 kg</w:t>
            </w:r>
          </w:p>
        </w:tc>
        <w:tc>
          <w:tcPr>
            <w:tcW w:w="3096" w:type="dxa"/>
            <w:tcBorders>
              <w:top w:val="single" w:sz="5" w:space="0" w:color="000000"/>
              <w:left w:val="single" w:sz="5" w:space="0" w:color="000000"/>
              <w:bottom w:val="single" w:sz="5" w:space="0" w:color="000000"/>
              <w:right w:val="single" w:sz="5" w:space="0" w:color="000000"/>
            </w:tcBorders>
          </w:tcPr>
          <w:p w14:paraId="473418FC" w14:textId="77777777" w:rsidR="009D62D5" w:rsidRPr="009D62D5" w:rsidRDefault="009D62D5" w:rsidP="009D62D5">
            <w:pPr>
              <w:keepNext/>
              <w:numPr>
                <w:ilvl w:val="12"/>
                <w:numId w:val="0"/>
              </w:numPr>
              <w:tabs>
                <w:tab w:val="left" w:pos="708"/>
              </w:tabs>
              <w:rPr>
                <w:rFonts w:ascii="Times New Roman" w:hAnsi="Times New Roman" w:cs="Times New Roman"/>
                <w:lang w:val="sl-SI"/>
              </w:rPr>
            </w:pPr>
            <w:r w:rsidRPr="009D62D5">
              <w:rPr>
                <w:rFonts w:ascii="Times New Roman" w:hAnsi="Times New Roman" w:cs="Times New Roman"/>
                <w:lang w:val="sl-SI"/>
              </w:rPr>
              <w:t>Prvi odmerek je 80 mg (dve 40 mg injekciji v enem dnevu), čemur sledi 40 mg (ena 40 mg injekcija) dva tedna pozneje.</w:t>
            </w:r>
          </w:p>
          <w:p w14:paraId="34AF6892" w14:textId="77777777" w:rsidR="009D62D5" w:rsidRPr="009D62D5" w:rsidRDefault="009D62D5" w:rsidP="009D62D5">
            <w:pPr>
              <w:keepNext/>
              <w:numPr>
                <w:ilvl w:val="12"/>
                <w:numId w:val="0"/>
              </w:numPr>
              <w:tabs>
                <w:tab w:val="left" w:pos="708"/>
              </w:tabs>
              <w:rPr>
                <w:rFonts w:ascii="Times New Roman" w:hAnsi="Times New Roman" w:cs="Times New Roman"/>
                <w:lang w:val="sl-SI"/>
              </w:rPr>
            </w:pPr>
          </w:p>
          <w:p w14:paraId="35D6A402" w14:textId="018E33C2" w:rsidR="009D62D5" w:rsidRPr="009D62D5" w:rsidRDefault="00BD6E8B" w:rsidP="009D62D5">
            <w:pPr>
              <w:pStyle w:val="TableParagraph"/>
              <w:spacing w:line="246" w:lineRule="exact"/>
              <w:ind w:right="57"/>
              <w:rPr>
                <w:rFonts w:ascii="Times New Roman" w:eastAsia="Times New Roman" w:hAnsi="Times New Roman" w:cs="Times New Roman"/>
                <w:spacing w:val="-1"/>
                <w:lang w:val="sl-SI"/>
              </w:rPr>
            </w:pPr>
            <w:r>
              <w:rPr>
                <w:rFonts w:ascii="Times New Roman" w:hAnsi="Times New Roman" w:cs="Times New Roman"/>
                <w:lang w:val="sl-SI"/>
              </w:rPr>
              <w:t>Nato</w:t>
            </w:r>
            <w:r w:rsidRPr="009D62D5">
              <w:rPr>
                <w:rFonts w:ascii="Times New Roman" w:hAnsi="Times New Roman" w:cs="Times New Roman"/>
                <w:lang w:val="sl-SI"/>
              </w:rPr>
              <w:t xml:space="preserve"> </w:t>
            </w:r>
            <w:r w:rsidR="009D62D5" w:rsidRPr="009D62D5">
              <w:rPr>
                <w:rFonts w:ascii="Times New Roman" w:hAnsi="Times New Roman" w:cs="Times New Roman"/>
                <w:lang w:val="sl-SI"/>
              </w:rPr>
              <w:t>je običajni odmerek 40 mg vsak drugi teden.</w:t>
            </w:r>
          </w:p>
        </w:tc>
        <w:tc>
          <w:tcPr>
            <w:tcW w:w="3096" w:type="dxa"/>
            <w:tcBorders>
              <w:top w:val="single" w:sz="5" w:space="0" w:color="000000"/>
              <w:left w:val="single" w:sz="5" w:space="0" w:color="000000"/>
              <w:bottom w:val="single" w:sz="5" w:space="0" w:color="000000"/>
              <w:right w:val="single" w:sz="5" w:space="0" w:color="000000"/>
            </w:tcBorders>
          </w:tcPr>
          <w:p w14:paraId="065EAE35" w14:textId="5068BAA9" w:rsidR="009D62D5" w:rsidRPr="009D62D5" w:rsidRDefault="009D62D5" w:rsidP="009D62D5">
            <w:pPr>
              <w:pStyle w:val="TableParagraph"/>
              <w:spacing w:line="246" w:lineRule="exact"/>
              <w:ind w:left="102" w:right="57"/>
              <w:rPr>
                <w:rFonts w:ascii="Times New Roman" w:eastAsia="Times New Roman" w:hAnsi="Times New Roman" w:cs="Times New Roman"/>
                <w:spacing w:val="-1"/>
                <w:lang w:val="sl-SI"/>
              </w:rPr>
            </w:pPr>
            <w:r w:rsidRPr="009D62D5">
              <w:rPr>
                <w:rFonts w:ascii="Times New Roman" w:hAnsi="Times New Roman" w:cs="Times New Roman"/>
                <w:lang w:val="sl-SI"/>
              </w:rPr>
              <w:t xml:space="preserve">Tudi po dopolnjenem 18. letu starosti še naprej jemljite zdravilo </w:t>
            </w:r>
            <w:r w:rsidR="009812C7">
              <w:rPr>
                <w:rFonts w:ascii="Times New Roman" w:hAnsi="Times New Roman" w:cs="Times New Roman"/>
                <w:lang w:val="sl-SI"/>
              </w:rPr>
              <w:t>Yuflyma</w:t>
            </w:r>
            <w:r w:rsidRPr="009D62D5">
              <w:rPr>
                <w:rFonts w:ascii="Times New Roman" w:hAnsi="Times New Roman" w:cs="Times New Roman"/>
                <w:lang w:val="sl-SI"/>
              </w:rPr>
              <w:t xml:space="preserve"> v svojem običajnem odmerku.</w:t>
            </w:r>
          </w:p>
        </w:tc>
      </w:tr>
      <w:tr w:rsidR="009D62D5" w:rsidRPr="00475A1E" w14:paraId="141961C4"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5A81FFAE" w14:textId="29387272" w:rsidR="009D62D5" w:rsidRPr="009D62D5" w:rsidRDefault="009D62D5" w:rsidP="009D62D5">
            <w:pPr>
              <w:pStyle w:val="TableParagraph"/>
              <w:spacing w:line="246" w:lineRule="exact"/>
              <w:ind w:left="102" w:right="57"/>
              <w:rPr>
                <w:rFonts w:ascii="Times New Roman" w:eastAsia="Times New Roman" w:hAnsi="Times New Roman" w:cs="Times New Roman"/>
                <w:spacing w:val="-1"/>
                <w:lang w:val="sl-SI"/>
              </w:rPr>
            </w:pPr>
            <w:r w:rsidRPr="009D62D5">
              <w:rPr>
                <w:rFonts w:ascii="Times New Roman" w:hAnsi="Times New Roman" w:cs="Times New Roman"/>
                <w:lang w:val="sl-SI"/>
              </w:rPr>
              <w:t>Otroci in mladostniki, starejši od 6 let, ki tehtajo 40 kg ali več</w:t>
            </w:r>
          </w:p>
        </w:tc>
        <w:tc>
          <w:tcPr>
            <w:tcW w:w="3096" w:type="dxa"/>
            <w:tcBorders>
              <w:top w:val="single" w:sz="5" w:space="0" w:color="000000"/>
              <w:left w:val="single" w:sz="5" w:space="0" w:color="000000"/>
              <w:bottom w:val="single" w:sz="5" w:space="0" w:color="000000"/>
              <w:right w:val="single" w:sz="5" w:space="0" w:color="000000"/>
            </w:tcBorders>
          </w:tcPr>
          <w:p w14:paraId="758B37FB" w14:textId="77777777" w:rsidR="009D62D5" w:rsidRPr="009D62D5" w:rsidRDefault="009D62D5" w:rsidP="009D62D5">
            <w:pPr>
              <w:keepNext/>
              <w:numPr>
                <w:ilvl w:val="12"/>
                <w:numId w:val="0"/>
              </w:numPr>
              <w:tabs>
                <w:tab w:val="left" w:pos="708"/>
              </w:tabs>
              <w:rPr>
                <w:rFonts w:ascii="Times New Roman" w:hAnsi="Times New Roman" w:cs="Times New Roman"/>
                <w:lang w:val="sl-SI"/>
              </w:rPr>
            </w:pPr>
            <w:r w:rsidRPr="009D62D5">
              <w:rPr>
                <w:rFonts w:ascii="Times New Roman" w:hAnsi="Times New Roman" w:cs="Times New Roman"/>
                <w:lang w:val="sl-SI"/>
              </w:rPr>
              <w:t>Prvi odmerek je 160 mg (štiri 40 mg injekcije v enem dnevu ali dve 40 mg injekciji na dan dva zaporedna dneva), čemur sledi 80 mg (dve 40 mg injekciji v enem dnevu) dva tedna pozneje.</w:t>
            </w:r>
          </w:p>
          <w:p w14:paraId="78EF9DB4" w14:textId="77777777" w:rsidR="009D62D5" w:rsidRPr="009D62D5" w:rsidRDefault="009D62D5" w:rsidP="009D62D5">
            <w:pPr>
              <w:keepNext/>
              <w:numPr>
                <w:ilvl w:val="12"/>
                <w:numId w:val="0"/>
              </w:numPr>
              <w:tabs>
                <w:tab w:val="left" w:pos="708"/>
              </w:tabs>
              <w:rPr>
                <w:rFonts w:ascii="Times New Roman" w:hAnsi="Times New Roman" w:cs="Times New Roman"/>
                <w:lang w:val="sl-SI"/>
              </w:rPr>
            </w:pPr>
          </w:p>
          <w:p w14:paraId="483AA375" w14:textId="4764599D" w:rsidR="009D62D5" w:rsidRPr="009D62D5" w:rsidRDefault="00BD6E8B" w:rsidP="00797234">
            <w:pPr>
              <w:pStyle w:val="TableParagraph"/>
              <w:spacing w:line="246" w:lineRule="exact"/>
              <w:ind w:right="57"/>
              <w:rPr>
                <w:rFonts w:ascii="Times New Roman" w:eastAsia="Times New Roman" w:hAnsi="Times New Roman" w:cs="Times New Roman"/>
                <w:spacing w:val="-1"/>
                <w:lang w:val="sl-SI"/>
              </w:rPr>
            </w:pPr>
            <w:r>
              <w:rPr>
                <w:rFonts w:ascii="Times New Roman" w:hAnsi="Times New Roman" w:cs="Times New Roman"/>
                <w:lang w:val="sl-SI"/>
              </w:rPr>
              <w:t>Nato</w:t>
            </w:r>
            <w:r w:rsidRPr="009D62D5">
              <w:rPr>
                <w:rFonts w:ascii="Times New Roman" w:hAnsi="Times New Roman" w:cs="Times New Roman"/>
                <w:lang w:val="sl-SI"/>
              </w:rPr>
              <w:t xml:space="preserve"> </w:t>
            </w:r>
            <w:r w:rsidR="009D62D5" w:rsidRPr="009D62D5">
              <w:rPr>
                <w:rFonts w:ascii="Times New Roman" w:hAnsi="Times New Roman" w:cs="Times New Roman"/>
                <w:lang w:val="sl-SI"/>
              </w:rPr>
              <w:t>je običajni odmerek 80 mg vsak drugi teden.</w:t>
            </w:r>
          </w:p>
        </w:tc>
        <w:tc>
          <w:tcPr>
            <w:tcW w:w="3096" w:type="dxa"/>
            <w:tcBorders>
              <w:top w:val="single" w:sz="5" w:space="0" w:color="000000"/>
              <w:left w:val="single" w:sz="5" w:space="0" w:color="000000"/>
              <w:bottom w:val="single" w:sz="5" w:space="0" w:color="000000"/>
              <w:right w:val="single" w:sz="5" w:space="0" w:color="000000"/>
            </w:tcBorders>
          </w:tcPr>
          <w:p w14:paraId="0C9D92E7" w14:textId="5E059D42" w:rsidR="009D62D5" w:rsidRPr="009D62D5" w:rsidRDefault="009D62D5" w:rsidP="009D62D5">
            <w:pPr>
              <w:pStyle w:val="TableParagraph"/>
              <w:spacing w:line="246" w:lineRule="exact"/>
              <w:ind w:left="102" w:right="57"/>
              <w:rPr>
                <w:rFonts w:ascii="Times New Roman" w:eastAsia="Times New Roman" w:hAnsi="Times New Roman" w:cs="Times New Roman"/>
                <w:spacing w:val="-1"/>
                <w:lang w:val="sl-SI"/>
              </w:rPr>
            </w:pPr>
            <w:r w:rsidRPr="009D62D5">
              <w:rPr>
                <w:rFonts w:ascii="Times New Roman" w:hAnsi="Times New Roman" w:cs="Times New Roman"/>
                <w:lang w:val="sl-SI"/>
              </w:rPr>
              <w:t xml:space="preserve">Tudi po dopolnjenem 18. letu starosti še naprej jemljite zdravilo </w:t>
            </w:r>
            <w:r w:rsidR="009812C7">
              <w:rPr>
                <w:rFonts w:ascii="Times New Roman" w:hAnsi="Times New Roman" w:cs="Times New Roman"/>
                <w:lang w:val="sl-SI"/>
              </w:rPr>
              <w:t>Yuflyma</w:t>
            </w:r>
            <w:r w:rsidRPr="009D62D5">
              <w:rPr>
                <w:rFonts w:ascii="Times New Roman" w:hAnsi="Times New Roman" w:cs="Times New Roman"/>
                <w:lang w:val="sl-SI"/>
              </w:rPr>
              <w:t xml:space="preserve"> v svojem običajnem odmerku.</w:t>
            </w:r>
          </w:p>
        </w:tc>
      </w:tr>
    </w:tbl>
    <w:p w14:paraId="2814EE28" w14:textId="77777777" w:rsidR="00E04C8A" w:rsidRDefault="00E04C8A">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04C8A" w14:paraId="393CDA4D" w14:textId="77777777" w:rsidTr="001452D7">
        <w:tc>
          <w:tcPr>
            <w:tcW w:w="9288" w:type="dxa"/>
            <w:gridSpan w:val="3"/>
            <w:tcBorders>
              <w:top w:val="single" w:sz="5" w:space="0" w:color="000000"/>
              <w:left w:val="single" w:sz="5" w:space="0" w:color="000000"/>
              <w:bottom w:val="single" w:sz="5" w:space="0" w:color="000000"/>
              <w:right w:val="single" w:sz="5" w:space="0" w:color="000000"/>
            </w:tcBorders>
          </w:tcPr>
          <w:p w14:paraId="4601418F" w14:textId="77777777" w:rsidR="00E04C8A" w:rsidRDefault="008E1817">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Neinfekcijski uveitis</w:t>
            </w:r>
          </w:p>
        </w:tc>
      </w:tr>
      <w:tr w:rsidR="00E04C8A" w14:paraId="3465EF01"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6E8F7D28"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096" w:type="dxa"/>
            <w:tcBorders>
              <w:top w:val="single" w:sz="5" w:space="0" w:color="000000"/>
              <w:left w:val="single" w:sz="5" w:space="0" w:color="000000"/>
              <w:bottom w:val="single" w:sz="5" w:space="0" w:color="000000"/>
              <w:right w:val="single" w:sz="5" w:space="0" w:color="000000"/>
            </w:tcBorders>
          </w:tcPr>
          <w:p w14:paraId="11C168C9"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43DDA73C" w14:textId="77777777" w:rsidR="00E04C8A" w:rsidRDefault="008E1817">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096" w:type="dxa"/>
            <w:tcBorders>
              <w:top w:val="single" w:sz="5" w:space="0" w:color="000000"/>
              <w:left w:val="single" w:sz="5" w:space="0" w:color="000000"/>
              <w:bottom w:val="single" w:sz="5" w:space="0" w:color="000000"/>
              <w:right w:val="single" w:sz="5" w:space="0" w:color="000000"/>
            </w:tcBorders>
          </w:tcPr>
          <w:p w14:paraId="296575D3" w14:textId="77777777" w:rsidR="00E04C8A" w:rsidRDefault="008E1817">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E04C8A" w:rsidRPr="00475A1E" w14:paraId="6B076C86"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458EBA8D"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Odrasli</w:t>
            </w:r>
          </w:p>
        </w:tc>
        <w:tc>
          <w:tcPr>
            <w:tcW w:w="3096" w:type="dxa"/>
            <w:tcBorders>
              <w:top w:val="single" w:sz="5" w:space="0" w:color="000000"/>
              <w:left w:val="single" w:sz="5" w:space="0" w:color="000000"/>
              <w:bottom w:val="single" w:sz="5" w:space="0" w:color="000000"/>
              <w:right w:val="single" w:sz="5" w:space="0" w:color="000000"/>
            </w:tcBorders>
          </w:tcPr>
          <w:p w14:paraId="0F978E1D" w14:textId="6FCEC874"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Prvi odmerek 80 mg (dve 40</w:t>
            </w:r>
            <w:r w:rsidR="00E95755">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w:t>
            </w:r>
          </w:p>
          <w:p w14:paraId="0DC0E8E9" w14:textId="23761AEC" w:rsidR="00E04C8A" w:rsidRDefault="008E1817" w:rsidP="006F3477">
            <w:pPr>
              <w:pStyle w:val="TableParagraph"/>
              <w:spacing w:before="1" w:line="254" w:lineRule="exact"/>
              <w:ind w:left="102" w:right="51"/>
              <w:rPr>
                <w:rFonts w:ascii="Times New Roman" w:eastAsia="Times New Roman" w:hAnsi="Times New Roman" w:cs="Times New Roman"/>
                <w:lang w:val="sl-SI"/>
              </w:rPr>
            </w:pPr>
            <w:r>
              <w:rPr>
                <w:rFonts w:ascii="Times New Roman" w:eastAsia="Times New Roman" w:hAnsi="Times New Roman" w:cs="Times New Roman"/>
                <w:spacing w:val="-1"/>
                <w:lang w:val="sl-SI"/>
              </w:rPr>
              <w:t>injekcij</w:t>
            </w:r>
            <w:r w:rsidR="00E95755">
              <w:rPr>
                <w:rFonts w:ascii="Times New Roman" w:eastAsia="Times New Roman" w:hAnsi="Times New Roman" w:cs="Times New Roman"/>
                <w:spacing w:val="-1"/>
                <w:lang w:val="sl-SI"/>
              </w:rPr>
              <w:t>i</w:t>
            </w:r>
            <w:r>
              <w:rPr>
                <w:rFonts w:ascii="Times New Roman" w:eastAsia="Times New Roman" w:hAnsi="Times New Roman" w:cs="Times New Roman"/>
                <w:spacing w:val="-1"/>
                <w:lang w:val="sl-SI"/>
              </w:rPr>
              <w:t xml:space="preserve"> v enem dnevu), ki mu sledi 40 mg vsak drugi teden</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z začetkom en teden po začetnem</w:t>
            </w:r>
          </w:p>
          <w:p w14:paraId="3CB3DFC0" w14:textId="77777777" w:rsidR="00E04C8A" w:rsidRDefault="008E1817">
            <w:pPr>
              <w:pStyle w:val="TableParagraph"/>
              <w:spacing w:before="1"/>
              <w:ind w:left="102" w:right="57"/>
              <w:rPr>
                <w:rFonts w:ascii="Times New Roman" w:eastAsia="Times New Roman" w:hAnsi="Times New Roman" w:cs="Times New Roman"/>
                <w:lang w:val="sl-SI"/>
              </w:rPr>
            </w:pPr>
            <w:r>
              <w:rPr>
                <w:rFonts w:ascii="Times New Roman" w:eastAsia="Times New Roman" w:hAnsi="Times New Roman" w:cs="Times New Roman"/>
                <w:lang w:val="sl-SI"/>
              </w:rPr>
              <w:t>odmerku.</w:t>
            </w:r>
          </w:p>
        </w:tc>
        <w:tc>
          <w:tcPr>
            <w:tcW w:w="3096" w:type="dxa"/>
            <w:tcBorders>
              <w:top w:val="single" w:sz="5" w:space="0" w:color="000000"/>
              <w:left w:val="single" w:sz="5" w:space="0" w:color="000000"/>
              <w:bottom w:val="single" w:sz="5" w:space="0" w:color="000000"/>
              <w:right w:val="single" w:sz="5" w:space="0" w:color="000000"/>
            </w:tcBorders>
          </w:tcPr>
          <w:p w14:paraId="18AF50F9" w14:textId="301681FE" w:rsidR="00E04C8A" w:rsidRDefault="008E1817" w:rsidP="001452D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Kortikosteroidi ali druga</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zdravila, ki vplivajo na imunski sistem, se lahko</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še naprej uporabljajo z zdravilom Yuflyma.</w:t>
            </w:r>
          </w:p>
          <w:p w14:paraId="18C224B8" w14:textId="77777777" w:rsidR="00E04C8A" w:rsidRDefault="008E1817">
            <w:pPr>
              <w:pStyle w:val="TableParagraph"/>
              <w:spacing w:before="1"/>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Zdravilo Yuflyma se lahko daje tudi samostojno.</w:t>
            </w:r>
          </w:p>
        </w:tc>
      </w:tr>
      <w:tr w:rsidR="0026401E" w:rsidRPr="00652F18" w14:paraId="3000FFE7"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466D199A" w14:textId="51D25D5B" w:rsidR="0026401E" w:rsidRDefault="0026401E" w:rsidP="0026401E">
            <w:pPr>
              <w:pStyle w:val="TableParagraph"/>
              <w:spacing w:line="246" w:lineRule="exact"/>
              <w:ind w:left="102" w:right="57"/>
              <w:rPr>
                <w:rFonts w:ascii="Times New Roman" w:eastAsia="Times New Roman" w:hAnsi="Times New Roman" w:cs="Times New Roman"/>
                <w:spacing w:val="-1"/>
                <w:lang w:val="sl-SI"/>
              </w:rPr>
            </w:pPr>
            <w:r w:rsidRPr="0029364E">
              <w:rPr>
                <w:rFonts w:ascii="Times New Roman" w:eastAsia="Times New Roman" w:hAnsi="Times New Roman" w:cs="Times New Roman"/>
                <w:spacing w:val="-1"/>
                <w:lang w:val="sl-SI"/>
              </w:rPr>
              <w:t>Otroci in mladostniki, starejši</w:t>
            </w:r>
            <w:r>
              <w:rPr>
                <w:rFonts w:ascii="Times New Roman" w:eastAsia="Times New Roman" w:hAnsi="Times New Roman" w:cs="Times New Roman"/>
                <w:spacing w:val="-1"/>
                <w:lang w:val="sl-SI"/>
              </w:rPr>
              <w:t xml:space="preserve"> </w:t>
            </w:r>
            <w:r w:rsidRPr="0029364E">
              <w:rPr>
                <w:rFonts w:ascii="Times New Roman" w:eastAsia="Times New Roman" w:hAnsi="Times New Roman" w:cs="Times New Roman"/>
                <w:spacing w:val="-1"/>
                <w:lang w:val="sl-SI"/>
              </w:rPr>
              <w:t>od 2 let, ki tehtajo manj kot</w:t>
            </w:r>
            <w:r>
              <w:rPr>
                <w:rFonts w:ascii="Times New Roman" w:eastAsia="Times New Roman" w:hAnsi="Times New Roman" w:cs="Times New Roman"/>
                <w:spacing w:val="-1"/>
                <w:lang w:val="sl-SI"/>
              </w:rPr>
              <w:t xml:space="preserve"> </w:t>
            </w:r>
            <w:r w:rsidRPr="0029364E">
              <w:rPr>
                <w:rFonts w:ascii="Times New Roman" w:eastAsia="Times New Roman" w:hAnsi="Times New Roman" w:cs="Times New Roman"/>
                <w:spacing w:val="-1"/>
                <w:lang w:val="sl-SI"/>
              </w:rPr>
              <w:t>30 kg</w:t>
            </w:r>
          </w:p>
        </w:tc>
        <w:tc>
          <w:tcPr>
            <w:tcW w:w="3096" w:type="dxa"/>
            <w:tcBorders>
              <w:top w:val="single" w:sz="5" w:space="0" w:color="000000"/>
              <w:left w:val="single" w:sz="5" w:space="0" w:color="000000"/>
              <w:bottom w:val="single" w:sz="5" w:space="0" w:color="000000"/>
              <w:right w:val="single" w:sz="5" w:space="0" w:color="000000"/>
            </w:tcBorders>
          </w:tcPr>
          <w:p w14:paraId="627C1058" w14:textId="0E545D81" w:rsidR="0026401E" w:rsidRDefault="0026401E" w:rsidP="0026401E">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lang w:val="sl-SI"/>
              </w:rPr>
              <w:t>20 mg vsak drugi teden</w:t>
            </w:r>
          </w:p>
        </w:tc>
        <w:tc>
          <w:tcPr>
            <w:tcW w:w="3096" w:type="dxa"/>
            <w:tcBorders>
              <w:top w:val="single" w:sz="5" w:space="0" w:color="000000"/>
              <w:left w:val="single" w:sz="5" w:space="0" w:color="000000"/>
              <w:bottom w:val="single" w:sz="5" w:space="0" w:color="000000"/>
              <w:right w:val="single" w:sz="5" w:space="0" w:color="000000"/>
            </w:tcBorders>
          </w:tcPr>
          <w:p w14:paraId="4C8BF348" w14:textId="5593D17D" w:rsidR="0026401E" w:rsidRDefault="0026401E" w:rsidP="0026401E">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Zdravnik lahko predpiše začetni odmerek 40 mg, ki se ga lahko uporabi en teden pred začetkom zdravljenja z običajnim odmerkom </w:t>
            </w:r>
            <w:r>
              <w:rPr>
                <w:rFonts w:ascii="Times New Roman" w:eastAsia="Times New Roman" w:hAnsi="Times New Roman" w:cs="Times New Roman"/>
                <w:lang w:val="sl-SI"/>
              </w:rPr>
              <w:t>20 mg vsak drugi teden Zdravilo Yuflyma se priporoča za uporabo v kombinaciji z metotreksatom.</w:t>
            </w:r>
          </w:p>
        </w:tc>
      </w:tr>
      <w:tr w:rsidR="00E04C8A" w:rsidRPr="00652F18" w14:paraId="61A4A305" w14:textId="77777777" w:rsidTr="001452D7">
        <w:tc>
          <w:tcPr>
            <w:tcW w:w="3096" w:type="dxa"/>
            <w:tcBorders>
              <w:top w:val="single" w:sz="5" w:space="0" w:color="000000"/>
              <w:left w:val="single" w:sz="5" w:space="0" w:color="000000"/>
              <w:bottom w:val="single" w:sz="5" w:space="0" w:color="000000"/>
              <w:right w:val="single" w:sz="5" w:space="0" w:color="000000"/>
            </w:tcBorders>
          </w:tcPr>
          <w:p w14:paraId="764D84C2" w14:textId="04F3A47B" w:rsidR="00E04C8A" w:rsidRDefault="008E1817" w:rsidP="00E95755">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Otroci in mladostniki</w:t>
            </w:r>
            <w:r w:rsidR="00E95755">
              <w:rPr>
                <w:rFonts w:ascii="Times New Roman" w:eastAsia="Times New Roman" w:hAnsi="Times New Roman" w:cs="Times New Roman"/>
                <w:spacing w:val="-1"/>
                <w:lang w:val="sl-SI"/>
              </w:rPr>
              <w:t>,</w:t>
            </w:r>
            <w:r>
              <w:rPr>
                <w:rFonts w:ascii="Times New Roman" w:eastAsia="Times New Roman" w:hAnsi="Times New Roman" w:cs="Times New Roman"/>
                <w:spacing w:val="-1"/>
                <w:lang w:val="sl-SI"/>
              </w:rPr>
              <w:t xml:space="preserve"> </w:t>
            </w:r>
            <w:r w:rsidR="00E95755">
              <w:rPr>
                <w:rFonts w:ascii="Times New Roman" w:eastAsia="Times New Roman" w:hAnsi="Times New Roman" w:cs="Times New Roman"/>
                <w:spacing w:val="-1"/>
                <w:lang w:val="sl-SI"/>
              </w:rPr>
              <w:t xml:space="preserve">starejši </w:t>
            </w:r>
            <w:r>
              <w:rPr>
                <w:rFonts w:ascii="Times New Roman" w:eastAsia="Times New Roman" w:hAnsi="Times New Roman" w:cs="Times New Roman"/>
                <w:spacing w:val="-1"/>
                <w:lang w:val="sl-SI"/>
              </w:rPr>
              <w:t>od</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lang w:val="sl-SI"/>
              </w:rPr>
              <w:t>2 let</w:t>
            </w:r>
            <w:r w:rsidR="00E95755">
              <w:rPr>
                <w:rFonts w:ascii="Times New Roman" w:eastAsia="Times New Roman" w:hAnsi="Times New Roman" w:cs="Times New Roman"/>
                <w:lang w:val="sl-SI"/>
              </w:rPr>
              <w:t>,</w:t>
            </w:r>
            <w:r>
              <w:rPr>
                <w:rFonts w:ascii="Times New Roman" w:eastAsia="Times New Roman" w:hAnsi="Times New Roman" w:cs="Times New Roman"/>
                <w:lang w:val="sl-SI"/>
              </w:rPr>
              <w:t xml:space="preserve"> s telesno maso vsaj 30 kg</w:t>
            </w:r>
          </w:p>
        </w:tc>
        <w:tc>
          <w:tcPr>
            <w:tcW w:w="3096" w:type="dxa"/>
            <w:tcBorders>
              <w:top w:val="single" w:sz="5" w:space="0" w:color="000000"/>
              <w:left w:val="single" w:sz="5" w:space="0" w:color="000000"/>
              <w:bottom w:val="single" w:sz="5" w:space="0" w:color="000000"/>
              <w:right w:val="single" w:sz="5" w:space="0" w:color="000000"/>
            </w:tcBorders>
          </w:tcPr>
          <w:p w14:paraId="16EB1059" w14:textId="77777777" w:rsidR="00E04C8A" w:rsidRDefault="008E181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lang w:val="sl-SI"/>
              </w:rPr>
              <w:t>40 mg vsak drugi teden</w:t>
            </w:r>
          </w:p>
        </w:tc>
        <w:tc>
          <w:tcPr>
            <w:tcW w:w="3096" w:type="dxa"/>
            <w:tcBorders>
              <w:top w:val="single" w:sz="5" w:space="0" w:color="000000"/>
              <w:left w:val="single" w:sz="5" w:space="0" w:color="000000"/>
              <w:bottom w:val="single" w:sz="5" w:space="0" w:color="000000"/>
              <w:right w:val="single" w:sz="5" w:space="0" w:color="000000"/>
            </w:tcBorders>
          </w:tcPr>
          <w:p w14:paraId="39B14B5B" w14:textId="7E55F895" w:rsidR="00E04C8A" w:rsidRDefault="008E1817" w:rsidP="001452D7">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Zdravnik lahko predpiše</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začetni odmerek 80 mg, ki se da en teden pred</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začetkom običajnega odmerka</w:t>
            </w:r>
            <w:r w:rsidR="00653CB4">
              <w:rPr>
                <w:rFonts w:ascii="Times New Roman" w:eastAsia="Times New Roman" w:hAnsi="Times New Roman" w:cs="Times New Roman"/>
                <w:spacing w:val="-1"/>
                <w:lang w:val="sl-SI"/>
              </w:rPr>
              <w:t xml:space="preserve"> </w:t>
            </w:r>
            <w:r>
              <w:rPr>
                <w:rFonts w:ascii="Times New Roman" w:eastAsia="Times New Roman" w:hAnsi="Times New Roman" w:cs="Times New Roman"/>
                <w:lang w:val="sl-SI"/>
              </w:rPr>
              <w:t xml:space="preserve">40 mg vsak drugi </w:t>
            </w:r>
            <w:r>
              <w:rPr>
                <w:rFonts w:ascii="Times New Roman" w:eastAsia="Times New Roman" w:hAnsi="Times New Roman" w:cs="Times New Roman"/>
                <w:lang w:val="sl-SI"/>
              </w:rPr>
              <w:lastRenderedPageBreak/>
              <w:t>teden. Zdravilo Yuflyma se priporoča za v kombinaciji z metotreksatom.</w:t>
            </w:r>
          </w:p>
        </w:tc>
      </w:tr>
    </w:tbl>
    <w:p w14:paraId="040EE32B" w14:textId="77777777" w:rsidR="00E04C8A" w:rsidRDefault="00E04C8A">
      <w:pPr>
        <w:pStyle w:val="a3"/>
        <w:rPr>
          <w:lang w:val="sl-SI"/>
        </w:rPr>
      </w:pPr>
    </w:p>
    <w:p w14:paraId="4A2D8EC2" w14:textId="77777777" w:rsidR="00E04C8A" w:rsidRDefault="008E1817">
      <w:pPr>
        <w:pStyle w:val="a3"/>
        <w:rPr>
          <w:b/>
          <w:lang w:val="sl-SI"/>
        </w:rPr>
      </w:pPr>
      <w:r>
        <w:rPr>
          <w:rFonts w:eastAsia="Times New Roman"/>
          <w:b/>
          <w:bCs/>
          <w:lang w:val="sl-SI"/>
        </w:rPr>
        <w:t>Postopek in pot uporabe zdravila</w:t>
      </w:r>
    </w:p>
    <w:p w14:paraId="50CA93C6" w14:textId="77777777" w:rsidR="00E04C8A" w:rsidRDefault="00E04C8A">
      <w:pPr>
        <w:spacing w:before="9" w:line="240" w:lineRule="exact"/>
        <w:rPr>
          <w:sz w:val="24"/>
          <w:szCs w:val="24"/>
          <w:lang w:val="sl-SI"/>
        </w:rPr>
      </w:pPr>
    </w:p>
    <w:p w14:paraId="0693F0F8" w14:textId="77777777" w:rsidR="00E04C8A" w:rsidRDefault="008E1817">
      <w:pPr>
        <w:pStyle w:val="a3"/>
        <w:rPr>
          <w:lang w:val="sl-SI"/>
        </w:rPr>
      </w:pPr>
      <w:r>
        <w:rPr>
          <w:rFonts w:eastAsia="Times New Roman"/>
          <w:lang w:val="sl-SI"/>
        </w:rPr>
        <w:t>Zdravilo Yuflyma se injicira pod kožo (s subkutano injekcijo).</w:t>
      </w:r>
    </w:p>
    <w:p w14:paraId="74900BFE" w14:textId="77777777" w:rsidR="00E04C8A" w:rsidRDefault="00E04C8A">
      <w:pPr>
        <w:spacing w:before="18" w:line="240" w:lineRule="exact"/>
        <w:rPr>
          <w:sz w:val="24"/>
          <w:szCs w:val="24"/>
          <w:lang w:val="sl-SI"/>
        </w:rPr>
      </w:pPr>
    </w:p>
    <w:p w14:paraId="55290E6D" w14:textId="0D52C73D" w:rsidR="00E04C8A" w:rsidRDefault="008E1817">
      <w:pPr>
        <w:pStyle w:val="a3"/>
        <w:rPr>
          <w:b/>
          <w:lang w:val="sl-SI"/>
        </w:rPr>
      </w:pPr>
      <w:r>
        <w:rPr>
          <w:rFonts w:eastAsia="Times New Roman"/>
          <w:b/>
          <w:bCs/>
          <w:lang w:val="sl-SI"/>
        </w:rPr>
        <w:t>Podrobna navodila o tem injiciranju zdravila Yuflyma so navedena v poglavju 7 „</w:t>
      </w:r>
      <w:r w:rsidR="00C568D9" w:rsidRPr="007F6B22">
        <w:rPr>
          <w:rFonts w:eastAsia="Times New Roman"/>
          <w:b/>
          <w:bCs/>
          <w:lang w:val="sl-SI"/>
        </w:rPr>
        <w:t>Navodila za uporabo</w:t>
      </w:r>
      <w:r>
        <w:rPr>
          <w:rFonts w:eastAsia="Times New Roman"/>
          <w:b/>
          <w:bCs/>
          <w:lang w:val="sl-SI"/>
        </w:rPr>
        <w:t>“.</w:t>
      </w:r>
    </w:p>
    <w:p w14:paraId="231B4EE1" w14:textId="77777777" w:rsidR="00E04C8A" w:rsidRDefault="00E04C8A">
      <w:pPr>
        <w:pStyle w:val="a3"/>
        <w:rPr>
          <w:b/>
          <w:lang w:val="sl-SI"/>
        </w:rPr>
      </w:pPr>
    </w:p>
    <w:p w14:paraId="69ADDB10" w14:textId="77777777" w:rsidR="00E04C8A" w:rsidRDefault="008E1817">
      <w:pPr>
        <w:pStyle w:val="a3"/>
        <w:rPr>
          <w:b/>
          <w:lang w:val="sl-SI"/>
        </w:rPr>
      </w:pPr>
      <w:r>
        <w:rPr>
          <w:rFonts w:eastAsia="Times New Roman"/>
          <w:b/>
          <w:bCs/>
          <w:lang w:val="sl-SI"/>
        </w:rPr>
        <w:t>Če ste uporabili večji odmerek zdravila Yuflyma, kot bi smeli</w:t>
      </w:r>
    </w:p>
    <w:p w14:paraId="4DB9E009" w14:textId="77777777" w:rsidR="00E04C8A" w:rsidRDefault="00E04C8A">
      <w:pPr>
        <w:pStyle w:val="a3"/>
        <w:rPr>
          <w:lang w:val="sl-SI"/>
        </w:rPr>
      </w:pPr>
    </w:p>
    <w:p w14:paraId="6ED49055" w14:textId="579784B1" w:rsidR="00E04C8A" w:rsidRDefault="008E1817">
      <w:pPr>
        <w:pStyle w:val="a3"/>
        <w:rPr>
          <w:lang w:val="sl-SI"/>
        </w:rPr>
      </w:pPr>
      <w:r>
        <w:rPr>
          <w:rFonts w:eastAsia="Times New Roman"/>
          <w:lang w:val="sl-SI"/>
        </w:rPr>
        <w:t xml:space="preserve">Če </w:t>
      </w:r>
      <w:r w:rsidR="007A004C">
        <w:rPr>
          <w:rFonts w:eastAsia="Times New Roman"/>
          <w:lang w:val="sl-SI"/>
        </w:rPr>
        <w:t xml:space="preserve">si </w:t>
      </w:r>
      <w:r w:rsidR="008535E2">
        <w:rPr>
          <w:rFonts w:eastAsia="Times New Roman"/>
          <w:lang w:val="sl-SI"/>
        </w:rPr>
        <w:t xml:space="preserve">pomotoma injicirate </w:t>
      </w:r>
      <w:r>
        <w:rPr>
          <w:rFonts w:eastAsia="Times New Roman"/>
          <w:lang w:val="sl-SI"/>
        </w:rPr>
        <w:t xml:space="preserve">zdravilo Yuflyma pogosteje, kot vam je naročil zdravnik ali farmacevt, </w:t>
      </w:r>
      <w:r w:rsidR="008535E2">
        <w:rPr>
          <w:rFonts w:eastAsia="Times New Roman"/>
          <w:lang w:val="sl-SI"/>
        </w:rPr>
        <w:t xml:space="preserve">se morate posvetovati z </w:t>
      </w:r>
      <w:r w:rsidR="007A004C">
        <w:rPr>
          <w:rFonts w:eastAsia="Times New Roman"/>
          <w:lang w:val="sl-SI"/>
        </w:rPr>
        <w:t>zdravnikom</w:t>
      </w:r>
      <w:r w:rsidR="008535E2">
        <w:rPr>
          <w:rFonts w:eastAsia="Times New Roman"/>
          <w:lang w:val="sl-SI"/>
        </w:rPr>
        <w:t xml:space="preserve"> ali farmacevtom in mu povedati, da ste uporabili večji odmerek</w:t>
      </w:r>
      <w:r>
        <w:rPr>
          <w:rFonts w:eastAsia="Times New Roman"/>
          <w:lang w:val="sl-SI"/>
        </w:rPr>
        <w:t xml:space="preserve">. </w:t>
      </w:r>
      <w:r w:rsidR="008535E2">
        <w:rPr>
          <w:rFonts w:eastAsia="Times New Roman"/>
          <w:lang w:val="sl-SI"/>
        </w:rPr>
        <w:t>V</w:t>
      </w:r>
      <w:r>
        <w:rPr>
          <w:rFonts w:eastAsia="Times New Roman"/>
          <w:lang w:val="sl-SI"/>
        </w:rPr>
        <w:t xml:space="preserve">edno vzemite </w:t>
      </w:r>
      <w:r w:rsidR="008535E2">
        <w:rPr>
          <w:rFonts w:eastAsia="Times New Roman"/>
          <w:lang w:val="sl-SI"/>
        </w:rPr>
        <w:t xml:space="preserve">s seboj zunanjo ovojnino </w:t>
      </w:r>
      <w:r>
        <w:rPr>
          <w:rFonts w:eastAsia="Times New Roman"/>
          <w:lang w:val="sl-SI"/>
        </w:rPr>
        <w:t>zdravila, tudi če je prazna.</w:t>
      </w:r>
    </w:p>
    <w:p w14:paraId="6BB20FA0" w14:textId="77777777" w:rsidR="00E04C8A" w:rsidRDefault="00E04C8A">
      <w:pPr>
        <w:spacing w:before="18" w:line="240" w:lineRule="exact"/>
        <w:rPr>
          <w:b/>
          <w:sz w:val="24"/>
          <w:szCs w:val="24"/>
          <w:lang w:val="sl-SI"/>
        </w:rPr>
      </w:pPr>
    </w:p>
    <w:p w14:paraId="290E6BFB" w14:textId="77777777" w:rsidR="00E04C8A" w:rsidRDefault="008E1817">
      <w:pPr>
        <w:pStyle w:val="a3"/>
        <w:rPr>
          <w:b/>
          <w:lang w:val="sl-SI"/>
        </w:rPr>
      </w:pPr>
      <w:r>
        <w:rPr>
          <w:rFonts w:eastAsia="Times New Roman"/>
          <w:b/>
          <w:bCs/>
          <w:lang w:val="sl-SI"/>
        </w:rPr>
        <w:t>Če ste pozabili uporabiti zdravilo Yuflyma</w:t>
      </w:r>
    </w:p>
    <w:p w14:paraId="29514398" w14:textId="77777777" w:rsidR="00E04C8A" w:rsidRDefault="00E04C8A">
      <w:pPr>
        <w:spacing w:before="9" w:line="240" w:lineRule="exact"/>
        <w:rPr>
          <w:sz w:val="24"/>
          <w:szCs w:val="24"/>
          <w:lang w:val="sl-SI"/>
        </w:rPr>
      </w:pPr>
    </w:p>
    <w:p w14:paraId="2D9AD5AB" w14:textId="35D92D8C" w:rsidR="00E04C8A" w:rsidRDefault="008E1817">
      <w:pPr>
        <w:pStyle w:val="a3"/>
        <w:rPr>
          <w:lang w:val="sl-SI"/>
        </w:rPr>
      </w:pPr>
      <w:r>
        <w:rPr>
          <w:rFonts w:eastAsia="Times New Roman"/>
          <w:lang w:val="sl-SI"/>
        </w:rPr>
        <w:t>Če si pozabi</w:t>
      </w:r>
      <w:r w:rsidR="008535E2">
        <w:rPr>
          <w:rFonts w:eastAsia="Times New Roman"/>
          <w:lang w:val="sl-SI"/>
        </w:rPr>
        <w:t>te</w:t>
      </w:r>
      <w:r>
        <w:rPr>
          <w:rFonts w:eastAsia="Times New Roman"/>
          <w:lang w:val="sl-SI"/>
        </w:rPr>
        <w:t xml:space="preserve"> dati injekcijo, si morate naslednji odmerek zdravila Yuflyma injicirati takoj, ko se spomnite. Nato </w:t>
      </w:r>
      <w:r w:rsidR="008535E2">
        <w:rPr>
          <w:rFonts w:eastAsia="Times New Roman"/>
          <w:lang w:val="sl-SI"/>
        </w:rPr>
        <w:t>uporabite</w:t>
      </w:r>
      <w:r>
        <w:rPr>
          <w:rFonts w:eastAsia="Times New Roman"/>
          <w:lang w:val="sl-SI"/>
        </w:rPr>
        <w:t xml:space="preserve"> naslednji odmerek, kot bi ga </w:t>
      </w:r>
      <w:r w:rsidR="00A53A99">
        <w:rPr>
          <w:rFonts w:eastAsia="Times New Roman"/>
          <w:lang w:val="sl-SI"/>
        </w:rPr>
        <w:t>uporabili po prvotnem urniku injiciranja</w:t>
      </w:r>
      <w:r>
        <w:rPr>
          <w:rFonts w:eastAsia="Times New Roman"/>
          <w:lang w:val="sl-SI"/>
        </w:rPr>
        <w:t>.</w:t>
      </w:r>
    </w:p>
    <w:p w14:paraId="2803C47C" w14:textId="77777777" w:rsidR="00E04C8A" w:rsidRDefault="00E04C8A">
      <w:pPr>
        <w:spacing w:before="18" w:line="240" w:lineRule="exact"/>
        <w:rPr>
          <w:sz w:val="24"/>
          <w:szCs w:val="24"/>
          <w:lang w:val="sl-SI"/>
        </w:rPr>
      </w:pPr>
    </w:p>
    <w:p w14:paraId="339587D6" w14:textId="77777777" w:rsidR="00E04C8A" w:rsidRDefault="008E1817">
      <w:pPr>
        <w:pStyle w:val="a3"/>
        <w:rPr>
          <w:b/>
          <w:lang w:val="sl-SI"/>
        </w:rPr>
      </w:pPr>
      <w:r>
        <w:rPr>
          <w:rFonts w:eastAsia="Times New Roman"/>
          <w:b/>
          <w:bCs/>
          <w:lang w:val="sl-SI"/>
        </w:rPr>
        <w:t>Če ste prenehali uporabljati zdravilo Yuflyma</w:t>
      </w:r>
    </w:p>
    <w:p w14:paraId="0A88FED4" w14:textId="77777777" w:rsidR="00E04C8A" w:rsidRDefault="00E04C8A">
      <w:pPr>
        <w:spacing w:before="6" w:line="240" w:lineRule="exact"/>
        <w:rPr>
          <w:sz w:val="24"/>
          <w:szCs w:val="24"/>
          <w:lang w:val="sl-SI"/>
        </w:rPr>
      </w:pPr>
    </w:p>
    <w:p w14:paraId="44A4B593" w14:textId="2DDD6FBC" w:rsidR="00E04C8A" w:rsidRDefault="008E1817">
      <w:pPr>
        <w:pStyle w:val="a3"/>
        <w:rPr>
          <w:lang w:val="sl-SI"/>
        </w:rPr>
      </w:pPr>
      <w:r>
        <w:rPr>
          <w:rFonts w:eastAsia="Times New Roman"/>
          <w:lang w:val="sl-SI"/>
        </w:rPr>
        <w:t>O odločitvi</w:t>
      </w:r>
      <w:r w:rsidR="00A53A99">
        <w:rPr>
          <w:rFonts w:eastAsia="Times New Roman"/>
          <w:lang w:val="sl-SI"/>
        </w:rPr>
        <w:t>, da bi prenehali uporabljati zdravilo</w:t>
      </w:r>
      <w:r>
        <w:rPr>
          <w:rFonts w:eastAsia="Times New Roman"/>
          <w:lang w:val="sl-SI"/>
        </w:rPr>
        <w:t xml:space="preserve"> Yuflyma</w:t>
      </w:r>
      <w:r w:rsidR="00A53A99">
        <w:rPr>
          <w:rFonts w:eastAsia="Times New Roman"/>
          <w:lang w:val="sl-SI"/>
        </w:rPr>
        <w:t>,</w:t>
      </w:r>
      <w:r>
        <w:rPr>
          <w:rFonts w:eastAsia="Times New Roman"/>
          <w:lang w:val="sl-SI"/>
        </w:rPr>
        <w:t xml:space="preserve"> se morate posvetovati </w:t>
      </w:r>
      <w:r w:rsidR="00A53A99">
        <w:rPr>
          <w:rFonts w:eastAsia="Times New Roman"/>
          <w:lang w:val="sl-SI"/>
        </w:rPr>
        <w:t>s svojim</w:t>
      </w:r>
      <w:r>
        <w:rPr>
          <w:rFonts w:eastAsia="Times New Roman"/>
          <w:lang w:val="sl-SI"/>
        </w:rPr>
        <w:t xml:space="preserve"> zdravnikom. Vaši simptomi se lahko po prekinitvi uporabe zdravila Yuflyma povrnejo.</w:t>
      </w:r>
    </w:p>
    <w:p w14:paraId="7DD6A8D5" w14:textId="77777777" w:rsidR="00E04C8A" w:rsidRDefault="00E04C8A">
      <w:pPr>
        <w:spacing w:before="12" w:line="240" w:lineRule="exact"/>
        <w:rPr>
          <w:sz w:val="24"/>
          <w:szCs w:val="24"/>
          <w:lang w:val="sl-SI"/>
        </w:rPr>
      </w:pPr>
    </w:p>
    <w:p w14:paraId="2F17EAD1" w14:textId="77777777" w:rsidR="00E04C8A" w:rsidRDefault="008E1817">
      <w:pPr>
        <w:pStyle w:val="a3"/>
        <w:rPr>
          <w:lang w:val="sl-SI"/>
        </w:rPr>
      </w:pPr>
      <w:r>
        <w:rPr>
          <w:rFonts w:eastAsia="Times New Roman"/>
          <w:lang w:val="sl-SI"/>
        </w:rPr>
        <w:t>Če imate dodatna vprašanja o uporabi zdravila, se posvetujte z zdravnikom ali farmacevtom.</w:t>
      </w:r>
    </w:p>
    <w:p w14:paraId="43981C15" w14:textId="77777777" w:rsidR="00E04C8A" w:rsidRDefault="00E04C8A">
      <w:pPr>
        <w:spacing w:line="110" w:lineRule="exact"/>
        <w:rPr>
          <w:sz w:val="11"/>
          <w:szCs w:val="11"/>
          <w:lang w:val="sl-SI"/>
        </w:rPr>
      </w:pPr>
    </w:p>
    <w:p w14:paraId="3D7A2865" w14:textId="77777777" w:rsidR="00E04C8A" w:rsidRDefault="00E04C8A">
      <w:pPr>
        <w:spacing w:line="200" w:lineRule="exact"/>
        <w:rPr>
          <w:sz w:val="20"/>
          <w:szCs w:val="20"/>
          <w:lang w:val="sl-SI"/>
        </w:rPr>
      </w:pPr>
    </w:p>
    <w:p w14:paraId="126C9192" w14:textId="77777777" w:rsidR="00E04C8A" w:rsidRDefault="00E04C8A">
      <w:pPr>
        <w:spacing w:line="200" w:lineRule="exact"/>
        <w:rPr>
          <w:sz w:val="20"/>
          <w:szCs w:val="20"/>
          <w:lang w:val="sl-SI"/>
        </w:rPr>
      </w:pPr>
    </w:p>
    <w:p w14:paraId="6A195093" w14:textId="77777777" w:rsidR="00E04C8A" w:rsidRDefault="008E1817">
      <w:pPr>
        <w:pStyle w:val="a4"/>
        <w:numPr>
          <w:ilvl w:val="0"/>
          <w:numId w:val="38"/>
        </w:numPr>
        <w:spacing w:line="240" w:lineRule="exact"/>
        <w:ind w:hanging="468"/>
        <w:rPr>
          <w:rFonts w:ascii="Times New Roman" w:hAnsi="Times New Roman" w:cs="Times New Roman"/>
          <w:b/>
          <w:lang w:val="sl-SI"/>
        </w:rPr>
      </w:pPr>
      <w:r>
        <w:rPr>
          <w:rFonts w:ascii="Times New Roman" w:eastAsia="Times New Roman" w:hAnsi="Times New Roman" w:cs="Times New Roman"/>
          <w:b/>
          <w:bCs/>
          <w:lang w:val="sl-SI"/>
        </w:rPr>
        <w:t>Možni neželeni učinki</w:t>
      </w:r>
    </w:p>
    <w:p w14:paraId="6834FCA1" w14:textId="77777777" w:rsidR="00E04C8A" w:rsidRDefault="00E04C8A">
      <w:pPr>
        <w:spacing w:before="12" w:line="240" w:lineRule="exact"/>
        <w:rPr>
          <w:sz w:val="24"/>
          <w:szCs w:val="24"/>
          <w:lang w:val="sl-SI"/>
        </w:rPr>
      </w:pPr>
    </w:p>
    <w:p w14:paraId="53CC9589" w14:textId="2314419C" w:rsidR="00E04C8A" w:rsidRDefault="008E1817">
      <w:pPr>
        <w:pStyle w:val="a3"/>
        <w:rPr>
          <w:lang w:val="sl-SI"/>
        </w:rPr>
      </w:pPr>
      <w:r>
        <w:rPr>
          <w:rFonts w:eastAsia="Times New Roman"/>
          <w:lang w:val="sl-SI"/>
        </w:rPr>
        <w:t xml:space="preserve">Kot vsa zdravila ima lahko tudi to zdravilo neželene učinke, ki pa se ne pojavijo pri vseh bolnikih. Večina neželenih učinkov je blagih do zmernih. Vendar pa so lahko nekateri resni in zahtevajo zdravljenje. Neželeni učinki se lahko pojavijo </w:t>
      </w:r>
      <w:r w:rsidR="0054533C">
        <w:rPr>
          <w:rFonts w:eastAsia="Times New Roman"/>
          <w:lang w:val="sl-SI"/>
        </w:rPr>
        <w:t xml:space="preserve">vsaj še </w:t>
      </w:r>
      <w:r>
        <w:rPr>
          <w:rFonts w:eastAsia="Times New Roman"/>
          <w:lang w:val="sl-SI"/>
        </w:rPr>
        <w:t>4 mesece po zadnji injekciji zdravila Yuflyma.</w:t>
      </w:r>
    </w:p>
    <w:p w14:paraId="6A919BEF" w14:textId="77777777" w:rsidR="00E04C8A" w:rsidRDefault="00E04C8A">
      <w:pPr>
        <w:spacing w:before="15" w:line="240" w:lineRule="exact"/>
        <w:rPr>
          <w:sz w:val="24"/>
          <w:szCs w:val="24"/>
          <w:lang w:val="sl-SI"/>
        </w:rPr>
      </w:pPr>
    </w:p>
    <w:p w14:paraId="6F1800A1" w14:textId="77777777" w:rsidR="00E04C8A" w:rsidRDefault="008E1817">
      <w:pPr>
        <w:pStyle w:val="a3"/>
        <w:rPr>
          <w:b/>
          <w:lang w:val="sl-SI"/>
        </w:rPr>
      </w:pPr>
      <w:r>
        <w:rPr>
          <w:rFonts w:eastAsia="Times New Roman"/>
          <w:b/>
          <w:bCs/>
          <w:lang w:val="sl-SI"/>
        </w:rPr>
        <w:t>Zdravniku takoj povejte, če opazite kaj od naslednjega</w:t>
      </w:r>
    </w:p>
    <w:p w14:paraId="06DD1468" w14:textId="77777777" w:rsidR="00E04C8A" w:rsidRDefault="00E04C8A">
      <w:pPr>
        <w:spacing w:before="10" w:line="240" w:lineRule="exact"/>
        <w:rPr>
          <w:sz w:val="24"/>
          <w:szCs w:val="24"/>
          <w:lang w:val="sl-SI"/>
        </w:rPr>
      </w:pPr>
    </w:p>
    <w:p w14:paraId="6A648D41" w14:textId="0957F1E9" w:rsidR="00E04C8A" w:rsidRDefault="008E1817">
      <w:pPr>
        <w:pStyle w:val="a3"/>
        <w:numPr>
          <w:ilvl w:val="0"/>
          <w:numId w:val="16"/>
        </w:numPr>
        <w:ind w:left="660" w:hanging="660"/>
        <w:rPr>
          <w:lang w:val="sl-SI"/>
        </w:rPr>
      </w:pPr>
      <w:r>
        <w:rPr>
          <w:rFonts w:eastAsia="Times New Roman"/>
          <w:lang w:val="sl-SI"/>
        </w:rPr>
        <w:t>hud izpuščaj, koprivnico ali druge znake alergijske reakcije</w:t>
      </w:r>
      <w:r w:rsidR="004E72F7">
        <w:rPr>
          <w:rFonts w:eastAsia="Times New Roman"/>
          <w:lang w:val="sl-SI"/>
        </w:rPr>
        <w:t>;</w:t>
      </w:r>
    </w:p>
    <w:p w14:paraId="2E8BEEA6" w14:textId="545C7EAF" w:rsidR="00E04C8A" w:rsidRDefault="008E1817">
      <w:pPr>
        <w:pStyle w:val="a3"/>
        <w:numPr>
          <w:ilvl w:val="0"/>
          <w:numId w:val="16"/>
        </w:numPr>
        <w:ind w:left="660" w:hanging="660"/>
        <w:rPr>
          <w:lang w:val="sl-SI"/>
        </w:rPr>
      </w:pPr>
      <w:r>
        <w:rPr>
          <w:rFonts w:eastAsia="Times New Roman"/>
          <w:lang w:val="sl-SI"/>
        </w:rPr>
        <w:t>otek</w:t>
      </w:r>
      <w:r w:rsidR="004E72F7">
        <w:rPr>
          <w:rFonts w:eastAsia="Times New Roman"/>
          <w:lang w:val="sl-SI"/>
        </w:rPr>
        <w:t>lost</w:t>
      </w:r>
      <w:r>
        <w:rPr>
          <w:rFonts w:eastAsia="Times New Roman"/>
          <w:lang w:val="sl-SI"/>
        </w:rPr>
        <w:t xml:space="preserve"> obraz</w:t>
      </w:r>
      <w:r w:rsidR="004E72F7">
        <w:rPr>
          <w:rFonts w:eastAsia="Times New Roman"/>
          <w:lang w:val="sl-SI"/>
        </w:rPr>
        <w:t>a</w:t>
      </w:r>
      <w:r>
        <w:rPr>
          <w:rFonts w:eastAsia="Times New Roman"/>
          <w:lang w:val="sl-SI"/>
        </w:rPr>
        <w:t>, dlani</w:t>
      </w:r>
      <w:r w:rsidR="004E72F7">
        <w:rPr>
          <w:rFonts w:eastAsia="Times New Roman"/>
          <w:lang w:val="sl-SI"/>
        </w:rPr>
        <w:t xml:space="preserve"> in stopal;</w:t>
      </w:r>
    </w:p>
    <w:p w14:paraId="494F2FB2" w14:textId="4A74C172" w:rsidR="00E04C8A" w:rsidRDefault="008E1817">
      <w:pPr>
        <w:pStyle w:val="a3"/>
        <w:numPr>
          <w:ilvl w:val="0"/>
          <w:numId w:val="16"/>
        </w:numPr>
        <w:ind w:left="660" w:hanging="660"/>
        <w:rPr>
          <w:lang w:val="sl-SI"/>
        </w:rPr>
      </w:pPr>
      <w:r>
        <w:rPr>
          <w:rFonts w:eastAsia="Times New Roman"/>
          <w:lang w:val="sl-SI"/>
        </w:rPr>
        <w:t>težave pri dihanju, požiranju;</w:t>
      </w:r>
    </w:p>
    <w:p w14:paraId="7DE58DE3" w14:textId="5CFA5C09" w:rsidR="00E04C8A" w:rsidRDefault="004E72F7" w:rsidP="004E72F7">
      <w:pPr>
        <w:pStyle w:val="a3"/>
        <w:numPr>
          <w:ilvl w:val="0"/>
          <w:numId w:val="16"/>
        </w:numPr>
        <w:ind w:left="660"/>
        <w:rPr>
          <w:lang w:val="sl-SI"/>
        </w:rPr>
      </w:pPr>
      <w:r w:rsidRPr="004E72F7">
        <w:rPr>
          <w:rFonts w:eastAsia="Times New Roman"/>
          <w:lang w:val="sl-SI"/>
        </w:rPr>
        <w:t>težko dihanje</w:t>
      </w:r>
      <w:r w:rsidR="008E1817">
        <w:rPr>
          <w:rFonts w:eastAsia="Times New Roman"/>
          <w:lang w:val="sl-SI"/>
        </w:rPr>
        <w:t xml:space="preserve"> ob </w:t>
      </w:r>
      <w:r>
        <w:rPr>
          <w:rFonts w:eastAsia="Times New Roman"/>
          <w:lang w:val="sl-SI"/>
        </w:rPr>
        <w:t>naporu</w:t>
      </w:r>
      <w:r w:rsidR="008E1817">
        <w:rPr>
          <w:rFonts w:eastAsia="Times New Roman"/>
          <w:lang w:val="sl-SI"/>
        </w:rPr>
        <w:t xml:space="preserve"> ali </w:t>
      </w:r>
      <w:r>
        <w:rPr>
          <w:rFonts w:eastAsia="Times New Roman"/>
          <w:lang w:val="sl-SI"/>
        </w:rPr>
        <w:t xml:space="preserve">med ležanjem </w:t>
      </w:r>
      <w:r w:rsidR="008E1817">
        <w:rPr>
          <w:rFonts w:eastAsia="Times New Roman"/>
          <w:lang w:val="sl-SI"/>
        </w:rPr>
        <w:t>ali otekanje stopal</w:t>
      </w:r>
    </w:p>
    <w:p w14:paraId="6A812F94" w14:textId="77777777" w:rsidR="00E04C8A" w:rsidRDefault="00E04C8A">
      <w:pPr>
        <w:spacing w:before="15" w:line="240" w:lineRule="exact"/>
        <w:rPr>
          <w:sz w:val="24"/>
          <w:szCs w:val="24"/>
          <w:lang w:val="sl-SI"/>
        </w:rPr>
      </w:pPr>
    </w:p>
    <w:p w14:paraId="790B332E" w14:textId="77777777" w:rsidR="00E04C8A" w:rsidRDefault="008E1817">
      <w:pPr>
        <w:pStyle w:val="a3"/>
        <w:rPr>
          <w:b/>
          <w:lang w:val="sl-SI"/>
        </w:rPr>
      </w:pPr>
      <w:r>
        <w:rPr>
          <w:rFonts w:eastAsia="Times New Roman"/>
          <w:b/>
          <w:bCs/>
          <w:lang w:val="sl-SI"/>
        </w:rPr>
        <w:t>Zdravniku čim prej povejte, če opazite kaj od naslednjega:</w:t>
      </w:r>
    </w:p>
    <w:p w14:paraId="3DB75390" w14:textId="77777777" w:rsidR="00E04C8A" w:rsidRDefault="00E04C8A">
      <w:pPr>
        <w:spacing w:before="10" w:line="240" w:lineRule="exact"/>
        <w:rPr>
          <w:sz w:val="24"/>
          <w:szCs w:val="24"/>
          <w:lang w:val="sl-SI"/>
        </w:rPr>
      </w:pPr>
    </w:p>
    <w:p w14:paraId="3D0D8BDC" w14:textId="3BB22F13" w:rsidR="00E04C8A" w:rsidRDefault="008E1817">
      <w:pPr>
        <w:pStyle w:val="a3"/>
        <w:numPr>
          <w:ilvl w:val="0"/>
          <w:numId w:val="16"/>
        </w:numPr>
        <w:ind w:left="660" w:hanging="660"/>
        <w:rPr>
          <w:lang w:val="sl-SI"/>
        </w:rPr>
      </w:pPr>
      <w:r>
        <w:rPr>
          <w:rFonts w:eastAsia="Times New Roman"/>
          <w:lang w:val="sl-SI"/>
        </w:rPr>
        <w:t>znake okužbe, npr. zvišano telesno temperaturo, splošno slabo počutje, rane, težave z zobmi, pekoč občutek med uriniranjem;</w:t>
      </w:r>
    </w:p>
    <w:p w14:paraId="4BBB5AE0" w14:textId="77777777" w:rsidR="00E04C8A" w:rsidRDefault="008E1817">
      <w:pPr>
        <w:pStyle w:val="a3"/>
        <w:numPr>
          <w:ilvl w:val="0"/>
          <w:numId w:val="16"/>
        </w:numPr>
        <w:ind w:left="660" w:hanging="660"/>
        <w:rPr>
          <w:lang w:val="sl-SI"/>
        </w:rPr>
      </w:pPr>
      <w:r>
        <w:rPr>
          <w:rFonts w:eastAsia="Times New Roman"/>
          <w:lang w:val="sl-SI"/>
        </w:rPr>
        <w:t>občutek šibkosti ali utrujenosti;</w:t>
      </w:r>
    </w:p>
    <w:p w14:paraId="6D9A290D" w14:textId="77777777" w:rsidR="00E04C8A" w:rsidRDefault="008E1817">
      <w:pPr>
        <w:pStyle w:val="a3"/>
        <w:numPr>
          <w:ilvl w:val="0"/>
          <w:numId w:val="16"/>
        </w:numPr>
        <w:ind w:left="660" w:hanging="660"/>
        <w:rPr>
          <w:lang w:val="sl-SI"/>
        </w:rPr>
      </w:pPr>
      <w:r>
        <w:rPr>
          <w:rFonts w:eastAsia="Times New Roman"/>
          <w:lang w:val="sl-SI"/>
        </w:rPr>
        <w:t>kašelj;</w:t>
      </w:r>
    </w:p>
    <w:p w14:paraId="4E25C438" w14:textId="77777777" w:rsidR="00E04C8A" w:rsidRDefault="008E1817">
      <w:pPr>
        <w:pStyle w:val="a3"/>
        <w:numPr>
          <w:ilvl w:val="0"/>
          <w:numId w:val="16"/>
        </w:numPr>
        <w:ind w:left="660" w:hanging="660"/>
        <w:rPr>
          <w:lang w:val="sl-SI"/>
        </w:rPr>
      </w:pPr>
      <w:r>
        <w:rPr>
          <w:rFonts w:eastAsia="Times New Roman"/>
          <w:lang w:val="sl-SI"/>
        </w:rPr>
        <w:t>mravljinčenje;</w:t>
      </w:r>
    </w:p>
    <w:p w14:paraId="19E572C9" w14:textId="77777777" w:rsidR="00E04C8A" w:rsidRDefault="008E1817">
      <w:pPr>
        <w:pStyle w:val="a3"/>
        <w:numPr>
          <w:ilvl w:val="0"/>
          <w:numId w:val="16"/>
        </w:numPr>
        <w:ind w:left="660" w:hanging="660"/>
        <w:rPr>
          <w:lang w:val="sl-SI"/>
        </w:rPr>
      </w:pPr>
      <w:r>
        <w:rPr>
          <w:rFonts w:eastAsia="Times New Roman"/>
          <w:lang w:val="sl-SI"/>
        </w:rPr>
        <w:t>omrtvelost;</w:t>
      </w:r>
    </w:p>
    <w:p w14:paraId="127145B7" w14:textId="77777777" w:rsidR="00E04C8A" w:rsidRDefault="008E1817">
      <w:pPr>
        <w:pStyle w:val="a3"/>
        <w:numPr>
          <w:ilvl w:val="0"/>
          <w:numId w:val="16"/>
        </w:numPr>
        <w:ind w:left="660" w:hanging="660"/>
        <w:rPr>
          <w:lang w:val="sl-SI"/>
        </w:rPr>
      </w:pPr>
      <w:r>
        <w:rPr>
          <w:rFonts w:eastAsia="Times New Roman"/>
          <w:lang w:val="sl-SI"/>
        </w:rPr>
        <w:t>dvojni vid;</w:t>
      </w:r>
    </w:p>
    <w:p w14:paraId="1E8C35E7" w14:textId="77777777" w:rsidR="00E04C8A" w:rsidRDefault="008E1817">
      <w:pPr>
        <w:pStyle w:val="a3"/>
        <w:numPr>
          <w:ilvl w:val="0"/>
          <w:numId w:val="16"/>
        </w:numPr>
        <w:ind w:left="660" w:hanging="660"/>
        <w:rPr>
          <w:lang w:val="sl-SI"/>
        </w:rPr>
      </w:pPr>
      <w:r>
        <w:rPr>
          <w:rFonts w:eastAsia="Times New Roman"/>
          <w:lang w:val="sl-SI"/>
        </w:rPr>
        <w:t>šibkost rok ali nog;</w:t>
      </w:r>
    </w:p>
    <w:p w14:paraId="03FCB025" w14:textId="77777777" w:rsidR="00E04C8A" w:rsidRDefault="008E1817">
      <w:pPr>
        <w:pStyle w:val="a3"/>
        <w:numPr>
          <w:ilvl w:val="0"/>
          <w:numId w:val="16"/>
        </w:numPr>
        <w:ind w:left="660" w:hanging="660"/>
        <w:rPr>
          <w:lang w:val="sl-SI"/>
        </w:rPr>
      </w:pPr>
      <w:r>
        <w:rPr>
          <w:rFonts w:eastAsia="Times New Roman"/>
          <w:lang w:val="sl-SI"/>
        </w:rPr>
        <w:t>bulo ali odprto rano, ki se ne zaceli;</w:t>
      </w:r>
    </w:p>
    <w:p w14:paraId="0FFE2B06" w14:textId="77777777" w:rsidR="00E04C8A" w:rsidRDefault="008E1817">
      <w:pPr>
        <w:pStyle w:val="a3"/>
        <w:numPr>
          <w:ilvl w:val="0"/>
          <w:numId w:val="16"/>
        </w:numPr>
        <w:ind w:left="660" w:hanging="660"/>
        <w:rPr>
          <w:lang w:val="sl-SI"/>
        </w:rPr>
      </w:pPr>
      <w:r>
        <w:rPr>
          <w:rFonts w:eastAsia="Times New Roman"/>
          <w:lang w:val="sl-SI"/>
        </w:rPr>
        <w:lastRenderedPageBreak/>
        <w:t>znake in simptome, ki nakazujejo bolezni krvi, npr. dolgotrajno zvišana telesna temperatura, modrice, krvavitve, bledica.</w:t>
      </w:r>
    </w:p>
    <w:p w14:paraId="24C545C5" w14:textId="77777777" w:rsidR="00E04C8A" w:rsidRDefault="00E04C8A">
      <w:pPr>
        <w:pStyle w:val="a3"/>
        <w:numPr>
          <w:ilvl w:val="0"/>
          <w:numId w:val="0"/>
        </w:numPr>
        <w:ind w:left="660"/>
        <w:rPr>
          <w:lang w:val="sl-SI"/>
        </w:rPr>
      </w:pPr>
    </w:p>
    <w:p w14:paraId="3F126012" w14:textId="77777777" w:rsidR="00E04C8A" w:rsidRDefault="008E1817">
      <w:pPr>
        <w:pStyle w:val="a3"/>
        <w:rPr>
          <w:lang w:val="sl-SI"/>
        </w:rPr>
      </w:pPr>
      <w:r>
        <w:rPr>
          <w:rFonts w:eastAsia="Times New Roman"/>
          <w:lang w:val="sl-SI"/>
        </w:rPr>
        <w:t>Zgoraj opisani simptomi so lahko znaki spodaj navedenih neželenih učinkov, ki so jih opazili med uporabo zdravila Yuflyma.</w:t>
      </w:r>
    </w:p>
    <w:p w14:paraId="3EFC73A6" w14:textId="77777777" w:rsidR="00E04C8A" w:rsidRDefault="00E04C8A">
      <w:pPr>
        <w:spacing w:before="10" w:line="240" w:lineRule="exact"/>
        <w:rPr>
          <w:sz w:val="24"/>
          <w:szCs w:val="24"/>
          <w:lang w:val="sl-SI"/>
        </w:rPr>
      </w:pPr>
    </w:p>
    <w:p w14:paraId="75ED6A5D" w14:textId="77777777" w:rsidR="00E04C8A" w:rsidRDefault="008E1817">
      <w:pPr>
        <w:pStyle w:val="a3"/>
        <w:rPr>
          <w:lang w:val="sl-SI"/>
        </w:rPr>
      </w:pPr>
      <w:r>
        <w:rPr>
          <w:rFonts w:eastAsia="Times New Roman"/>
          <w:b/>
          <w:bCs/>
          <w:lang w:val="sl-SI"/>
        </w:rPr>
        <w:t xml:space="preserve">Zelo pogosti </w:t>
      </w:r>
      <w:r>
        <w:rPr>
          <w:rFonts w:eastAsia="Times New Roman"/>
          <w:lang w:val="sl-SI"/>
        </w:rPr>
        <w:t>(pojavijo se lahko pri več kot 1 od 10 bolnikov)</w:t>
      </w:r>
    </w:p>
    <w:p w14:paraId="3016616E" w14:textId="77777777" w:rsidR="00E04C8A" w:rsidRDefault="00E04C8A">
      <w:pPr>
        <w:spacing w:before="14" w:line="240" w:lineRule="exact"/>
        <w:rPr>
          <w:sz w:val="24"/>
          <w:szCs w:val="24"/>
          <w:lang w:val="sl-SI"/>
        </w:rPr>
      </w:pPr>
    </w:p>
    <w:p w14:paraId="65A48550" w14:textId="0BA99A51" w:rsidR="00E04C8A" w:rsidRDefault="008E1817">
      <w:pPr>
        <w:pStyle w:val="a3"/>
        <w:numPr>
          <w:ilvl w:val="0"/>
          <w:numId w:val="16"/>
        </w:numPr>
        <w:ind w:left="660" w:hanging="660"/>
        <w:rPr>
          <w:lang w:val="sl-SI"/>
        </w:rPr>
      </w:pPr>
      <w:r>
        <w:rPr>
          <w:rFonts w:eastAsia="Times New Roman"/>
          <w:lang w:val="sl-SI"/>
        </w:rPr>
        <w:t xml:space="preserve">reakcije na mestu injiciranja (vključno z bolečino, otekanjem, </w:t>
      </w:r>
      <w:r w:rsidR="00E5320A">
        <w:rPr>
          <w:rFonts w:eastAsia="Times New Roman"/>
          <w:lang w:val="sl-SI"/>
        </w:rPr>
        <w:t xml:space="preserve">pordelostjo </w:t>
      </w:r>
      <w:r>
        <w:rPr>
          <w:rFonts w:eastAsia="Times New Roman"/>
          <w:lang w:val="sl-SI"/>
        </w:rPr>
        <w:t>ali srbenjem)</w:t>
      </w:r>
      <w:r w:rsidR="00E5320A">
        <w:rPr>
          <w:rFonts w:eastAsia="Times New Roman"/>
          <w:lang w:val="sl-SI"/>
        </w:rPr>
        <w:t>;</w:t>
      </w:r>
    </w:p>
    <w:p w14:paraId="739B2B6C" w14:textId="77777777" w:rsidR="00E04C8A" w:rsidRDefault="008E1817">
      <w:pPr>
        <w:pStyle w:val="a3"/>
        <w:numPr>
          <w:ilvl w:val="0"/>
          <w:numId w:val="16"/>
        </w:numPr>
        <w:ind w:left="660" w:hanging="660"/>
        <w:rPr>
          <w:lang w:val="sl-SI"/>
        </w:rPr>
      </w:pPr>
      <w:r>
        <w:rPr>
          <w:rFonts w:eastAsia="Times New Roman"/>
          <w:lang w:val="sl-SI"/>
        </w:rPr>
        <w:t>okužbe dihal (vključno s prehladom, izcedkom iz nosu, okužbo sinusov, pljučnico);</w:t>
      </w:r>
    </w:p>
    <w:p w14:paraId="22DDB483" w14:textId="77777777" w:rsidR="00E04C8A" w:rsidRDefault="008E1817">
      <w:pPr>
        <w:pStyle w:val="a3"/>
        <w:numPr>
          <w:ilvl w:val="0"/>
          <w:numId w:val="16"/>
        </w:numPr>
        <w:ind w:left="660" w:hanging="660"/>
        <w:rPr>
          <w:lang w:val="sl-SI"/>
        </w:rPr>
      </w:pPr>
      <w:r>
        <w:rPr>
          <w:rFonts w:eastAsia="Times New Roman"/>
          <w:lang w:val="sl-SI"/>
        </w:rPr>
        <w:t>glavobol;</w:t>
      </w:r>
    </w:p>
    <w:p w14:paraId="2E62DD2F" w14:textId="77777777" w:rsidR="00E04C8A" w:rsidRDefault="008E1817">
      <w:pPr>
        <w:pStyle w:val="a3"/>
        <w:numPr>
          <w:ilvl w:val="0"/>
          <w:numId w:val="16"/>
        </w:numPr>
        <w:ind w:left="660" w:hanging="660"/>
        <w:rPr>
          <w:lang w:val="sl-SI"/>
        </w:rPr>
      </w:pPr>
      <w:r>
        <w:rPr>
          <w:rFonts w:eastAsia="Times New Roman"/>
          <w:lang w:val="sl-SI"/>
        </w:rPr>
        <w:t>bolečine v trebuhu;</w:t>
      </w:r>
    </w:p>
    <w:p w14:paraId="21CC1484" w14:textId="77777777" w:rsidR="00E04C8A" w:rsidRDefault="008E1817">
      <w:pPr>
        <w:pStyle w:val="a3"/>
        <w:numPr>
          <w:ilvl w:val="0"/>
          <w:numId w:val="16"/>
        </w:numPr>
        <w:ind w:left="660" w:hanging="660"/>
        <w:rPr>
          <w:lang w:val="sl-SI"/>
        </w:rPr>
      </w:pPr>
      <w:r>
        <w:rPr>
          <w:rFonts w:eastAsia="Times New Roman"/>
          <w:lang w:val="sl-SI"/>
        </w:rPr>
        <w:t>siljenje na bruhanje in bruhanje;</w:t>
      </w:r>
    </w:p>
    <w:p w14:paraId="2D3BC786" w14:textId="77777777" w:rsidR="00E04C8A" w:rsidRDefault="008E1817">
      <w:pPr>
        <w:pStyle w:val="a3"/>
        <w:numPr>
          <w:ilvl w:val="0"/>
          <w:numId w:val="16"/>
        </w:numPr>
        <w:ind w:left="660" w:hanging="660"/>
        <w:rPr>
          <w:lang w:val="sl-SI"/>
        </w:rPr>
      </w:pPr>
      <w:r>
        <w:rPr>
          <w:rFonts w:eastAsia="Times New Roman"/>
          <w:lang w:val="sl-SI"/>
        </w:rPr>
        <w:t>izpuščaj;</w:t>
      </w:r>
    </w:p>
    <w:p w14:paraId="696222AA" w14:textId="77777777" w:rsidR="00E04C8A" w:rsidRDefault="008E1817">
      <w:pPr>
        <w:pStyle w:val="a3"/>
        <w:numPr>
          <w:ilvl w:val="0"/>
          <w:numId w:val="16"/>
        </w:numPr>
        <w:ind w:left="660" w:hanging="660"/>
        <w:rPr>
          <w:lang w:val="sl-SI"/>
        </w:rPr>
      </w:pPr>
      <w:r>
        <w:rPr>
          <w:rFonts w:eastAsia="Times New Roman"/>
          <w:lang w:val="sl-SI"/>
        </w:rPr>
        <w:t>mišičnoskeletne bolečine.</w:t>
      </w:r>
    </w:p>
    <w:p w14:paraId="74D8BC6E" w14:textId="77777777" w:rsidR="00E04C8A" w:rsidRDefault="00E04C8A">
      <w:pPr>
        <w:spacing w:before="9" w:line="220" w:lineRule="exact"/>
        <w:rPr>
          <w:lang w:val="sl-SI"/>
        </w:rPr>
      </w:pPr>
    </w:p>
    <w:p w14:paraId="39C1BEA6" w14:textId="77777777" w:rsidR="00E04C8A" w:rsidRDefault="008E1817">
      <w:pPr>
        <w:pStyle w:val="a3"/>
        <w:rPr>
          <w:lang w:val="sl-SI"/>
        </w:rPr>
      </w:pPr>
      <w:r>
        <w:rPr>
          <w:rFonts w:eastAsia="Times New Roman"/>
          <w:b/>
          <w:bCs/>
          <w:lang w:val="sl-SI"/>
        </w:rPr>
        <w:t xml:space="preserve">Pogosti </w:t>
      </w:r>
      <w:r>
        <w:rPr>
          <w:rFonts w:eastAsia="Times New Roman"/>
          <w:bCs/>
          <w:lang w:val="sl-SI"/>
        </w:rPr>
        <w:t>(pojavijo se</w:t>
      </w:r>
      <w:r>
        <w:rPr>
          <w:rFonts w:eastAsia="Times New Roman"/>
          <w:b/>
          <w:bCs/>
          <w:lang w:val="sl-SI"/>
        </w:rPr>
        <w:t xml:space="preserve"> </w:t>
      </w:r>
      <w:r>
        <w:rPr>
          <w:rFonts w:eastAsia="Times New Roman"/>
          <w:lang w:val="sl-SI"/>
        </w:rPr>
        <w:t>lahko pri največ 1 od 10 bolnikov)</w:t>
      </w:r>
    </w:p>
    <w:p w14:paraId="58BBB55A" w14:textId="77777777" w:rsidR="00E04C8A" w:rsidRDefault="00E04C8A">
      <w:pPr>
        <w:spacing w:before="14" w:line="240" w:lineRule="exact"/>
        <w:rPr>
          <w:sz w:val="24"/>
          <w:szCs w:val="24"/>
          <w:lang w:val="sl-SI"/>
        </w:rPr>
      </w:pPr>
    </w:p>
    <w:p w14:paraId="34292FBD" w14:textId="77777777" w:rsidR="00E04C8A" w:rsidRDefault="008E1817">
      <w:pPr>
        <w:pStyle w:val="a3"/>
        <w:numPr>
          <w:ilvl w:val="0"/>
          <w:numId w:val="16"/>
        </w:numPr>
        <w:ind w:left="660" w:hanging="660"/>
        <w:rPr>
          <w:lang w:val="sl-SI"/>
        </w:rPr>
      </w:pPr>
      <w:r>
        <w:rPr>
          <w:rFonts w:eastAsia="Times New Roman"/>
          <w:lang w:val="sl-SI"/>
        </w:rPr>
        <w:t>resne okužbe (vključno z zastrupitvijo krvi in gripo);</w:t>
      </w:r>
    </w:p>
    <w:p w14:paraId="2B192AAC" w14:textId="77777777" w:rsidR="00E04C8A" w:rsidRDefault="008E1817">
      <w:pPr>
        <w:pStyle w:val="a3"/>
        <w:numPr>
          <w:ilvl w:val="0"/>
          <w:numId w:val="16"/>
        </w:numPr>
        <w:ind w:left="660" w:hanging="660"/>
        <w:rPr>
          <w:lang w:val="sl-SI"/>
        </w:rPr>
      </w:pPr>
      <w:r>
        <w:rPr>
          <w:rFonts w:eastAsia="Times New Roman"/>
          <w:lang w:val="sl-SI"/>
        </w:rPr>
        <w:t>črevesne okužbe (vključno z gastroenteritisom);</w:t>
      </w:r>
    </w:p>
    <w:p w14:paraId="7F86C71F" w14:textId="77777777" w:rsidR="00E04C8A" w:rsidRDefault="008E1817">
      <w:pPr>
        <w:pStyle w:val="a3"/>
        <w:numPr>
          <w:ilvl w:val="0"/>
          <w:numId w:val="16"/>
        </w:numPr>
        <w:ind w:left="660" w:hanging="660"/>
        <w:rPr>
          <w:lang w:val="sl-SI"/>
        </w:rPr>
      </w:pPr>
      <w:r>
        <w:rPr>
          <w:rFonts w:eastAsia="Times New Roman"/>
          <w:lang w:val="sl-SI"/>
        </w:rPr>
        <w:t>okužbe kože (vključno s celulitisom in pasovcem);</w:t>
      </w:r>
    </w:p>
    <w:p w14:paraId="7091EAC4" w14:textId="77777777" w:rsidR="00E04C8A" w:rsidRDefault="008E1817">
      <w:pPr>
        <w:pStyle w:val="a3"/>
        <w:numPr>
          <w:ilvl w:val="0"/>
          <w:numId w:val="16"/>
        </w:numPr>
        <w:ind w:left="660" w:hanging="660"/>
        <w:rPr>
          <w:lang w:val="sl-SI"/>
        </w:rPr>
      </w:pPr>
      <w:r>
        <w:rPr>
          <w:rFonts w:eastAsia="Times New Roman"/>
          <w:lang w:val="sl-SI"/>
        </w:rPr>
        <w:t>okužbe ušesa;</w:t>
      </w:r>
    </w:p>
    <w:p w14:paraId="28E860CF" w14:textId="77777777" w:rsidR="00E04C8A" w:rsidRDefault="008E1817">
      <w:pPr>
        <w:pStyle w:val="a3"/>
        <w:numPr>
          <w:ilvl w:val="0"/>
          <w:numId w:val="16"/>
        </w:numPr>
        <w:ind w:left="660" w:hanging="660"/>
        <w:rPr>
          <w:lang w:val="sl-SI"/>
        </w:rPr>
      </w:pPr>
      <w:r>
        <w:rPr>
          <w:rFonts w:eastAsia="Times New Roman"/>
          <w:lang w:val="sl-SI"/>
        </w:rPr>
        <w:t>okužbe ustne votline (vključno z okužbami zob in herpesom);</w:t>
      </w:r>
    </w:p>
    <w:p w14:paraId="75D6A58F" w14:textId="77777777" w:rsidR="00E04C8A" w:rsidRDefault="008E1817">
      <w:pPr>
        <w:pStyle w:val="a3"/>
        <w:numPr>
          <w:ilvl w:val="0"/>
          <w:numId w:val="16"/>
        </w:numPr>
        <w:ind w:left="660" w:hanging="660"/>
        <w:rPr>
          <w:lang w:val="sl-SI"/>
        </w:rPr>
      </w:pPr>
      <w:r>
        <w:rPr>
          <w:rFonts w:eastAsia="Times New Roman"/>
          <w:lang w:val="sl-SI"/>
        </w:rPr>
        <w:t>okužbe rodil;</w:t>
      </w:r>
    </w:p>
    <w:p w14:paraId="469A6046" w14:textId="77777777" w:rsidR="00E04C8A" w:rsidRDefault="008E1817">
      <w:pPr>
        <w:pStyle w:val="a3"/>
        <w:numPr>
          <w:ilvl w:val="0"/>
          <w:numId w:val="16"/>
        </w:numPr>
        <w:ind w:left="660" w:hanging="660"/>
        <w:rPr>
          <w:lang w:val="sl-SI"/>
        </w:rPr>
      </w:pPr>
      <w:r>
        <w:rPr>
          <w:rFonts w:eastAsia="Times New Roman"/>
          <w:lang w:val="sl-SI"/>
        </w:rPr>
        <w:t>okužbe sečil;</w:t>
      </w:r>
    </w:p>
    <w:p w14:paraId="2B6C4B0D" w14:textId="77777777" w:rsidR="00E04C8A" w:rsidRDefault="008E1817">
      <w:pPr>
        <w:pStyle w:val="a3"/>
        <w:numPr>
          <w:ilvl w:val="0"/>
          <w:numId w:val="16"/>
        </w:numPr>
        <w:ind w:left="660" w:hanging="660"/>
        <w:rPr>
          <w:lang w:val="sl-SI"/>
        </w:rPr>
      </w:pPr>
      <w:r>
        <w:rPr>
          <w:rFonts w:eastAsia="Times New Roman"/>
          <w:lang w:val="sl-SI"/>
        </w:rPr>
        <w:t>glivične okužbe;</w:t>
      </w:r>
    </w:p>
    <w:p w14:paraId="74880198" w14:textId="77777777" w:rsidR="00E04C8A" w:rsidRDefault="008E1817">
      <w:pPr>
        <w:pStyle w:val="a3"/>
        <w:numPr>
          <w:ilvl w:val="0"/>
          <w:numId w:val="16"/>
        </w:numPr>
        <w:ind w:left="660" w:hanging="660"/>
        <w:rPr>
          <w:lang w:val="sl-SI"/>
        </w:rPr>
      </w:pPr>
      <w:r>
        <w:rPr>
          <w:rFonts w:eastAsia="Times New Roman"/>
          <w:lang w:val="sl-SI"/>
        </w:rPr>
        <w:t>okužbe sklepov;</w:t>
      </w:r>
    </w:p>
    <w:p w14:paraId="20B21630" w14:textId="77777777" w:rsidR="00E04C8A" w:rsidRDefault="008E1817">
      <w:pPr>
        <w:pStyle w:val="a3"/>
        <w:numPr>
          <w:ilvl w:val="0"/>
          <w:numId w:val="16"/>
        </w:numPr>
        <w:ind w:left="660" w:hanging="660"/>
        <w:rPr>
          <w:lang w:val="sl-SI"/>
        </w:rPr>
      </w:pPr>
      <w:r>
        <w:rPr>
          <w:rFonts w:eastAsia="Times New Roman"/>
          <w:lang w:val="sl-SI"/>
        </w:rPr>
        <w:t>benigni tumorji;</w:t>
      </w:r>
    </w:p>
    <w:p w14:paraId="6B09ED8D" w14:textId="77777777" w:rsidR="00E04C8A" w:rsidRDefault="008E1817">
      <w:pPr>
        <w:pStyle w:val="a3"/>
        <w:numPr>
          <w:ilvl w:val="0"/>
          <w:numId w:val="16"/>
        </w:numPr>
        <w:ind w:left="660" w:hanging="660"/>
        <w:rPr>
          <w:lang w:val="sl-SI"/>
        </w:rPr>
      </w:pPr>
      <w:r>
        <w:rPr>
          <w:rFonts w:eastAsia="Times New Roman"/>
          <w:lang w:val="sl-SI"/>
        </w:rPr>
        <w:t>kožni rak;</w:t>
      </w:r>
    </w:p>
    <w:p w14:paraId="76EB2A50" w14:textId="77777777" w:rsidR="00E04C8A" w:rsidRDefault="008E1817">
      <w:pPr>
        <w:pStyle w:val="a3"/>
        <w:numPr>
          <w:ilvl w:val="0"/>
          <w:numId w:val="16"/>
        </w:numPr>
        <w:ind w:left="660" w:hanging="660"/>
        <w:rPr>
          <w:lang w:val="sl-SI"/>
        </w:rPr>
      </w:pPr>
      <w:r>
        <w:rPr>
          <w:rFonts w:eastAsia="Times New Roman"/>
          <w:lang w:val="sl-SI"/>
        </w:rPr>
        <w:t>alergijske reakcije (vključno s sezonskimi alergijami);</w:t>
      </w:r>
    </w:p>
    <w:p w14:paraId="36C33513" w14:textId="77777777" w:rsidR="00E04C8A" w:rsidRDefault="008E1817">
      <w:pPr>
        <w:pStyle w:val="a3"/>
        <w:numPr>
          <w:ilvl w:val="0"/>
          <w:numId w:val="16"/>
        </w:numPr>
        <w:ind w:left="660" w:hanging="660"/>
        <w:rPr>
          <w:lang w:val="sl-SI"/>
        </w:rPr>
      </w:pPr>
      <w:r>
        <w:rPr>
          <w:rFonts w:eastAsia="Times New Roman"/>
          <w:lang w:val="sl-SI"/>
        </w:rPr>
        <w:t>dehidracija;</w:t>
      </w:r>
    </w:p>
    <w:p w14:paraId="79D7F709" w14:textId="77777777" w:rsidR="00E04C8A" w:rsidRDefault="008E1817">
      <w:pPr>
        <w:pStyle w:val="a3"/>
        <w:numPr>
          <w:ilvl w:val="0"/>
          <w:numId w:val="16"/>
        </w:numPr>
        <w:ind w:left="660" w:hanging="660"/>
        <w:rPr>
          <w:lang w:val="sl-SI"/>
        </w:rPr>
      </w:pPr>
      <w:r>
        <w:rPr>
          <w:rFonts w:eastAsia="Times New Roman"/>
          <w:lang w:val="sl-SI"/>
        </w:rPr>
        <w:t>spremenljivo razpoloženje (vključno z depresijo);</w:t>
      </w:r>
    </w:p>
    <w:p w14:paraId="6D2D0C01" w14:textId="77777777" w:rsidR="00E04C8A" w:rsidRDefault="008E1817">
      <w:pPr>
        <w:pStyle w:val="a3"/>
        <w:numPr>
          <w:ilvl w:val="0"/>
          <w:numId w:val="16"/>
        </w:numPr>
        <w:ind w:left="660" w:hanging="660"/>
        <w:rPr>
          <w:lang w:val="sl-SI"/>
        </w:rPr>
      </w:pPr>
      <w:r>
        <w:rPr>
          <w:rFonts w:eastAsia="Times New Roman"/>
          <w:lang w:val="sl-SI"/>
        </w:rPr>
        <w:t>anksioznost;</w:t>
      </w:r>
    </w:p>
    <w:p w14:paraId="74326664" w14:textId="77777777" w:rsidR="00E04C8A" w:rsidRDefault="008E1817">
      <w:pPr>
        <w:pStyle w:val="a3"/>
        <w:numPr>
          <w:ilvl w:val="0"/>
          <w:numId w:val="16"/>
        </w:numPr>
        <w:ind w:left="660" w:hanging="660"/>
        <w:rPr>
          <w:lang w:val="sl-SI"/>
        </w:rPr>
      </w:pPr>
      <w:r>
        <w:rPr>
          <w:rFonts w:eastAsia="Times New Roman"/>
          <w:lang w:val="sl-SI"/>
        </w:rPr>
        <w:t>težave s spanjem;</w:t>
      </w:r>
    </w:p>
    <w:p w14:paraId="4C8EF70C" w14:textId="77777777" w:rsidR="00E04C8A" w:rsidRDefault="008E1817">
      <w:pPr>
        <w:pStyle w:val="a3"/>
        <w:numPr>
          <w:ilvl w:val="0"/>
          <w:numId w:val="16"/>
        </w:numPr>
        <w:ind w:left="660" w:hanging="660"/>
        <w:rPr>
          <w:lang w:val="sl-SI"/>
        </w:rPr>
      </w:pPr>
      <w:r>
        <w:rPr>
          <w:rFonts w:eastAsia="Times New Roman"/>
          <w:lang w:val="sl-SI"/>
        </w:rPr>
        <w:t>motnje v občutenju kot so ščemenje, zbadanje ali omrtvelost;</w:t>
      </w:r>
    </w:p>
    <w:p w14:paraId="23A876C8" w14:textId="77777777" w:rsidR="00E04C8A" w:rsidRDefault="008E1817">
      <w:pPr>
        <w:pStyle w:val="a3"/>
        <w:numPr>
          <w:ilvl w:val="0"/>
          <w:numId w:val="16"/>
        </w:numPr>
        <w:ind w:left="660" w:hanging="660"/>
        <w:rPr>
          <w:lang w:val="sl-SI"/>
        </w:rPr>
      </w:pPr>
      <w:r>
        <w:rPr>
          <w:rFonts w:eastAsia="Times New Roman"/>
          <w:lang w:val="sl-SI"/>
        </w:rPr>
        <w:t>migrena;</w:t>
      </w:r>
    </w:p>
    <w:p w14:paraId="10E18DF5" w14:textId="77777777" w:rsidR="00E04C8A" w:rsidRDefault="008E1817">
      <w:pPr>
        <w:pStyle w:val="a3"/>
        <w:numPr>
          <w:ilvl w:val="0"/>
          <w:numId w:val="16"/>
        </w:numPr>
        <w:ind w:left="660" w:hanging="660"/>
        <w:rPr>
          <w:lang w:val="sl-SI"/>
        </w:rPr>
      </w:pPr>
      <w:r>
        <w:rPr>
          <w:rFonts w:eastAsia="Times New Roman"/>
          <w:lang w:val="sl-SI"/>
        </w:rPr>
        <w:t>stisnenje živčnih korenin (vključno z bolečino v spodnjem delu hrbta in nogah);</w:t>
      </w:r>
    </w:p>
    <w:p w14:paraId="380FA56E" w14:textId="77777777" w:rsidR="00E04C8A" w:rsidRDefault="008E1817">
      <w:pPr>
        <w:pStyle w:val="a3"/>
        <w:numPr>
          <w:ilvl w:val="0"/>
          <w:numId w:val="16"/>
        </w:numPr>
        <w:ind w:left="660" w:hanging="660"/>
        <w:rPr>
          <w:lang w:val="sl-SI"/>
        </w:rPr>
      </w:pPr>
      <w:r>
        <w:rPr>
          <w:rFonts w:eastAsia="Times New Roman"/>
          <w:lang w:val="sl-SI"/>
        </w:rPr>
        <w:t>motnje vida;</w:t>
      </w:r>
    </w:p>
    <w:p w14:paraId="4B4A33FE" w14:textId="77777777" w:rsidR="00E04C8A" w:rsidRDefault="008E1817">
      <w:pPr>
        <w:pStyle w:val="a3"/>
        <w:numPr>
          <w:ilvl w:val="0"/>
          <w:numId w:val="16"/>
        </w:numPr>
        <w:ind w:left="660" w:hanging="660"/>
        <w:rPr>
          <w:lang w:val="sl-SI"/>
        </w:rPr>
      </w:pPr>
      <w:r>
        <w:rPr>
          <w:rFonts w:eastAsia="Times New Roman"/>
          <w:lang w:val="sl-SI"/>
        </w:rPr>
        <w:t>vnetje oči;</w:t>
      </w:r>
    </w:p>
    <w:p w14:paraId="78B9789A" w14:textId="77777777" w:rsidR="00E04C8A" w:rsidRDefault="008E1817">
      <w:pPr>
        <w:pStyle w:val="a3"/>
        <w:numPr>
          <w:ilvl w:val="0"/>
          <w:numId w:val="16"/>
        </w:numPr>
        <w:ind w:left="660" w:hanging="660"/>
        <w:rPr>
          <w:lang w:val="sl-SI"/>
        </w:rPr>
      </w:pPr>
      <w:r>
        <w:rPr>
          <w:rFonts w:eastAsia="Times New Roman"/>
          <w:lang w:val="sl-SI"/>
        </w:rPr>
        <w:t>vnetje očesnih vek in otekanje oči;</w:t>
      </w:r>
    </w:p>
    <w:p w14:paraId="7E54AA45" w14:textId="77777777" w:rsidR="00E04C8A" w:rsidRDefault="008E1817">
      <w:pPr>
        <w:pStyle w:val="a3"/>
        <w:numPr>
          <w:ilvl w:val="0"/>
          <w:numId w:val="16"/>
        </w:numPr>
        <w:ind w:left="660" w:hanging="660"/>
        <w:rPr>
          <w:lang w:val="sl-SI"/>
        </w:rPr>
      </w:pPr>
      <w:r>
        <w:rPr>
          <w:rFonts w:eastAsia="Times New Roman"/>
          <w:lang w:val="sl-SI"/>
        </w:rPr>
        <w:t>vrtoglavica (občutek omotice ali vrtenja);</w:t>
      </w:r>
    </w:p>
    <w:p w14:paraId="111522DD" w14:textId="77777777" w:rsidR="00E04C8A" w:rsidRDefault="008E1817">
      <w:pPr>
        <w:pStyle w:val="a3"/>
        <w:numPr>
          <w:ilvl w:val="0"/>
          <w:numId w:val="16"/>
        </w:numPr>
        <w:ind w:left="660" w:hanging="660"/>
        <w:rPr>
          <w:lang w:val="sl-SI"/>
        </w:rPr>
      </w:pPr>
      <w:r>
        <w:rPr>
          <w:rFonts w:eastAsia="Times New Roman"/>
          <w:lang w:val="sl-SI"/>
        </w:rPr>
        <w:t>občutek hitrega bitja srca;</w:t>
      </w:r>
    </w:p>
    <w:p w14:paraId="72E72D42" w14:textId="77777777" w:rsidR="00E04C8A" w:rsidRDefault="008E1817">
      <w:pPr>
        <w:pStyle w:val="a3"/>
        <w:numPr>
          <w:ilvl w:val="0"/>
          <w:numId w:val="16"/>
        </w:numPr>
        <w:ind w:left="660" w:hanging="660"/>
        <w:rPr>
          <w:lang w:val="sl-SI"/>
        </w:rPr>
      </w:pPr>
      <w:r>
        <w:rPr>
          <w:rFonts w:eastAsia="Times New Roman"/>
          <w:lang w:val="sl-SI"/>
        </w:rPr>
        <w:t>visok krvni tlak;</w:t>
      </w:r>
    </w:p>
    <w:p w14:paraId="29C026ED" w14:textId="77777777" w:rsidR="00E04C8A" w:rsidRDefault="008E1817">
      <w:pPr>
        <w:pStyle w:val="a3"/>
        <w:numPr>
          <w:ilvl w:val="0"/>
          <w:numId w:val="16"/>
        </w:numPr>
        <w:ind w:left="660" w:hanging="660"/>
        <w:rPr>
          <w:lang w:val="sl-SI"/>
        </w:rPr>
      </w:pPr>
      <w:r>
        <w:rPr>
          <w:rFonts w:eastAsia="Times New Roman"/>
          <w:lang w:val="sl-SI"/>
        </w:rPr>
        <w:t>zardevanje;</w:t>
      </w:r>
    </w:p>
    <w:p w14:paraId="4BA225F1" w14:textId="77777777" w:rsidR="00E04C8A" w:rsidRDefault="008E1817">
      <w:pPr>
        <w:pStyle w:val="a3"/>
        <w:numPr>
          <w:ilvl w:val="0"/>
          <w:numId w:val="16"/>
        </w:numPr>
        <w:ind w:left="660" w:hanging="660"/>
        <w:rPr>
          <w:lang w:val="sl-SI"/>
        </w:rPr>
      </w:pPr>
      <w:r>
        <w:rPr>
          <w:rFonts w:eastAsia="Times New Roman"/>
          <w:lang w:val="sl-SI"/>
        </w:rPr>
        <w:t>hematom (nabiranje krvi zunaj krvnih žil);</w:t>
      </w:r>
    </w:p>
    <w:p w14:paraId="26967235" w14:textId="77777777" w:rsidR="00E04C8A" w:rsidRDefault="008E1817">
      <w:pPr>
        <w:pStyle w:val="a3"/>
        <w:numPr>
          <w:ilvl w:val="0"/>
          <w:numId w:val="16"/>
        </w:numPr>
        <w:ind w:left="660" w:hanging="660"/>
        <w:rPr>
          <w:lang w:val="sl-SI"/>
        </w:rPr>
      </w:pPr>
      <w:r>
        <w:rPr>
          <w:rFonts w:eastAsia="Times New Roman"/>
          <w:lang w:val="sl-SI"/>
        </w:rPr>
        <w:t>kašelj;</w:t>
      </w:r>
    </w:p>
    <w:p w14:paraId="74A8250E" w14:textId="77777777" w:rsidR="00E04C8A" w:rsidRDefault="008E1817">
      <w:pPr>
        <w:pStyle w:val="a3"/>
        <w:numPr>
          <w:ilvl w:val="0"/>
          <w:numId w:val="16"/>
        </w:numPr>
        <w:ind w:left="660" w:hanging="660"/>
        <w:rPr>
          <w:lang w:val="sl-SI"/>
        </w:rPr>
      </w:pPr>
      <w:r>
        <w:rPr>
          <w:rFonts w:eastAsia="Times New Roman"/>
          <w:lang w:val="sl-SI"/>
        </w:rPr>
        <w:t>astma;</w:t>
      </w:r>
    </w:p>
    <w:p w14:paraId="71A28710" w14:textId="77777777" w:rsidR="00E04C8A" w:rsidRDefault="008E1817">
      <w:pPr>
        <w:pStyle w:val="a3"/>
        <w:numPr>
          <w:ilvl w:val="0"/>
          <w:numId w:val="16"/>
        </w:numPr>
        <w:ind w:left="660" w:hanging="660"/>
        <w:rPr>
          <w:lang w:val="sl-SI"/>
        </w:rPr>
      </w:pPr>
      <w:r>
        <w:rPr>
          <w:rFonts w:eastAsia="Times New Roman"/>
          <w:lang w:val="sl-SI"/>
        </w:rPr>
        <w:t>kratka sapa;</w:t>
      </w:r>
    </w:p>
    <w:p w14:paraId="0324701F" w14:textId="77777777" w:rsidR="00E04C8A" w:rsidRDefault="008E1817">
      <w:pPr>
        <w:pStyle w:val="a3"/>
        <w:numPr>
          <w:ilvl w:val="0"/>
          <w:numId w:val="16"/>
        </w:numPr>
        <w:ind w:left="660" w:hanging="660"/>
        <w:rPr>
          <w:lang w:val="sl-SI"/>
        </w:rPr>
      </w:pPr>
      <w:r>
        <w:rPr>
          <w:rFonts w:eastAsia="Times New Roman"/>
          <w:lang w:val="sl-SI"/>
        </w:rPr>
        <w:t>krvavitev v prebavilih;</w:t>
      </w:r>
    </w:p>
    <w:p w14:paraId="27EDF9C1" w14:textId="77777777" w:rsidR="00E04C8A" w:rsidRDefault="008E1817">
      <w:pPr>
        <w:pStyle w:val="a3"/>
        <w:numPr>
          <w:ilvl w:val="0"/>
          <w:numId w:val="16"/>
        </w:numPr>
        <w:ind w:left="660" w:hanging="660"/>
        <w:rPr>
          <w:lang w:val="sl-SI"/>
        </w:rPr>
      </w:pPr>
      <w:r>
        <w:rPr>
          <w:rFonts w:eastAsia="Times New Roman"/>
          <w:lang w:val="sl-SI"/>
        </w:rPr>
        <w:t>dispepsija (prebavne motnje, napihnjenost, zgaga);</w:t>
      </w:r>
    </w:p>
    <w:p w14:paraId="6F932632" w14:textId="77777777" w:rsidR="00E04C8A" w:rsidRDefault="008E1817">
      <w:pPr>
        <w:pStyle w:val="a3"/>
        <w:numPr>
          <w:ilvl w:val="0"/>
          <w:numId w:val="16"/>
        </w:numPr>
        <w:ind w:left="660" w:hanging="660"/>
        <w:rPr>
          <w:lang w:val="sl-SI"/>
        </w:rPr>
      </w:pPr>
      <w:r>
        <w:rPr>
          <w:rFonts w:eastAsia="Times New Roman"/>
          <w:lang w:val="sl-SI"/>
        </w:rPr>
        <w:t>bolezen refluksa kisline;</w:t>
      </w:r>
    </w:p>
    <w:p w14:paraId="7B2D4F23" w14:textId="77777777" w:rsidR="00E04C8A" w:rsidRDefault="008E1817">
      <w:pPr>
        <w:pStyle w:val="a3"/>
        <w:numPr>
          <w:ilvl w:val="0"/>
          <w:numId w:val="16"/>
        </w:numPr>
        <w:ind w:left="660" w:hanging="660"/>
        <w:rPr>
          <w:lang w:val="sl-SI"/>
        </w:rPr>
      </w:pPr>
      <w:r>
        <w:rPr>
          <w:rFonts w:eastAsia="Times New Roman"/>
          <w:lang w:val="sl-SI"/>
        </w:rPr>
        <w:t>Sjögrenov sindrom (vključno s suhimi očmi in suhimi usti);</w:t>
      </w:r>
    </w:p>
    <w:p w14:paraId="1441DF0A" w14:textId="77777777" w:rsidR="00E04C8A" w:rsidRDefault="008E1817">
      <w:pPr>
        <w:pStyle w:val="a3"/>
        <w:numPr>
          <w:ilvl w:val="0"/>
          <w:numId w:val="16"/>
        </w:numPr>
        <w:ind w:left="660" w:hanging="660"/>
        <w:rPr>
          <w:lang w:val="sl-SI"/>
        </w:rPr>
      </w:pPr>
      <w:r>
        <w:rPr>
          <w:rFonts w:eastAsia="Times New Roman"/>
          <w:lang w:val="sl-SI"/>
        </w:rPr>
        <w:lastRenderedPageBreak/>
        <w:t>srbenje;</w:t>
      </w:r>
    </w:p>
    <w:p w14:paraId="3E1636B5" w14:textId="77777777" w:rsidR="00E04C8A" w:rsidRDefault="008E1817">
      <w:pPr>
        <w:pStyle w:val="a3"/>
        <w:numPr>
          <w:ilvl w:val="0"/>
          <w:numId w:val="16"/>
        </w:numPr>
        <w:ind w:left="660" w:hanging="660"/>
        <w:rPr>
          <w:rFonts w:eastAsia="Times New Roman"/>
          <w:spacing w:val="-1"/>
          <w:lang w:val="sl-SI"/>
        </w:rPr>
      </w:pPr>
      <w:r>
        <w:rPr>
          <w:rFonts w:eastAsia="Times New Roman"/>
          <w:lang w:val="sl-SI"/>
        </w:rPr>
        <w:t>srbeč izpuščaj;</w:t>
      </w:r>
    </w:p>
    <w:p w14:paraId="753DA0CE" w14:textId="77777777" w:rsidR="00E04C8A" w:rsidRDefault="008E1817">
      <w:pPr>
        <w:pStyle w:val="a3"/>
        <w:numPr>
          <w:ilvl w:val="0"/>
          <w:numId w:val="16"/>
        </w:numPr>
        <w:ind w:left="660" w:hanging="660"/>
        <w:rPr>
          <w:lang w:val="sl-SI"/>
        </w:rPr>
      </w:pPr>
      <w:r>
        <w:rPr>
          <w:rFonts w:eastAsia="Times New Roman"/>
          <w:lang w:val="sl-SI"/>
        </w:rPr>
        <w:t>modrice;</w:t>
      </w:r>
    </w:p>
    <w:p w14:paraId="584F03FB" w14:textId="77777777" w:rsidR="00E04C8A" w:rsidRDefault="008E1817">
      <w:pPr>
        <w:pStyle w:val="a3"/>
        <w:numPr>
          <w:ilvl w:val="0"/>
          <w:numId w:val="16"/>
        </w:numPr>
        <w:ind w:left="660" w:hanging="660"/>
        <w:rPr>
          <w:lang w:val="sl-SI"/>
        </w:rPr>
      </w:pPr>
      <w:r>
        <w:rPr>
          <w:rFonts w:eastAsia="Times New Roman"/>
          <w:lang w:val="sl-SI"/>
        </w:rPr>
        <w:t>vnetje kože (npr. ekcem);</w:t>
      </w:r>
    </w:p>
    <w:p w14:paraId="6A58ABD8" w14:textId="77777777" w:rsidR="00E04C8A" w:rsidRDefault="008E1817">
      <w:pPr>
        <w:pStyle w:val="a3"/>
        <w:numPr>
          <w:ilvl w:val="0"/>
          <w:numId w:val="16"/>
        </w:numPr>
        <w:ind w:left="660" w:hanging="660"/>
        <w:rPr>
          <w:lang w:val="sl-SI"/>
        </w:rPr>
      </w:pPr>
      <w:r>
        <w:rPr>
          <w:rFonts w:eastAsia="Times New Roman"/>
          <w:lang w:val="sl-SI"/>
        </w:rPr>
        <w:t>lomljivost nohtov na rokah in nogah;</w:t>
      </w:r>
    </w:p>
    <w:p w14:paraId="66C55A61" w14:textId="77777777" w:rsidR="00E04C8A" w:rsidRDefault="008E1817">
      <w:pPr>
        <w:pStyle w:val="a3"/>
        <w:numPr>
          <w:ilvl w:val="0"/>
          <w:numId w:val="16"/>
        </w:numPr>
        <w:ind w:left="660" w:hanging="660"/>
        <w:rPr>
          <w:lang w:val="sl-SI"/>
        </w:rPr>
      </w:pPr>
      <w:r>
        <w:rPr>
          <w:rFonts w:eastAsia="Times New Roman"/>
          <w:lang w:val="sl-SI"/>
        </w:rPr>
        <w:t>povečano potenje;</w:t>
      </w:r>
    </w:p>
    <w:p w14:paraId="3C291E12" w14:textId="77777777" w:rsidR="00E04C8A" w:rsidRDefault="008E1817">
      <w:pPr>
        <w:pStyle w:val="a3"/>
        <w:numPr>
          <w:ilvl w:val="0"/>
          <w:numId w:val="16"/>
        </w:numPr>
        <w:ind w:left="660" w:hanging="660"/>
        <w:rPr>
          <w:lang w:val="sl-SI"/>
        </w:rPr>
      </w:pPr>
      <w:r>
        <w:rPr>
          <w:rFonts w:eastAsia="Times New Roman"/>
          <w:lang w:val="sl-SI"/>
        </w:rPr>
        <w:t>izpadanje las;</w:t>
      </w:r>
    </w:p>
    <w:p w14:paraId="1073626C" w14:textId="7C30A1E4" w:rsidR="00E04C8A" w:rsidRDefault="008E1817">
      <w:pPr>
        <w:pStyle w:val="a3"/>
        <w:numPr>
          <w:ilvl w:val="0"/>
          <w:numId w:val="16"/>
        </w:numPr>
        <w:ind w:left="660" w:hanging="660"/>
        <w:rPr>
          <w:lang w:val="sl-SI"/>
        </w:rPr>
      </w:pPr>
      <w:r>
        <w:rPr>
          <w:rFonts w:eastAsia="Times New Roman"/>
          <w:lang w:val="sl-SI"/>
        </w:rPr>
        <w:t>pojav ali poslabšanje psoriaze;</w:t>
      </w:r>
    </w:p>
    <w:p w14:paraId="35938075" w14:textId="77777777" w:rsidR="00E04C8A" w:rsidRDefault="008E1817">
      <w:pPr>
        <w:pStyle w:val="a3"/>
        <w:numPr>
          <w:ilvl w:val="0"/>
          <w:numId w:val="16"/>
        </w:numPr>
        <w:ind w:left="660" w:hanging="660"/>
        <w:rPr>
          <w:lang w:val="sl-SI"/>
        </w:rPr>
      </w:pPr>
      <w:r>
        <w:rPr>
          <w:rFonts w:eastAsia="Times New Roman"/>
          <w:lang w:val="sl-SI"/>
        </w:rPr>
        <w:t>mišični krči;</w:t>
      </w:r>
    </w:p>
    <w:p w14:paraId="76B3DD52" w14:textId="77777777" w:rsidR="00E04C8A" w:rsidRDefault="008E1817">
      <w:pPr>
        <w:pStyle w:val="a3"/>
        <w:numPr>
          <w:ilvl w:val="0"/>
          <w:numId w:val="16"/>
        </w:numPr>
        <w:ind w:left="660" w:hanging="660"/>
        <w:rPr>
          <w:lang w:val="sl-SI"/>
        </w:rPr>
      </w:pPr>
      <w:r>
        <w:rPr>
          <w:rFonts w:eastAsia="Times New Roman"/>
          <w:lang w:val="sl-SI"/>
        </w:rPr>
        <w:t>kri v urinu;</w:t>
      </w:r>
    </w:p>
    <w:p w14:paraId="6D3E844E" w14:textId="77777777" w:rsidR="00E04C8A" w:rsidRDefault="008E1817">
      <w:pPr>
        <w:pStyle w:val="a3"/>
        <w:numPr>
          <w:ilvl w:val="0"/>
          <w:numId w:val="16"/>
        </w:numPr>
        <w:ind w:left="660" w:hanging="660"/>
        <w:rPr>
          <w:lang w:val="sl-SI"/>
        </w:rPr>
      </w:pPr>
      <w:r>
        <w:rPr>
          <w:rFonts w:eastAsia="Times New Roman"/>
          <w:lang w:val="sl-SI"/>
        </w:rPr>
        <w:t>težave z ledvicami;</w:t>
      </w:r>
    </w:p>
    <w:p w14:paraId="1266855F" w14:textId="77777777" w:rsidR="00E04C8A" w:rsidRDefault="008E1817">
      <w:pPr>
        <w:pStyle w:val="a3"/>
        <w:numPr>
          <w:ilvl w:val="0"/>
          <w:numId w:val="16"/>
        </w:numPr>
        <w:ind w:left="660" w:hanging="660"/>
        <w:rPr>
          <w:lang w:val="sl-SI"/>
        </w:rPr>
      </w:pPr>
      <w:r>
        <w:rPr>
          <w:rFonts w:eastAsia="Times New Roman"/>
          <w:lang w:val="sl-SI"/>
        </w:rPr>
        <w:t>bolečina v prsnem košu;</w:t>
      </w:r>
    </w:p>
    <w:p w14:paraId="021749AF" w14:textId="77777777" w:rsidR="00E04C8A" w:rsidRDefault="008E1817">
      <w:pPr>
        <w:pStyle w:val="a3"/>
        <w:numPr>
          <w:ilvl w:val="0"/>
          <w:numId w:val="16"/>
        </w:numPr>
        <w:ind w:left="660" w:hanging="660"/>
        <w:rPr>
          <w:lang w:val="sl-SI"/>
        </w:rPr>
      </w:pPr>
      <w:r>
        <w:rPr>
          <w:rFonts w:eastAsia="Times New Roman"/>
          <w:lang w:val="sl-SI"/>
        </w:rPr>
        <w:t>edem (otekanje);</w:t>
      </w:r>
    </w:p>
    <w:p w14:paraId="52726C94" w14:textId="77777777" w:rsidR="00E04C8A" w:rsidRDefault="008E1817">
      <w:pPr>
        <w:pStyle w:val="a3"/>
        <w:numPr>
          <w:ilvl w:val="0"/>
          <w:numId w:val="16"/>
        </w:numPr>
        <w:ind w:left="660" w:hanging="660"/>
        <w:rPr>
          <w:lang w:val="sl-SI"/>
        </w:rPr>
      </w:pPr>
      <w:r>
        <w:rPr>
          <w:rFonts w:eastAsia="Times New Roman"/>
          <w:lang w:val="sl-SI"/>
        </w:rPr>
        <w:t>zvišana telesna temperatura;</w:t>
      </w:r>
    </w:p>
    <w:p w14:paraId="0ABC57D7" w14:textId="77777777" w:rsidR="00E04C8A" w:rsidRDefault="008E1817">
      <w:pPr>
        <w:pStyle w:val="a3"/>
        <w:numPr>
          <w:ilvl w:val="0"/>
          <w:numId w:val="16"/>
        </w:numPr>
        <w:ind w:left="660" w:hanging="660"/>
        <w:rPr>
          <w:lang w:val="sl-SI"/>
        </w:rPr>
      </w:pPr>
      <w:r>
        <w:rPr>
          <w:rFonts w:eastAsia="Times New Roman"/>
          <w:lang w:val="sl-SI"/>
        </w:rPr>
        <w:t>zmanjšanje števila krvnih ploščic, kar poveča tveganje za krvavitev ali podplutbe;</w:t>
      </w:r>
    </w:p>
    <w:p w14:paraId="76829710" w14:textId="77777777" w:rsidR="00E04C8A" w:rsidRDefault="008E1817">
      <w:pPr>
        <w:pStyle w:val="a3"/>
        <w:numPr>
          <w:ilvl w:val="0"/>
          <w:numId w:val="16"/>
        </w:numPr>
        <w:ind w:left="660" w:hanging="660"/>
        <w:rPr>
          <w:lang w:val="sl-SI"/>
        </w:rPr>
      </w:pPr>
      <w:r>
        <w:rPr>
          <w:rFonts w:eastAsia="Times New Roman"/>
          <w:lang w:val="sl-SI"/>
        </w:rPr>
        <w:t>slabše celjenje.</w:t>
      </w:r>
    </w:p>
    <w:p w14:paraId="0AEA375A" w14:textId="77777777" w:rsidR="00E04C8A" w:rsidRDefault="00E04C8A">
      <w:pPr>
        <w:spacing w:before="10" w:line="240" w:lineRule="exact"/>
        <w:rPr>
          <w:sz w:val="24"/>
          <w:szCs w:val="24"/>
          <w:lang w:val="sl-SI"/>
        </w:rPr>
      </w:pPr>
    </w:p>
    <w:p w14:paraId="565A38F5" w14:textId="77777777" w:rsidR="00E04C8A" w:rsidRDefault="008E1817">
      <w:pPr>
        <w:pStyle w:val="a3"/>
        <w:rPr>
          <w:lang w:val="sl-SI"/>
        </w:rPr>
      </w:pPr>
      <w:r>
        <w:rPr>
          <w:rFonts w:eastAsia="Times New Roman"/>
          <w:b/>
          <w:bCs/>
          <w:lang w:val="sl-SI"/>
        </w:rPr>
        <w:t xml:space="preserve">Občasni </w:t>
      </w:r>
      <w:r>
        <w:rPr>
          <w:rFonts w:eastAsia="Times New Roman"/>
          <w:lang w:val="sl-SI"/>
        </w:rPr>
        <w:t>(pojavijo se lahko pri največ 1 od 100 bolnikov)</w:t>
      </w:r>
    </w:p>
    <w:p w14:paraId="5E47F0DC" w14:textId="77777777" w:rsidR="00E04C8A" w:rsidRDefault="00E04C8A">
      <w:pPr>
        <w:spacing w:before="14" w:line="260" w:lineRule="exact"/>
        <w:rPr>
          <w:sz w:val="26"/>
          <w:szCs w:val="26"/>
          <w:lang w:val="sl-SI"/>
        </w:rPr>
      </w:pPr>
    </w:p>
    <w:p w14:paraId="08F00A4E" w14:textId="77777777" w:rsidR="00E04C8A" w:rsidRDefault="008E1817">
      <w:pPr>
        <w:pStyle w:val="a3"/>
        <w:numPr>
          <w:ilvl w:val="0"/>
          <w:numId w:val="16"/>
        </w:numPr>
        <w:ind w:left="660" w:hanging="660"/>
        <w:rPr>
          <w:lang w:val="sl-SI"/>
        </w:rPr>
      </w:pPr>
      <w:r>
        <w:rPr>
          <w:rFonts w:eastAsia="Times New Roman"/>
          <w:lang w:val="sl-SI"/>
        </w:rPr>
        <w:t>oportunistične okužbe (ki vključujejo tuberkulozo in druge okužbe, ki se pojavijo ob slabši odpornosti proti bolezni);</w:t>
      </w:r>
    </w:p>
    <w:p w14:paraId="7BC818C4" w14:textId="77777777" w:rsidR="00E04C8A" w:rsidRDefault="008E1817">
      <w:pPr>
        <w:pStyle w:val="a3"/>
        <w:numPr>
          <w:ilvl w:val="0"/>
          <w:numId w:val="16"/>
        </w:numPr>
        <w:ind w:left="660" w:hanging="660"/>
        <w:rPr>
          <w:lang w:val="sl-SI"/>
        </w:rPr>
      </w:pPr>
      <w:r>
        <w:rPr>
          <w:rFonts w:eastAsia="Times New Roman"/>
          <w:lang w:val="sl-SI"/>
        </w:rPr>
        <w:t>nevrološke okužbe (vključno s virusnim meningitisom);</w:t>
      </w:r>
    </w:p>
    <w:p w14:paraId="466B0D84" w14:textId="77777777" w:rsidR="00E04C8A" w:rsidRDefault="008E1817">
      <w:pPr>
        <w:pStyle w:val="a3"/>
        <w:numPr>
          <w:ilvl w:val="0"/>
          <w:numId w:val="16"/>
        </w:numPr>
        <w:ind w:left="660" w:hanging="660"/>
        <w:rPr>
          <w:lang w:val="sl-SI"/>
        </w:rPr>
      </w:pPr>
      <w:r>
        <w:rPr>
          <w:rFonts w:eastAsia="Times New Roman"/>
          <w:lang w:val="sl-SI"/>
        </w:rPr>
        <w:t>okužbe oči;</w:t>
      </w:r>
    </w:p>
    <w:p w14:paraId="13F2539A" w14:textId="77777777" w:rsidR="00E04C8A" w:rsidRDefault="008E1817">
      <w:pPr>
        <w:pStyle w:val="a3"/>
        <w:numPr>
          <w:ilvl w:val="0"/>
          <w:numId w:val="16"/>
        </w:numPr>
        <w:ind w:left="660" w:hanging="660"/>
        <w:rPr>
          <w:lang w:val="sl-SI"/>
        </w:rPr>
      </w:pPr>
      <w:r>
        <w:rPr>
          <w:rFonts w:eastAsia="Times New Roman"/>
          <w:lang w:val="sl-SI"/>
        </w:rPr>
        <w:t>bakterijske okužbe;</w:t>
      </w:r>
    </w:p>
    <w:p w14:paraId="527DFBD5" w14:textId="77777777" w:rsidR="00E04C8A" w:rsidRDefault="008E1817">
      <w:pPr>
        <w:pStyle w:val="a3"/>
        <w:numPr>
          <w:ilvl w:val="0"/>
          <w:numId w:val="16"/>
        </w:numPr>
        <w:ind w:left="660" w:hanging="660"/>
        <w:rPr>
          <w:lang w:val="sl-SI"/>
        </w:rPr>
      </w:pPr>
      <w:r>
        <w:rPr>
          <w:rFonts w:eastAsia="Times New Roman"/>
          <w:lang w:val="sl-SI"/>
        </w:rPr>
        <w:t>divertikulitis (vnetje in okužba debelega črevesa);</w:t>
      </w:r>
    </w:p>
    <w:p w14:paraId="4632FFC2" w14:textId="77777777" w:rsidR="00E04C8A" w:rsidRDefault="008E1817">
      <w:pPr>
        <w:pStyle w:val="a3"/>
        <w:numPr>
          <w:ilvl w:val="0"/>
          <w:numId w:val="16"/>
        </w:numPr>
        <w:ind w:left="660" w:hanging="660"/>
        <w:rPr>
          <w:lang w:val="sl-SI"/>
        </w:rPr>
      </w:pPr>
      <w:r>
        <w:rPr>
          <w:rFonts w:eastAsia="Times New Roman"/>
          <w:lang w:val="sl-SI"/>
        </w:rPr>
        <w:t>rak;</w:t>
      </w:r>
    </w:p>
    <w:p w14:paraId="2D8A861A" w14:textId="77777777" w:rsidR="00E04C8A" w:rsidRDefault="008E1817">
      <w:pPr>
        <w:pStyle w:val="a3"/>
        <w:numPr>
          <w:ilvl w:val="0"/>
          <w:numId w:val="16"/>
        </w:numPr>
        <w:ind w:left="660" w:hanging="660"/>
        <w:rPr>
          <w:lang w:val="sl-SI"/>
        </w:rPr>
      </w:pPr>
      <w:r>
        <w:rPr>
          <w:rFonts w:eastAsia="Times New Roman"/>
          <w:lang w:val="sl-SI"/>
        </w:rPr>
        <w:t>rak, ki zajame limfni sistem;</w:t>
      </w:r>
    </w:p>
    <w:p w14:paraId="36475801" w14:textId="77777777" w:rsidR="00E04C8A" w:rsidRDefault="008E1817">
      <w:pPr>
        <w:pStyle w:val="a3"/>
        <w:numPr>
          <w:ilvl w:val="0"/>
          <w:numId w:val="16"/>
        </w:numPr>
        <w:ind w:left="660" w:hanging="660"/>
        <w:rPr>
          <w:lang w:val="sl-SI"/>
        </w:rPr>
      </w:pPr>
      <w:r>
        <w:rPr>
          <w:rFonts w:eastAsia="Times New Roman"/>
          <w:lang w:val="sl-SI"/>
        </w:rPr>
        <w:t>melanom;</w:t>
      </w:r>
    </w:p>
    <w:p w14:paraId="6A07FFEB" w14:textId="77777777" w:rsidR="00E04C8A" w:rsidRDefault="008E1817">
      <w:pPr>
        <w:pStyle w:val="a3"/>
        <w:numPr>
          <w:ilvl w:val="0"/>
          <w:numId w:val="16"/>
        </w:numPr>
        <w:ind w:left="660" w:hanging="660"/>
        <w:rPr>
          <w:lang w:val="sl-SI"/>
        </w:rPr>
      </w:pPr>
      <w:r>
        <w:rPr>
          <w:rFonts w:eastAsia="Times New Roman"/>
          <w:lang w:val="sl-SI"/>
        </w:rPr>
        <w:t>imunske bolezni, ki lahko prizadenejo pljuča, kožo in bezgavke (najpogosteje kot sarkoidoza);</w:t>
      </w:r>
    </w:p>
    <w:p w14:paraId="4FF1C73E" w14:textId="77777777" w:rsidR="00E04C8A" w:rsidRDefault="008E1817">
      <w:pPr>
        <w:pStyle w:val="a3"/>
        <w:numPr>
          <w:ilvl w:val="0"/>
          <w:numId w:val="16"/>
        </w:numPr>
        <w:ind w:left="660" w:hanging="660"/>
        <w:rPr>
          <w:lang w:val="sl-SI"/>
        </w:rPr>
      </w:pPr>
      <w:r>
        <w:rPr>
          <w:rFonts w:eastAsia="Times New Roman"/>
          <w:lang w:val="sl-SI"/>
        </w:rPr>
        <w:t>vaskulitis (vnetje krvnih žil);</w:t>
      </w:r>
    </w:p>
    <w:p w14:paraId="09756C72" w14:textId="77777777" w:rsidR="00E04C8A" w:rsidRDefault="008E1817">
      <w:pPr>
        <w:pStyle w:val="a3"/>
        <w:numPr>
          <w:ilvl w:val="0"/>
          <w:numId w:val="16"/>
        </w:numPr>
        <w:ind w:left="660" w:hanging="660"/>
        <w:rPr>
          <w:lang w:val="sl-SI"/>
        </w:rPr>
      </w:pPr>
      <w:r>
        <w:rPr>
          <w:rFonts w:eastAsia="Times New Roman"/>
          <w:lang w:val="sl-SI"/>
        </w:rPr>
        <w:t>tremor (tresenje);</w:t>
      </w:r>
    </w:p>
    <w:p w14:paraId="78CDF97F" w14:textId="77777777" w:rsidR="00E04C8A" w:rsidRDefault="008E1817">
      <w:pPr>
        <w:pStyle w:val="a3"/>
        <w:numPr>
          <w:ilvl w:val="0"/>
          <w:numId w:val="16"/>
        </w:numPr>
        <w:ind w:left="660" w:hanging="660"/>
        <w:rPr>
          <w:lang w:val="sl-SI"/>
        </w:rPr>
      </w:pPr>
      <w:r>
        <w:rPr>
          <w:rFonts w:eastAsia="Times New Roman"/>
          <w:lang w:val="sl-SI"/>
        </w:rPr>
        <w:t>nevropatija (bolezen živcev);</w:t>
      </w:r>
    </w:p>
    <w:p w14:paraId="10E98429" w14:textId="77777777" w:rsidR="00E04C8A" w:rsidRDefault="008E1817">
      <w:pPr>
        <w:pStyle w:val="a3"/>
        <w:numPr>
          <w:ilvl w:val="0"/>
          <w:numId w:val="16"/>
        </w:numPr>
        <w:ind w:left="660" w:hanging="660"/>
        <w:rPr>
          <w:lang w:val="sl-SI"/>
        </w:rPr>
      </w:pPr>
      <w:r>
        <w:rPr>
          <w:rFonts w:eastAsia="Times New Roman"/>
          <w:lang w:val="sl-SI"/>
        </w:rPr>
        <w:t>možganska kap;</w:t>
      </w:r>
    </w:p>
    <w:p w14:paraId="697FD8A8" w14:textId="77777777" w:rsidR="00E04C8A" w:rsidRDefault="008E1817">
      <w:pPr>
        <w:pStyle w:val="a3"/>
        <w:numPr>
          <w:ilvl w:val="0"/>
          <w:numId w:val="16"/>
        </w:numPr>
        <w:ind w:left="660" w:hanging="660"/>
        <w:rPr>
          <w:lang w:val="sl-SI"/>
        </w:rPr>
      </w:pPr>
      <w:r>
        <w:rPr>
          <w:rFonts w:eastAsia="Times New Roman"/>
          <w:lang w:val="sl-SI"/>
        </w:rPr>
        <w:t>izguba sluha, šumenje v ušesih;</w:t>
      </w:r>
    </w:p>
    <w:p w14:paraId="68A794F9" w14:textId="77777777" w:rsidR="00E04C8A" w:rsidRDefault="008E1817">
      <w:pPr>
        <w:pStyle w:val="a3"/>
        <w:numPr>
          <w:ilvl w:val="0"/>
          <w:numId w:val="16"/>
        </w:numPr>
        <w:ind w:left="660" w:hanging="660"/>
        <w:rPr>
          <w:lang w:val="sl-SI"/>
        </w:rPr>
      </w:pPr>
      <w:r>
        <w:rPr>
          <w:rFonts w:eastAsia="Times New Roman"/>
          <w:lang w:val="sl-SI"/>
        </w:rPr>
        <w:t>občutek neenakomernega bitja srca kot je preskakovanje utripov;</w:t>
      </w:r>
    </w:p>
    <w:p w14:paraId="000AFC89" w14:textId="77777777" w:rsidR="00E04C8A" w:rsidRDefault="008E1817">
      <w:pPr>
        <w:pStyle w:val="a3"/>
        <w:numPr>
          <w:ilvl w:val="0"/>
          <w:numId w:val="16"/>
        </w:numPr>
        <w:ind w:left="660" w:hanging="660"/>
        <w:rPr>
          <w:lang w:val="sl-SI"/>
        </w:rPr>
      </w:pPr>
      <w:r>
        <w:rPr>
          <w:rFonts w:eastAsia="Times New Roman"/>
          <w:lang w:val="sl-SI"/>
        </w:rPr>
        <w:t>težave s srcem, ki lahko povzročijo kratko sapo ali otekanje gležnjev;</w:t>
      </w:r>
    </w:p>
    <w:p w14:paraId="4086D2B6" w14:textId="77777777" w:rsidR="00E04C8A" w:rsidRDefault="008E1817">
      <w:pPr>
        <w:pStyle w:val="a3"/>
        <w:numPr>
          <w:ilvl w:val="0"/>
          <w:numId w:val="16"/>
        </w:numPr>
        <w:ind w:left="660" w:hanging="660"/>
        <w:rPr>
          <w:lang w:val="sl-SI"/>
        </w:rPr>
      </w:pPr>
      <w:r>
        <w:rPr>
          <w:rFonts w:eastAsia="Times New Roman"/>
          <w:lang w:val="sl-SI"/>
        </w:rPr>
        <w:t>srčni napad;</w:t>
      </w:r>
    </w:p>
    <w:p w14:paraId="0F4E59C7" w14:textId="77777777" w:rsidR="00E04C8A" w:rsidRDefault="008E1817">
      <w:pPr>
        <w:pStyle w:val="a3"/>
        <w:numPr>
          <w:ilvl w:val="0"/>
          <w:numId w:val="16"/>
        </w:numPr>
        <w:ind w:left="660" w:hanging="660"/>
        <w:rPr>
          <w:lang w:val="sl-SI"/>
        </w:rPr>
      </w:pPr>
      <w:r>
        <w:rPr>
          <w:rFonts w:eastAsia="Times New Roman"/>
          <w:lang w:val="sl-SI"/>
        </w:rPr>
        <w:t>razširitev v steni večje arterije, vnetje in krvni strdek v veni, zamašitev žile;</w:t>
      </w:r>
    </w:p>
    <w:p w14:paraId="4BD6D73F" w14:textId="77777777" w:rsidR="00E04C8A" w:rsidRDefault="008E1817">
      <w:pPr>
        <w:pStyle w:val="a3"/>
        <w:numPr>
          <w:ilvl w:val="0"/>
          <w:numId w:val="16"/>
        </w:numPr>
        <w:ind w:left="660" w:hanging="660"/>
        <w:rPr>
          <w:lang w:val="sl-SI"/>
        </w:rPr>
      </w:pPr>
      <w:r>
        <w:rPr>
          <w:rFonts w:eastAsia="Times New Roman"/>
          <w:lang w:val="sl-SI"/>
        </w:rPr>
        <w:t>pljučne bolezni, ki povzročajo kratko sapo (vključno z vnetjem);</w:t>
      </w:r>
    </w:p>
    <w:p w14:paraId="0C0C6F52" w14:textId="77777777" w:rsidR="00E04C8A" w:rsidRDefault="008E1817">
      <w:pPr>
        <w:pStyle w:val="a3"/>
        <w:numPr>
          <w:ilvl w:val="0"/>
          <w:numId w:val="16"/>
        </w:numPr>
        <w:ind w:left="660" w:hanging="660"/>
        <w:rPr>
          <w:lang w:val="sl-SI"/>
        </w:rPr>
      </w:pPr>
      <w:r>
        <w:rPr>
          <w:rFonts w:eastAsia="Times New Roman"/>
          <w:lang w:val="sl-SI"/>
        </w:rPr>
        <w:t>pljučna embolija (zamašitev arterije v pljučih);</w:t>
      </w:r>
    </w:p>
    <w:p w14:paraId="541751B0" w14:textId="77777777" w:rsidR="00E04C8A" w:rsidRDefault="008E1817">
      <w:pPr>
        <w:pStyle w:val="a3"/>
        <w:numPr>
          <w:ilvl w:val="0"/>
          <w:numId w:val="16"/>
        </w:numPr>
        <w:ind w:left="660" w:hanging="660"/>
        <w:rPr>
          <w:lang w:val="sl-SI"/>
        </w:rPr>
      </w:pPr>
      <w:r>
        <w:rPr>
          <w:rFonts w:eastAsia="Times New Roman"/>
          <w:lang w:val="sl-SI"/>
        </w:rPr>
        <w:t>plevralni izliv (nenormalno kopičenje tekočine v plevralnem prostoru);</w:t>
      </w:r>
    </w:p>
    <w:p w14:paraId="1DA5AFEC" w14:textId="77777777" w:rsidR="00E04C8A" w:rsidRDefault="008E1817">
      <w:pPr>
        <w:pStyle w:val="a3"/>
        <w:numPr>
          <w:ilvl w:val="0"/>
          <w:numId w:val="16"/>
        </w:numPr>
        <w:ind w:left="660" w:hanging="660"/>
        <w:rPr>
          <w:lang w:val="sl-SI"/>
        </w:rPr>
      </w:pPr>
      <w:r>
        <w:rPr>
          <w:rFonts w:eastAsia="Times New Roman"/>
          <w:lang w:val="sl-SI"/>
        </w:rPr>
        <w:t>vnetje trebušne slinavke, ki povzroča hude bolečine v trebuhu in hrbtu;</w:t>
      </w:r>
    </w:p>
    <w:p w14:paraId="785AA22F" w14:textId="77777777" w:rsidR="00E04C8A" w:rsidRDefault="008E1817">
      <w:pPr>
        <w:pStyle w:val="a3"/>
        <w:numPr>
          <w:ilvl w:val="0"/>
          <w:numId w:val="16"/>
        </w:numPr>
        <w:ind w:left="660" w:hanging="660"/>
        <w:rPr>
          <w:lang w:val="sl-SI"/>
        </w:rPr>
      </w:pPr>
      <w:r>
        <w:rPr>
          <w:rFonts w:eastAsia="Times New Roman"/>
          <w:lang w:val="sl-SI"/>
        </w:rPr>
        <w:t>težave s požiranjem;</w:t>
      </w:r>
    </w:p>
    <w:p w14:paraId="480CE0C8" w14:textId="77777777" w:rsidR="00E04C8A" w:rsidRDefault="008E1817">
      <w:pPr>
        <w:pStyle w:val="a3"/>
        <w:numPr>
          <w:ilvl w:val="0"/>
          <w:numId w:val="16"/>
        </w:numPr>
        <w:ind w:left="660" w:hanging="660"/>
        <w:rPr>
          <w:lang w:val="sl-SI"/>
        </w:rPr>
      </w:pPr>
      <w:r>
        <w:rPr>
          <w:rFonts w:eastAsia="Times New Roman"/>
          <w:lang w:val="sl-SI"/>
        </w:rPr>
        <w:t>edem obraza (otekanje obraza);</w:t>
      </w:r>
    </w:p>
    <w:p w14:paraId="31182E4D" w14:textId="77777777" w:rsidR="00E04C8A" w:rsidRDefault="008E1817">
      <w:pPr>
        <w:pStyle w:val="a3"/>
        <w:numPr>
          <w:ilvl w:val="0"/>
          <w:numId w:val="16"/>
        </w:numPr>
        <w:ind w:left="660" w:hanging="660"/>
        <w:rPr>
          <w:lang w:val="sl-SI"/>
        </w:rPr>
      </w:pPr>
      <w:r>
        <w:rPr>
          <w:rFonts w:eastAsia="Times New Roman"/>
          <w:lang w:val="sl-SI"/>
        </w:rPr>
        <w:t>vnetje žolčnika, žolčni kamni;</w:t>
      </w:r>
    </w:p>
    <w:p w14:paraId="07B50B0E" w14:textId="77777777" w:rsidR="00E04C8A" w:rsidRDefault="008E1817">
      <w:pPr>
        <w:pStyle w:val="a3"/>
        <w:numPr>
          <w:ilvl w:val="0"/>
          <w:numId w:val="16"/>
        </w:numPr>
        <w:ind w:left="660" w:hanging="660"/>
        <w:rPr>
          <w:lang w:val="sl-SI"/>
        </w:rPr>
      </w:pPr>
      <w:r>
        <w:rPr>
          <w:rFonts w:eastAsia="Times New Roman"/>
          <w:lang w:val="sl-SI"/>
        </w:rPr>
        <w:t>zamaščena jetra;</w:t>
      </w:r>
    </w:p>
    <w:p w14:paraId="4775CBB6" w14:textId="77777777" w:rsidR="00E04C8A" w:rsidRDefault="008E1817">
      <w:pPr>
        <w:pStyle w:val="a3"/>
        <w:numPr>
          <w:ilvl w:val="0"/>
          <w:numId w:val="16"/>
        </w:numPr>
        <w:ind w:left="660" w:hanging="660"/>
        <w:rPr>
          <w:lang w:val="sl-SI"/>
        </w:rPr>
      </w:pPr>
      <w:r>
        <w:rPr>
          <w:rFonts w:eastAsia="Times New Roman"/>
          <w:lang w:val="sl-SI"/>
        </w:rPr>
        <w:t>nočno potenje;</w:t>
      </w:r>
    </w:p>
    <w:p w14:paraId="0D14E4BB" w14:textId="77777777" w:rsidR="00E04C8A" w:rsidRDefault="008E1817">
      <w:pPr>
        <w:pStyle w:val="a3"/>
        <w:numPr>
          <w:ilvl w:val="0"/>
          <w:numId w:val="16"/>
        </w:numPr>
        <w:ind w:left="660" w:hanging="660"/>
        <w:rPr>
          <w:lang w:val="sl-SI"/>
        </w:rPr>
      </w:pPr>
      <w:r>
        <w:rPr>
          <w:rFonts w:eastAsia="Times New Roman"/>
          <w:lang w:val="sl-SI"/>
        </w:rPr>
        <w:t>brazgotinjenje;</w:t>
      </w:r>
    </w:p>
    <w:p w14:paraId="759784B7" w14:textId="77777777" w:rsidR="00E04C8A" w:rsidRDefault="008E1817">
      <w:pPr>
        <w:pStyle w:val="a3"/>
        <w:numPr>
          <w:ilvl w:val="0"/>
          <w:numId w:val="16"/>
        </w:numPr>
        <w:ind w:left="660" w:hanging="660"/>
        <w:rPr>
          <w:lang w:val="sl-SI"/>
        </w:rPr>
      </w:pPr>
      <w:r>
        <w:rPr>
          <w:rFonts w:eastAsia="Times New Roman"/>
          <w:lang w:val="sl-SI"/>
        </w:rPr>
        <w:t>neobičajen razpad mišic;</w:t>
      </w:r>
    </w:p>
    <w:p w14:paraId="50CB55D1" w14:textId="77777777" w:rsidR="00E04C8A" w:rsidRDefault="008E1817">
      <w:pPr>
        <w:pStyle w:val="a3"/>
        <w:numPr>
          <w:ilvl w:val="0"/>
          <w:numId w:val="16"/>
        </w:numPr>
        <w:ind w:left="660" w:hanging="660"/>
        <w:rPr>
          <w:rFonts w:eastAsia="Times New Roman"/>
          <w:spacing w:val="-1"/>
          <w:lang w:val="sl-SI"/>
        </w:rPr>
      </w:pPr>
      <w:r>
        <w:rPr>
          <w:rFonts w:eastAsia="Times New Roman"/>
          <w:lang w:val="sl-SI"/>
        </w:rPr>
        <w:t>sistemski eritematozni lupus (vključno z vnetjem kože, srca, pljuč, sklepov in drugih organskih sistemov);</w:t>
      </w:r>
    </w:p>
    <w:p w14:paraId="23A81E26" w14:textId="77777777" w:rsidR="00E04C8A" w:rsidRDefault="008E1817">
      <w:pPr>
        <w:pStyle w:val="a3"/>
        <w:numPr>
          <w:ilvl w:val="0"/>
          <w:numId w:val="16"/>
        </w:numPr>
        <w:ind w:left="660" w:hanging="660"/>
        <w:rPr>
          <w:lang w:val="sl-SI"/>
        </w:rPr>
      </w:pPr>
      <w:r>
        <w:rPr>
          <w:rFonts w:eastAsia="Times New Roman"/>
          <w:lang w:val="sl-SI"/>
        </w:rPr>
        <w:lastRenderedPageBreak/>
        <w:t>motnje spanja;</w:t>
      </w:r>
    </w:p>
    <w:p w14:paraId="03996EE0" w14:textId="77777777" w:rsidR="00E04C8A" w:rsidRDefault="008E1817">
      <w:pPr>
        <w:pStyle w:val="a3"/>
        <w:numPr>
          <w:ilvl w:val="0"/>
          <w:numId w:val="16"/>
        </w:numPr>
        <w:ind w:left="660" w:hanging="660"/>
        <w:rPr>
          <w:lang w:val="sl-SI"/>
        </w:rPr>
      </w:pPr>
      <w:r>
        <w:rPr>
          <w:rFonts w:eastAsia="Times New Roman"/>
          <w:lang w:val="sl-SI"/>
        </w:rPr>
        <w:t>impotenca;</w:t>
      </w:r>
    </w:p>
    <w:p w14:paraId="303F3D66" w14:textId="77777777" w:rsidR="00E04C8A" w:rsidRDefault="008E1817">
      <w:pPr>
        <w:pStyle w:val="a3"/>
        <w:numPr>
          <w:ilvl w:val="0"/>
          <w:numId w:val="16"/>
        </w:numPr>
        <w:ind w:left="660" w:hanging="660"/>
        <w:rPr>
          <w:lang w:val="sl-SI"/>
        </w:rPr>
      </w:pPr>
      <w:r>
        <w:rPr>
          <w:rFonts w:eastAsia="Times New Roman"/>
          <w:lang w:val="sl-SI"/>
        </w:rPr>
        <w:t>vnetja.</w:t>
      </w:r>
    </w:p>
    <w:p w14:paraId="05234A79" w14:textId="77777777" w:rsidR="00E04C8A" w:rsidRDefault="00E04C8A">
      <w:pPr>
        <w:spacing w:before="13" w:line="240" w:lineRule="exact"/>
        <w:rPr>
          <w:sz w:val="24"/>
          <w:szCs w:val="24"/>
          <w:lang w:val="sl-SI"/>
        </w:rPr>
      </w:pPr>
    </w:p>
    <w:p w14:paraId="35ECC452" w14:textId="77777777" w:rsidR="00E04C8A" w:rsidRDefault="008E1817">
      <w:pPr>
        <w:pStyle w:val="a3"/>
        <w:rPr>
          <w:lang w:val="sl-SI"/>
        </w:rPr>
      </w:pPr>
      <w:r>
        <w:rPr>
          <w:rFonts w:eastAsia="Times New Roman"/>
          <w:b/>
          <w:bCs/>
          <w:lang w:val="sl-SI"/>
        </w:rPr>
        <w:t xml:space="preserve">Redki </w:t>
      </w:r>
      <w:r>
        <w:rPr>
          <w:rFonts w:eastAsia="Times New Roman"/>
          <w:lang w:val="sl-SI"/>
        </w:rPr>
        <w:t>(pojavijo se lahko pri največ 1 od 1.000 bolnikov)</w:t>
      </w:r>
    </w:p>
    <w:p w14:paraId="573458C0" w14:textId="77777777" w:rsidR="00E04C8A" w:rsidRDefault="00E04C8A">
      <w:pPr>
        <w:spacing w:before="12" w:line="240" w:lineRule="exact"/>
        <w:rPr>
          <w:sz w:val="24"/>
          <w:szCs w:val="24"/>
          <w:lang w:val="sl-SI"/>
        </w:rPr>
      </w:pPr>
    </w:p>
    <w:p w14:paraId="0E3DAB39" w14:textId="77777777" w:rsidR="00E04C8A" w:rsidRDefault="008E1817">
      <w:pPr>
        <w:pStyle w:val="a3"/>
        <w:numPr>
          <w:ilvl w:val="0"/>
          <w:numId w:val="16"/>
        </w:numPr>
        <w:ind w:left="660" w:hanging="660"/>
        <w:rPr>
          <w:lang w:val="sl-SI"/>
        </w:rPr>
      </w:pPr>
      <w:r>
        <w:rPr>
          <w:rFonts w:eastAsia="Times New Roman"/>
          <w:lang w:val="sl-SI"/>
        </w:rPr>
        <w:t>levkemija (rak, ki prizadene kri in kostni mozeg);</w:t>
      </w:r>
    </w:p>
    <w:p w14:paraId="6EDE6BA4" w14:textId="77777777" w:rsidR="00E04C8A" w:rsidRDefault="008E1817">
      <w:pPr>
        <w:pStyle w:val="a3"/>
        <w:numPr>
          <w:ilvl w:val="0"/>
          <w:numId w:val="16"/>
        </w:numPr>
        <w:ind w:left="660" w:hanging="660"/>
        <w:rPr>
          <w:lang w:val="sl-SI"/>
        </w:rPr>
      </w:pPr>
      <w:r>
        <w:rPr>
          <w:rFonts w:eastAsia="Times New Roman"/>
          <w:lang w:val="sl-SI"/>
        </w:rPr>
        <w:t>huda alergijska reakcija s šokom;</w:t>
      </w:r>
    </w:p>
    <w:p w14:paraId="65D46CC9" w14:textId="77777777" w:rsidR="00E04C8A" w:rsidRDefault="008E1817">
      <w:pPr>
        <w:pStyle w:val="a3"/>
        <w:numPr>
          <w:ilvl w:val="0"/>
          <w:numId w:val="16"/>
        </w:numPr>
        <w:ind w:left="660" w:hanging="660"/>
        <w:rPr>
          <w:lang w:val="sl-SI"/>
        </w:rPr>
      </w:pPr>
      <w:r>
        <w:rPr>
          <w:rFonts w:eastAsia="Times New Roman"/>
          <w:lang w:val="sl-SI"/>
        </w:rPr>
        <w:t>multipla skleroza;</w:t>
      </w:r>
    </w:p>
    <w:p w14:paraId="215E3EC0" w14:textId="77777777" w:rsidR="00E04C8A" w:rsidRDefault="008E1817">
      <w:pPr>
        <w:pStyle w:val="a3"/>
        <w:numPr>
          <w:ilvl w:val="0"/>
          <w:numId w:val="16"/>
        </w:numPr>
        <w:ind w:left="660" w:hanging="660"/>
        <w:rPr>
          <w:lang w:val="sl-SI"/>
        </w:rPr>
      </w:pPr>
      <w:r>
        <w:rPr>
          <w:rFonts w:eastAsia="Times New Roman"/>
          <w:lang w:val="sl-SI"/>
        </w:rPr>
        <w:t>bolezni živčevja (kot je vnetje očesnega živca in sindrom Guillain-Barré, ki lahko povzroči šibkost mišic, nenormalna občutenja, mravljinčenje v rokah in zgornjem delu telesa);</w:t>
      </w:r>
    </w:p>
    <w:p w14:paraId="379A1C86" w14:textId="77777777" w:rsidR="00E04C8A" w:rsidRDefault="008E1817">
      <w:pPr>
        <w:pStyle w:val="a3"/>
        <w:numPr>
          <w:ilvl w:val="0"/>
          <w:numId w:val="16"/>
        </w:numPr>
        <w:ind w:left="660" w:hanging="660"/>
        <w:rPr>
          <w:lang w:val="sl-SI"/>
        </w:rPr>
      </w:pPr>
      <w:r>
        <w:rPr>
          <w:rFonts w:eastAsia="Times New Roman"/>
          <w:lang w:val="sl-SI"/>
        </w:rPr>
        <w:t>srce preneha črpati kri;</w:t>
      </w:r>
    </w:p>
    <w:p w14:paraId="2E45132D" w14:textId="77777777" w:rsidR="00E04C8A" w:rsidRDefault="008E1817">
      <w:pPr>
        <w:pStyle w:val="a3"/>
        <w:numPr>
          <w:ilvl w:val="0"/>
          <w:numId w:val="16"/>
        </w:numPr>
        <w:ind w:left="660" w:hanging="660"/>
        <w:rPr>
          <w:lang w:val="sl-SI"/>
        </w:rPr>
      </w:pPr>
      <w:r>
        <w:rPr>
          <w:rFonts w:eastAsia="Times New Roman"/>
          <w:lang w:val="sl-SI"/>
        </w:rPr>
        <w:t>pljučna fibroza (brazgotinjenje pljuč);</w:t>
      </w:r>
    </w:p>
    <w:p w14:paraId="2AFD7EAA" w14:textId="77777777" w:rsidR="00E04C8A" w:rsidRDefault="008E1817">
      <w:pPr>
        <w:pStyle w:val="a3"/>
        <w:numPr>
          <w:ilvl w:val="0"/>
          <w:numId w:val="16"/>
        </w:numPr>
        <w:ind w:left="660" w:hanging="660"/>
        <w:rPr>
          <w:lang w:val="sl-SI"/>
        </w:rPr>
      </w:pPr>
      <w:r>
        <w:rPr>
          <w:rFonts w:eastAsia="Times New Roman"/>
          <w:lang w:val="sl-SI"/>
        </w:rPr>
        <w:t>perforacija črevesja (luknja v črevesju);</w:t>
      </w:r>
    </w:p>
    <w:p w14:paraId="59F10703" w14:textId="77777777" w:rsidR="00E04C8A" w:rsidRDefault="008E1817">
      <w:pPr>
        <w:pStyle w:val="a3"/>
        <w:numPr>
          <w:ilvl w:val="0"/>
          <w:numId w:val="16"/>
        </w:numPr>
        <w:ind w:left="660" w:hanging="660"/>
        <w:rPr>
          <w:lang w:val="sl-SI"/>
        </w:rPr>
      </w:pPr>
      <w:r>
        <w:rPr>
          <w:rFonts w:eastAsia="Times New Roman"/>
          <w:lang w:val="sl-SI"/>
        </w:rPr>
        <w:t>hepatitis;</w:t>
      </w:r>
    </w:p>
    <w:p w14:paraId="0EA6F454" w14:textId="77777777" w:rsidR="00E04C8A" w:rsidRDefault="008E1817">
      <w:pPr>
        <w:pStyle w:val="a3"/>
        <w:numPr>
          <w:ilvl w:val="0"/>
          <w:numId w:val="16"/>
        </w:numPr>
        <w:ind w:left="660" w:hanging="660"/>
        <w:rPr>
          <w:lang w:val="sl-SI"/>
        </w:rPr>
      </w:pPr>
      <w:r>
        <w:rPr>
          <w:rFonts w:eastAsia="Times New Roman"/>
          <w:lang w:val="sl-SI"/>
        </w:rPr>
        <w:t>ponovna aktivacija hepatitisa B;</w:t>
      </w:r>
    </w:p>
    <w:p w14:paraId="35F8061F" w14:textId="77777777" w:rsidR="00E04C8A" w:rsidRDefault="008E1817">
      <w:pPr>
        <w:pStyle w:val="a3"/>
        <w:numPr>
          <w:ilvl w:val="0"/>
          <w:numId w:val="16"/>
        </w:numPr>
        <w:ind w:left="660" w:hanging="660"/>
        <w:rPr>
          <w:lang w:val="sl-SI"/>
        </w:rPr>
      </w:pPr>
      <w:r>
        <w:rPr>
          <w:rFonts w:eastAsia="Times New Roman"/>
          <w:lang w:val="sl-SI"/>
        </w:rPr>
        <w:t>avtoimunski hepatitis (vnetje jeter, ki ga povzroči lastni imunski sistem);</w:t>
      </w:r>
    </w:p>
    <w:p w14:paraId="070F914E" w14:textId="77777777" w:rsidR="00E04C8A" w:rsidRDefault="008E1817">
      <w:pPr>
        <w:pStyle w:val="a3"/>
        <w:numPr>
          <w:ilvl w:val="0"/>
          <w:numId w:val="16"/>
        </w:numPr>
        <w:ind w:left="660" w:hanging="660"/>
        <w:rPr>
          <w:lang w:val="sl-SI"/>
        </w:rPr>
      </w:pPr>
      <w:r>
        <w:rPr>
          <w:rFonts w:eastAsia="Times New Roman"/>
          <w:lang w:val="sl-SI"/>
        </w:rPr>
        <w:t>kožni vaskulitis (vnetje krvnih žil v koži);</w:t>
      </w:r>
    </w:p>
    <w:p w14:paraId="7B462018" w14:textId="77777777" w:rsidR="00E04C8A" w:rsidRDefault="008E1817">
      <w:pPr>
        <w:pStyle w:val="a3"/>
        <w:numPr>
          <w:ilvl w:val="0"/>
          <w:numId w:val="16"/>
        </w:numPr>
        <w:ind w:left="660" w:hanging="660"/>
        <w:rPr>
          <w:lang w:val="sl-SI"/>
        </w:rPr>
      </w:pPr>
      <w:r>
        <w:rPr>
          <w:rFonts w:eastAsia="Times New Roman"/>
          <w:lang w:val="sl-SI"/>
        </w:rPr>
        <w:t>Stevens-Johnsonov sindrom (zgodnji znaki vključujejo slabo počutje, povišano telesno temperaturo, glavobol in izpuščaj);</w:t>
      </w:r>
    </w:p>
    <w:p w14:paraId="4C4A32DA" w14:textId="77777777" w:rsidR="00E04C8A" w:rsidRDefault="008E1817">
      <w:pPr>
        <w:pStyle w:val="a3"/>
        <w:numPr>
          <w:ilvl w:val="0"/>
          <w:numId w:val="16"/>
        </w:numPr>
        <w:ind w:left="660" w:hanging="660"/>
        <w:rPr>
          <w:lang w:val="sl-SI"/>
        </w:rPr>
      </w:pPr>
      <w:r>
        <w:rPr>
          <w:rFonts w:eastAsia="Times New Roman"/>
          <w:lang w:val="sl-SI"/>
        </w:rPr>
        <w:t>edem obraza (otekanje obraza), ki je povezano z alergijskimi reakcijami;</w:t>
      </w:r>
    </w:p>
    <w:p w14:paraId="558DB208" w14:textId="77777777" w:rsidR="00E04C8A" w:rsidRDefault="008E1817">
      <w:pPr>
        <w:pStyle w:val="a3"/>
        <w:numPr>
          <w:ilvl w:val="0"/>
          <w:numId w:val="16"/>
        </w:numPr>
        <w:ind w:left="660" w:hanging="660"/>
        <w:rPr>
          <w:lang w:val="sl-SI"/>
        </w:rPr>
      </w:pPr>
      <w:r>
        <w:rPr>
          <w:rFonts w:eastAsia="Times New Roman"/>
          <w:lang w:val="sl-SI"/>
        </w:rPr>
        <w:t>multiformni eritem (vnetni kožni izpuščaj);</w:t>
      </w:r>
    </w:p>
    <w:p w14:paraId="37F3B8C5" w14:textId="77777777" w:rsidR="00E04C8A" w:rsidRDefault="008E1817">
      <w:pPr>
        <w:pStyle w:val="a3"/>
        <w:numPr>
          <w:ilvl w:val="0"/>
          <w:numId w:val="16"/>
        </w:numPr>
        <w:ind w:left="660" w:hanging="660"/>
        <w:rPr>
          <w:lang w:val="sl-SI"/>
        </w:rPr>
      </w:pPr>
      <w:r>
        <w:rPr>
          <w:rFonts w:eastAsia="Times New Roman"/>
          <w:lang w:val="sl-SI"/>
        </w:rPr>
        <w:t>lupusu podoben sindrom;</w:t>
      </w:r>
    </w:p>
    <w:p w14:paraId="1C042B92" w14:textId="77777777" w:rsidR="00E04C8A" w:rsidRDefault="008E1817">
      <w:pPr>
        <w:pStyle w:val="a3"/>
        <w:numPr>
          <w:ilvl w:val="0"/>
          <w:numId w:val="16"/>
        </w:numPr>
        <w:ind w:left="660" w:hanging="660"/>
        <w:rPr>
          <w:lang w:val="sl-SI"/>
        </w:rPr>
      </w:pPr>
      <w:r>
        <w:rPr>
          <w:rFonts w:eastAsia="Times New Roman"/>
          <w:lang w:val="sl-SI"/>
        </w:rPr>
        <w:t>angioedem (lokalizirano otekanje kože);</w:t>
      </w:r>
    </w:p>
    <w:p w14:paraId="670836E2" w14:textId="77777777" w:rsidR="00E04C8A" w:rsidRDefault="008E1817">
      <w:pPr>
        <w:pStyle w:val="a3"/>
        <w:numPr>
          <w:ilvl w:val="0"/>
          <w:numId w:val="16"/>
        </w:numPr>
        <w:ind w:left="660" w:hanging="660"/>
        <w:rPr>
          <w:lang w:val="sl-SI"/>
        </w:rPr>
      </w:pPr>
      <w:r>
        <w:rPr>
          <w:rFonts w:eastAsia="Times New Roman"/>
          <w:lang w:val="sl-SI"/>
        </w:rPr>
        <w:t>lihenoidna reakcija kože (srbeč rdeče-vijolični kožni izpuščaj).</w:t>
      </w:r>
    </w:p>
    <w:p w14:paraId="412E7ACE" w14:textId="77777777" w:rsidR="00E04C8A" w:rsidRDefault="00E04C8A">
      <w:pPr>
        <w:spacing w:before="10" w:line="240" w:lineRule="exact"/>
        <w:rPr>
          <w:sz w:val="24"/>
          <w:szCs w:val="24"/>
          <w:lang w:val="sl-SI"/>
        </w:rPr>
      </w:pPr>
    </w:p>
    <w:p w14:paraId="2F2A1098" w14:textId="659A9E4F" w:rsidR="00E04C8A" w:rsidRDefault="008E1817">
      <w:pPr>
        <w:pStyle w:val="a3"/>
        <w:rPr>
          <w:lang w:val="sl-SI"/>
        </w:rPr>
      </w:pPr>
      <w:r>
        <w:rPr>
          <w:rFonts w:eastAsia="Times New Roman"/>
          <w:b/>
          <w:bCs/>
          <w:lang w:val="sl-SI"/>
        </w:rPr>
        <w:t>Neznana</w:t>
      </w:r>
      <w:r>
        <w:rPr>
          <w:rFonts w:eastAsia="Times New Roman"/>
          <w:lang w:val="sl-SI"/>
        </w:rPr>
        <w:t xml:space="preserve"> </w:t>
      </w:r>
      <w:r w:rsidR="006238AA" w:rsidRPr="007C415F">
        <w:rPr>
          <w:rFonts w:eastAsia="Times New Roman"/>
          <w:b/>
          <w:bCs/>
          <w:lang w:val="sl-SI"/>
        </w:rPr>
        <w:t>pogostnost</w:t>
      </w:r>
      <w:r w:rsidR="006238AA">
        <w:rPr>
          <w:rFonts w:eastAsia="Times New Roman"/>
          <w:lang w:val="sl-SI"/>
        </w:rPr>
        <w:t xml:space="preserve"> </w:t>
      </w:r>
      <w:r>
        <w:rPr>
          <w:rFonts w:eastAsia="Times New Roman"/>
          <w:lang w:val="sl-SI"/>
        </w:rPr>
        <w:t>(pogostnosti iz razpoložljivih podatkov ni mogoče oceniti)</w:t>
      </w:r>
    </w:p>
    <w:p w14:paraId="7BCB764D" w14:textId="77777777" w:rsidR="00E04C8A" w:rsidRDefault="00E04C8A">
      <w:pPr>
        <w:spacing w:before="14" w:line="240" w:lineRule="exact"/>
        <w:rPr>
          <w:sz w:val="24"/>
          <w:szCs w:val="24"/>
          <w:lang w:val="sl-SI"/>
        </w:rPr>
      </w:pPr>
    </w:p>
    <w:p w14:paraId="47865511" w14:textId="77777777" w:rsidR="00E04C8A" w:rsidRDefault="008E1817">
      <w:pPr>
        <w:pStyle w:val="a3"/>
        <w:numPr>
          <w:ilvl w:val="0"/>
          <w:numId w:val="16"/>
        </w:numPr>
        <w:ind w:left="660" w:hanging="660"/>
        <w:rPr>
          <w:lang w:val="sl-SI"/>
        </w:rPr>
      </w:pPr>
      <w:r>
        <w:rPr>
          <w:rFonts w:eastAsia="Times New Roman"/>
          <w:lang w:val="sl-SI"/>
        </w:rPr>
        <w:t>jetrnovranični limfom celic T (redka oblika krvnega raka, ki je pogosto smrtna);</w:t>
      </w:r>
    </w:p>
    <w:p w14:paraId="077A5900" w14:textId="77777777" w:rsidR="00E04C8A" w:rsidRDefault="008E1817">
      <w:pPr>
        <w:pStyle w:val="a3"/>
        <w:numPr>
          <w:ilvl w:val="0"/>
          <w:numId w:val="16"/>
        </w:numPr>
        <w:ind w:left="660" w:hanging="660"/>
        <w:rPr>
          <w:lang w:val="sl-SI"/>
        </w:rPr>
      </w:pPr>
      <w:r>
        <w:rPr>
          <w:rFonts w:eastAsia="Times New Roman"/>
          <w:lang w:val="sl-SI"/>
        </w:rPr>
        <w:t>karcinom Merklovih celic (vrsta kožnega raka);</w:t>
      </w:r>
    </w:p>
    <w:p w14:paraId="7BB51715" w14:textId="77777777" w:rsidR="00E04C8A" w:rsidRDefault="008E1817">
      <w:pPr>
        <w:pStyle w:val="a3"/>
        <w:numPr>
          <w:ilvl w:val="0"/>
          <w:numId w:val="16"/>
        </w:numPr>
        <w:ind w:left="660" w:hanging="660"/>
        <w:rPr>
          <w:lang w:val="sl-SI"/>
        </w:rPr>
      </w:pPr>
      <w:r>
        <w:rPr>
          <w:rFonts w:eastAsia="Times New Roman"/>
          <w:lang w:val="sl-SI"/>
        </w:rPr>
        <w:t>Kaposijev sarkom, redek rak, povezan z okužbo s človeškim virusom herpesa 8. Kaposijev sarkom se najpogosteje pojavlja kot vijolične lezije na koži.</w:t>
      </w:r>
    </w:p>
    <w:p w14:paraId="6D4388C5" w14:textId="77777777" w:rsidR="00E04C8A" w:rsidRDefault="008E1817">
      <w:pPr>
        <w:pStyle w:val="a3"/>
        <w:numPr>
          <w:ilvl w:val="0"/>
          <w:numId w:val="16"/>
        </w:numPr>
        <w:ind w:left="660" w:hanging="660"/>
        <w:rPr>
          <w:lang w:val="sl-SI"/>
        </w:rPr>
      </w:pPr>
      <w:r>
        <w:rPr>
          <w:rFonts w:eastAsia="Times New Roman"/>
          <w:lang w:val="sl-SI"/>
        </w:rPr>
        <w:t>odpoved jeter;</w:t>
      </w:r>
    </w:p>
    <w:p w14:paraId="52E2EF6B" w14:textId="3493304A" w:rsidR="00E04C8A" w:rsidRPr="00DA5D63" w:rsidRDefault="008E1817">
      <w:pPr>
        <w:pStyle w:val="a3"/>
        <w:numPr>
          <w:ilvl w:val="0"/>
          <w:numId w:val="16"/>
        </w:numPr>
        <w:ind w:left="660" w:hanging="660"/>
        <w:rPr>
          <w:lang w:val="sl-SI"/>
        </w:rPr>
      </w:pPr>
      <w:r>
        <w:rPr>
          <w:rFonts w:eastAsia="Times New Roman"/>
          <w:lang w:val="sl-SI"/>
        </w:rPr>
        <w:t>poslabšanje stanja, imenovanega dermatomiozitis (pojavi se kot kožni izpuščaj, ki spremlja šibkost mišic);</w:t>
      </w:r>
    </w:p>
    <w:p w14:paraId="0DB04D65" w14:textId="623FC240" w:rsidR="00907360" w:rsidRDefault="00907360">
      <w:pPr>
        <w:pStyle w:val="a3"/>
        <w:numPr>
          <w:ilvl w:val="0"/>
          <w:numId w:val="16"/>
        </w:numPr>
        <w:ind w:left="660" w:hanging="660"/>
        <w:rPr>
          <w:lang w:val="sl-SI"/>
        </w:rPr>
      </w:pPr>
      <w:r w:rsidRPr="00BB08AA">
        <w:rPr>
          <w:rFonts w:eastAsia="Times New Roman"/>
          <w:lang w:val="sl-SI"/>
        </w:rPr>
        <w:t>povečanje telesne mase (pri večini bolnikov je bilo povečanje telesne mase majhno)</w:t>
      </w:r>
    </w:p>
    <w:p w14:paraId="6707AD77" w14:textId="77777777" w:rsidR="00E04C8A" w:rsidRDefault="00E04C8A">
      <w:pPr>
        <w:spacing w:before="14" w:line="240" w:lineRule="exact"/>
        <w:rPr>
          <w:sz w:val="24"/>
          <w:szCs w:val="24"/>
          <w:lang w:val="sl-SI"/>
        </w:rPr>
      </w:pPr>
    </w:p>
    <w:p w14:paraId="2C96A704" w14:textId="77777777" w:rsidR="00E04C8A" w:rsidRDefault="008E1817">
      <w:pPr>
        <w:pStyle w:val="a3"/>
        <w:rPr>
          <w:lang w:val="sl-SI"/>
        </w:rPr>
      </w:pPr>
      <w:r>
        <w:rPr>
          <w:rFonts w:eastAsia="Times New Roman"/>
          <w:lang w:val="sl-SI"/>
        </w:rPr>
        <w:t>Nekateri neželeni učinki, ki so bili opaženi pri uporabi zdravila Yuflyma, nimajo simptomov in se jih lahko odkrije le pri krvnih testih. Med njimi so:</w:t>
      </w:r>
    </w:p>
    <w:p w14:paraId="2A9216CD" w14:textId="77777777" w:rsidR="00E04C8A" w:rsidRDefault="00E04C8A">
      <w:pPr>
        <w:pStyle w:val="a3"/>
        <w:rPr>
          <w:lang w:val="sl-SI"/>
        </w:rPr>
      </w:pPr>
    </w:p>
    <w:p w14:paraId="418181DA" w14:textId="77777777" w:rsidR="00E04C8A" w:rsidRDefault="008E1817">
      <w:pPr>
        <w:pStyle w:val="a3"/>
        <w:rPr>
          <w:rFonts w:eastAsia="Times New Roman"/>
          <w:lang w:val="sl-SI"/>
        </w:rPr>
      </w:pPr>
      <w:r>
        <w:rPr>
          <w:rFonts w:eastAsia="Times New Roman"/>
          <w:b/>
          <w:bCs/>
          <w:spacing w:val="-1"/>
          <w:lang w:val="sl-SI"/>
        </w:rPr>
        <w:t xml:space="preserve">Zelo pogosti </w:t>
      </w:r>
      <w:r>
        <w:rPr>
          <w:rFonts w:eastAsia="Times New Roman"/>
          <w:spacing w:val="-1"/>
          <w:lang w:val="sl-SI"/>
        </w:rPr>
        <w:t>(pojavijo se lahko pri več kot 1 od 10 bolnikov)</w:t>
      </w:r>
    </w:p>
    <w:p w14:paraId="205F57B2" w14:textId="77777777" w:rsidR="00E04C8A" w:rsidRDefault="00E04C8A">
      <w:pPr>
        <w:pStyle w:val="a3"/>
        <w:rPr>
          <w:lang w:val="sl-SI"/>
        </w:rPr>
      </w:pPr>
    </w:p>
    <w:p w14:paraId="04B416CB" w14:textId="77777777" w:rsidR="00E04C8A" w:rsidRDefault="008E1817">
      <w:pPr>
        <w:pStyle w:val="a3"/>
        <w:numPr>
          <w:ilvl w:val="0"/>
          <w:numId w:val="16"/>
        </w:numPr>
        <w:ind w:left="660" w:hanging="660"/>
        <w:rPr>
          <w:lang w:val="sl-SI"/>
        </w:rPr>
      </w:pPr>
      <w:r>
        <w:rPr>
          <w:rFonts w:eastAsia="Times New Roman"/>
          <w:lang w:val="sl-SI"/>
        </w:rPr>
        <w:t>nizke krvne vrednosti belih krvnih celic;</w:t>
      </w:r>
    </w:p>
    <w:p w14:paraId="0BDB1608" w14:textId="77777777" w:rsidR="00E04C8A" w:rsidRDefault="008E1817">
      <w:pPr>
        <w:pStyle w:val="a3"/>
        <w:numPr>
          <w:ilvl w:val="0"/>
          <w:numId w:val="16"/>
        </w:numPr>
        <w:ind w:left="660" w:hanging="660"/>
        <w:rPr>
          <w:lang w:val="sl-SI"/>
        </w:rPr>
      </w:pPr>
      <w:r>
        <w:rPr>
          <w:rFonts w:eastAsia="Times New Roman"/>
          <w:lang w:val="sl-SI"/>
        </w:rPr>
        <w:t>nizke krvne vrednosti rdečih krvnih celic;</w:t>
      </w:r>
    </w:p>
    <w:p w14:paraId="6EE8F1CB" w14:textId="77777777" w:rsidR="00E04C8A" w:rsidRDefault="008E1817">
      <w:pPr>
        <w:pStyle w:val="a3"/>
        <w:numPr>
          <w:ilvl w:val="0"/>
          <w:numId w:val="16"/>
        </w:numPr>
        <w:ind w:left="660" w:hanging="660"/>
        <w:rPr>
          <w:lang w:val="sl-SI"/>
        </w:rPr>
      </w:pPr>
      <w:r>
        <w:rPr>
          <w:rFonts w:eastAsia="Times New Roman"/>
          <w:lang w:val="sl-SI"/>
        </w:rPr>
        <w:t>zvečanje vrednosti lipidov v krvi;</w:t>
      </w:r>
    </w:p>
    <w:p w14:paraId="7990DE1F" w14:textId="77777777" w:rsidR="00E04C8A" w:rsidRDefault="008E1817">
      <w:pPr>
        <w:pStyle w:val="a3"/>
        <w:numPr>
          <w:ilvl w:val="0"/>
          <w:numId w:val="16"/>
        </w:numPr>
        <w:ind w:left="660" w:hanging="660"/>
        <w:rPr>
          <w:lang w:val="sl-SI"/>
        </w:rPr>
      </w:pPr>
      <w:r>
        <w:rPr>
          <w:rFonts w:eastAsia="Times New Roman"/>
          <w:lang w:val="sl-SI"/>
        </w:rPr>
        <w:t>zvečanje vrednosti jetrnih encimov.</w:t>
      </w:r>
    </w:p>
    <w:p w14:paraId="45A64253" w14:textId="77777777" w:rsidR="00E04C8A" w:rsidRDefault="00E04C8A">
      <w:pPr>
        <w:spacing w:before="10" w:line="240" w:lineRule="exact"/>
        <w:rPr>
          <w:sz w:val="24"/>
          <w:szCs w:val="24"/>
          <w:lang w:val="sl-SI"/>
        </w:rPr>
      </w:pPr>
    </w:p>
    <w:p w14:paraId="164B35C2" w14:textId="77777777" w:rsidR="00E04C8A" w:rsidRDefault="008E1817">
      <w:pPr>
        <w:pStyle w:val="a3"/>
        <w:rPr>
          <w:lang w:val="sl-SI"/>
        </w:rPr>
      </w:pPr>
      <w:r>
        <w:rPr>
          <w:rFonts w:eastAsia="Times New Roman"/>
          <w:b/>
          <w:bCs/>
          <w:lang w:val="sl-SI"/>
        </w:rPr>
        <w:t xml:space="preserve">Pogosti: </w:t>
      </w:r>
      <w:r>
        <w:rPr>
          <w:rFonts w:eastAsia="Times New Roman"/>
          <w:lang w:val="sl-SI"/>
        </w:rPr>
        <w:t>(pojavijo se lahko pri največ 1 od 10 bolnikov)</w:t>
      </w:r>
    </w:p>
    <w:p w14:paraId="5E5A1184" w14:textId="77777777" w:rsidR="00E04C8A" w:rsidRDefault="00E04C8A">
      <w:pPr>
        <w:spacing w:before="14" w:line="240" w:lineRule="exact"/>
        <w:rPr>
          <w:sz w:val="24"/>
          <w:szCs w:val="24"/>
          <w:lang w:val="sl-SI"/>
        </w:rPr>
      </w:pPr>
    </w:p>
    <w:p w14:paraId="405EDE14" w14:textId="77777777" w:rsidR="00E04C8A" w:rsidRDefault="008E1817">
      <w:pPr>
        <w:pStyle w:val="a3"/>
        <w:numPr>
          <w:ilvl w:val="0"/>
          <w:numId w:val="16"/>
        </w:numPr>
        <w:ind w:left="660" w:hanging="660"/>
        <w:rPr>
          <w:lang w:val="sl-SI"/>
        </w:rPr>
      </w:pPr>
      <w:r>
        <w:rPr>
          <w:rFonts w:eastAsia="Times New Roman"/>
          <w:lang w:val="sl-SI"/>
        </w:rPr>
        <w:t>visoke krvne vrednosti belih krvnih celic;</w:t>
      </w:r>
    </w:p>
    <w:p w14:paraId="127A790A" w14:textId="77777777" w:rsidR="00E04C8A" w:rsidRDefault="008E1817">
      <w:pPr>
        <w:pStyle w:val="a3"/>
        <w:numPr>
          <w:ilvl w:val="0"/>
          <w:numId w:val="16"/>
        </w:numPr>
        <w:ind w:left="660" w:hanging="660"/>
        <w:rPr>
          <w:lang w:val="sl-SI"/>
        </w:rPr>
      </w:pPr>
      <w:r>
        <w:rPr>
          <w:rFonts w:eastAsia="Times New Roman"/>
          <w:lang w:val="sl-SI"/>
        </w:rPr>
        <w:t>nizke krvne vrednosti krvnih ploščic;</w:t>
      </w:r>
    </w:p>
    <w:p w14:paraId="7F822AF4" w14:textId="77777777" w:rsidR="00E04C8A" w:rsidRDefault="008E1817">
      <w:pPr>
        <w:pStyle w:val="a3"/>
        <w:numPr>
          <w:ilvl w:val="0"/>
          <w:numId w:val="16"/>
        </w:numPr>
        <w:ind w:left="660" w:hanging="660"/>
        <w:rPr>
          <w:lang w:val="sl-SI"/>
        </w:rPr>
      </w:pPr>
      <w:r>
        <w:rPr>
          <w:rFonts w:eastAsia="Times New Roman"/>
          <w:lang w:val="sl-SI"/>
        </w:rPr>
        <w:t>zvečanje vrednosti sečne kisline v krvi;</w:t>
      </w:r>
    </w:p>
    <w:p w14:paraId="3FB6C6EE" w14:textId="77777777" w:rsidR="00E04C8A" w:rsidRDefault="008E1817">
      <w:pPr>
        <w:pStyle w:val="a3"/>
        <w:numPr>
          <w:ilvl w:val="0"/>
          <w:numId w:val="16"/>
        </w:numPr>
        <w:ind w:left="660" w:hanging="660"/>
        <w:rPr>
          <w:lang w:val="sl-SI"/>
        </w:rPr>
      </w:pPr>
      <w:r>
        <w:rPr>
          <w:rFonts w:eastAsia="Times New Roman"/>
          <w:lang w:val="sl-SI"/>
        </w:rPr>
        <w:lastRenderedPageBreak/>
        <w:t>nenormalne izmerjene vrednosti natrija v krvi;</w:t>
      </w:r>
    </w:p>
    <w:p w14:paraId="61FA6EB4" w14:textId="77777777" w:rsidR="00E04C8A" w:rsidRDefault="008E1817">
      <w:pPr>
        <w:pStyle w:val="a3"/>
        <w:numPr>
          <w:ilvl w:val="0"/>
          <w:numId w:val="16"/>
        </w:numPr>
        <w:ind w:left="660" w:hanging="660"/>
        <w:rPr>
          <w:lang w:val="sl-SI"/>
        </w:rPr>
      </w:pPr>
      <w:r>
        <w:rPr>
          <w:rFonts w:eastAsia="Times New Roman"/>
          <w:lang w:val="sl-SI"/>
        </w:rPr>
        <w:t>nizke krvne vrednosti kalcija;</w:t>
      </w:r>
    </w:p>
    <w:p w14:paraId="5F75CBDA" w14:textId="77777777" w:rsidR="00E04C8A" w:rsidRDefault="008E1817">
      <w:pPr>
        <w:pStyle w:val="a3"/>
        <w:numPr>
          <w:ilvl w:val="0"/>
          <w:numId w:val="16"/>
        </w:numPr>
        <w:ind w:left="660" w:hanging="660"/>
        <w:rPr>
          <w:lang w:val="sl-SI"/>
        </w:rPr>
      </w:pPr>
      <w:r>
        <w:rPr>
          <w:rFonts w:eastAsia="Times New Roman"/>
          <w:lang w:val="sl-SI"/>
        </w:rPr>
        <w:t>nizke krvne vrednosti fosfata;</w:t>
      </w:r>
    </w:p>
    <w:p w14:paraId="451A4994" w14:textId="77777777" w:rsidR="00E04C8A" w:rsidRDefault="008E1817">
      <w:pPr>
        <w:pStyle w:val="a3"/>
        <w:numPr>
          <w:ilvl w:val="0"/>
          <w:numId w:val="16"/>
        </w:numPr>
        <w:ind w:left="660" w:hanging="660"/>
        <w:rPr>
          <w:lang w:val="sl-SI"/>
        </w:rPr>
      </w:pPr>
      <w:r>
        <w:rPr>
          <w:rFonts w:eastAsia="Times New Roman"/>
          <w:lang w:val="sl-SI"/>
        </w:rPr>
        <w:t>visok krvni sladkor;</w:t>
      </w:r>
    </w:p>
    <w:p w14:paraId="1C859560" w14:textId="77777777" w:rsidR="00E04C8A" w:rsidRDefault="008E1817">
      <w:pPr>
        <w:pStyle w:val="a3"/>
        <w:numPr>
          <w:ilvl w:val="0"/>
          <w:numId w:val="16"/>
        </w:numPr>
        <w:ind w:left="660" w:hanging="660"/>
        <w:rPr>
          <w:lang w:val="sl-SI"/>
        </w:rPr>
      </w:pPr>
      <w:r>
        <w:rPr>
          <w:rFonts w:eastAsia="Times New Roman"/>
          <w:lang w:val="sl-SI"/>
        </w:rPr>
        <w:t>visoke krvne vrednosti laktat dehidrogenaze;</w:t>
      </w:r>
    </w:p>
    <w:p w14:paraId="4BC038D9" w14:textId="77777777" w:rsidR="00E04C8A" w:rsidRDefault="008E1817">
      <w:pPr>
        <w:pStyle w:val="a3"/>
        <w:numPr>
          <w:ilvl w:val="0"/>
          <w:numId w:val="16"/>
        </w:numPr>
        <w:ind w:left="660" w:hanging="660"/>
        <w:rPr>
          <w:lang w:val="sl-SI"/>
        </w:rPr>
      </w:pPr>
      <w:r>
        <w:rPr>
          <w:rFonts w:eastAsia="Times New Roman"/>
          <w:lang w:val="sl-SI"/>
        </w:rPr>
        <w:t>prisotnost avtoprotiteles v krvi;</w:t>
      </w:r>
    </w:p>
    <w:p w14:paraId="2851C6C8" w14:textId="77777777" w:rsidR="00E04C8A" w:rsidRDefault="008E1817">
      <w:pPr>
        <w:pStyle w:val="a3"/>
        <w:numPr>
          <w:ilvl w:val="0"/>
          <w:numId w:val="16"/>
        </w:numPr>
        <w:ind w:left="660" w:hanging="660"/>
        <w:rPr>
          <w:lang w:val="sl-SI"/>
        </w:rPr>
      </w:pPr>
      <w:r>
        <w:rPr>
          <w:rFonts w:eastAsia="Times New Roman"/>
          <w:lang w:val="sl-SI"/>
        </w:rPr>
        <w:t>nizke krvne vrednosti kalija.</w:t>
      </w:r>
    </w:p>
    <w:p w14:paraId="6443BA59" w14:textId="77777777" w:rsidR="00E04C8A" w:rsidRDefault="00E04C8A">
      <w:pPr>
        <w:spacing w:before="13" w:line="240" w:lineRule="exact"/>
        <w:rPr>
          <w:sz w:val="24"/>
          <w:szCs w:val="24"/>
          <w:lang w:val="sl-SI"/>
        </w:rPr>
      </w:pPr>
    </w:p>
    <w:p w14:paraId="1550E46B" w14:textId="77777777" w:rsidR="00E04C8A" w:rsidRDefault="008E1817">
      <w:pPr>
        <w:pStyle w:val="a3"/>
        <w:rPr>
          <w:lang w:val="sl-SI"/>
        </w:rPr>
      </w:pPr>
      <w:r>
        <w:rPr>
          <w:rFonts w:eastAsia="Times New Roman"/>
          <w:b/>
          <w:bCs/>
          <w:lang w:val="sl-SI"/>
        </w:rPr>
        <w:t xml:space="preserve">Občasni </w:t>
      </w:r>
      <w:r>
        <w:rPr>
          <w:rFonts w:eastAsia="Times New Roman"/>
          <w:lang w:val="sl-SI"/>
        </w:rPr>
        <w:t>(pojavijo se lahko pri največ 1 od 100 bolnikov)</w:t>
      </w:r>
    </w:p>
    <w:p w14:paraId="5B57888E" w14:textId="77777777" w:rsidR="00E04C8A" w:rsidRDefault="00E04C8A">
      <w:pPr>
        <w:spacing w:before="12" w:line="240" w:lineRule="exact"/>
        <w:rPr>
          <w:sz w:val="24"/>
          <w:szCs w:val="24"/>
          <w:lang w:val="sl-SI"/>
        </w:rPr>
      </w:pPr>
    </w:p>
    <w:p w14:paraId="481E8574" w14:textId="77777777" w:rsidR="00E04C8A" w:rsidRDefault="008E1817">
      <w:pPr>
        <w:pStyle w:val="a3"/>
        <w:numPr>
          <w:ilvl w:val="0"/>
          <w:numId w:val="16"/>
        </w:numPr>
        <w:ind w:left="660" w:hanging="660"/>
        <w:rPr>
          <w:lang w:val="sl-SI"/>
        </w:rPr>
      </w:pPr>
      <w:r>
        <w:rPr>
          <w:rFonts w:eastAsia="Times New Roman"/>
          <w:lang w:val="sl-SI"/>
        </w:rPr>
        <w:t>povišane vrednosti bilirubina (jetrne krvne preiskave).</w:t>
      </w:r>
    </w:p>
    <w:p w14:paraId="55F2931F" w14:textId="77777777" w:rsidR="00E04C8A" w:rsidRDefault="00E04C8A">
      <w:pPr>
        <w:spacing w:before="13" w:line="240" w:lineRule="exact"/>
        <w:rPr>
          <w:sz w:val="24"/>
          <w:szCs w:val="24"/>
          <w:lang w:val="sl-SI"/>
        </w:rPr>
      </w:pPr>
    </w:p>
    <w:p w14:paraId="56030040" w14:textId="77777777" w:rsidR="00E04C8A" w:rsidRDefault="008E1817">
      <w:pPr>
        <w:pStyle w:val="a3"/>
        <w:rPr>
          <w:lang w:val="sl-SI"/>
        </w:rPr>
      </w:pPr>
      <w:r>
        <w:rPr>
          <w:rFonts w:eastAsia="Times New Roman"/>
          <w:b/>
          <w:bCs/>
          <w:lang w:val="sl-SI"/>
        </w:rPr>
        <w:t xml:space="preserve">Redki </w:t>
      </w:r>
      <w:r>
        <w:rPr>
          <w:rFonts w:eastAsia="Times New Roman"/>
          <w:lang w:val="sl-SI"/>
        </w:rPr>
        <w:t>(pojavijo se lahko pri največ 1 od 1.000 bolnikov)</w:t>
      </w:r>
    </w:p>
    <w:p w14:paraId="4C2D77FB" w14:textId="77777777" w:rsidR="00E04C8A" w:rsidRDefault="00E04C8A">
      <w:pPr>
        <w:spacing w:before="14" w:line="240" w:lineRule="exact"/>
        <w:rPr>
          <w:sz w:val="24"/>
          <w:szCs w:val="24"/>
          <w:lang w:val="sl-SI"/>
        </w:rPr>
      </w:pPr>
    </w:p>
    <w:p w14:paraId="0760C522" w14:textId="77777777" w:rsidR="00E04C8A" w:rsidRDefault="008E1817">
      <w:pPr>
        <w:pStyle w:val="a3"/>
        <w:numPr>
          <w:ilvl w:val="0"/>
          <w:numId w:val="16"/>
        </w:numPr>
        <w:ind w:left="660" w:hanging="660"/>
        <w:rPr>
          <w:lang w:val="sl-SI"/>
        </w:rPr>
      </w:pPr>
      <w:r>
        <w:rPr>
          <w:rFonts w:eastAsia="Times New Roman"/>
          <w:lang w:val="sl-SI"/>
        </w:rPr>
        <w:t>nizke krvne vrednosti števila belih krvnih celic, rdečih krvnih celic in krvnih ploščic,</w:t>
      </w:r>
    </w:p>
    <w:p w14:paraId="267760E0" w14:textId="77777777" w:rsidR="00E04C8A" w:rsidRDefault="00E04C8A">
      <w:pPr>
        <w:spacing w:before="15" w:line="240" w:lineRule="exact"/>
        <w:rPr>
          <w:sz w:val="24"/>
          <w:szCs w:val="24"/>
          <w:lang w:val="sl-SI"/>
        </w:rPr>
      </w:pPr>
    </w:p>
    <w:p w14:paraId="4CCC3BB4" w14:textId="77777777" w:rsidR="00E04C8A" w:rsidRDefault="008E1817">
      <w:pPr>
        <w:pStyle w:val="a3"/>
        <w:rPr>
          <w:b/>
          <w:lang w:val="sl-SI"/>
        </w:rPr>
      </w:pPr>
      <w:r>
        <w:rPr>
          <w:rFonts w:eastAsia="Times New Roman"/>
          <w:b/>
          <w:bCs/>
          <w:lang w:val="sl-SI"/>
        </w:rPr>
        <w:t>Poročanje o neželenih učinkih</w:t>
      </w:r>
    </w:p>
    <w:p w14:paraId="521B496C" w14:textId="77777777" w:rsidR="00E04C8A" w:rsidRDefault="00E04C8A">
      <w:pPr>
        <w:pStyle w:val="a3"/>
        <w:rPr>
          <w:sz w:val="10"/>
          <w:szCs w:val="10"/>
          <w:lang w:val="sl-SI"/>
        </w:rPr>
      </w:pPr>
    </w:p>
    <w:p w14:paraId="7BDC96B0" w14:textId="77777777" w:rsidR="00E04C8A" w:rsidRDefault="008E1817">
      <w:pPr>
        <w:pStyle w:val="a3"/>
        <w:rPr>
          <w:lang w:val="sl-SI"/>
        </w:rPr>
      </w:pPr>
      <w:r>
        <w:rPr>
          <w:rFonts w:eastAsia="Times New Roman"/>
          <w:lang w:val="sl-SI"/>
        </w:rPr>
        <w:t xml:space="preserve">Če opazite katerega koli izmed neželenih učinkov, se posvetujte z zdravnikom ali farmacevtom. </w:t>
      </w:r>
      <w:r>
        <w:rPr>
          <w:lang w:val="sl-SI"/>
        </w:rPr>
        <w:t xml:space="preserve">Posvetujte se tudi, če opazite neželene učinke, ki niso navedeni v tem navodilu. O neželenih učinkih lahko poročate tudi neposredno </w:t>
      </w:r>
      <w:r w:rsidRPr="008E1817">
        <w:rPr>
          <w:highlight w:val="lightGray"/>
          <w:lang w:val="sl-SI"/>
        </w:rPr>
        <w:t xml:space="preserve">na nacionalni center za poročanje, ki je naveden v </w:t>
      </w:r>
      <w:hyperlink r:id="rId72" w:history="1">
        <w:r w:rsidRPr="008E1817">
          <w:rPr>
            <w:rStyle w:val="Hiperpovezava1"/>
            <w:highlight w:val="lightGray"/>
            <w:lang w:val="sl-SI"/>
          </w:rPr>
          <w:t>Prilogi V</w:t>
        </w:r>
      </w:hyperlink>
      <w:r>
        <w:rPr>
          <w:rFonts w:eastAsia="Times New Roman"/>
          <w:lang w:val="sl-SI"/>
        </w:rPr>
        <w:t>. S tem, ko poročate o neželenih učinkih, lahko prispevate k zagotovitvi več informacij o varnosti tega zdravila.</w:t>
      </w:r>
    </w:p>
    <w:p w14:paraId="588DD1B3" w14:textId="77777777" w:rsidR="00E04C8A" w:rsidRDefault="00E04C8A">
      <w:pPr>
        <w:spacing w:line="200" w:lineRule="exact"/>
        <w:rPr>
          <w:sz w:val="20"/>
          <w:szCs w:val="20"/>
          <w:lang w:val="sl-SI"/>
        </w:rPr>
      </w:pPr>
    </w:p>
    <w:p w14:paraId="53B2B24B" w14:textId="77777777" w:rsidR="00E04C8A" w:rsidRDefault="008E1817">
      <w:pPr>
        <w:pStyle w:val="a4"/>
        <w:numPr>
          <w:ilvl w:val="0"/>
          <w:numId w:val="38"/>
        </w:numPr>
        <w:spacing w:line="240" w:lineRule="exact"/>
        <w:ind w:left="357" w:hanging="357"/>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Shranjevanje zdravila Yuflyma</w:t>
      </w:r>
    </w:p>
    <w:p w14:paraId="096EC12A" w14:textId="77777777" w:rsidR="00E04C8A" w:rsidRDefault="00E04C8A">
      <w:pPr>
        <w:pStyle w:val="a3"/>
        <w:rPr>
          <w:lang w:val="sl-SI"/>
        </w:rPr>
      </w:pPr>
    </w:p>
    <w:p w14:paraId="78F51A88" w14:textId="77777777" w:rsidR="00E04C8A" w:rsidRDefault="008E1817">
      <w:pPr>
        <w:pStyle w:val="a3"/>
        <w:rPr>
          <w:lang w:val="sl-SI"/>
        </w:rPr>
      </w:pPr>
      <w:r>
        <w:rPr>
          <w:rFonts w:eastAsia="Times New Roman"/>
          <w:lang w:val="sl-SI"/>
        </w:rPr>
        <w:t>Zdravilo shranjujte nedosegljivo otrokom!</w:t>
      </w:r>
    </w:p>
    <w:p w14:paraId="6E07CF09" w14:textId="77777777" w:rsidR="00E04C8A" w:rsidRDefault="00E04C8A">
      <w:pPr>
        <w:pStyle w:val="a3"/>
        <w:rPr>
          <w:lang w:val="sl-SI"/>
        </w:rPr>
      </w:pPr>
    </w:p>
    <w:p w14:paraId="3C9E8162" w14:textId="77777777" w:rsidR="00E04C8A" w:rsidRDefault="008E1817">
      <w:pPr>
        <w:pStyle w:val="a3"/>
        <w:rPr>
          <w:lang w:val="sl-SI"/>
        </w:rPr>
      </w:pPr>
      <w:r>
        <w:rPr>
          <w:rFonts w:eastAsia="Times New Roman"/>
          <w:lang w:val="sl-SI"/>
        </w:rPr>
        <w:t>Tega zdravila ne smete uporabljati po datumu izteka roka uporabnosti, ki je naveden na nalepki/škatli poleg oznake EXP.</w:t>
      </w:r>
    </w:p>
    <w:p w14:paraId="27D662D9" w14:textId="77777777" w:rsidR="00E04C8A" w:rsidRDefault="00E04C8A">
      <w:pPr>
        <w:pStyle w:val="a3"/>
        <w:rPr>
          <w:lang w:val="sl-SI"/>
        </w:rPr>
      </w:pPr>
    </w:p>
    <w:p w14:paraId="669AD4EE" w14:textId="77777777" w:rsidR="00E04C8A" w:rsidRDefault="008E1817">
      <w:pPr>
        <w:pStyle w:val="a3"/>
        <w:rPr>
          <w:lang w:val="sl-SI"/>
        </w:rPr>
      </w:pPr>
      <w:r>
        <w:rPr>
          <w:rFonts w:eastAsia="Times New Roman"/>
          <w:lang w:val="sl-SI"/>
        </w:rPr>
        <w:t>Shranjujte v hladilniku (2 °C–8 °C). Ne zamrzujte.</w:t>
      </w:r>
    </w:p>
    <w:p w14:paraId="5CE78DD8" w14:textId="77777777" w:rsidR="00E04C8A" w:rsidRDefault="00E04C8A">
      <w:pPr>
        <w:pStyle w:val="a3"/>
        <w:rPr>
          <w:lang w:val="sl-SI"/>
        </w:rPr>
      </w:pPr>
    </w:p>
    <w:p w14:paraId="3A397A13" w14:textId="77777777" w:rsidR="00E04C8A" w:rsidRDefault="008E1817">
      <w:pPr>
        <w:pStyle w:val="a3"/>
        <w:rPr>
          <w:lang w:val="sl-SI"/>
        </w:rPr>
      </w:pPr>
      <w:r>
        <w:rPr>
          <w:rFonts w:eastAsia="Times New Roman"/>
          <w:lang w:val="sl-SI"/>
        </w:rPr>
        <w:t>Napolnjen injekcijski peresnik shranjujte v zunanji ovojnini za zagotovitev zaščite pred svetlobo.</w:t>
      </w:r>
    </w:p>
    <w:p w14:paraId="4A0D063D" w14:textId="77777777" w:rsidR="00E04C8A" w:rsidRDefault="00E04C8A">
      <w:pPr>
        <w:spacing w:before="13" w:line="240" w:lineRule="exact"/>
        <w:rPr>
          <w:sz w:val="24"/>
          <w:szCs w:val="24"/>
          <w:lang w:val="sl-SI"/>
        </w:rPr>
      </w:pPr>
    </w:p>
    <w:p w14:paraId="70B53C1B" w14:textId="77777777" w:rsidR="00E04C8A" w:rsidRDefault="008E1817">
      <w:pPr>
        <w:pStyle w:val="a3"/>
        <w:rPr>
          <w:lang w:val="sl-SI"/>
        </w:rPr>
      </w:pPr>
      <w:r>
        <w:rPr>
          <w:rFonts w:eastAsia="Times New Roman"/>
          <w:lang w:val="sl-SI"/>
        </w:rPr>
        <w:t>Druga možnost shranjevanja:</w:t>
      </w:r>
    </w:p>
    <w:p w14:paraId="73CFD1DD" w14:textId="77777777" w:rsidR="00E04C8A" w:rsidRDefault="00E04C8A">
      <w:pPr>
        <w:spacing w:before="14" w:line="240" w:lineRule="exact"/>
        <w:rPr>
          <w:sz w:val="24"/>
          <w:szCs w:val="24"/>
          <w:lang w:val="sl-SI"/>
        </w:rPr>
      </w:pPr>
    </w:p>
    <w:p w14:paraId="06B30772" w14:textId="40DBFE99" w:rsidR="00E04C8A" w:rsidRDefault="008E1817">
      <w:pPr>
        <w:pStyle w:val="a3"/>
        <w:rPr>
          <w:lang w:val="sl-SI"/>
        </w:rPr>
      </w:pPr>
      <w:r>
        <w:rPr>
          <w:rFonts w:eastAsia="Times New Roman"/>
          <w:lang w:val="sl-SI"/>
        </w:rPr>
        <w:t xml:space="preserve">Če je treba (na primer kadar potujete), lahko posamezen napolnjen injekcijski peresnik zdravila Yuflyma shranjujete pri sobni temperaturi (do 25 °C) največ </w:t>
      </w:r>
      <w:r w:rsidR="005D729C">
        <w:rPr>
          <w:rFonts w:eastAsia="Times New Roman"/>
          <w:lang w:val="sl-SI"/>
        </w:rPr>
        <w:t xml:space="preserve">31 </w:t>
      </w:r>
      <w:r>
        <w:rPr>
          <w:rFonts w:eastAsia="Times New Roman"/>
          <w:lang w:val="sl-SI"/>
        </w:rPr>
        <w:t xml:space="preserve">dni – zagotovite, da bo zaščiten pred svetlobo. Ko injekcijski peresnik vzamete iz hladilnika za shranjevanje pri sobni temperaturi, ga morate </w:t>
      </w:r>
      <w:r>
        <w:rPr>
          <w:rFonts w:eastAsia="Times New Roman"/>
          <w:b/>
          <w:bCs/>
          <w:lang w:val="sl-SI"/>
        </w:rPr>
        <w:t xml:space="preserve">porabiti v </w:t>
      </w:r>
      <w:r w:rsidR="005D729C">
        <w:rPr>
          <w:rFonts w:eastAsia="Times New Roman"/>
          <w:b/>
          <w:bCs/>
          <w:lang w:val="sl-SI"/>
        </w:rPr>
        <w:t>31 </w:t>
      </w:r>
      <w:r>
        <w:rPr>
          <w:rFonts w:eastAsia="Times New Roman"/>
          <w:b/>
          <w:bCs/>
          <w:lang w:val="sl-SI"/>
        </w:rPr>
        <w:t>dneh ali zavreči</w:t>
      </w:r>
      <w:r>
        <w:rPr>
          <w:rFonts w:eastAsia="Times New Roman"/>
          <w:lang w:val="sl-SI"/>
        </w:rPr>
        <w:t>, tudi če ga vrnete v hladilnik.</w:t>
      </w:r>
    </w:p>
    <w:p w14:paraId="1D315325" w14:textId="77777777" w:rsidR="00E04C8A" w:rsidRDefault="00E04C8A">
      <w:pPr>
        <w:spacing w:before="17" w:line="240" w:lineRule="exact"/>
        <w:rPr>
          <w:sz w:val="24"/>
          <w:szCs w:val="24"/>
          <w:lang w:val="sl-SI"/>
        </w:rPr>
      </w:pPr>
    </w:p>
    <w:p w14:paraId="084F64CC" w14:textId="77777777" w:rsidR="00E04C8A" w:rsidRDefault="008E1817">
      <w:pPr>
        <w:pStyle w:val="a3"/>
        <w:rPr>
          <w:lang w:val="sl-SI"/>
        </w:rPr>
      </w:pPr>
      <w:r>
        <w:rPr>
          <w:rFonts w:eastAsia="Times New Roman"/>
          <w:lang w:val="sl-SI"/>
        </w:rPr>
        <w:t>Zapisati si morate datum, ko ste injekcijski peresnik vzeli iz hladilnika, in datum, po katerem ga morate zavreči.</w:t>
      </w:r>
    </w:p>
    <w:p w14:paraId="68DA9BFB" w14:textId="77777777" w:rsidR="00E04C8A" w:rsidRDefault="00E04C8A">
      <w:pPr>
        <w:spacing w:before="14" w:line="240" w:lineRule="exact"/>
        <w:rPr>
          <w:sz w:val="24"/>
          <w:szCs w:val="24"/>
          <w:lang w:val="sl-SI"/>
        </w:rPr>
      </w:pPr>
    </w:p>
    <w:p w14:paraId="259EDD07" w14:textId="77777777" w:rsidR="00E04C8A" w:rsidRDefault="008E1817">
      <w:pPr>
        <w:pStyle w:val="a3"/>
        <w:rPr>
          <w:lang w:val="sl-SI"/>
        </w:rPr>
      </w:pPr>
      <w:r>
        <w:rPr>
          <w:rFonts w:eastAsia="Times New Roman"/>
          <w:lang w:val="sl-SI"/>
        </w:rPr>
        <w:t>Zdravila ne smete odvreči v odpadne vode ali med gospodinjske odpadke. O načinu odstranjevanja zdravila, ki ga ne uporabljate več, se posvetujte z zdravnikom ali farmacevtom. Taki ukrepi pomagajo varovati okolje.</w:t>
      </w:r>
    </w:p>
    <w:p w14:paraId="5A921E26" w14:textId="77777777" w:rsidR="00E04C8A" w:rsidRDefault="00E04C8A">
      <w:pPr>
        <w:spacing w:before="7" w:line="100" w:lineRule="exact"/>
        <w:rPr>
          <w:sz w:val="10"/>
          <w:szCs w:val="10"/>
          <w:lang w:val="sl-SI"/>
        </w:rPr>
      </w:pPr>
    </w:p>
    <w:p w14:paraId="329B7205" w14:textId="77777777" w:rsidR="00E04C8A" w:rsidRDefault="00E04C8A">
      <w:pPr>
        <w:spacing w:line="200" w:lineRule="exact"/>
        <w:rPr>
          <w:sz w:val="20"/>
          <w:szCs w:val="20"/>
          <w:lang w:val="sl-SI"/>
        </w:rPr>
      </w:pPr>
    </w:p>
    <w:p w14:paraId="1071F7F8" w14:textId="77777777" w:rsidR="00E04C8A" w:rsidRDefault="00E04C8A">
      <w:pPr>
        <w:spacing w:line="200" w:lineRule="exact"/>
        <w:rPr>
          <w:sz w:val="20"/>
          <w:szCs w:val="20"/>
          <w:lang w:val="sl-SI"/>
        </w:rPr>
      </w:pPr>
    </w:p>
    <w:p w14:paraId="7F42A9E0" w14:textId="77777777" w:rsidR="00E04C8A" w:rsidRDefault="008E1817">
      <w:pPr>
        <w:pStyle w:val="a4"/>
        <w:numPr>
          <w:ilvl w:val="0"/>
          <w:numId w:val="38"/>
        </w:numPr>
        <w:spacing w:line="240" w:lineRule="exact"/>
        <w:ind w:left="357" w:hanging="357"/>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Vsebina pakiranja in dodatne informacije</w:t>
      </w:r>
    </w:p>
    <w:p w14:paraId="3B7BECD6" w14:textId="77777777" w:rsidR="00E04C8A" w:rsidRDefault="00E04C8A">
      <w:pPr>
        <w:widowControl/>
        <w:tabs>
          <w:tab w:val="left" w:pos="567"/>
        </w:tabs>
        <w:spacing w:line="260" w:lineRule="exact"/>
        <w:ind w:left="360"/>
        <w:rPr>
          <w:rFonts w:ascii="Times New Roman" w:eastAsia="Times New Roman" w:hAnsi="Times New Roman" w:cs="Times New Roman"/>
          <w:b/>
          <w:noProof/>
          <w:lang w:val="sl-SI"/>
        </w:rPr>
      </w:pPr>
    </w:p>
    <w:p w14:paraId="1C39AE54" w14:textId="77777777" w:rsidR="00E04C8A" w:rsidRDefault="008E1817">
      <w:pPr>
        <w:pStyle w:val="a3"/>
        <w:rPr>
          <w:b/>
          <w:lang w:val="sl-SI"/>
        </w:rPr>
      </w:pPr>
      <w:r>
        <w:rPr>
          <w:rFonts w:eastAsia="Times New Roman"/>
          <w:b/>
          <w:bCs/>
          <w:lang w:val="sl-SI"/>
        </w:rPr>
        <w:t>Kaj vsebuje zdravilo Yuflyma</w:t>
      </w:r>
    </w:p>
    <w:p w14:paraId="6BE18529" w14:textId="77777777" w:rsidR="00E04C8A" w:rsidRDefault="00E04C8A">
      <w:pPr>
        <w:pStyle w:val="a3"/>
        <w:rPr>
          <w:b/>
          <w:bCs/>
          <w:lang w:val="sl-SI"/>
        </w:rPr>
      </w:pPr>
    </w:p>
    <w:p w14:paraId="45BE5C06" w14:textId="77777777" w:rsidR="00E04C8A" w:rsidRDefault="008E1817">
      <w:pPr>
        <w:pStyle w:val="a3"/>
        <w:rPr>
          <w:lang w:val="sl-SI"/>
        </w:rPr>
      </w:pPr>
      <w:r>
        <w:rPr>
          <w:rFonts w:eastAsia="Times New Roman"/>
          <w:lang w:val="sl-SI"/>
        </w:rPr>
        <w:t>Učinkovina je adalimumab.</w:t>
      </w:r>
    </w:p>
    <w:p w14:paraId="32DD1BD6" w14:textId="77777777" w:rsidR="00E04C8A" w:rsidRDefault="008E1817">
      <w:pPr>
        <w:pStyle w:val="a3"/>
        <w:rPr>
          <w:lang w:val="sl-SI"/>
        </w:rPr>
      </w:pPr>
      <w:r>
        <w:rPr>
          <w:rFonts w:eastAsia="Times New Roman"/>
          <w:lang w:val="sl-SI"/>
        </w:rPr>
        <w:t>Druge sestavine zdravila so ocetna kislina, natrijev acetat trihidrat, glicin, polisorbat 80 in voda za injekcije.</w:t>
      </w:r>
    </w:p>
    <w:p w14:paraId="6781A96C" w14:textId="77777777" w:rsidR="00E04C8A" w:rsidRDefault="00E04C8A">
      <w:pPr>
        <w:pStyle w:val="a3"/>
        <w:rPr>
          <w:lang w:val="sl-SI"/>
        </w:rPr>
      </w:pPr>
    </w:p>
    <w:p w14:paraId="744D756A" w14:textId="77777777" w:rsidR="00E04C8A" w:rsidRDefault="008E1817">
      <w:pPr>
        <w:pStyle w:val="a3"/>
        <w:rPr>
          <w:b/>
          <w:bCs/>
          <w:lang w:val="sl-SI"/>
        </w:rPr>
      </w:pPr>
      <w:r>
        <w:rPr>
          <w:rFonts w:eastAsia="Times New Roman"/>
          <w:b/>
          <w:bCs/>
          <w:lang w:val="sl-SI"/>
        </w:rPr>
        <w:t>Izgled zdravila Yuflyma napolnjen injekcijski peresnik in vsebina pakiranja</w:t>
      </w:r>
    </w:p>
    <w:p w14:paraId="5A9E53E6" w14:textId="77777777" w:rsidR="00E04C8A" w:rsidRDefault="00E04C8A">
      <w:pPr>
        <w:spacing w:before="12" w:line="240" w:lineRule="exact"/>
        <w:rPr>
          <w:sz w:val="24"/>
          <w:szCs w:val="24"/>
          <w:lang w:val="sl-SI"/>
        </w:rPr>
      </w:pPr>
    </w:p>
    <w:p w14:paraId="07058A15" w14:textId="77777777" w:rsidR="00E04C8A" w:rsidRDefault="008E1817">
      <w:pPr>
        <w:pStyle w:val="a3"/>
        <w:rPr>
          <w:lang w:val="sl-SI"/>
        </w:rPr>
      </w:pPr>
      <w:r>
        <w:rPr>
          <w:rFonts w:eastAsia="Times New Roman"/>
          <w:lang w:val="sl-SI"/>
        </w:rPr>
        <w:t>Zdravilo Yuflyma 40 mg raztopina za injiciranje v napolnjenem injekcijskem peresniku je na voljo kot sterilna raztopina 40 mg adalimumaba, raztopljenega v 0,4 ml raztopine.</w:t>
      </w:r>
    </w:p>
    <w:p w14:paraId="7A8EEDD7" w14:textId="77777777" w:rsidR="00E04C8A" w:rsidRDefault="00E04C8A">
      <w:pPr>
        <w:spacing w:before="11" w:line="240" w:lineRule="exact"/>
        <w:rPr>
          <w:sz w:val="24"/>
          <w:szCs w:val="24"/>
          <w:lang w:val="sl-SI"/>
        </w:rPr>
      </w:pPr>
    </w:p>
    <w:p w14:paraId="5847435F" w14:textId="77777777" w:rsidR="00E04C8A" w:rsidRDefault="008E1817">
      <w:pPr>
        <w:pStyle w:val="a3"/>
        <w:rPr>
          <w:lang w:val="sl-SI"/>
        </w:rPr>
      </w:pPr>
      <w:r>
        <w:rPr>
          <w:rFonts w:eastAsia="Times New Roman"/>
          <w:lang w:val="sl-SI"/>
        </w:rPr>
        <w:t>Zdravilo Yuflyma napolnjen injekcijski peresnik je sistem za injiciranje na podlagi igel za enkratno uporabo z avtomatiziranim delovanjem. Na vsaki strani injekcijskega peresnika je okence, skozi katerega lahko vidite raztopino zdravila Yuflyma v injekcijskem peresniku.</w:t>
      </w:r>
    </w:p>
    <w:p w14:paraId="40F06D80" w14:textId="77777777" w:rsidR="00E04C8A" w:rsidRDefault="00E04C8A">
      <w:pPr>
        <w:spacing w:before="13" w:line="240" w:lineRule="exact"/>
        <w:rPr>
          <w:sz w:val="24"/>
          <w:szCs w:val="24"/>
          <w:lang w:val="sl-SI"/>
        </w:rPr>
      </w:pPr>
    </w:p>
    <w:p w14:paraId="62A5A71B" w14:textId="77777777" w:rsidR="00E04C8A" w:rsidRDefault="008E1817">
      <w:pPr>
        <w:pStyle w:val="a3"/>
        <w:rPr>
          <w:lang w:val="sl-SI"/>
        </w:rPr>
      </w:pPr>
      <w:r>
        <w:rPr>
          <w:rFonts w:eastAsia="Times New Roman"/>
          <w:lang w:val="sl-SI"/>
        </w:rPr>
        <w:t>Zdravilo Yuflyma napolnjen injekcijski peresnik je na voljo v pakiranjih, ki vsebujejo 1, 2, 4 in 6 napolnjenih injekcijskih peresnikov. 1 napolnjenemu injekcijskemu peresniku sta priložena 2 alkoholna zloženca (1 nadomestni). Pri pakiranjih po 2, 4 in 6 napolnjenih injekcijskih peresnikov je vsakemu napolnjenemu injekcijskemu peresniku priložen 1 alkoholni zloženec.</w:t>
      </w:r>
    </w:p>
    <w:p w14:paraId="0808AE53" w14:textId="77777777" w:rsidR="00E04C8A" w:rsidRDefault="00E04C8A">
      <w:pPr>
        <w:spacing w:before="11" w:line="240" w:lineRule="exact"/>
        <w:rPr>
          <w:sz w:val="24"/>
          <w:szCs w:val="24"/>
          <w:lang w:val="sl-SI"/>
        </w:rPr>
      </w:pPr>
    </w:p>
    <w:p w14:paraId="50144EC3" w14:textId="77777777" w:rsidR="00E04C8A" w:rsidRDefault="008E1817">
      <w:pPr>
        <w:pStyle w:val="a3"/>
        <w:rPr>
          <w:lang w:val="sl-SI"/>
        </w:rPr>
      </w:pPr>
      <w:r>
        <w:rPr>
          <w:rFonts w:eastAsia="Times New Roman"/>
          <w:lang w:val="sl-SI"/>
        </w:rPr>
        <w:t>Na trgu morda ni vseh navedenih pakiranj.</w:t>
      </w:r>
    </w:p>
    <w:p w14:paraId="361E79EA" w14:textId="77777777" w:rsidR="00E04C8A" w:rsidRDefault="00E04C8A">
      <w:pPr>
        <w:spacing w:before="13" w:line="240" w:lineRule="exact"/>
        <w:rPr>
          <w:sz w:val="24"/>
          <w:szCs w:val="24"/>
          <w:lang w:val="sl-SI"/>
        </w:rPr>
      </w:pPr>
    </w:p>
    <w:p w14:paraId="4A37CF23" w14:textId="19E3202E" w:rsidR="00E04C8A" w:rsidRDefault="008E1817">
      <w:pPr>
        <w:pStyle w:val="a3"/>
        <w:rPr>
          <w:lang w:val="sl-SI"/>
        </w:rPr>
      </w:pPr>
      <w:r>
        <w:rPr>
          <w:rFonts w:eastAsia="Times New Roman"/>
          <w:lang w:val="sl-SI"/>
        </w:rPr>
        <w:t xml:space="preserve">Zdravilo Yuflyma je na voljo kot napolnjena injekcijska brizgai </w:t>
      </w:r>
      <w:r w:rsidR="00BC4B06">
        <w:rPr>
          <w:rFonts w:eastAsia="Times New Roman"/>
          <w:lang w:val="sl-SI"/>
        </w:rPr>
        <w:t>i</w:t>
      </w:r>
      <w:r>
        <w:rPr>
          <w:rFonts w:eastAsia="Times New Roman"/>
          <w:lang w:val="sl-SI"/>
        </w:rPr>
        <w:t>n/ali napolnjen injekcijski peresnik.</w:t>
      </w:r>
    </w:p>
    <w:p w14:paraId="5A125658" w14:textId="77777777" w:rsidR="00E04C8A" w:rsidRDefault="00E04C8A">
      <w:pPr>
        <w:spacing w:before="18" w:line="240" w:lineRule="exact"/>
        <w:rPr>
          <w:sz w:val="24"/>
          <w:szCs w:val="24"/>
          <w:lang w:val="sl-SI"/>
        </w:rPr>
      </w:pPr>
    </w:p>
    <w:p w14:paraId="0C8745A3" w14:textId="77777777" w:rsidR="00E04C8A" w:rsidRDefault="008E1817">
      <w:pPr>
        <w:pStyle w:val="a3"/>
        <w:rPr>
          <w:b/>
          <w:bCs/>
          <w:lang w:val="sl-SI"/>
        </w:rPr>
      </w:pPr>
      <w:r>
        <w:rPr>
          <w:rFonts w:eastAsia="Times New Roman"/>
          <w:b/>
          <w:bCs/>
          <w:lang w:val="sl-SI"/>
        </w:rPr>
        <w:t>Imetnik dovoljenja za promet z zdravilom</w:t>
      </w:r>
    </w:p>
    <w:p w14:paraId="3C87459F" w14:textId="77777777" w:rsidR="00E04C8A" w:rsidRDefault="00E04C8A">
      <w:pPr>
        <w:spacing w:before="12" w:line="240" w:lineRule="exact"/>
        <w:rPr>
          <w:sz w:val="24"/>
          <w:szCs w:val="24"/>
          <w:lang w:val="sl-SI"/>
        </w:rPr>
      </w:pPr>
    </w:p>
    <w:p w14:paraId="2C86C293" w14:textId="77777777" w:rsidR="00E04C8A" w:rsidRDefault="008E1817">
      <w:pPr>
        <w:pStyle w:val="a3"/>
        <w:rPr>
          <w:lang w:val="sl-SI"/>
        </w:rPr>
      </w:pPr>
      <w:r>
        <w:rPr>
          <w:lang w:val="sl-SI"/>
        </w:rPr>
        <w:t xml:space="preserve">Celltrion Healthcare Hungary Kft. </w:t>
      </w:r>
    </w:p>
    <w:p w14:paraId="48E344C3" w14:textId="77777777" w:rsidR="00E04C8A" w:rsidRDefault="008E1817">
      <w:pPr>
        <w:pStyle w:val="a3"/>
        <w:rPr>
          <w:lang w:val="sl-SI"/>
        </w:rPr>
      </w:pPr>
      <w:r>
        <w:rPr>
          <w:lang w:val="sl-SI"/>
        </w:rPr>
        <w:t>1062 Budapest</w:t>
      </w:r>
    </w:p>
    <w:p w14:paraId="51D1D1FE" w14:textId="77777777" w:rsidR="00E04C8A" w:rsidRDefault="008E1817">
      <w:pPr>
        <w:pStyle w:val="a3"/>
        <w:rPr>
          <w:lang w:val="sl-SI"/>
        </w:rPr>
      </w:pPr>
      <w:r>
        <w:rPr>
          <w:lang w:val="sl-SI"/>
        </w:rPr>
        <w:t>Váci út 1-3. WestEnd Office Building B torony</w:t>
      </w:r>
    </w:p>
    <w:p w14:paraId="7971DF5A" w14:textId="77777777" w:rsidR="00E04C8A" w:rsidRDefault="008E1817">
      <w:pPr>
        <w:pStyle w:val="a3"/>
        <w:rPr>
          <w:lang w:val="sl-SI"/>
        </w:rPr>
      </w:pPr>
      <w:r>
        <w:rPr>
          <w:rFonts w:eastAsia="Times New Roman"/>
          <w:lang w:val="sl-SI"/>
        </w:rPr>
        <w:t>Madžarska</w:t>
      </w:r>
    </w:p>
    <w:p w14:paraId="209276FC" w14:textId="77777777" w:rsidR="00E04C8A" w:rsidRDefault="00E04C8A">
      <w:pPr>
        <w:spacing w:before="15" w:line="240" w:lineRule="exact"/>
        <w:rPr>
          <w:sz w:val="24"/>
          <w:szCs w:val="24"/>
          <w:lang w:val="sl-SI"/>
        </w:rPr>
      </w:pPr>
    </w:p>
    <w:p w14:paraId="2DEB5B9E" w14:textId="77777777" w:rsidR="00E04C8A" w:rsidRDefault="008E1817">
      <w:pPr>
        <w:pStyle w:val="a3"/>
        <w:rPr>
          <w:b/>
          <w:bCs/>
          <w:lang w:val="sl-SI"/>
        </w:rPr>
      </w:pPr>
      <w:r>
        <w:rPr>
          <w:rFonts w:eastAsia="Times New Roman"/>
          <w:b/>
          <w:bCs/>
          <w:lang w:val="sl-SI"/>
        </w:rPr>
        <w:t>Proizvajalec</w:t>
      </w:r>
    </w:p>
    <w:p w14:paraId="39268D79" w14:textId="77777777" w:rsidR="00E04C8A" w:rsidRDefault="00E04C8A">
      <w:pPr>
        <w:spacing w:before="12" w:line="240" w:lineRule="exact"/>
        <w:rPr>
          <w:sz w:val="24"/>
          <w:szCs w:val="24"/>
          <w:lang w:val="sl-SI"/>
        </w:rPr>
      </w:pPr>
    </w:p>
    <w:p w14:paraId="170E22F7" w14:textId="32FD07B1" w:rsidR="00E04C8A" w:rsidRPr="001B02C1" w:rsidDel="001B02C1" w:rsidRDefault="008E1817">
      <w:pPr>
        <w:pStyle w:val="a3"/>
        <w:rPr>
          <w:del w:id="77" w:author="만든 이"/>
          <w:lang w:val="sl-SI"/>
        </w:rPr>
      </w:pPr>
      <w:del w:id="78" w:author="만든 이">
        <w:r w:rsidRPr="001B02C1" w:rsidDel="001B02C1">
          <w:rPr>
            <w:lang w:val="sl-SI"/>
          </w:rPr>
          <w:delText>Millmount Healthcare Ltd.</w:delText>
        </w:r>
      </w:del>
    </w:p>
    <w:p w14:paraId="14602690" w14:textId="613BECD3" w:rsidR="00E04C8A" w:rsidRPr="001B02C1" w:rsidDel="001B02C1" w:rsidRDefault="008E1817">
      <w:pPr>
        <w:pStyle w:val="a3"/>
        <w:rPr>
          <w:del w:id="79" w:author="만든 이"/>
          <w:lang w:val="sl-SI"/>
        </w:rPr>
      </w:pPr>
      <w:del w:id="80" w:author="만든 이">
        <w:r w:rsidRPr="001B02C1" w:rsidDel="001B02C1">
          <w:rPr>
            <w:lang w:val="sl-SI"/>
          </w:rPr>
          <w:delText>Block 7</w:delText>
        </w:r>
      </w:del>
    </w:p>
    <w:p w14:paraId="47B42B11" w14:textId="40AF914B" w:rsidR="00E04C8A" w:rsidRPr="001B02C1" w:rsidDel="001B02C1" w:rsidRDefault="008E1817">
      <w:pPr>
        <w:pStyle w:val="a3"/>
        <w:rPr>
          <w:del w:id="81" w:author="만든 이"/>
          <w:lang w:val="sl-SI"/>
        </w:rPr>
      </w:pPr>
      <w:del w:id="82" w:author="만든 이">
        <w:r w:rsidRPr="001B02C1" w:rsidDel="001B02C1">
          <w:rPr>
            <w:lang w:val="sl-SI"/>
          </w:rPr>
          <w:delText xml:space="preserve">City North Business Campus </w:delText>
        </w:r>
      </w:del>
    </w:p>
    <w:p w14:paraId="65E51353" w14:textId="1ED81DE1" w:rsidR="00E04C8A" w:rsidRPr="001B02C1" w:rsidDel="001B02C1" w:rsidRDefault="008E1817">
      <w:pPr>
        <w:pStyle w:val="a3"/>
        <w:rPr>
          <w:del w:id="83" w:author="만든 이"/>
          <w:lang w:val="sl-SI"/>
        </w:rPr>
      </w:pPr>
      <w:del w:id="84" w:author="만든 이">
        <w:r w:rsidRPr="001B02C1" w:rsidDel="001B02C1">
          <w:rPr>
            <w:lang w:val="sl-SI"/>
          </w:rPr>
          <w:delText>Stamullen, Co. Meath K32 YD60</w:delText>
        </w:r>
      </w:del>
    </w:p>
    <w:p w14:paraId="2023436D" w14:textId="4A192F0E" w:rsidR="00E04C8A" w:rsidRPr="001B02C1" w:rsidDel="001B02C1" w:rsidRDefault="008E1817">
      <w:pPr>
        <w:pStyle w:val="a3"/>
        <w:rPr>
          <w:del w:id="85" w:author="만든 이"/>
          <w:lang w:val="sl-SI"/>
        </w:rPr>
      </w:pPr>
      <w:del w:id="86" w:author="만든 이">
        <w:r w:rsidRPr="001B02C1" w:rsidDel="001B02C1">
          <w:rPr>
            <w:rFonts w:eastAsia="Times New Roman"/>
            <w:lang w:val="sl-SI"/>
          </w:rPr>
          <w:delText>Irska</w:delText>
        </w:r>
      </w:del>
    </w:p>
    <w:p w14:paraId="03DE7223" w14:textId="432EF61D" w:rsidR="00E04C8A" w:rsidRPr="001B02C1" w:rsidDel="001B02C1" w:rsidRDefault="00E04C8A">
      <w:pPr>
        <w:spacing w:before="14" w:line="240" w:lineRule="exact"/>
        <w:rPr>
          <w:del w:id="87" w:author="만든 이"/>
          <w:sz w:val="24"/>
          <w:szCs w:val="24"/>
          <w:lang w:val="sl-SI"/>
        </w:rPr>
      </w:pPr>
    </w:p>
    <w:p w14:paraId="0E68B249" w14:textId="77777777" w:rsidR="002153A2" w:rsidRPr="001B02C1" w:rsidRDefault="002153A2" w:rsidP="002153A2">
      <w:pPr>
        <w:spacing w:before="10" w:line="240" w:lineRule="exact"/>
        <w:rPr>
          <w:moveTo w:id="88" w:author="만든 이" w16du:dateUtc="2025-09-09T06:34:00Z"/>
          <w:rFonts w:ascii="Times New Roman" w:eastAsia="Times New Roman" w:hAnsi="Times New Roman" w:cs="Times New Roman"/>
          <w:lang w:val="de-DE"/>
        </w:rPr>
      </w:pPr>
      <w:moveToRangeStart w:id="89" w:author="만든 이" w:name="move208324468"/>
      <w:moveTo w:id="90" w:author="만든 이" w16du:dateUtc="2025-09-09T06:34:00Z">
        <w:r w:rsidRPr="001B02C1">
          <w:rPr>
            <w:rFonts w:ascii="Times New Roman" w:eastAsia="Times New Roman" w:hAnsi="Times New Roman" w:cs="Times New Roman"/>
            <w:lang w:val="de-DE"/>
          </w:rPr>
          <w:t>Nuvisan France SARL</w:t>
        </w:r>
      </w:moveTo>
    </w:p>
    <w:p w14:paraId="618C40A8" w14:textId="77777777" w:rsidR="002153A2" w:rsidRPr="001B02C1" w:rsidRDefault="002153A2" w:rsidP="002153A2">
      <w:pPr>
        <w:spacing w:before="10" w:line="240" w:lineRule="exact"/>
        <w:rPr>
          <w:moveTo w:id="91" w:author="만든 이" w16du:dateUtc="2025-09-09T06:34:00Z"/>
          <w:rFonts w:ascii="Times New Roman" w:eastAsia="Times New Roman" w:hAnsi="Times New Roman" w:cs="Times New Roman"/>
          <w:lang w:val="de-DE"/>
        </w:rPr>
      </w:pPr>
      <w:moveTo w:id="92" w:author="만든 이" w16du:dateUtc="2025-09-09T06:34:00Z">
        <w:r w:rsidRPr="001B02C1">
          <w:rPr>
            <w:rFonts w:ascii="Times New Roman" w:eastAsia="Times New Roman" w:hAnsi="Times New Roman" w:cs="Times New Roman"/>
            <w:lang w:val="de-DE"/>
          </w:rPr>
          <w:t>2400, Route des Colles</w:t>
        </w:r>
      </w:moveTo>
    </w:p>
    <w:p w14:paraId="5C995854" w14:textId="77777777" w:rsidR="002153A2" w:rsidRPr="001B02C1" w:rsidRDefault="002153A2" w:rsidP="002153A2">
      <w:pPr>
        <w:spacing w:before="10" w:line="240" w:lineRule="exact"/>
        <w:rPr>
          <w:moveTo w:id="93" w:author="만든 이" w16du:dateUtc="2025-09-09T06:34:00Z"/>
          <w:rFonts w:ascii="Times New Roman" w:eastAsia="Times New Roman" w:hAnsi="Times New Roman" w:cs="Times New Roman"/>
          <w:lang w:val="de-DE"/>
        </w:rPr>
      </w:pPr>
      <w:moveTo w:id="94" w:author="만든 이" w16du:dateUtc="2025-09-09T06:34:00Z">
        <w:r w:rsidRPr="001B02C1">
          <w:rPr>
            <w:rFonts w:ascii="Times New Roman" w:eastAsia="Times New Roman" w:hAnsi="Times New Roman" w:cs="Times New Roman"/>
            <w:lang w:val="de-DE"/>
          </w:rPr>
          <w:t>06410, Biot</w:t>
        </w:r>
      </w:moveTo>
    </w:p>
    <w:p w14:paraId="01DE6C8E" w14:textId="77777777" w:rsidR="002153A2" w:rsidRPr="001B02C1" w:rsidRDefault="002153A2" w:rsidP="002153A2">
      <w:pPr>
        <w:autoSpaceDE w:val="0"/>
        <w:autoSpaceDN w:val="0"/>
        <w:adjustRightInd w:val="0"/>
        <w:rPr>
          <w:moveTo w:id="95" w:author="만든 이" w16du:dateUtc="2025-09-09T06:34:00Z"/>
          <w:rFonts w:ascii="Times New Roman" w:eastAsia="Times New Roman" w:hAnsi="Times New Roman" w:cs="Times New Roman"/>
          <w:lang w:val="de-DE"/>
        </w:rPr>
      </w:pPr>
      <w:moveTo w:id="96" w:author="만든 이" w16du:dateUtc="2025-09-09T06:34:00Z">
        <w:r w:rsidRPr="001B02C1">
          <w:rPr>
            <w:rFonts w:ascii="Times New Roman" w:eastAsia="Times New Roman" w:hAnsi="Times New Roman" w:cs="Times New Roman"/>
            <w:lang w:val="de-DE"/>
          </w:rPr>
          <w:t>Francija</w:t>
        </w:r>
      </w:moveTo>
    </w:p>
    <w:p w14:paraId="4CF7357D" w14:textId="77777777" w:rsidR="002153A2" w:rsidRPr="001B02C1" w:rsidRDefault="002153A2" w:rsidP="002153A2">
      <w:pPr>
        <w:pStyle w:val="a3"/>
        <w:rPr>
          <w:moveTo w:id="97" w:author="만든 이" w16du:dateUtc="2025-09-09T06:34:00Z"/>
          <w:color w:val="000000"/>
          <w:shd w:val="pct15" w:color="auto" w:fill="FFFFFF"/>
          <w:lang w:val="de-CH"/>
        </w:rPr>
      </w:pPr>
    </w:p>
    <w:moveToRangeEnd w:id="89"/>
    <w:p w14:paraId="1BEA79A8" w14:textId="77777777" w:rsidR="008B4794" w:rsidRPr="001B02C1" w:rsidRDefault="008B4794" w:rsidP="008B4794">
      <w:pPr>
        <w:keepNext/>
        <w:spacing w:before="10" w:line="240" w:lineRule="exact"/>
        <w:rPr>
          <w:rFonts w:ascii="Times New Roman" w:eastAsia="Times New Roman" w:hAnsi="Times New Roman" w:cs="Times New Roman"/>
          <w:shd w:val="pct15" w:color="auto" w:fill="FFFFFF"/>
        </w:rPr>
      </w:pPr>
      <w:r w:rsidRPr="001B02C1">
        <w:rPr>
          <w:rFonts w:ascii="Times New Roman" w:eastAsia="Times New Roman" w:hAnsi="Times New Roman" w:cs="Times New Roman"/>
          <w:shd w:val="pct15" w:color="auto" w:fill="FFFFFF"/>
        </w:rPr>
        <w:t>Nuvisan GmbH</w:t>
      </w:r>
    </w:p>
    <w:p w14:paraId="0D49E672" w14:textId="791C0ED3" w:rsidR="008B4794" w:rsidRPr="001B02C1" w:rsidRDefault="008B4794" w:rsidP="008B4794">
      <w:pPr>
        <w:keepNext/>
        <w:spacing w:before="10" w:line="240" w:lineRule="exact"/>
        <w:rPr>
          <w:rFonts w:ascii="Times New Roman" w:eastAsia="Times New Roman" w:hAnsi="Times New Roman" w:cs="Times New Roman"/>
          <w:shd w:val="pct15" w:color="auto" w:fill="FFFFFF"/>
          <w:lang w:val="de-CH"/>
        </w:rPr>
      </w:pPr>
      <w:r w:rsidRPr="001B02C1">
        <w:rPr>
          <w:rFonts w:ascii="Times New Roman" w:eastAsia="Times New Roman" w:hAnsi="Times New Roman" w:cs="Times New Roman"/>
          <w:shd w:val="pct15" w:color="auto" w:fill="FFFFFF"/>
          <w:lang w:val="de-CH"/>
        </w:rPr>
        <w:t>Wegenerstraße 13</w:t>
      </w:r>
    </w:p>
    <w:p w14:paraId="671A50AB" w14:textId="6728787E" w:rsidR="008B4794" w:rsidRPr="001B02C1" w:rsidRDefault="008B4794" w:rsidP="008B4794">
      <w:pPr>
        <w:keepNext/>
        <w:spacing w:before="10" w:line="240" w:lineRule="exact"/>
        <w:rPr>
          <w:rFonts w:ascii="Times New Roman" w:eastAsia="Times New Roman" w:hAnsi="Times New Roman" w:cs="Times New Roman"/>
          <w:shd w:val="pct15" w:color="auto" w:fill="FFFFFF"/>
          <w:lang w:val="de-CH"/>
        </w:rPr>
      </w:pPr>
      <w:r w:rsidRPr="001B02C1">
        <w:rPr>
          <w:rFonts w:ascii="Times New Roman" w:eastAsia="Times New Roman" w:hAnsi="Times New Roman" w:cs="Times New Roman"/>
          <w:shd w:val="pct15" w:color="auto" w:fill="FFFFFF"/>
          <w:lang w:val="de-CH"/>
        </w:rPr>
        <w:t>89231 Neu</w:t>
      </w:r>
      <w:r w:rsidR="00DD1146" w:rsidRPr="001B02C1">
        <w:rPr>
          <w:rFonts w:ascii="Times New Roman" w:hAnsi="Times New Roman" w:cs="Times New Roman" w:hint="eastAsia"/>
          <w:shd w:val="pct15" w:color="auto" w:fill="FFFFFF"/>
          <w:lang w:val="de-CH" w:eastAsia="ko-KR"/>
        </w:rPr>
        <w:t>-</w:t>
      </w:r>
      <w:r w:rsidRPr="001B02C1">
        <w:rPr>
          <w:rFonts w:ascii="Times New Roman" w:eastAsia="Times New Roman" w:hAnsi="Times New Roman" w:cs="Times New Roman"/>
          <w:shd w:val="pct15" w:color="auto" w:fill="FFFFFF"/>
          <w:lang w:val="de-CH"/>
        </w:rPr>
        <w:t>Ulm</w:t>
      </w:r>
    </w:p>
    <w:p w14:paraId="7795A53B" w14:textId="77777777" w:rsidR="008B4794" w:rsidRPr="001B02C1" w:rsidRDefault="008B4794" w:rsidP="008B4794">
      <w:pPr>
        <w:keepNext/>
        <w:spacing w:before="10" w:line="240" w:lineRule="exact"/>
        <w:rPr>
          <w:rFonts w:ascii="Times New Roman" w:eastAsia="Times New Roman" w:hAnsi="Times New Roman" w:cs="Times New Roman"/>
          <w:shd w:val="pct15" w:color="auto" w:fill="FFFFFF"/>
          <w:lang w:val="de-DE"/>
        </w:rPr>
      </w:pPr>
      <w:r w:rsidRPr="001B02C1">
        <w:rPr>
          <w:rFonts w:ascii="Times New Roman" w:eastAsia="Times New Roman" w:hAnsi="Times New Roman" w:cs="Times New Roman"/>
          <w:shd w:val="pct15" w:color="auto" w:fill="FFFFFF"/>
          <w:lang w:val="de-DE"/>
        </w:rPr>
        <w:t>Nemčija</w:t>
      </w:r>
    </w:p>
    <w:p w14:paraId="42F0C4F7" w14:textId="77777777" w:rsidR="008B4794" w:rsidRPr="001B02C1" w:rsidRDefault="008B4794" w:rsidP="008B4794">
      <w:pPr>
        <w:spacing w:before="10" w:line="240" w:lineRule="exact"/>
        <w:rPr>
          <w:rFonts w:ascii="Times New Roman" w:eastAsia="Times New Roman" w:hAnsi="Times New Roman" w:cs="Times New Roman"/>
          <w:shd w:val="pct15" w:color="auto" w:fill="FFFFFF"/>
          <w:lang w:val="de-DE"/>
        </w:rPr>
      </w:pPr>
    </w:p>
    <w:p w14:paraId="29C10D60" w14:textId="4CB47900" w:rsidR="008B4794" w:rsidRPr="001B02C1" w:rsidDel="002153A2" w:rsidRDefault="008B4794" w:rsidP="008B4794">
      <w:pPr>
        <w:spacing w:before="10" w:line="240" w:lineRule="exact"/>
        <w:rPr>
          <w:moveFrom w:id="98" w:author="만든 이" w16du:dateUtc="2025-09-09T06:34:00Z"/>
          <w:rFonts w:ascii="Times New Roman" w:eastAsia="Times New Roman" w:hAnsi="Times New Roman" w:cs="Times New Roman"/>
          <w:shd w:val="pct15" w:color="auto" w:fill="FFFFFF"/>
          <w:lang w:val="de-DE"/>
        </w:rPr>
      </w:pPr>
      <w:moveFromRangeStart w:id="99" w:author="만든 이" w:name="move208324468"/>
      <w:moveFrom w:id="100" w:author="만든 이" w16du:dateUtc="2025-09-09T06:34:00Z">
        <w:r w:rsidRPr="001B02C1" w:rsidDel="002153A2">
          <w:rPr>
            <w:rFonts w:ascii="Times New Roman" w:eastAsia="Times New Roman" w:hAnsi="Times New Roman" w:cs="Times New Roman"/>
            <w:shd w:val="pct15" w:color="auto" w:fill="FFFFFF"/>
            <w:lang w:val="de-DE"/>
          </w:rPr>
          <w:t>Nuvisan France SARL</w:t>
        </w:r>
      </w:moveFrom>
    </w:p>
    <w:p w14:paraId="6E2AE6F3" w14:textId="12E838DF" w:rsidR="008B4794" w:rsidRPr="001B02C1" w:rsidDel="002153A2" w:rsidRDefault="008B4794" w:rsidP="008B4794">
      <w:pPr>
        <w:spacing w:before="10" w:line="240" w:lineRule="exact"/>
        <w:rPr>
          <w:moveFrom w:id="101" w:author="만든 이" w16du:dateUtc="2025-09-09T06:34:00Z"/>
          <w:rFonts w:ascii="Times New Roman" w:eastAsia="Times New Roman" w:hAnsi="Times New Roman" w:cs="Times New Roman"/>
          <w:shd w:val="pct15" w:color="auto" w:fill="FFFFFF"/>
          <w:lang w:val="de-DE"/>
        </w:rPr>
      </w:pPr>
      <w:moveFrom w:id="102" w:author="만든 이" w16du:dateUtc="2025-09-09T06:34:00Z">
        <w:r w:rsidRPr="001B02C1" w:rsidDel="002153A2">
          <w:rPr>
            <w:rFonts w:ascii="Times New Roman" w:eastAsia="Times New Roman" w:hAnsi="Times New Roman" w:cs="Times New Roman"/>
            <w:shd w:val="pct15" w:color="auto" w:fill="FFFFFF"/>
            <w:lang w:val="de-DE"/>
          </w:rPr>
          <w:t>2400, Route des Colles</w:t>
        </w:r>
      </w:moveFrom>
    </w:p>
    <w:p w14:paraId="7EEAF8A0" w14:textId="64037676" w:rsidR="008B4794" w:rsidRPr="001B02C1" w:rsidDel="002153A2" w:rsidRDefault="008B4794" w:rsidP="008B4794">
      <w:pPr>
        <w:spacing w:before="10" w:line="240" w:lineRule="exact"/>
        <w:rPr>
          <w:moveFrom w:id="103" w:author="만든 이" w16du:dateUtc="2025-09-09T06:34:00Z"/>
          <w:rFonts w:ascii="Times New Roman" w:eastAsia="Times New Roman" w:hAnsi="Times New Roman" w:cs="Times New Roman"/>
          <w:shd w:val="pct15" w:color="auto" w:fill="FFFFFF"/>
          <w:lang w:val="de-DE"/>
        </w:rPr>
      </w:pPr>
      <w:moveFrom w:id="104" w:author="만든 이" w16du:dateUtc="2025-09-09T06:34:00Z">
        <w:r w:rsidRPr="001B02C1" w:rsidDel="002153A2">
          <w:rPr>
            <w:rFonts w:ascii="Times New Roman" w:eastAsia="Times New Roman" w:hAnsi="Times New Roman" w:cs="Times New Roman"/>
            <w:shd w:val="pct15" w:color="auto" w:fill="FFFFFF"/>
            <w:lang w:val="de-DE"/>
          </w:rPr>
          <w:t>06410, Biot</w:t>
        </w:r>
      </w:moveFrom>
    </w:p>
    <w:p w14:paraId="1751182D" w14:textId="1ED461F1" w:rsidR="008B4794" w:rsidRPr="001B02C1" w:rsidDel="002153A2" w:rsidRDefault="008B4794" w:rsidP="008B4794">
      <w:pPr>
        <w:autoSpaceDE w:val="0"/>
        <w:autoSpaceDN w:val="0"/>
        <w:adjustRightInd w:val="0"/>
        <w:rPr>
          <w:moveFrom w:id="105" w:author="만든 이" w16du:dateUtc="2025-09-09T06:34:00Z"/>
          <w:rFonts w:ascii="Times New Roman" w:eastAsia="Times New Roman" w:hAnsi="Times New Roman" w:cs="Times New Roman"/>
          <w:shd w:val="pct15" w:color="auto" w:fill="FFFFFF"/>
          <w:lang w:val="de-DE"/>
        </w:rPr>
      </w:pPr>
      <w:moveFrom w:id="106" w:author="만든 이" w16du:dateUtc="2025-09-09T06:34:00Z">
        <w:r w:rsidRPr="001B02C1" w:rsidDel="002153A2">
          <w:rPr>
            <w:rFonts w:ascii="Times New Roman" w:eastAsia="Times New Roman" w:hAnsi="Times New Roman" w:cs="Times New Roman"/>
            <w:shd w:val="pct15" w:color="auto" w:fill="FFFFFF"/>
            <w:lang w:val="de-DE"/>
          </w:rPr>
          <w:t>Francija</w:t>
        </w:r>
      </w:moveFrom>
    </w:p>
    <w:p w14:paraId="179CA920" w14:textId="54BE2135" w:rsidR="002F4B1E" w:rsidRPr="001B02C1" w:rsidDel="002153A2" w:rsidRDefault="002F4B1E" w:rsidP="002F4B1E">
      <w:pPr>
        <w:pStyle w:val="a3"/>
        <w:rPr>
          <w:moveFrom w:id="107" w:author="만든 이" w16du:dateUtc="2025-09-09T06:34:00Z"/>
          <w:color w:val="000000"/>
          <w:shd w:val="pct15" w:color="auto" w:fill="FFFFFF"/>
          <w:lang w:val="de-CH"/>
        </w:rPr>
      </w:pPr>
    </w:p>
    <w:moveFromRangeEnd w:id="99"/>
    <w:p w14:paraId="7010DC9B" w14:textId="77777777" w:rsidR="002F4B1E" w:rsidRPr="001B02C1" w:rsidRDefault="002F4B1E" w:rsidP="002F4B1E">
      <w:pPr>
        <w:pStyle w:val="a3"/>
        <w:rPr>
          <w:color w:val="000000"/>
          <w:shd w:val="pct15" w:color="auto" w:fill="FFFFFF"/>
          <w:lang w:val="de-DE"/>
        </w:rPr>
      </w:pPr>
      <w:r w:rsidRPr="001B02C1">
        <w:rPr>
          <w:color w:val="000000"/>
          <w:shd w:val="pct15" w:color="auto" w:fill="FFFFFF"/>
          <w:lang w:val="de-DE"/>
        </w:rPr>
        <w:t>Midas Pharma GmbH</w:t>
      </w:r>
    </w:p>
    <w:p w14:paraId="51EC180D" w14:textId="1B986AC3" w:rsidR="002F4B1E" w:rsidRPr="001B02C1" w:rsidRDefault="002F4B1E" w:rsidP="002F4B1E">
      <w:pPr>
        <w:pStyle w:val="a3"/>
        <w:rPr>
          <w:color w:val="000000"/>
          <w:shd w:val="pct15" w:color="auto" w:fill="FFFFFF"/>
          <w:lang w:val="de-DE"/>
        </w:rPr>
      </w:pPr>
      <w:r w:rsidRPr="001B02C1">
        <w:rPr>
          <w:color w:val="000000"/>
          <w:shd w:val="pct15" w:color="auto" w:fill="FFFFFF"/>
          <w:lang w:val="de-DE"/>
        </w:rPr>
        <w:t>Rheinstr. 49</w:t>
      </w:r>
    </w:p>
    <w:p w14:paraId="69637A5F" w14:textId="0F008639" w:rsidR="002F4B1E" w:rsidRPr="001B02C1" w:rsidRDefault="002F4B1E" w:rsidP="002F4B1E">
      <w:pPr>
        <w:pStyle w:val="a3"/>
        <w:rPr>
          <w:color w:val="000000"/>
          <w:shd w:val="pct15" w:color="auto" w:fill="FFFFFF"/>
          <w:lang w:val="de-DE"/>
        </w:rPr>
      </w:pPr>
      <w:r w:rsidRPr="001B02C1">
        <w:rPr>
          <w:color w:val="000000"/>
          <w:shd w:val="pct15" w:color="auto" w:fill="FFFFFF"/>
          <w:lang w:val="de-DE"/>
        </w:rPr>
        <w:t>55218 Ingelheim</w:t>
      </w:r>
    </w:p>
    <w:p w14:paraId="285A6B93" w14:textId="77777777" w:rsidR="002F4B1E" w:rsidRPr="001B02C1" w:rsidRDefault="002F4B1E" w:rsidP="002F4B1E">
      <w:pPr>
        <w:pStyle w:val="a3"/>
        <w:rPr>
          <w:color w:val="000000"/>
          <w:shd w:val="pct15" w:color="auto" w:fill="FFFFFF"/>
          <w:lang w:val="de-CH"/>
        </w:rPr>
      </w:pPr>
      <w:r w:rsidRPr="001B02C1">
        <w:rPr>
          <w:color w:val="000000"/>
          <w:shd w:val="pct15" w:color="auto" w:fill="FFFFFF"/>
          <w:lang w:val="de-CH"/>
        </w:rPr>
        <w:t>Nemčija</w:t>
      </w:r>
    </w:p>
    <w:p w14:paraId="2FDDB0CF" w14:textId="77777777" w:rsidR="002F4B1E" w:rsidRPr="001B02C1" w:rsidRDefault="002F4B1E" w:rsidP="002F4B1E">
      <w:pPr>
        <w:pStyle w:val="a3"/>
        <w:rPr>
          <w:color w:val="000000"/>
          <w:shd w:val="pct15" w:color="auto" w:fill="FFFFFF"/>
          <w:lang w:val="de-DE"/>
        </w:rPr>
      </w:pPr>
    </w:p>
    <w:p w14:paraId="66D4B6D6" w14:textId="06775F17" w:rsidR="002F4B1E" w:rsidRPr="001B02C1" w:rsidRDefault="002F4B1E" w:rsidP="002F4B1E">
      <w:pPr>
        <w:pStyle w:val="a3"/>
        <w:rPr>
          <w:color w:val="000000"/>
          <w:shd w:val="pct15" w:color="auto" w:fill="FFFFFF"/>
          <w:lang w:val="fr-FR"/>
        </w:rPr>
      </w:pPr>
      <w:r w:rsidRPr="001B02C1">
        <w:rPr>
          <w:color w:val="000000"/>
          <w:shd w:val="pct15" w:color="auto" w:fill="FFFFFF"/>
          <w:lang w:val="fr-FR"/>
        </w:rPr>
        <w:t>KYMOS S.L.</w:t>
      </w:r>
    </w:p>
    <w:p w14:paraId="09770E15" w14:textId="2C87B293" w:rsidR="002F4B1E" w:rsidRPr="001B02C1" w:rsidRDefault="002F4B1E" w:rsidP="002F4B1E">
      <w:pPr>
        <w:pStyle w:val="a3"/>
        <w:rPr>
          <w:color w:val="000000"/>
          <w:shd w:val="pct15" w:color="auto" w:fill="FFFFFF"/>
          <w:lang w:val="fr-FR"/>
        </w:rPr>
      </w:pPr>
      <w:r w:rsidRPr="001B02C1">
        <w:rPr>
          <w:color w:val="000000"/>
          <w:shd w:val="pct15" w:color="auto" w:fill="FFFFFF"/>
          <w:lang w:val="fr-FR"/>
        </w:rPr>
        <w:t>Ronda Can Fatjó, 7B.</w:t>
      </w:r>
    </w:p>
    <w:p w14:paraId="3763E30B" w14:textId="18571E13" w:rsidR="002F4B1E" w:rsidRPr="001B02C1" w:rsidRDefault="002F4B1E" w:rsidP="002F4B1E">
      <w:pPr>
        <w:pStyle w:val="a3"/>
        <w:rPr>
          <w:color w:val="000000"/>
          <w:shd w:val="pct15" w:color="auto" w:fill="FFFFFF"/>
          <w:lang w:val="fr-FR"/>
        </w:rPr>
      </w:pPr>
      <w:r w:rsidRPr="001B02C1">
        <w:rPr>
          <w:color w:val="000000"/>
          <w:shd w:val="pct15" w:color="auto" w:fill="FFFFFF"/>
          <w:lang w:val="fr-FR"/>
        </w:rPr>
        <w:t>08290 Cerdanyola del Vallès</w:t>
      </w:r>
    </w:p>
    <w:p w14:paraId="0E09E54E" w14:textId="710210B1" w:rsidR="002F4B1E" w:rsidRPr="001B02C1" w:rsidRDefault="002F4B1E" w:rsidP="002F4B1E">
      <w:pPr>
        <w:pStyle w:val="a3"/>
        <w:rPr>
          <w:color w:val="000000"/>
          <w:shd w:val="pct15" w:color="auto" w:fill="FFFFFF"/>
          <w:lang w:val="fr-FR"/>
        </w:rPr>
      </w:pPr>
      <w:r w:rsidRPr="001B02C1">
        <w:rPr>
          <w:color w:val="000000"/>
          <w:shd w:val="pct15" w:color="auto" w:fill="FFFFFF"/>
          <w:lang w:val="fr-FR"/>
        </w:rPr>
        <w:t>Barcelona</w:t>
      </w:r>
    </w:p>
    <w:p w14:paraId="2CAE9FAE" w14:textId="77777777" w:rsidR="002F4B1E" w:rsidRPr="001B02C1" w:rsidRDefault="002F4B1E" w:rsidP="002F4B1E">
      <w:pPr>
        <w:pStyle w:val="a3"/>
        <w:rPr>
          <w:color w:val="000000"/>
          <w:shd w:val="pct15" w:color="auto" w:fill="FFFFFF"/>
          <w:lang w:val="fr-FR"/>
        </w:rPr>
      </w:pPr>
      <w:r w:rsidRPr="001B02C1">
        <w:rPr>
          <w:color w:val="000000"/>
          <w:shd w:val="pct15" w:color="auto" w:fill="FFFFFF"/>
          <w:lang w:val="fr-FR"/>
        </w:rPr>
        <w:t>Španija</w:t>
      </w:r>
    </w:p>
    <w:p w14:paraId="10C2CACB" w14:textId="77777777" w:rsidR="008B4794" w:rsidRPr="001B02C1" w:rsidRDefault="008B4794">
      <w:pPr>
        <w:spacing w:before="14" w:line="240" w:lineRule="exact"/>
        <w:rPr>
          <w:sz w:val="24"/>
          <w:szCs w:val="24"/>
          <w:shd w:val="pct15" w:color="auto" w:fill="FFFFFF"/>
          <w:lang w:val="fr-FR"/>
        </w:rPr>
      </w:pPr>
    </w:p>
    <w:p w14:paraId="21048DA7" w14:textId="77777777" w:rsidR="00E04C8A" w:rsidRDefault="008E1817">
      <w:pPr>
        <w:pStyle w:val="a3"/>
        <w:rPr>
          <w:lang w:val="sl-SI"/>
        </w:rPr>
      </w:pPr>
      <w:r>
        <w:rPr>
          <w:rFonts w:eastAsia="Times New Roman"/>
          <w:lang w:val="sl-SI"/>
        </w:rPr>
        <w:t>Za vse morebitne nadaljnje informacije o tem zdravilu se lahko obrnete na predstavništvo imetnika dovoljenja za promet z zdravilom:</w:t>
      </w:r>
    </w:p>
    <w:p w14:paraId="46BB0487" w14:textId="77777777" w:rsidR="00E04C8A" w:rsidRDefault="00E04C8A">
      <w:pPr>
        <w:numPr>
          <w:ilvl w:val="12"/>
          <w:numId w:val="0"/>
        </w:numPr>
        <w:ind w:right="-2"/>
        <w:rPr>
          <w:rFonts w:ascii="Times New Roman" w:hAnsi="Times New Roman" w:cs="Times New Roman"/>
          <w:b/>
          <w:noProof/>
          <w:lang w:val="sl-SI"/>
        </w:rPr>
      </w:pPr>
    </w:p>
    <w:tbl>
      <w:tblPr>
        <w:tblW w:w="5000" w:type="pct"/>
        <w:tblLook w:val="04A0" w:firstRow="1" w:lastRow="0" w:firstColumn="1" w:lastColumn="0" w:noHBand="0" w:noVBand="1"/>
      </w:tblPr>
      <w:tblGrid>
        <w:gridCol w:w="4800"/>
        <w:gridCol w:w="4800"/>
      </w:tblGrid>
      <w:tr w:rsidR="00E04C8A" w14:paraId="424D540A" w14:textId="77777777">
        <w:tc>
          <w:tcPr>
            <w:tcW w:w="2500" w:type="pct"/>
            <w:hideMark/>
          </w:tcPr>
          <w:p w14:paraId="0FA9861D" w14:textId="77777777" w:rsidR="00E04C8A" w:rsidRDefault="008E1817" w:rsidP="001B02C1">
            <w:pPr>
              <w:keepNext/>
              <w:keepLines/>
              <w:rPr>
                <w:rFonts w:ascii="Times New Roman" w:hAnsi="Times New Roman" w:cs="Times New Roman"/>
                <w:b/>
                <w:noProof/>
                <w:lang w:val="sl-SI" w:eastAsia="fr-FR"/>
              </w:rPr>
            </w:pPr>
            <w:r>
              <w:rPr>
                <w:rFonts w:ascii="Times New Roman" w:eastAsia="맑은 고딕" w:hAnsi="Times New Roman" w:cs="Times New Roman"/>
                <w:b/>
                <w:noProof/>
                <w:lang w:val="sl-SI" w:eastAsia="fr-FR"/>
              </w:rPr>
              <w:lastRenderedPageBreak/>
              <w:t>België/Belgique/Belgien</w:t>
            </w:r>
          </w:p>
          <w:p w14:paraId="758ABC8E" w14:textId="77777777" w:rsidR="00E04C8A" w:rsidRDefault="008E1817" w:rsidP="001B02C1">
            <w:pPr>
              <w:keepNext/>
              <w:keepLine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Belgium BVBA</w:t>
            </w:r>
          </w:p>
          <w:p w14:paraId="6670925D" w14:textId="77777777" w:rsidR="00E04C8A" w:rsidRDefault="008E1817" w:rsidP="001B02C1">
            <w:pPr>
              <w:keepNext/>
              <w:keepLine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Tél/Tel: + 32 1528 7418</w:t>
            </w:r>
          </w:p>
          <w:p w14:paraId="07ABE084" w14:textId="77777777" w:rsidR="00E04C8A" w:rsidRDefault="00E04C8A" w:rsidP="001B02C1">
            <w:pPr>
              <w:keepNext/>
              <w:keepLines/>
              <w:rPr>
                <w:rFonts w:ascii="Times New Roman" w:eastAsia="맑은 고딕" w:hAnsi="Times New Roman" w:cs="Times New Roman"/>
                <w:noProof/>
                <w:lang w:val="sl-SI" w:eastAsia="ko-KR"/>
              </w:rPr>
            </w:pPr>
          </w:p>
        </w:tc>
        <w:tc>
          <w:tcPr>
            <w:tcW w:w="2500" w:type="pct"/>
          </w:tcPr>
          <w:p w14:paraId="67D0DC8D" w14:textId="77777777" w:rsidR="00E04C8A" w:rsidRDefault="008E1817" w:rsidP="001B02C1">
            <w:pPr>
              <w:keepNext/>
              <w:keepLines/>
              <w:tabs>
                <w:tab w:val="left" w:pos="-720"/>
              </w:tabs>
              <w:suppressAutoHyphens/>
              <w:rPr>
                <w:rFonts w:ascii="Times New Roman" w:hAnsi="Times New Roman" w:cs="Times New Roman"/>
                <w:b/>
                <w:noProof/>
                <w:lang w:val="sl-SI" w:eastAsia="fr-FR"/>
              </w:rPr>
            </w:pPr>
            <w:r>
              <w:rPr>
                <w:rFonts w:ascii="Times New Roman" w:hAnsi="Times New Roman" w:cs="Times New Roman"/>
                <w:b/>
                <w:noProof/>
                <w:lang w:val="sl-SI" w:eastAsia="fr-FR"/>
              </w:rPr>
              <w:t>Lietuva</w:t>
            </w:r>
          </w:p>
          <w:p w14:paraId="4052711A" w14:textId="77777777" w:rsidR="00601584" w:rsidRDefault="00601584" w:rsidP="001B02C1">
            <w:pPr>
              <w:keepNext/>
              <w:keepLines/>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35C9CEE8" w14:textId="1C8EB649" w:rsidR="00601584" w:rsidRDefault="00601584" w:rsidP="001B02C1">
            <w:pPr>
              <w:keepNext/>
              <w:keepLines/>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3DD227CA" w14:textId="77777777" w:rsidR="00E04C8A" w:rsidRPr="00601584" w:rsidRDefault="00E04C8A" w:rsidP="001B02C1">
            <w:pPr>
              <w:keepNext/>
              <w:keepLines/>
              <w:autoSpaceDE w:val="0"/>
              <w:autoSpaceDN w:val="0"/>
              <w:adjustRightInd w:val="0"/>
              <w:rPr>
                <w:rFonts w:ascii="Times New Roman" w:hAnsi="Times New Roman" w:cs="Times New Roman"/>
                <w:noProof/>
                <w:lang w:val="sl-SI" w:eastAsia="fr-FR"/>
              </w:rPr>
            </w:pPr>
          </w:p>
        </w:tc>
      </w:tr>
      <w:tr w:rsidR="00E04C8A" w14:paraId="492CC6E1" w14:textId="77777777">
        <w:trPr>
          <w:trHeight w:val="619"/>
        </w:trPr>
        <w:tc>
          <w:tcPr>
            <w:tcW w:w="2500" w:type="pct"/>
          </w:tcPr>
          <w:p w14:paraId="2B9DCD70" w14:textId="77777777" w:rsidR="00E04C8A" w:rsidRDefault="008E1817">
            <w:pPr>
              <w:rPr>
                <w:rFonts w:ascii="Times New Roman" w:eastAsia="맑은 고딕" w:hAnsi="Times New Roman" w:cs="Times New Roman"/>
                <w:b/>
                <w:noProof/>
                <w:lang w:val="sl-SI" w:eastAsia="fr-FR"/>
              </w:rPr>
            </w:pPr>
            <w:r>
              <w:rPr>
                <w:rFonts w:ascii="Times New Roman" w:hAnsi="Times New Roman" w:cs="Times New Roman"/>
                <w:b/>
                <w:bCs/>
                <w:lang w:val="sl-SI"/>
              </w:rPr>
              <w:t>България</w:t>
            </w:r>
          </w:p>
          <w:p w14:paraId="728CFAAB" w14:textId="77777777" w:rsidR="00601584" w:rsidRDefault="00601584" w:rsidP="0060158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25796AE8" w14:textId="2EC7EE89" w:rsidR="00601584" w:rsidRDefault="00276580" w:rsidP="00601584">
            <w:pPr>
              <w:tabs>
                <w:tab w:val="left" w:pos="-720"/>
              </w:tabs>
              <w:suppressAutoHyphens/>
              <w:rPr>
                <w:rFonts w:ascii="Times New Roman" w:eastAsia="맑은 고딕" w:hAnsi="Times New Roman" w:cs="Times New Roman"/>
                <w:noProof/>
                <w:lang w:val="sl-SI" w:eastAsia="fr-FR"/>
              </w:rPr>
            </w:pPr>
            <w:r w:rsidRPr="00276580">
              <w:rPr>
                <w:rFonts w:ascii="Times New Roman" w:eastAsia="맑은 고딕" w:hAnsi="Times New Roman" w:cs="Times New Roman"/>
                <w:noProof/>
                <w:lang w:val="sl-SI" w:eastAsia="fr-FR"/>
              </w:rPr>
              <w:t xml:space="preserve">Teл.: </w:t>
            </w:r>
            <w:r w:rsidR="00601584">
              <w:rPr>
                <w:rFonts w:ascii="Times New Roman" w:eastAsia="맑은 고딕" w:hAnsi="Times New Roman" w:cs="Times New Roman"/>
                <w:noProof/>
                <w:lang w:val="sl-SI" w:eastAsia="fr-FR"/>
              </w:rPr>
              <w:t>+36 1 231 0493</w:t>
            </w:r>
          </w:p>
          <w:p w14:paraId="7A390B91" w14:textId="77777777" w:rsidR="00E04C8A" w:rsidRPr="00601584" w:rsidRDefault="00E04C8A">
            <w:pPr>
              <w:rPr>
                <w:rFonts w:ascii="Times New Roman" w:hAnsi="Times New Roman" w:cs="Times New Roman"/>
                <w:noProof/>
                <w:lang w:val="sl-SI" w:eastAsia="fr-FR"/>
              </w:rPr>
            </w:pPr>
          </w:p>
        </w:tc>
        <w:tc>
          <w:tcPr>
            <w:tcW w:w="2500" w:type="pct"/>
            <w:hideMark/>
          </w:tcPr>
          <w:p w14:paraId="797DC484" w14:textId="77777777" w:rsidR="00E04C8A" w:rsidRDefault="008E1817">
            <w:pPr>
              <w:tabs>
                <w:tab w:val="left" w:pos="-720"/>
              </w:tabs>
              <w:suppressAutoHyphens/>
              <w:rPr>
                <w:rFonts w:ascii="Times New Roman" w:hAnsi="Times New Roman" w:cs="Times New Roman"/>
                <w:noProof/>
                <w:lang w:val="sl-SI" w:eastAsia="fr-FR"/>
              </w:rPr>
            </w:pPr>
            <w:r>
              <w:rPr>
                <w:rFonts w:ascii="Times New Roman" w:eastAsia="맑은 고딕" w:hAnsi="Times New Roman" w:cs="Times New Roman"/>
                <w:b/>
                <w:noProof/>
                <w:lang w:val="sl-SI" w:eastAsia="fr-FR"/>
              </w:rPr>
              <w:t>Luxembourg/Luxemburg</w:t>
            </w:r>
          </w:p>
          <w:p w14:paraId="68E8EC1E" w14:textId="77777777" w:rsidR="00E04C8A" w:rsidRDefault="008E181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Belgium BVBA</w:t>
            </w:r>
          </w:p>
          <w:p w14:paraId="4AB737F4" w14:textId="77777777" w:rsidR="00E04C8A" w:rsidRDefault="008E1817">
            <w:pPr>
              <w:tabs>
                <w:tab w:val="left" w:pos="-720"/>
              </w:tabs>
              <w:suppressAutoHyphens/>
              <w:rPr>
                <w:rFonts w:ascii="Times New Roman" w:eastAsia="맑은 고딕" w:hAnsi="Times New Roman" w:cs="Times New Roman"/>
                <w:lang w:val="sl-SI" w:eastAsia="ko-KR"/>
              </w:rPr>
            </w:pPr>
            <w:r>
              <w:rPr>
                <w:rFonts w:ascii="Times New Roman" w:eastAsia="맑은 고딕" w:hAnsi="Times New Roman" w:cs="Times New Roman"/>
                <w:noProof/>
                <w:lang w:val="sl-SI" w:eastAsia="fr-FR"/>
              </w:rPr>
              <w:t>Tél/Tel: + 32 1528 7418</w:t>
            </w:r>
          </w:p>
          <w:p w14:paraId="71EA6B8C" w14:textId="77777777" w:rsidR="00E04C8A" w:rsidRDefault="00E04C8A">
            <w:pPr>
              <w:tabs>
                <w:tab w:val="left" w:pos="-720"/>
              </w:tabs>
              <w:suppressAutoHyphens/>
              <w:rPr>
                <w:rFonts w:ascii="Times New Roman" w:eastAsia="맑은 고딕" w:hAnsi="Times New Roman" w:cs="Times New Roman"/>
                <w:lang w:val="sl-SI" w:eastAsia="ko-KR"/>
              </w:rPr>
            </w:pPr>
          </w:p>
        </w:tc>
      </w:tr>
      <w:tr w:rsidR="00E04C8A" w14:paraId="1E4B9CC0" w14:textId="77777777">
        <w:tc>
          <w:tcPr>
            <w:tcW w:w="2500" w:type="pct"/>
            <w:hideMark/>
          </w:tcPr>
          <w:p w14:paraId="55D68AAA" w14:textId="77777777" w:rsidR="00E04C8A" w:rsidRPr="00047596" w:rsidRDefault="008E1817">
            <w:pPr>
              <w:tabs>
                <w:tab w:val="left" w:pos="-720"/>
              </w:tabs>
              <w:suppressAutoHyphens/>
              <w:rPr>
                <w:rFonts w:ascii="Times New Roman" w:eastAsia="맑은 고딕" w:hAnsi="Times New Roman" w:cs="Times New Roman"/>
                <w:b/>
                <w:noProof/>
                <w:lang w:val="sl-SI" w:eastAsia="fr-FR"/>
              </w:rPr>
            </w:pPr>
            <w:r w:rsidRPr="00047596">
              <w:rPr>
                <w:rFonts w:ascii="Times New Roman" w:eastAsia="맑은 고딕" w:hAnsi="Times New Roman" w:cs="Times New Roman"/>
                <w:b/>
                <w:noProof/>
                <w:lang w:val="sl-SI" w:eastAsia="fr-FR"/>
              </w:rPr>
              <w:t>Česká republika</w:t>
            </w:r>
          </w:p>
          <w:p w14:paraId="069DE01C" w14:textId="77777777" w:rsidR="00601584" w:rsidRPr="00047596" w:rsidRDefault="00601584" w:rsidP="00601584">
            <w:pPr>
              <w:tabs>
                <w:tab w:val="left" w:pos="-720"/>
              </w:tabs>
              <w:suppressAutoHyphens/>
              <w:rPr>
                <w:rFonts w:ascii="Times New Roman" w:eastAsia="맑은 고딕" w:hAnsi="Times New Roman" w:cs="Times New Roman"/>
                <w:noProof/>
                <w:lang w:val="sl-SI" w:eastAsia="fr-FR"/>
              </w:rPr>
            </w:pPr>
            <w:r w:rsidRPr="00047596">
              <w:rPr>
                <w:rFonts w:ascii="Times New Roman" w:eastAsia="맑은 고딕" w:hAnsi="Times New Roman" w:cs="Times New Roman"/>
                <w:noProof/>
                <w:lang w:val="sl-SI" w:eastAsia="fr-FR"/>
              </w:rPr>
              <w:t>Celltrion Healthcare Hungary Kft.</w:t>
            </w:r>
          </w:p>
          <w:p w14:paraId="71AB530F" w14:textId="77777777" w:rsidR="00601584" w:rsidRPr="00047596" w:rsidRDefault="00601584" w:rsidP="00601584">
            <w:pPr>
              <w:tabs>
                <w:tab w:val="left" w:pos="-720"/>
              </w:tabs>
              <w:suppressAutoHyphens/>
              <w:rPr>
                <w:rFonts w:ascii="Times New Roman" w:eastAsia="맑은 고딕" w:hAnsi="Times New Roman" w:cs="Times New Roman"/>
                <w:noProof/>
                <w:lang w:val="sl-SI" w:eastAsia="fr-FR"/>
              </w:rPr>
            </w:pPr>
            <w:r w:rsidRPr="00047596">
              <w:rPr>
                <w:rFonts w:ascii="Times New Roman" w:eastAsia="맑은 고딕" w:hAnsi="Times New Roman" w:cs="Times New Roman"/>
                <w:noProof/>
                <w:lang w:val="sl-SI" w:eastAsia="fr-FR"/>
              </w:rPr>
              <w:t>Tel: +36 1 231 0493</w:t>
            </w:r>
          </w:p>
          <w:p w14:paraId="1623B781" w14:textId="77777777" w:rsidR="00E04C8A" w:rsidRPr="00047596" w:rsidRDefault="00E04C8A">
            <w:pPr>
              <w:tabs>
                <w:tab w:val="left" w:pos="-720"/>
              </w:tabs>
              <w:suppressAutoHyphens/>
              <w:rPr>
                <w:rFonts w:ascii="Times New Roman" w:hAnsi="Times New Roman" w:cs="Times New Roman"/>
                <w:noProof/>
                <w:lang w:val="sl-SI" w:eastAsia="fr-FR"/>
              </w:rPr>
            </w:pPr>
          </w:p>
        </w:tc>
        <w:tc>
          <w:tcPr>
            <w:tcW w:w="2500" w:type="pct"/>
          </w:tcPr>
          <w:p w14:paraId="73438522" w14:textId="77777777" w:rsidR="00E04C8A" w:rsidRPr="00047596" w:rsidRDefault="008E1817">
            <w:pPr>
              <w:rPr>
                <w:rFonts w:ascii="Times New Roman" w:eastAsia="맑은 고딕" w:hAnsi="Times New Roman" w:cs="Times New Roman"/>
                <w:b/>
                <w:noProof/>
                <w:lang w:val="sl-SI" w:eastAsia="fr-FR"/>
              </w:rPr>
            </w:pPr>
            <w:r w:rsidRPr="00047596">
              <w:rPr>
                <w:rFonts w:ascii="Times New Roman" w:hAnsi="Times New Roman" w:cs="Times New Roman"/>
                <w:b/>
                <w:noProof/>
                <w:lang w:val="sl-SI"/>
              </w:rPr>
              <w:t>Magyarország</w:t>
            </w:r>
          </w:p>
          <w:p w14:paraId="7FB27023" w14:textId="77777777" w:rsidR="00601584" w:rsidRPr="00047596" w:rsidRDefault="00601584" w:rsidP="00601584">
            <w:pPr>
              <w:tabs>
                <w:tab w:val="left" w:pos="-720"/>
              </w:tabs>
              <w:suppressAutoHyphens/>
              <w:rPr>
                <w:rFonts w:ascii="Times New Roman" w:eastAsia="맑은 고딕" w:hAnsi="Times New Roman" w:cs="Times New Roman"/>
                <w:noProof/>
                <w:lang w:val="sl-SI" w:eastAsia="fr-FR"/>
              </w:rPr>
            </w:pPr>
            <w:r w:rsidRPr="00047596">
              <w:rPr>
                <w:rFonts w:ascii="Times New Roman" w:eastAsia="맑은 고딕" w:hAnsi="Times New Roman" w:cs="Times New Roman"/>
                <w:noProof/>
                <w:lang w:val="sl-SI" w:eastAsia="fr-FR"/>
              </w:rPr>
              <w:t>Celltrion Healthcare Hungary Kft.</w:t>
            </w:r>
          </w:p>
          <w:p w14:paraId="7B84E89F" w14:textId="29F3BE1A" w:rsidR="00601584" w:rsidRPr="00047596" w:rsidRDefault="00601584" w:rsidP="00601584">
            <w:pPr>
              <w:tabs>
                <w:tab w:val="left" w:pos="-720"/>
              </w:tabs>
              <w:suppressAutoHyphens/>
              <w:rPr>
                <w:rFonts w:ascii="Times New Roman" w:eastAsia="맑은 고딕" w:hAnsi="Times New Roman" w:cs="Times New Roman"/>
                <w:noProof/>
                <w:lang w:val="sl-SI" w:eastAsia="fr-FR"/>
              </w:rPr>
            </w:pPr>
            <w:r w:rsidRPr="00047596">
              <w:rPr>
                <w:rFonts w:ascii="Times New Roman" w:eastAsia="맑은 고딕" w:hAnsi="Times New Roman" w:cs="Times New Roman"/>
                <w:noProof/>
                <w:lang w:val="sl-SI" w:eastAsia="fr-FR"/>
              </w:rPr>
              <w:t>Tel.: +36 1 231 0493</w:t>
            </w:r>
          </w:p>
          <w:p w14:paraId="78FD08E8" w14:textId="77777777" w:rsidR="00E04C8A" w:rsidRPr="00047596" w:rsidRDefault="00E04C8A">
            <w:pPr>
              <w:rPr>
                <w:rFonts w:ascii="Times New Roman" w:eastAsia="맑은 고딕" w:hAnsi="Times New Roman" w:cs="Times New Roman"/>
                <w:noProof/>
                <w:lang w:val="sl-SI" w:eastAsia="ko-KR"/>
              </w:rPr>
            </w:pPr>
          </w:p>
        </w:tc>
      </w:tr>
      <w:tr w:rsidR="001E1700" w14:paraId="1F2209CA" w14:textId="77777777">
        <w:tc>
          <w:tcPr>
            <w:tcW w:w="2500" w:type="pct"/>
            <w:hideMark/>
          </w:tcPr>
          <w:p w14:paraId="7D29D7FF" w14:textId="77777777" w:rsidR="001E1700" w:rsidRPr="00047596" w:rsidRDefault="001E1700" w:rsidP="001E1700">
            <w:pPr>
              <w:tabs>
                <w:tab w:val="left" w:pos="-720"/>
              </w:tabs>
              <w:suppressAutoHyphens/>
              <w:rPr>
                <w:rFonts w:ascii="Times New Roman" w:hAnsi="Times New Roman" w:cs="Times New Roman"/>
                <w:b/>
                <w:bCs/>
                <w:i/>
                <w:iCs/>
                <w:noProof/>
                <w:lang w:eastAsia="fr-FR"/>
              </w:rPr>
            </w:pPr>
            <w:r w:rsidRPr="00047596">
              <w:rPr>
                <w:rFonts w:ascii="Times New Roman" w:hAnsi="Times New Roman" w:cs="Times New Roman"/>
                <w:b/>
                <w:noProof/>
              </w:rPr>
              <w:t>Danmark</w:t>
            </w:r>
          </w:p>
          <w:p w14:paraId="495045ED" w14:textId="4E35541B" w:rsidR="001E1700" w:rsidRPr="00047596" w:rsidRDefault="001E1700" w:rsidP="001E1700">
            <w:pPr>
              <w:tabs>
                <w:tab w:val="left" w:pos="-720"/>
              </w:tabs>
              <w:suppressAutoHyphens/>
              <w:rPr>
                <w:rFonts w:ascii="Times New Roman" w:eastAsia="맑은 고딕" w:hAnsi="Times New Roman" w:cs="Times New Roman"/>
                <w:noProof/>
                <w:lang w:eastAsia="fr-FR"/>
              </w:rPr>
            </w:pPr>
            <w:r w:rsidRPr="00047596">
              <w:rPr>
                <w:rFonts w:ascii="Times New Roman" w:eastAsia="맑은 고딕" w:hAnsi="Times New Roman" w:cs="Times New Roman"/>
                <w:noProof/>
                <w:lang w:eastAsia="fr-FR"/>
              </w:rPr>
              <w:t>Celltrion Healthcare Denmark ApS</w:t>
            </w:r>
          </w:p>
          <w:p w14:paraId="4EE304A9" w14:textId="77777777" w:rsidR="005642C7" w:rsidRPr="00047596" w:rsidRDefault="005642C7" w:rsidP="005642C7">
            <w:pPr>
              <w:tabs>
                <w:tab w:val="left" w:pos="-720"/>
              </w:tabs>
              <w:suppressAutoHyphens/>
              <w:rPr>
                <w:rFonts w:ascii="Times New Roman" w:eastAsia="맑은 고딕" w:hAnsi="Times New Roman" w:cs="Times New Roman"/>
                <w:noProof/>
                <w:lang w:eastAsia="fr-FR"/>
              </w:rPr>
            </w:pPr>
            <w:r w:rsidRPr="00047596">
              <w:rPr>
                <w:rFonts w:ascii="Times New Roman" w:eastAsia="맑은 고딕" w:hAnsi="Times New Roman" w:cs="Times New Roman"/>
                <w:noProof/>
                <w:lang w:eastAsia="fr-FR"/>
              </w:rPr>
              <w:t>Tlf: +</w:t>
            </w:r>
            <w:r w:rsidRPr="00047596">
              <w:rPr>
                <w:rFonts w:ascii="Times New Roman" w:eastAsia="맑은 고딕" w:hAnsi="Times New Roman" w:cs="Times New Roman"/>
                <w:noProof/>
                <w:lang w:eastAsia="ko-KR"/>
              </w:rPr>
              <w:t>45 35352989</w:t>
            </w:r>
          </w:p>
          <w:p w14:paraId="007DFC90" w14:textId="77777777" w:rsidR="001E1700" w:rsidRPr="00047596" w:rsidRDefault="001E1700" w:rsidP="001E1700">
            <w:pPr>
              <w:tabs>
                <w:tab w:val="left" w:pos="-720"/>
              </w:tabs>
              <w:suppressAutoHyphens/>
              <w:rPr>
                <w:rStyle w:val="ad"/>
                <w:rFonts w:ascii="Times New Roman" w:hAnsi="Times New Roman" w:cs="Times New Roman"/>
                <w:lang w:eastAsia="ko-KR"/>
              </w:rPr>
            </w:pPr>
            <w:r w:rsidRPr="00047596">
              <w:rPr>
                <w:rStyle w:val="ad"/>
                <w:rFonts w:ascii="Times New Roman" w:eastAsia="맑은 고딕" w:hAnsi="Times New Roman" w:cs="Times New Roman"/>
                <w:noProof/>
                <w:lang w:eastAsia="ko-KR"/>
              </w:rPr>
              <w:t>Contact_dk@celltrionhc.com</w:t>
            </w:r>
          </w:p>
          <w:p w14:paraId="7872EECB" w14:textId="77777777" w:rsidR="001E1700" w:rsidRPr="00047596" w:rsidRDefault="001E1700" w:rsidP="001E1700">
            <w:pPr>
              <w:tabs>
                <w:tab w:val="left" w:pos="-720"/>
              </w:tabs>
              <w:suppressAutoHyphens/>
              <w:rPr>
                <w:rFonts w:ascii="Times New Roman" w:eastAsia="맑은 고딕" w:hAnsi="Times New Roman" w:cs="Times New Roman"/>
                <w:noProof/>
                <w:lang w:eastAsia="fr-FR"/>
              </w:rPr>
            </w:pPr>
          </w:p>
          <w:p w14:paraId="40491955" w14:textId="3C009390" w:rsidR="001E1700" w:rsidRPr="00047596" w:rsidRDefault="001E1700" w:rsidP="001E1700">
            <w:pPr>
              <w:tabs>
                <w:tab w:val="left" w:pos="-720"/>
              </w:tabs>
              <w:suppressAutoHyphens/>
              <w:rPr>
                <w:rFonts w:ascii="Times New Roman" w:eastAsia="맑은 고딕" w:hAnsi="Times New Roman" w:cs="Times New Roman"/>
                <w:noProof/>
                <w:lang w:val="sl-SI" w:eastAsia="fr-FR"/>
              </w:rPr>
            </w:pPr>
          </w:p>
        </w:tc>
        <w:tc>
          <w:tcPr>
            <w:tcW w:w="2500" w:type="pct"/>
          </w:tcPr>
          <w:p w14:paraId="6C3FD31C" w14:textId="77777777" w:rsidR="001E1700" w:rsidRPr="00047596" w:rsidRDefault="001E1700" w:rsidP="001E1700">
            <w:pPr>
              <w:rPr>
                <w:rFonts w:ascii="Times New Roman" w:hAnsi="Times New Roman" w:cs="Times New Roman"/>
                <w:noProof/>
                <w:lang w:eastAsia="fr-FR"/>
              </w:rPr>
            </w:pPr>
            <w:r w:rsidRPr="00047596">
              <w:rPr>
                <w:rFonts w:ascii="Times New Roman" w:eastAsia="맑은 고딕" w:hAnsi="Times New Roman" w:cs="Times New Roman"/>
                <w:b/>
                <w:noProof/>
                <w:lang w:eastAsia="fr-FR"/>
              </w:rPr>
              <w:t>Malta</w:t>
            </w:r>
          </w:p>
          <w:p w14:paraId="6792D2A1" w14:textId="77777777" w:rsidR="001E1700" w:rsidRPr="00047596" w:rsidRDefault="001E1700" w:rsidP="001E1700">
            <w:pPr>
              <w:tabs>
                <w:tab w:val="left" w:pos="-720"/>
              </w:tabs>
              <w:suppressAutoHyphens/>
              <w:rPr>
                <w:rFonts w:ascii="Times New Roman" w:eastAsia="맑은 고딕" w:hAnsi="Times New Roman" w:cs="Times New Roman"/>
                <w:noProof/>
                <w:lang w:eastAsia="fr-FR"/>
              </w:rPr>
            </w:pPr>
            <w:r w:rsidRPr="00047596">
              <w:rPr>
                <w:rFonts w:ascii="Times New Roman" w:eastAsia="맑은 고딕" w:hAnsi="Times New Roman" w:cs="Times New Roman"/>
                <w:noProof/>
                <w:lang w:eastAsia="fr-FR"/>
              </w:rPr>
              <w:t>Mint Health Ltd.</w:t>
            </w:r>
          </w:p>
          <w:p w14:paraId="06A75544" w14:textId="77777777" w:rsidR="001E1700" w:rsidRPr="00047596" w:rsidRDefault="001E1700" w:rsidP="001E1700">
            <w:pPr>
              <w:rPr>
                <w:rFonts w:ascii="Times New Roman" w:eastAsia="맑은 고딕" w:hAnsi="Times New Roman" w:cs="Times New Roman"/>
                <w:noProof/>
                <w:lang w:eastAsia="ko-KR"/>
              </w:rPr>
            </w:pPr>
            <w:r w:rsidRPr="00047596">
              <w:rPr>
                <w:rFonts w:ascii="Times New Roman" w:eastAsia="맑은 고딕" w:hAnsi="Times New Roman" w:cs="Times New Roman"/>
                <w:noProof/>
                <w:lang w:eastAsia="fr-FR"/>
              </w:rPr>
              <w:t>Tel: +356 2093 9800</w:t>
            </w:r>
          </w:p>
          <w:p w14:paraId="32987DE2" w14:textId="77777777" w:rsidR="001E1700" w:rsidRPr="00047596" w:rsidRDefault="001E1700" w:rsidP="001E1700">
            <w:pPr>
              <w:rPr>
                <w:rFonts w:ascii="Times New Roman" w:eastAsia="맑은 고딕" w:hAnsi="Times New Roman" w:cs="Times New Roman"/>
                <w:noProof/>
                <w:lang w:val="sl-SI" w:eastAsia="ko-KR"/>
              </w:rPr>
            </w:pPr>
          </w:p>
        </w:tc>
      </w:tr>
      <w:tr w:rsidR="001E1700" w14:paraId="16B76D8C" w14:textId="77777777">
        <w:tc>
          <w:tcPr>
            <w:tcW w:w="2500" w:type="pct"/>
            <w:hideMark/>
          </w:tcPr>
          <w:p w14:paraId="5C7EBEF5" w14:textId="77777777" w:rsidR="001E1700" w:rsidRPr="00047596" w:rsidRDefault="001E1700" w:rsidP="001E1700">
            <w:pPr>
              <w:rPr>
                <w:rFonts w:ascii="Times New Roman" w:hAnsi="Times New Roman" w:cs="Times New Roman"/>
                <w:b/>
                <w:noProof/>
                <w:lang w:eastAsia="fr-FR"/>
              </w:rPr>
            </w:pPr>
            <w:r w:rsidRPr="00047596">
              <w:rPr>
                <w:rFonts w:ascii="Times New Roman" w:eastAsia="맑은 고딕" w:hAnsi="Times New Roman" w:cs="Times New Roman"/>
                <w:b/>
                <w:noProof/>
                <w:lang w:eastAsia="fr-FR"/>
              </w:rPr>
              <w:t>Deutschland</w:t>
            </w:r>
          </w:p>
          <w:p w14:paraId="0570B21F" w14:textId="77777777" w:rsidR="001E1700" w:rsidRPr="00047596" w:rsidRDefault="001E1700" w:rsidP="001E1700">
            <w:pPr>
              <w:rPr>
                <w:rFonts w:ascii="Times New Roman" w:hAnsi="Times New Roman" w:cs="Times New Roman"/>
                <w:noProof/>
                <w:lang w:eastAsia="ko-KR"/>
              </w:rPr>
            </w:pPr>
            <w:r w:rsidRPr="00047596">
              <w:rPr>
                <w:rFonts w:ascii="Times New Roman" w:hAnsi="Times New Roman" w:cs="Times New Roman"/>
                <w:noProof/>
                <w:lang w:eastAsia="ko-KR"/>
              </w:rPr>
              <w:t xml:space="preserve">Celltrion Healthcare Deutschland </w:t>
            </w:r>
            <w:r w:rsidRPr="00047596">
              <w:rPr>
                <w:rFonts w:ascii="Times New Roman" w:eastAsia="바탕" w:hAnsi="Times New Roman" w:cs="Times New Roman"/>
                <w:noProof/>
                <w:lang w:eastAsia="ko-KR"/>
              </w:rPr>
              <w:t>GmbH</w:t>
            </w:r>
          </w:p>
          <w:p w14:paraId="4F6DFF11" w14:textId="0E58BC8E" w:rsidR="001E1700" w:rsidRPr="00047596" w:rsidRDefault="001E1700" w:rsidP="001E1700">
            <w:pPr>
              <w:tabs>
                <w:tab w:val="left" w:pos="-720"/>
              </w:tabs>
              <w:suppressAutoHyphens/>
              <w:rPr>
                <w:rFonts w:ascii="Times New Roman" w:hAnsi="Times New Roman" w:cs="Times New Roman"/>
                <w:noProof/>
                <w:lang w:eastAsia="ko-KR"/>
              </w:rPr>
            </w:pPr>
            <w:r w:rsidRPr="00047596">
              <w:rPr>
                <w:rFonts w:ascii="Times New Roman" w:hAnsi="Times New Roman" w:cs="Times New Roman"/>
                <w:noProof/>
                <w:lang w:eastAsia="ko-KR"/>
              </w:rPr>
              <w:t>T</w:t>
            </w:r>
            <w:r w:rsidR="00C57218">
              <w:rPr>
                <w:rFonts w:ascii="Times New Roman" w:hAnsi="Times New Roman" w:cs="Times New Roman" w:hint="eastAsia"/>
                <w:noProof/>
                <w:lang w:eastAsia="ko-KR"/>
              </w:rPr>
              <w:t>e</w:t>
            </w:r>
            <w:r w:rsidRPr="00047596">
              <w:rPr>
                <w:rFonts w:ascii="Times New Roman" w:hAnsi="Times New Roman" w:cs="Times New Roman"/>
                <w:noProof/>
                <w:lang w:eastAsia="ko-KR"/>
              </w:rPr>
              <w:t>l.: +49 (0)30 346494150</w:t>
            </w:r>
          </w:p>
          <w:p w14:paraId="49DF04AB" w14:textId="77777777" w:rsidR="001E1700" w:rsidRPr="00047596" w:rsidRDefault="001E1700" w:rsidP="001E1700">
            <w:pPr>
              <w:tabs>
                <w:tab w:val="left" w:pos="-720"/>
              </w:tabs>
              <w:suppressAutoHyphens/>
              <w:rPr>
                <w:rFonts w:ascii="Times New Roman" w:eastAsia="맑은 고딕" w:hAnsi="Times New Roman" w:cs="Times New Roman"/>
                <w:noProof/>
                <w:lang w:eastAsia="ko-KR"/>
              </w:rPr>
            </w:pPr>
            <w:hyperlink r:id="rId73" w:history="1">
              <w:r w:rsidRPr="00047596">
                <w:rPr>
                  <w:rStyle w:val="ad"/>
                  <w:rFonts w:ascii="Times New Roman" w:eastAsia="맑은 고딕" w:hAnsi="Times New Roman" w:cs="Times New Roman"/>
                  <w:noProof/>
                  <w:lang w:eastAsia="ko-KR"/>
                </w:rPr>
                <w:t>infoDE@celltrionhc.com</w:t>
              </w:r>
            </w:hyperlink>
          </w:p>
          <w:p w14:paraId="0BC2F7A1" w14:textId="77777777" w:rsidR="001E1700" w:rsidRPr="00047596" w:rsidRDefault="001E1700" w:rsidP="001E1700">
            <w:pPr>
              <w:tabs>
                <w:tab w:val="left" w:pos="-720"/>
              </w:tabs>
              <w:suppressAutoHyphens/>
              <w:rPr>
                <w:rFonts w:ascii="Times New Roman" w:eastAsia="맑은 고딕" w:hAnsi="Times New Roman" w:cs="Times New Roman"/>
                <w:noProof/>
                <w:lang w:eastAsia="ko-KR"/>
              </w:rPr>
            </w:pPr>
          </w:p>
          <w:p w14:paraId="74EE356E" w14:textId="77777777" w:rsidR="001E1700" w:rsidRPr="00047596" w:rsidRDefault="001E1700" w:rsidP="001E1700">
            <w:pPr>
              <w:tabs>
                <w:tab w:val="left" w:pos="-720"/>
              </w:tabs>
              <w:suppressAutoHyphens/>
              <w:rPr>
                <w:rFonts w:ascii="Times New Roman" w:eastAsia="맑은 고딕" w:hAnsi="Times New Roman" w:cs="Times New Roman"/>
                <w:noProof/>
                <w:lang w:val="sl-SI" w:eastAsia="fr-FR"/>
              </w:rPr>
            </w:pPr>
          </w:p>
        </w:tc>
        <w:tc>
          <w:tcPr>
            <w:tcW w:w="2500" w:type="pct"/>
          </w:tcPr>
          <w:p w14:paraId="51A2975B" w14:textId="77777777" w:rsidR="001E1700" w:rsidRPr="00047596" w:rsidRDefault="001E1700" w:rsidP="001E1700">
            <w:pPr>
              <w:rPr>
                <w:rFonts w:ascii="Times New Roman" w:hAnsi="Times New Roman" w:cs="Times New Roman"/>
                <w:noProof/>
                <w:lang w:eastAsia="fr-FR"/>
              </w:rPr>
            </w:pPr>
            <w:r w:rsidRPr="00047596">
              <w:rPr>
                <w:rFonts w:ascii="Times New Roman" w:eastAsia="맑은 고딕" w:hAnsi="Times New Roman" w:cs="Times New Roman"/>
                <w:b/>
                <w:noProof/>
                <w:lang w:eastAsia="fr-FR"/>
              </w:rPr>
              <w:t>Nederland</w:t>
            </w:r>
          </w:p>
          <w:p w14:paraId="65955CEA" w14:textId="77777777" w:rsidR="001E1700" w:rsidRPr="00047596" w:rsidRDefault="001E1700" w:rsidP="001E1700">
            <w:pPr>
              <w:rPr>
                <w:rFonts w:ascii="Times New Roman" w:eastAsia="맑은 고딕" w:hAnsi="Times New Roman" w:cs="Times New Roman"/>
                <w:noProof/>
                <w:lang w:eastAsia="fr-FR"/>
              </w:rPr>
            </w:pPr>
            <w:r w:rsidRPr="00047596">
              <w:rPr>
                <w:rFonts w:ascii="Times New Roman" w:eastAsia="맑은 고딕" w:hAnsi="Times New Roman" w:cs="Times New Roman"/>
                <w:noProof/>
                <w:lang w:eastAsia="fr-FR"/>
              </w:rPr>
              <w:t>Celltrion Healthcare Netherlands B.V.</w:t>
            </w:r>
          </w:p>
          <w:p w14:paraId="2E1A7B90" w14:textId="77777777" w:rsidR="001E1700" w:rsidRPr="00047596" w:rsidRDefault="001E1700" w:rsidP="001E1700">
            <w:pPr>
              <w:rPr>
                <w:rFonts w:ascii="Times New Roman" w:eastAsia="맑은 고딕" w:hAnsi="Times New Roman" w:cs="Times New Roman"/>
                <w:noProof/>
                <w:lang w:eastAsia="fr-FR"/>
              </w:rPr>
            </w:pPr>
            <w:r w:rsidRPr="00047596">
              <w:rPr>
                <w:rFonts w:ascii="Times New Roman" w:eastAsia="맑은 고딕" w:hAnsi="Times New Roman" w:cs="Times New Roman"/>
                <w:noProof/>
                <w:lang w:eastAsia="fr-FR"/>
              </w:rPr>
              <w:t>Tel: + 31 20 888 7300</w:t>
            </w:r>
          </w:p>
          <w:p w14:paraId="773DBE38" w14:textId="77777777" w:rsidR="001E1700" w:rsidRPr="00047596" w:rsidRDefault="001E1700" w:rsidP="001E1700">
            <w:pPr>
              <w:rPr>
                <w:rFonts w:ascii="Times New Roman" w:eastAsia="맑은 고딕" w:hAnsi="Times New Roman" w:cs="Times New Roman"/>
                <w:noProof/>
                <w:lang w:val="sl-SI" w:eastAsia="fr-FR"/>
              </w:rPr>
            </w:pPr>
          </w:p>
        </w:tc>
      </w:tr>
      <w:tr w:rsidR="001E1700" w14:paraId="08A953DA" w14:textId="77777777">
        <w:tc>
          <w:tcPr>
            <w:tcW w:w="2500" w:type="pct"/>
            <w:hideMark/>
          </w:tcPr>
          <w:p w14:paraId="49031522" w14:textId="77777777" w:rsidR="001E1700" w:rsidRPr="00047596" w:rsidRDefault="001E1700" w:rsidP="001E1700">
            <w:pPr>
              <w:tabs>
                <w:tab w:val="left" w:pos="-720"/>
                <w:tab w:val="left" w:pos="4536"/>
              </w:tabs>
              <w:suppressAutoHyphens/>
              <w:rPr>
                <w:rFonts w:ascii="Times New Roman" w:hAnsi="Times New Roman" w:cs="Times New Roman"/>
                <w:b/>
                <w:noProof/>
                <w:lang w:val="en-GB" w:eastAsia="fr-FR"/>
              </w:rPr>
            </w:pPr>
            <w:r w:rsidRPr="00047596">
              <w:rPr>
                <w:rFonts w:ascii="Times New Roman" w:eastAsia="맑은 고딕" w:hAnsi="Times New Roman" w:cs="Times New Roman"/>
                <w:b/>
                <w:noProof/>
                <w:lang w:val="en-GB" w:eastAsia="fr-FR"/>
              </w:rPr>
              <w:t>Eesti</w:t>
            </w:r>
          </w:p>
          <w:p w14:paraId="164EA0AE" w14:textId="77777777" w:rsidR="001E1700" w:rsidRPr="00047596" w:rsidRDefault="001E1700" w:rsidP="001E1700">
            <w:pPr>
              <w:rPr>
                <w:rFonts w:ascii="Times New Roman" w:eastAsia="맑은 고딕" w:hAnsi="Times New Roman" w:cs="Times New Roman"/>
                <w:noProof/>
                <w:lang w:val="en-GB" w:eastAsia="fr-FR"/>
              </w:rPr>
            </w:pPr>
            <w:r w:rsidRPr="00047596">
              <w:rPr>
                <w:rFonts w:ascii="Times New Roman" w:eastAsia="맑은 고딕" w:hAnsi="Times New Roman" w:cs="Times New Roman"/>
                <w:noProof/>
                <w:lang w:val="en-GB" w:eastAsia="fr-FR"/>
              </w:rPr>
              <w:t>Celltrion Healthcare Hungary Kft.</w:t>
            </w:r>
          </w:p>
          <w:p w14:paraId="6176F931" w14:textId="77777777" w:rsidR="001E1700" w:rsidRPr="00047596" w:rsidRDefault="001E1700" w:rsidP="001E1700">
            <w:pPr>
              <w:tabs>
                <w:tab w:val="left" w:pos="-720"/>
              </w:tabs>
              <w:suppressAutoHyphens/>
              <w:rPr>
                <w:rFonts w:ascii="Times New Roman" w:eastAsia="맑은 고딕" w:hAnsi="Times New Roman" w:cs="Times New Roman"/>
                <w:noProof/>
                <w:lang w:val="fi-FI" w:eastAsia="fr-FR"/>
              </w:rPr>
            </w:pPr>
            <w:r w:rsidRPr="00047596">
              <w:rPr>
                <w:rFonts w:ascii="Times New Roman" w:eastAsia="맑은 고딕" w:hAnsi="Times New Roman" w:cs="Times New Roman"/>
                <w:noProof/>
                <w:lang w:eastAsia="fr-FR"/>
              </w:rPr>
              <w:t xml:space="preserve">Tel: </w:t>
            </w:r>
            <w:r w:rsidRPr="00047596">
              <w:rPr>
                <w:rFonts w:ascii="Times New Roman" w:eastAsia="맑은 고딕" w:hAnsi="Times New Roman" w:cs="Times New Roman"/>
                <w:noProof/>
                <w:lang w:val="fi-FI" w:eastAsia="fr-FR"/>
              </w:rPr>
              <w:t>+36 1 231 0493</w:t>
            </w:r>
          </w:p>
          <w:p w14:paraId="3BDE95F5" w14:textId="77777777" w:rsidR="001E1700" w:rsidRPr="00047596" w:rsidRDefault="001E1700" w:rsidP="001E1700">
            <w:pPr>
              <w:tabs>
                <w:tab w:val="left" w:pos="-720"/>
              </w:tabs>
              <w:suppressAutoHyphens/>
              <w:rPr>
                <w:rFonts w:ascii="Times New Roman" w:eastAsia="맑은 고딕" w:hAnsi="Times New Roman" w:cs="Times New Roman"/>
                <w:noProof/>
                <w:lang w:val="sl-SI" w:eastAsia="ko-KR"/>
              </w:rPr>
            </w:pPr>
          </w:p>
        </w:tc>
        <w:tc>
          <w:tcPr>
            <w:tcW w:w="2500" w:type="pct"/>
          </w:tcPr>
          <w:p w14:paraId="2C42BFAB" w14:textId="77777777" w:rsidR="001E1700" w:rsidRPr="00047596" w:rsidRDefault="001E1700" w:rsidP="001E1700">
            <w:pPr>
              <w:tabs>
                <w:tab w:val="left" w:pos="-720"/>
              </w:tabs>
              <w:suppressAutoHyphens/>
              <w:rPr>
                <w:rFonts w:ascii="Times New Roman" w:hAnsi="Times New Roman" w:cs="Times New Roman"/>
                <w:noProof/>
                <w:lang w:eastAsia="fr-FR"/>
              </w:rPr>
            </w:pPr>
            <w:r w:rsidRPr="00047596">
              <w:rPr>
                <w:rFonts w:ascii="Times New Roman" w:eastAsia="맑은 고딕" w:hAnsi="Times New Roman" w:cs="Times New Roman"/>
                <w:b/>
                <w:noProof/>
                <w:lang w:eastAsia="fr-FR"/>
              </w:rPr>
              <w:t>Norge</w:t>
            </w:r>
          </w:p>
          <w:p w14:paraId="17BFC80F" w14:textId="65E4AE92" w:rsidR="001E1700" w:rsidRPr="00047596" w:rsidRDefault="001E1700" w:rsidP="001E1700">
            <w:pPr>
              <w:rPr>
                <w:rFonts w:ascii="Times New Roman" w:eastAsia="맑은 고딕" w:hAnsi="Times New Roman" w:cs="Times New Roman"/>
                <w:noProof/>
                <w:lang w:eastAsia="fr-FR"/>
              </w:rPr>
            </w:pPr>
            <w:r w:rsidRPr="00047596">
              <w:rPr>
                <w:rFonts w:ascii="Times New Roman" w:eastAsia="맑은 고딕" w:hAnsi="Times New Roman" w:cs="Times New Roman"/>
                <w:noProof/>
                <w:lang w:eastAsia="fr-FR"/>
              </w:rPr>
              <w:t xml:space="preserve">Celltrion Healthcare </w:t>
            </w:r>
            <w:r w:rsidRPr="00047596">
              <w:rPr>
                <w:rFonts w:ascii="Times New Roman" w:eastAsia="맑은 고딕" w:hAnsi="Times New Roman" w:cs="Times New Roman"/>
                <w:noProof/>
                <w:lang w:eastAsia="ko-KR"/>
              </w:rPr>
              <w:t>Norway AS</w:t>
            </w:r>
          </w:p>
          <w:p w14:paraId="402353D5" w14:textId="457638E5" w:rsidR="001E1700" w:rsidRPr="00047596" w:rsidRDefault="001E1700" w:rsidP="001E1700">
            <w:pPr>
              <w:tabs>
                <w:tab w:val="left" w:pos="-720"/>
              </w:tabs>
              <w:suppressAutoHyphens/>
              <w:rPr>
                <w:rStyle w:val="ad"/>
                <w:rFonts w:ascii="Times New Roman" w:hAnsi="Times New Roman" w:cs="Times New Roman"/>
                <w:lang w:eastAsia="ko-KR"/>
              </w:rPr>
            </w:pPr>
            <w:hyperlink r:id="rId74" w:history="1">
              <w:r w:rsidRPr="00047596">
                <w:rPr>
                  <w:rStyle w:val="ad"/>
                  <w:rFonts w:ascii="Times New Roman" w:eastAsia="맑은 고딕" w:hAnsi="Times New Roman" w:cs="Times New Roman"/>
                  <w:noProof/>
                  <w:lang w:eastAsia="ko-KR"/>
                </w:rPr>
                <w:t>Contact_no@celltrionhc.com</w:t>
              </w:r>
            </w:hyperlink>
          </w:p>
          <w:p w14:paraId="118A7B50" w14:textId="77777777" w:rsidR="001E1700" w:rsidRPr="00047596" w:rsidRDefault="001E1700" w:rsidP="001E1700">
            <w:pPr>
              <w:tabs>
                <w:tab w:val="left" w:pos="-720"/>
              </w:tabs>
              <w:suppressAutoHyphens/>
              <w:rPr>
                <w:rFonts w:ascii="Times New Roman" w:eastAsia="맑은 고딕" w:hAnsi="Times New Roman" w:cs="Times New Roman"/>
                <w:noProof/>
                <w:lang w:val="sl-SI" w:eastAsia="ko-KR"/>
              </w:rPr>
            </w:pPr>
          </w:p>
        </w:tc>
      </w:tr>
      <w:tr w:rsidR="00E04C8A" w:rsidRPr="00AC7013" w14:paraId="22A1F161" w14:textId="77777777">
        <w:tc>
          <w:tcPr>
            <w:tcW w:w="2500" w:type="pct"/>
            <w:hideMark/>
          </w:tcPr>
          <w:p w14:paraId="630296FA" w14:textId="77777777" w:rsidR="00E04C8A" w:rsidRPr="00047596" w:rsidRDefault="008E1817">
            <w:pPr>
              <w:rPr>
                <w:rFonts w:ascii="Times New Roman" w:hAnsi="Times New Roman" w:cs="Times New Roman"/>
                <w:noProof/>
                <w:lang w:val="sl-SI" w:eastAsia="fr-FR"/>
              </w:rPr>
            </w:pPr>
            <w:r w:rsidRPr="00047596">
              <w:rPr>
                <w:rFonts w:ascii="Times New Roman" w:hAnsi="Times New Roman" w:cs="Times New Roman"/>
                <w:b/>
                <w:noProof/>
                <w:lang w:val="sl-SI"/>
              </w:rPr>
              <w:t>España</w:t>
            </w:r>
          </w:p>
          <w:p w14:paraId="7566EB47" w14:textId="77777777" w:rsidR="00E04C8A" w:rsidRPr="00047596" w:rsidRDefault="008E1817">
            <w:pPr>
              <w:rPr>
                <w:rFonts w:ascii="Times New Roman" w:eastAsia="맑은 고딕" w:hAnsi="Times New Roman" w:cs="Times New Roman"/>
                <w:noProof/>
                <w:lang w:val="sl-SI" w:eastAsia="fr-FR"/>
              </w:rPr>
            </w:pPr>
            <w:r w:rsidRPr="00047596">
              <w:rPr>
                <w:rFonts w:ascii="Times New Roman" w:eastAsia="맑은 고딕" w:hAnsi="Times New Roman" w:cs="Times New Roman"/>
                <w:noProof/>
                <w:lang w:val="sl-SI" w:eastAsia="fr-FR"/>
              </w:rPr>
              <w:t>Kern Pharma, S.L.</w:t>
            </w:r>
          </w:p>
          <w:p w14:paraId="085D09AB" w14:textId="77777777" w:rsidR="00E04C8A" w:rsidRPr="00047596" w:rsidRDefault="008E1817">
            <w:pPr>
              <w:rPr>
                <w:rFonts w:ascii="Times New Roman" w:eastAsia="맑은 고딕" w:hAnsi="Times New Roman" w:cs="Times New Roman"/>
                <w:noProof/>
                <w:lang w:val="sl-SI" w:eastAsia="fr-FR"/>
              </w:rPr>
            </w:pPr>
            <w:r w:rsidRPr="00047596">
              <w:rPr>
                <w:rFonts w:ascii="Times New Roman" w:eastAsia="맑은 고딕" w:hAnsi="Times New Roman" w:cs="Times New Roman"/>
                <w:noProof/>
                <w:lang w:val="sl-SI" w:eastAsia="fr-FR"/>
              </w:rPr>
              <w:t>Tel: +34 93 700 2525</w:t>
            </w:r>
          </w:p>
          <w:p w14:paraId="744896CC" w14:textId="77777777" w:rsidR="00E04C8A" w:rsidRPr="00047596" w:rsidRDefault="00E04C8A">
            <w:pPr>
              <w:rPr>
                <w:rFonts w:ascii="Times New Roman" w:hAnsi="Times New Roman" w:cs="Times New Roman"/>
                <w:b/>
                <w:noProof/>
                <w:lang w:val="sl-SI" w:eastAsia="fr-FR"/>
              </w:rPr>
            </w:pPr>
          </w:p>
        </w:tc>
        <w:tc>
          <w:tcPr>
            <w:tcW w:w="2500" w:type="pct"/>
          </w:tcPr>
          <w:p w14:paraId="1FCDFA5C" w14:textId="77777777" w:rsidR="00E04C8A" w:rsidRPr="00047596" w:rsidRDefault="008E1817">
            <w:pPr>
              <w:rPr>
                <w:rFonts w:ascii="Times New Roman" w:hAnsi="Times New Roman" w:cs="Times New Roman"/>
                <w:noProof/>
                <w:lang w:val="sl-SI" w:eastAsia="fr-FR"/>
              </w:rPr>
            </w:pPr>
            <w:r w:rsidRPr="00047596">
              <w:rPr>
                <w:rFonts w:ascii="Times New Roman" w:hAnsi="Times New Roman" w:cs="Times New Roman"/>
                <w:b/>
                <w:noProof/>
                <w:lang w:val="sl-SI"/>
              </w:rPr>
              <w:t>Österreich</w:t>
            </w:r>
          </w:p>
          <w:p w14:paraId="3C0A64C7" w14:textId="77777777" w:rsidR="00E04C8A" w:rsidRPr="00047596" w:rsidRDefault="008E1817">
            <w:pPr>
              <w:rPr>
                <w:rFonts w:ascii="Times New Roman" w:eastAsia="맑은 고딕" w:hAnsi="Times New Roman" w:cs="Times New Roman"/>
                <w:noProof/>
                <w:lang w:val="sl-SI" w:eastAsia="ko-KR"/>
              </w:rPr>
            </w:pPr>
            <w:r w:rsidRPr="00047596">
              <w:rPr>
                <w:rFonts w:ascii="Times New Roman" w:eastAsia="맑은 고딕" w:hAnsi="Times New Roman" w:cs="Times New Roman"/>
                <w:noProof/>
                <w:lang w:val="sl-SI" w:eastAsia="fr-FR"/>
              </w:rPr>
              <w:t>Astro-Pharma GmbH</w:t>
            </w:r>
          </w:p>
          <w:p w14:paraId="75C8F976" w14:textId="77777777" w:rsidR="00E04C8A" w:rsidRPr="00047596" w:rsidRDefault="008E1817">
            <w:pPr>
              <w:tabs>
                <w:tab w:val="left" w:pos="-720"/>
              </w:tabs>
              <w:suppressAutoHyphens/>
              <w:rPr>
                <w:rFonts w:ascii="Times New Roman" w:eastAsia="맑은 고딕" w:hAnsi="Times New Roman" w:cs="Times New Roman"/>
                <w:noProof/>
                <w:lang w:val="sl-SI" w:eastAsia="fr-FR"/>
              </w:rPr>
            </w:pPr>
            <w:r w:rsidRPr="00047596">
              <w:rPr>
                <w:rFonts w:ascii="Times New Roman" w:eastAsia="맑은 고딕" w:hAnsi="Times New Roman" w:cs="Times New Roman"/>
                <w:noProof/>
                <w:lang w:val="sl-SI" w:eastAsia="fr-FR"/>
              </w:rPr>
              <w:t>Tel: +43 1 97 99 860</w:t>
            </w:r>
          </w:p>
          <w:p w14:paraId="3A171589" w14:textId="77777777" w:rsidR="00E04C8A" w:rsidRPr="00047596" w:rsidRDefault="00E04C8A">
            <w:pPr>
              <w:tabs>
                <w:tab w:val="left" w:pos="-720"/>
              </w:tabs>
              <w:suppressAutoHyphens/>
              <w:rPr>
                <w:rFonts w:ascii="Times New Roman" w:hAnsi="Times New Roman" w:cs="Times New Roman"/>
                <w:noProof/>
                <w:lang w:val="sl-SI" w:eastAsia="fr-FR"/>
              </w:rPr>
            </w:pPr>
          </w:p>
        </w:tc>
      </w:tr>
      <w:tr w:rsidR="00E04C8A" w14:paraId="5F008580" w14:textId="77777777">
        <w:tc>
          <w:tcPr>
            <w:tcW w:w="2500" w:type="pct"/>
          </w:tcPr>
          <w:p w14:paraId="39B5CA17" w14:textId="77777777" w:rsidR="00E04C8A" w:rsidRDefault="008E1817">
            <w:pPr>
              <w:rPr>
                <w:rFonts w:ascii="Times New Roman" w:hAnsi="Times New Roman" w:cs="Times New Roman"/>
                <w:b/>
                <w:noProof/>
                <w:lang w:val="sl-SI" w:eastAsia="fr-FR"/>
              </w:rPr>
            </w:pPr>
            <w:r>
              <w:rPr>
                <w:rFonts w:ascii="Times New Roman" w:hAnsi="Times New Roman" w:cs="Times New Roman"/>
                <w:b/>
                <w:noProof/>
                <w:lang w:val="sl-SI" w:eastAsia="fr-FR"/>
              </w:rPr>
              <w:t>Ελλάδα</w:t>
            </w:r>
          </w:p>
          <w:p w14:paraId="0E16A282" w14:textId="77777777" w:rsidR="00E04C8A" w:rsidRDefault="008E1817">
            <w:pPr>
              <w:rPr>
                <w:rFonts w:ascii="Times New Roman" w:hAnsi="Times New Roman" w:cs="Times New Roman"/>
                <w:noProof/>
                <w:lang w:val="sl-SI" w:eastAsia="fr-FR"/>
              </w:rPr>
            </w:pPr>
            <w:r>
              <w:rPr>
                <w:rFonts w:ascii="Times New Roman" w:hAnsi="Times New Roman" w:cs="Times New Roman"/>
                <w:noProof/>
                <w:lang w:val="sl-SI" w:eastAsia="fr-FR"/>
              </w:rPr>
              <w:t>ΒΙΑΝΕΞ Α.Ε.</w:t>
            </w:r>
          </w:p>
          <w:p w14:paraId="15651A03" w14:textId="76C296DA" w:rsidR="00E04C8A" w:rsidRDefault="008E1817">
            <w:pPr>
              <w:rPr>
                <w:rFonts w:ascii="Times New Roman" w:hAnsi="Times New Roman" w:cs="Times New Roman"/>
                <w:noProof/>
                <w:lang w:val="sl-SI" w:eastAsia="fr-FR"/>
              </w:rPr>
            </w:pPr>
            <w:r>
              <w:rPr>
                <w:rFonts w:ascii="Times New Roman" w:hAnsi="Times New Roman" w:cs="Times New Roman"/>
                <w:noProof/>
                <w:lang w:val="sl-SI" w:eastAsia="fr-FR"/>
              </w:rPr>
              <w:t>Τηλ: +30 210 8009111</w:t>
            </w:r>
          </w:p>
          <w:p w14:paraId="62A3B530" w14:textId="77777777" w:rsidR="00E04C8A" w:rsidRDefault="00E04C8A">
            <w:pPr>
              <w:rPr>
                <w:rFonts w:ascii="Times New Roman" w:eastAsia="맑은 고딕" w:hAnsi="Times New Roman" w:cs="Times New Roman"/>
                <w:noProof/>
                <w:lang w:val="sl-SI" w:eastAsia="fr-FR"/>
              </w:rPr>
            </w:pPr>
          </w:p>
        </w:tc>
        <w:tc>
          <w:tcPr>
            <w:tcW w:w="2500" w:type="pct"/>
          </w:tcPr>
          <w:p w14:paraId="3D6AD2F2" w14:textId="77777777" w:rsidR="00E04C8A" w:rsidRDefault="008E1817">
            <w:pPr>
              <w:rPr>
                <w:rFonts w:ascii="Times New Roman" w:eastAsia="맑은 고딕" w:hAnsi="Times New Roman" w:cs="Times New Roman"/>
                <w:b/>
                <w:noProof/>
                <w:lang w:val="sl-SI" w:eastAsia="fr-FR"/>
              </w:rPr>
            </w:pPr>
            <w:r>
              <w:rPr>
                <w:rFonts w:ascii="Times New Roman" w:eastAsia="맑은 고딕" w:hAnsi="Times New Roman" w:cs="Times New Roman"/>
                <w:b/>
                <w:noProof/>
                <w:lang w:val="sl-SI" w:eastAsia="fr-FR"/>
              </w:rPr>
              <w:t>Polska</w:t>
            </w:r>
          </w:p>
          <w:p w14:paraId="0E3C5A80" w14:textId="77777777" w:rsidR="00601584" w:rsidRDefault="00601584" w:rsidP="0060158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3C689134" w14:textId="4716CE3E" w:rsidR="00601584" w:rsidRDefault="00601584" w:rsidP="0060158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w:t>
            </w:r>
            <w:r w:rsidR="00276580">
              <w:rPr>
                <w:rFonts w:ascii="Times New Roman" w:eastAsia="맑은 고딕" w:hAnsi="Times New Roman" w:cs="Times New Roman"/>
                <w:noProof/>
                <w:lang w:val="sl-SI" w:eastAsia="fr-FR"/>
              </w:rPr>
              <w:t>.</w:t>
            </w:r>
            <w:r>
              <w:rPr>
                <w:rFonts w:ascii="Times New Roman" w:eastAsia="맑은 고딕" w:hAnsi="Times New Roman" w:cs="Times New Roman"/>
                <w:noProof/>
                <w:lang w:val="sl-SI" w:eastAsia="fr-FR"/>
              </w:rPr>
              <w:t>: +36 1 231 0493</w:t>
            </w:r>
          </w:p>
          <w:p w14:paraId="50E79308" w14:textId="77777777" w:rsidR="00E04C8A" w:rsidRPr="00601584" w:rsidRDefault="00E04C8A">
            <w:pPr>
              <w:rPr>
                <w:rFonts w:ascii="Times New Roman" w:hAnsi="Times New Roman" w:cs="Times New Roman"/>
                <w:b/>
                <w:noProof/>
                <w:lang w:val="sl-SI"/>
              </w:rPr>
            </w:pPr>
          </w:p>
        </w:tc>
      </w:tr>
      <w:tr w:rsidR="00E04C8A" w:rsidRPr="00652F18" w14:paraId="2708A7E3" w14:textId="77777777">
        <w:tc>
          <w:tcPr>
            <w:tcW w:w="2500" w:type="pct"/>
          </w:tcPr>
          <w:p w14:paraId="320E7969" w14:textId="77777777" w:rsidR="00E04C8A" w:rsidRDefault="008E1817">
            <w:pPr>
              <w:rPr>
                <w:rFonts w:ascii="Times New Roman" w:hAnsi="Times New Roman" w:cs="Times New Roman"/>
                <w:b/>
                <w:noProof/>
                <w:lang w:val="sl-SI" w:eastAsia="ko-KR"/>
              </w:rPr>
            </w:pPr>
            <w:r>
              <w:rPr>
                <w:rFonts w:ascii="Times New Roman" w:hAnsi="Times New Roman" w:cs="Times New Roman"/>
                <w:b/>
                <w:noProof/>
                <w:lang w:val="sl-SI" w:eastAsia="ko-KR"/>
              </w:rPr>
              <w:t>France</w:t>
            </w:r>
          </w:p>
          <w:p w14:paraId="705478EC" w14:textId="64F12456" w:rsidR="00E04C8A" w:rsidRDefault="000518B8">
            <w:pPr>
              <w:rPr>
                <w:rFonts w:ascii="Times New Roman" w:hAnsi="Times New Roman" w:cs="Times New Roman"/>
                <w:noProof/>
                <w:lang w:val="sl-SI" w:eastAsia="ko-KR"/>
              </w:rPr>
            </w:pPr>
            <w:r w:rsidRPr="000518B8">
              <w:rPr>
                <w:rFonts w:ascii="Times New Roman" w:hAnsi="Times New Roman" w:cs="Times New Roman"/>
                <w:noProof/>
                <w:lang w:val="sl-SI" w:eastAsia="ko-KR"/>
              </w:rPr>
              <w:t>Celltrion Healthcare France SAS</w:t>
            </w:r>
          </w:p>
          <w:p w14:paraId="73AFF662" w14:textId="77777777" w:rsidR="00E04C8A" w:rsidRDefault="008E1817">
            <w:pPr>
              <w:rPr>
                <w:rFonts w:ascii="Times New Roman" w:eastAsia="맑은 고딕" w:hAnsi="Times New Roman" w:cs="Times New Roman"/>
                <w:noProof/>
                <w:lang w:val="sl-SI" w:eastAsia="ko-KR"/>
              </w:rPr>
            </w:pPr>
            <w:r>
              <w:rPr>
                <w:rFonts w:ascii="Times New Roman" w:hAnsi="Times New Roman" w:cs="Times New Roman"/>
                <w:noProof/>
                <w:lang w:val="sl-SI" w:eastAsia="ko-KR"/>
              </w:rPr>
              <w:t>T</w:t>
            </w:r>
            <w:r>
              <w:rPr>
                <w:rFonts w:ascii="Times New Roman" w:hAnsi="Times New Roman" w:cs="Times New Roman"/>
                <w:lang w:val="sl-SI"/>
              </w:rPr>
              <w:t>é</w:t>
            </w:r>
            <w:r>
              <w:rPr>
                <w:rFonts w:ascii="Times New Roman" w:hAnsi="Times New Roman" w:cs="Times New Roman"/>
                <w:noProof/>
                <w:lang w:val="sl-SI" w:eastAsia="ko-KR"/>
              </w:rPr>
              <w:t>l.: +33 (0)1 71 25 27 00</w:t>
            </w:r>
          </w:p>
          <w:p w14:paraId="408C0929" w14:textId="77777777" w:rsidR="00E04C8A" w:rsidRDefault="00E04C8A">
            <w:pPr>
              <w:rPr>
                <w:rFonts w:ascii="Times New Roman" w:eastAsia="맑은 고딕" w:hAnsi="Times New Roman" w:cs="Times New Roman"/>
                <w:noProof/>
                <w:lang w:val="sl-SI" w:eastAsia="fr-FR"/>
              </w:rPr>
            </w:pPr>
          </w:p>
        </w:tc>
        <w:tc>
          <w:tcPr>
            <w:tcW w:w="2500" w:type="pct"/>
          </w:tcPr>
          <w:p w14:paraId="68E7B08D" w14:textId="77777777" w:rsidR="004D5EDF" w:rsidRPr="002F72A3" w:rsidRDefault="004D5EDF" w:rsidP="004D5EDF">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1B6CFD92" w14:textId="313856C1" w:rsidR="004D5EDF" w:rsidRDefault="004D5EDF" w:rsidP="004D5EDF">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3F48968B" w14:textId="5964E77A" w:rsidR="004D5EDF" w:rsidRPr="00323C29" w:rsidRDefault="004D5EDF" w:rsidP="004D5EDF">
            <w:pPr>
              <w:rPr>
                <w:rFonts w:ascii="Times New Roman" w:eastAsia="맑은 고딕" w:hAnsi="Times New Roman" w:cs="Times New Roman"/>
                <w:noProof/>
                <w:lang w:val="fr-CA" w:eastAsia="fr-FR"/>
              </w:rPr>
            </w:pPr>
            <w:r w:rsidRPr="00323C29">
              <w:rPr>
                <w:rFonts w:ascii="Times New Roman" w:eastAsia="맑은 고딕" w:hAnsi="Times New Roman" w:cs="Times New Roman"/>
                <w:noProof/>
                <w:lang w:val="fr-CA" w:eastAsia="fr-FR"/>
              </w:rPr>
              <w:t>Tel: +351 21 936 8542</w:t>
            </w:r>
          </w:p>
          <w:p w14:paraId="05519D35" w14:textId="77777777" w:rsidR="00E04C8A" w:rsidRDefault="00E04C8A">
            <w:pPr>
              <w:rPr>
                <w:rFonts w:ascii="Times New Roman" w:hAnsi="Times New Roman" w:cs="Times New Roman"/>
                <w:b/>
                <w:noProof/>
                <w:lang w:val="sl-SI"/>
              </w:rPr>
            </w:pPr>
          </w:p>
        </w:tc>
      </w:tr>
      <w:tr w:rsidR="00E04C8A" w14:paraId="5DD2E3E7" w14:textId="77777777">
        <w:tc>
          <w:tcPr>
            <w:tcW w:w="2500" w:type="pct"/>
          </w:tcPr>
          <w:p w14:paraId="121D7AB2" w14:textId="77777777" w:rsidR="00E04C8A" w:rsidRDefault="008E1817">
            <w:pPr>
              <w:rPr>
                <w:rFonts w:ascii="Times New Roman" w:hAnsi="Times New Roman" w:cs="Times New Roman"/>
                <w:b/>
                <w:noProof/>
                <w:lang w:val="sl-SI" w:eastAsia="ko-KR"/>
              </w:rPr>
            </w:pPr>
            <w:r>
              <w:rPr>
                <w:rFonts w:ascii="Times New Roman" w:hAnsi="Times New Roman" w:cs="Times New Roman"/>
                <w:b/>
                <w:noProof/>
                <w:lang w:val="sl-SI" w:eastAsia="ko-KR"/>
              </w:rPr>
              <w:t>Hrvatska</w:t>
            </w:r>
          </w:p>
          <w:p w14:paraId="0FF8C03B" w14:textId="77777777" w:rsidR="00E04C8A" w:rsidRDefault="008E1817">
            <w:pPr>
              <w:rPr>
                <w:rFonts w:ascii="Times New Roman" w:hAnsi="Times New Roman" w:cs="Times New Roman"/>
                <w:noProof/>
                <w:lang w:val="sl-SI" w:eastAsia="ko-KR"/>
              </w:rPr>
            </w:pPr>
            <w:r>
              <w:rPr>
                <w:rFonts w:ascii="Times New Roman" w:hAnsi="Times New Roman" w:cs="Times New Roman"/>
                <w:noProof/>
                <w:lang w:val="sl-SI" w:eastAsia="ko-KR"/>
              </w:rPr>
              <w:t>Oktal Pharma d.o.o.</w:t>
            </w:r>
          </w:p>
          <w:p w14:paraId="54F34870" w14:textId="77777777" w:rsidR="00E04C8A" w:rsidRDefault="008E1817">
            <w:pPr>
              <w:rPr>
                <w:rFonts w:ascii="Times New Roman" w:hAnsi="Times New Roman" w:cs="Times New Roman"/>
                <w:noProof/>
                <w:lang w:val="sl-SI" w:eastAsia="ko-KR"/>
              </w:rPr>
            </w:pPr>
            <w:r>
              <w:rPr>
                <w:rFonts w:ascii="Times New Roman" w:hAnsi="Times New Roman" w:cs="Times New Roman"/>
                <w:noProof/>
                <w:lang w:val="sl-SI" w:eastAsia="ko-KR"/>
              </w:rPr>
              <w:t>Tel: +385 1 6595 777</w:t>
            </w:r>
          </w:p>
          <w:p w14:paraId="142EC296" w14:textId="77777777" w:rsidR="00E04C8A" w:rsidRDefault="00E04C8A">
            <w:pPr>
              <w:rPr>
                <w:rFonts w:ascii="Times New Roman" w:eastAsia="맑은 고딕" w:hAnsi="Times New Roman" w:cs="Times New Roman"/>
                <w:noProof/>
                <w:lang w:val="sl-SI" w:eastAsia="fr-FR"/>
              </w:rPr>
            </w:pPr>
          </w:p>
        </w:tc>
        <w:tc>
          <w:tcPr>
            <w:tcW w:w="2500" w:type="pct"/>
          </w:tcPr>
          <w:p w14:paraId="60EBBC6C" w14:textId="77777777" w:rsidR="00E04C8A" w:rsidRDefault="008E1817">
            <w:pPr>
              <w:tabs>
                <w:tab w:val="left" w:pos="-720"/>
              </w:tabs>
              <w:suppressAutoHyphens/>
              <w:rPr>
                <w:rFonts w:ascii="Times New Roman" w:eastAsia="맑은 고딕" w:hAnsi="Times New Roman" w:cs="Times New Roman"/>
                <w:b/>
                <w:noProof/>
                <w:lang w:val="sl-SI" w:eastAsia="fr-FR"/>
              </w:rPr>
            </w:pPr>
            <w:r>
              <w:rPr>
                <w:rFonts w:ascii="Times New Roman" w:hAnsi="Times New Roman" w:cs="Times New Roman"/>
                <w:b/>
                <w:noProof/>
                <w:lang w:val="sl-SI"/>
              </w:rPr>
              <w:t>România</w:t>
            </w:r>
          </w:p>
          <w:p w14:paraId="2DFCE010" w14:textId="77777777" w:rsidR="00601584" w:rsidRDefault="00601584" w:rsidP="0060158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592C95C3" w14:textId="77777777" w:rsidR="00601584" w:rsidRDefault="00601584" w:rsidP="0060158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6BCACACC" w14:textId="77777777" w:rsidR="00E04C8A" w:rsidRPr="00601584" w:rsidRDefault="00E04C8A">
            <w:pPr>
              <w:rPr>
                <w:rFonts w:ascii="Times New Roman" w:hAnsi="Times New Roman" w:cs="Times New Roman"/>
                <w:b/>
                <w:noProof/>
                <w:lang w:val="sl-SI"/>
              </w:rPr>
            </w:pPr>
          </w:p>
        </w:tc>
      </w:tr>
      <w:tr w:rsidR="00E04C8A" w14:paraId="13C0B416" w14:textId="77777777">
        <w:tc>
          <w:tcPr>
            <w:tcW w:w="2500" w:type="pct"/>
          </w:tcPr>
          <w:p w14:paraId="7E7DEF0E" w14:textId="77777777" w:rsidR="00E04C8A" w:rsidRDefault="008E1817">
            <w:pPr>
              <w:tabs>
                <w:tab w:val="left" w:pos="-720"/>
              </w:tabs>
              <w:suppressAutoHyphens/>
              <w:rPr>
                <w:rFonts w:ascii="Times New Roman" w:hAnsi="Times New Roman" w:cs="Times New Roman"/>
                <w:noProof/>
                <w:lang w:val="sl-SI" w:eastAsia="fr-FR"/>
              </w:rPr>
            </w:pPr>
            <w:r>
              <w:rPr>
                <w:rFonts w:ascii="Times New Roman" w:eastAsia="맑은 고딕" w:hAnsi="Times New Roman" w:cs="Times New Roman"/>
                <w:b/>
                <w:noProof/>
                <w:lang w:val="sl-SI" w:eastAsia="fr-FR"/>
              </w:rPr>
              <w:t>Ireland</w:t>
            </w:r>
          </w:p>
          <w:p w14:paraId="4048D9A2" w14:textId="77777777" w:rsidR="00E04C8A" w:rsidRDefault="008E181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Ireland Limited</w:t>
            </w:r>
          </w:p>
          <w:p w14:paraId="45D1E4E8" w14:textId="77777777" w:rsidR="00E04C8A" w:rsidRDefault="008E181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+353 1 223 4026</w:t>
            </w:r>
          </w:p>
          <w:p w14:paraId="204775F2" w14:textId="77777777" w:rsidR="00E04C8A" w:rsidRDefault="00E04C8A">
            <w:pPr>
              <w:rPr>
                <w:rFonts w:ascii="Times New Roman" w:eastAsia="맑은 고딕" w:hAnsi="Times New Roman" w:cs="Times New Roman"/>
                <w:noProof/>
                <w:lang w:val="sl-SI" w:eastAsia="fr-FR"/>
              </w:rPr>
            </w:pPr>
          </w:p>
        </w:tc>
        <w:tc>
          <w:tcPr>
            <w:tcW w:w="2500" w:type="pct"/>
          </w:tcPr>
          <w:p w14:paraId="70847A56" w14:textId="77777777" w:rsidR="00E04C8A" w:rsidRDefault="008E1817">
            <w:pPr>
              <w:rPr>
                <w:rFonts w:ascii="Times New Roman" w:eastAsia="맑은 고딕" w:hAnsi="Times New Roman" w:cs="Times New Roman"/>
                <w:b/>
                <w:noProof/>
                <w:lang w:val="sl-SI" w:eastAsia="fr-FR"/>
              </w:rPr>
            </w:pPr>
            <w:r>
              <w:rPr>
                <w:rFonts w:ascii="Times New Roman" w:eastAsia="맑은 고딕" w:hAnsi="Times New Roman" w:cs="Times New Roman"/>
                <w:b/>
                <w:noProof/>
                <w:lang w:val="sl-SI" w:eastAsia="fr-FR"/>
              </w:rPr>
              <w:t>Slovenija</w:t>
            </w:r>
          </w:p>
          <w:p w14:paraId="255622A4" w14:textId="77777777" w:rsidR="00E04C8A" w:rsidRDefault="008E181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OPH Oktal Pharma d.o.o.</w:t>
            </w:r>
          </w:p>
          <w:p w14:paraId="747BA88B" w14:textId="77777777" w:rsidR="00E04C8A" w:rsidRDefault="008E181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+386 1 519 29 22</w:t>
            </w:r>
          </w:p>
          <w:p w14:paraId="46FDDAD3" w14:textId="77777777" w:rsidR="00E04C8A" w:rsidRDefault="00E04C8A">
            <w:pPr>
              <w:rPr>
                <w:rFonts w:ascii="Times New Roman" w:hAnsi="Times New Roman" w:cs="Times New Roman"/>
                <w:b/>
                <w:noProof/>
                <w:lang w:val="sl-SI"/>
              </w:rPr>
            </w:pPr>
          </w:p>
        </w:tc>
      </w:tr>
      <w:tr w:rsidR="00E04C8A" w14:paraId="6CD54174" w14:textId="77777777">
        <w:tc>
          <w:tcPr>
            <w:tcW w:w="2500" w:type="pct"/>
          </w:tcPr>
          <w:p w14:paraId="62C964E4" w14:textId="77777777" w:rsidR="00E04C8A" w:rsidRDefault="008E1817">
            <w:pPr>
              <w:rPr>
                <w:rFonts w:ascii="Times New Roman" w:eastAsia="맑은 고딕" w:hAnsi="Times New Roman" w:cs="Times New Roman"/>
                <w:noProof/>
                <w:lang w:val="sl-SI" w:eastAsia="fr-FR"/>
              </w:rPr>
            </w:pPr>
            <w:r>
              <w:rPr>
                <w:rFonts w:ascii="Times New Roman" w:eastAsia="맑은 고딕" w:hAnsi="Times New Roman" w:cs="Times New Roman"/>
                <w:b/>
                <w:noProof/>
                <w:lang w:val="sl-SI" w:eastAsia="fr-FR"/>
              </w:rPr>
              <w:t>Ísland</w:t>
            </w:r>
          </w:p>
          <w:p w14:paraId="633061CE" w14:textId="77777777" w:rsidR="00E04C8A" w:rsidRDefault="008E1817">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52251A04" w14:textId="77777777" w:rsidR="00E04C8A" w:rsidRDefault="008E181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Sími: +36 1 231 0493</w:t>
            </w:r>
          </w:p>
          <w:p w14:paraId="7463E0CB" w14:textId="77777777" w:rsidR="00E04C8A" w:rsidRDefault="00E04C8A">
            <w:pPr>
              <w:rPr>
                <w:rFonts w:ascii="Times New Roman" w:eastAsia="맑은 고딕" w:hAnsi="Times New Roman" w:cs="Times New Roman"/>
                <w:noProof/>
                <w:lang w:val="sl-SI" w:eastAsia="fr-FR"/>
              </w:rPr>
            </w:pPr>
          </w:p>
        </w:tc>
        <w:tc>
          <w:tcPr>
            <w:tcW w:w="2500" w:type="pct"/>
          </w:tcPr>
          <w:p w14:paraId="36B3C7AE" w14:textId="77777777" w:rsidR="00E04C8A" w:rsidRDefault="008E1817">
            <w:pPr>
              <w:rPr>
                <w:rFonts w:ascii="Times New Roman" w:eastAsia="맑은 고딕" w:hAnsi="Times New Roman" w:cs="Times New Roman"/>
                <w:b/>
                <w:noProof/>
                <w:lang w:val="sl-SI" w:eastAsia="fr-FR"/>
              </w:rPr>
            </w:pPr>
            <w:r>
              <w:rPr>
                <w:rFonts w:ascii="Times New Roman" w:hAnsi="Times New Roman" w:cs="Times New Roman"/>
                <w:b/>
                <w:noProof/>
                <w:lang w:val="sl-SI"/>
              </w:rPr>
              <w:t>Slovenská republika</w:t>
            </w:r>
          </w:p>
          <w:p w14:paraId="46B1E6F6" w14:textId="77777777" w:rsidR="00601584" w:rsidRDefault="00601584" w:rsidP="0060158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31F63B2B" w14:textId="77777777" w:rsidR="00601584" w:rsidRDefault="00601584" w:rsidP="0060158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7CDE0791" w14:textId="77777777" w:rsidR="00E04C8A" w:rsidRPr="00601584" w:rsidRDefault="00E04C8A">
            <w:pPr>
              <w:rPr>
                <w:rFonts w:ascii="Times New Roman" w:eastAsia="맑은 고딕" w:hAnsi="Times New Roman" w:cs="Times New Roman"/>
                <w:b/>
                <w:noProof/>
                <w:lang w:val="sl-SI" w:eastAsia="fr-FR"/>
              </w:rPr>
            </w:pPr>
          </w:p>
        </w:tc>
      </w:tr>
      <w:tr w:rsidR="00E04C8A" w14:paraId="077EC010" w14:textId="77777777">
        <w:tc>
          <w:tcPr>
            <w:tcW w:w="2500" w:type="pct"/>
          </w:tcPr>
          <w:p w14:paraId="4C3D020A" w14:textId="77777777" w:rsidR="00E04C8A" w:rsidRDefault="008E1817">
            <w:pPr>
              <w:rPr>
                <w:rFonts w:ascii="Times New Roman" w:hAnsi="Times New Roman" w:cs="Times New Roman"/>
                <w:noProof/>
                <w:lang w:val="sl-SI" w:eastAsia="fr-FR"/>
              </w:rPr>
            </w:pPr>
            <w:r>
              <w:rPr>
                <w:rFonts w:ascii="Times New Roman" w:eastAsia="맑은 고딕" w:hAnsi="Times New Roman" w:cs="Times New Roman"/>
                <w:b/>
                <w:noProof/>
                <w:lang w:val="sl-SI" w:eastAsia="fr-FR"/>
              </w:rPr>
              <w:t>Italia</w:t>
            </w:r>
          </w:p>
          <w:p w14:paraId="5B84200F" w14:textId="6A66A40A" w:rsidR="00E04C8A" w:rsidRDefault="008E181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Italy S.</w:t>
            </w:r>
            <w:r w:rsidR="000518B8">
              <w:rPr>
                <w:rFonts w:ascii="Times New Roman" w:eastAsia="맑은 고딕" w:hAnsi="Times New Roman" w:cs="Times New Roman"/>
                <w:noProof/>
                <w:lang w:val="sl-SI" w:eastAsia="fr-FR"/>
              </w:rPr>
              <w:t>r</w:t>
            </w:r>
            <w:r>
              <w:rPr>
                <w:rFonts w:ascii="Times New Roman" w:eastAsia="맑은 고딕" w:hAnsi="Times New Roman" w:cs="Times New Roman"/>
                <w:noProof/>
                <w:lang w:val="sl-SI" w:eastAsia="fr-FR"/>
              </w:rPr>
              <w:t>.</w:t>
            </w:r>
            <w:r w:rsidR="000518B8">
              <w:rPr>
                <w:rFonts w:ascii="Times New Roman" w:eastAsia="맑은 고딕" w:hAnsi="Times New Roman" w:cs="Times New Roman"/>
                <w:noProof/>
                <w:lang w:val="sl-SI" w:eastAsia="fr-FR"/>
              </w:rPr>
              <w:t>l</w:t>
            </w:r>
            <w:r>
              <w:rPr>
                <w:rFonts w:ascii="Times New Roman" w:eastAsia="맑은 고딕" w:hAnsi="Times New Roman" w:cs="Times New Roman"/>
                <w:noProof/>
                <w:lang w:val="sl-SI" w:eastAsia="fr-FR"/>
              </w:rPr>
              <w:t>.</w:t>
            </w:r>
          </w:p>
          <w:p w14:paraId="76CEC4E6" w14:textId="7EB00B24" w:rsidR="00E04C8A" w:rsidRDefault="008E181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 xml:space="preserve">Tel: +39 </w:t>
            </w:r>
            <w:r w:rsidR="000518B8" w:rsidRPr="000518B8">
              <w:rPr>
                <w:rFonts w:ascii="Times New Roman" w:eastAsia="맑은 고딕" w:hAnsi="Times New Roman" w:cs="Times New Roman"/>
                <w:noProof/>
                <w:lang w:val="sl-SI" w:eastAsia="fr-FR"/>
              </w:rPr>
              <w:t>0247927040</w:t>
            </w:r>
          </w:p>
          <w:p w14:paraId="7564A982" w14:textId="77777777" w:rsidR="00E04C8A" w:rsidRDefault="00E04C8A">
            <w:pPr>
              <w:rPr>
                <w:rFonts w:ascii="Times New Roman" w:eastAsia="맑은 고딕" w:hAnsi="Times New Roman" w:cs="Times New Roman"/>
                <w:noProof/>
                <w:lang w:val="sl-SI" w:eastAsia="fr-FR"/>
              </w:rPr>
            </w:pPr>
          </w:p>
        </w:tc>
        <w:tc>
          <w:tcPr>
            <w:tcW w:w="2500" w:type="pct"/>
          </w:tcPr>
          <w:p w14:paraId="31C7C71B" w14:textId="77777777" w:rsidR="00E04C8A" w:rsidRDefault="008E1817">
            <w:pPr>
              <w:rPr>
                <w:rFonts w:ascii="Times New Roman" w:hAnsi="Times New Roman" w:cs="Times New Roman"/>
                <w:noProof/>
                <w:lang w:val="sl-SI" w:eastAsia="fr-FR"/>
              </w:rPr>
            </w:pPr>
            <w:r>
              <w:rPr>
                <w:rFonts w:ascii="Times New Roman" w:eastAsia="맑은 고딕" w:hAnsi="Times New Roman" w:cs="Times New Roman"/>
                <w:b/>
                <w:noProof/>
                <w:lang w:val="sl-SI" w:eastAsia="fr-FR"/>
              </w:rPr>
              <w:t>Suomi/Finland</w:t>
            </w:r>
          </w:p>
          <w:p w14:paraId="74809E7D" w14:textId="77777777" w:rsidR="00566D4D" w:rsidRPr="0036074E" w:rsidRDefault="00566D4D" w:rsidP="00566D4D">
            <w:pPr>
              <w:tabs>
                <w:tab w:val="left" w:pos="-720"/>
              </w:tabs>
              <w:suppressAutoHyphens/>
              <w:rPr>
                <w:rFonts w:ascii="Times New Roman" w:eastAsia="맑은 고딕" w:hAnsi="Times New Roman" w:cs="Times New Roman"/>
                <w:noProof/>
                <w:lang w:val="sl-SI" w:eastAsia="fr-FR"/>
              </w:rPr>
            </w:pPr>
            <w:r w:rsidRPr="0036074E">
              <w:rPr>
                <w:rFonts w:ascii="Times New Roman" w:eastAsia="맑은 고딕" w:hAnsi="Times New Roman" w:cs="Times New Roman"/>
                <w:noProof/>
                <w:lang w:val="sl-SI" w:eastAsia="fr-FR"/>
              </w:rPr>
              <w:t xml:space="preserve">Celltrion Healthcare Finland Oy. </w:t>
            </w:r>
          </w:p>
          <w:p w14:paraId="7B920A10" w14:textId="4A1549AE" w:rsidR="00E04C8A" w:rsidRDefault="00566D4D" w:rsidP="00566D4D">
            <w:pPr>
              <w:tabs>
                <w:tab w:val="left" w:pos="-720"/>
              </w:tabs>
              <w:suppressAutoHyphens/>
              <w:rPr>
                <w:rFonts w:ascii="Times New Roman" w:eastAsia="맑은 고딕" w:hAnsi="Times New Roman" w:cs="Times New Roman"/>
                <w:noProof/>
                <w:lang w:val="sl-SI" w:eastAsia="ko-KR"/>
              </w:rPr>
            </w:pPr>
            <w:r w:rsidRPr="0036074E">
              <w:rPr>
                <w:rFonts w:ascii="Times New Roman" w:eastAsia="맑은 고딕" w:hAnsi="Times New Roman" w:cs="Times New Roman"/>
                <w:noProof/>
                <w:lang w:val="sl-SI" w:eastAsia="fr-FR"/>
              </w:rPr>
              <w:t>Puh/Tel: +358 29 170 7755</w:t>
            </w:r>
          </w:p>
          <w:p w14:paraId="2C99131B" w14:textId="77777777" w:rsidR="00E04C8A" w:rsidRDefault="00E04C8A">
            <w:pPr>
              <w:autoSpaceDE w:val="0"/>
              <w:autoSpaceDN w:val="0"/>
              <w:adjustRightInd w:val="0"/>
              <w:rPr>
                <w:rFonts w:ascii="Times New Roman" w:eastAsia="맑은 고딕" w:hAnsi="Times New Roman" w:cs="Times New Roman"/>
                <w:noProof/>
                <w:lang w:val="sl-SI" w:eastAsia="ko-KR"/>
              </w:rPr>
            </w:pPr>
          </w:p>
        </w:tc>
      </w:tr>
      <w:tr w:rsidR="00E04C8A" w14:paraId="55EEA1DC" w14:textId="77777777">
        <w:tc>
          <w:tcPr>
            <w:tcW w:w="2500" w:type="pct"/>
          </w:tcPr>
          <w:p w14:paraId="249AE3B5" w14:textId="77777777" w:rsidR="00E04C8A" w:rsidRDefault="008E1817">
            <w:pPr>
              <w:tabs>
                <w:tab w:val="left" w:pos="-720"/>
              </w:tabs>
              <w:suppressAutoHyphens/>
              <w:rPr>
                <w:rFonts w:ascii="Times New Roman" w:hAnsi="Times New Roman" w:cs="Times New Roman"/>
                <w:b/>
                <w:bCs/>
                <w:noProof/>
                <w:lang w:val="sl-SI" w:eastAsia="fr-FR"/>
              </w:rPr>
            </w:pPr>
            <w:r>
              <w:rPr>
                <w:rFonts w:ascii="Times New Roman" w:hAnsi="Times New Roman" w:cs="Times New Roman"/>
                <w:b/>
                <w:noProof/>
                <w:lang w:val="sl-SI"/>
              </w:rPr>
              <w:lastRenderedPageBreak/>
              <w:t>Κύπρος</w:t>
            </w:r>
          </w:p>
          <w:p w14:paraId="651E4B94" w14:textId="77777777" w:rsidR="00E04C8A" w:rsidRDefault="008E1817">
            <w:pPr>
              <w:tabs>
                <w:tab w:val="left" w:pos="-720"/>
              </w:tabs>
              <w:suppressAutoHyphens/>
              <w:rPr>
                <w:rFonts w:ascii="Times New Roman" w:eastAsia="맑은 고딕" w:hAnsi="Times New Roman" w:cs="Times New Roman"/>
                <w:noProof/>
                <w:lang w:val="sl-SI" w:eastAsia="ko-KR"/>
              </w:rPr>
            </w:pPr>
            <w:r>
              <w:rPr>
                <w:rFonts w:ascii="Times New Roman" w:eastAsia="맑은 고딕" w:hAnsi="Times New Roman" w:cs="Times New Roman"/>
                <w:noProof/>
                <w:lang w:val="sl-SI" w:eastAsia="fr-FR"/>
              </w:rPr>
              <w:t>C.A. Papaellinas Ltd</w:t>
            </w:r>
          </w:p>
          <w:p w14:paraId="564648C7" w14:textId="77777777" w:rsidR="00E04C8A" w:rsidRDefault="008E1817">
            <w:pPr>
              <w:autoSpaceDE w:val="0"/>
              <w:autoSpaceDN w:val="0"/>
              <w:adjustRightInd w:val="0"/>
              <w:rPr>
                <w:rFonts w:ascii="Times New Roman" w:eastAsia="맑은 고딕" w:hAnsi="Times New Roman" w:cs="Times New Roman"/>
                <w:b/>
                <w:bCs/>
                <w:lang w:val="sl-SI" w:eastAsia="fr-FR"/>
              </w:rPr>
            </w:pPr>
            <w:r>
              <w:rPr>
                <w:rFonts w:ascii="Times New Roman" w:hAnsi="Times New Roman" w:cs="Times New Roman"/>
                <w:noProof/>
                <w:lang w:val="sl-SI"/>
              </w:rPr>
              <w:t xml:space="preserve">Τηλ: </w:t>
            </w:r>
            <w:r>
              <w:rPr>
                <w:rFonts w:ascii="Times New Roman" w:eastAsia="맑은 고딕" w:hAnsi="Times New Roman" w:cs="Times New Roman"/>
                <w:noProof/>
                <w:lang w:val="sl-SI" w:eastAsia="fr-FR"/>
              </w:rPr>
              <w:t>+357 22741741</w:t>
            </w:r>
          </w:p>
          <w:p w14:paraId="6162D63A" w14:textId="77777777" w:rsidR="00E04C8A" w:rsidRDefault="00E04C8A">
            <w:pPr>
              <w:autoSpaceDE w:val="0"/>
              <w:autoSpaceDN w:val="0"/>
              <w:adjustRightInd w:val="0"/>
              <w:rPr>
                <w:rFonts w:ascii="Times New Roman" w:eastAsia="맑은 고딕" w:hAnsi="Times New Roman" w:cs="Times New Roman"/>
                <w:b/>
                <w:noProof/>
                <w:lang w:val="sl-SI" w:eastAsia="fr-FR"/>
              </w:rPr>
            </w:pPr>
          </w:p>
        </w:tc>
        <w:tc>
          <w:tcPr>
            <w:tcW w:w="2500" w:type="pct"/>
          </w:tcPr>
          <w:p w14:paraId="435994CA" w14:textId="77777777" w:rsidR="004D5EDF" w:rsidRPr="00D86615" w:rsidRDefault="004D5EDF" w:rsidP="004D5EDF">
            <w:pPr>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t>Sverige</w:t>
            </w:r>
          </w:p>
          <w:p w14:paraId="50BEEA32" w14:textId="20969D01" w:rsidR="004D5EDF" w:rsidRPr="00A53EEB" w:rsidRDefault="004D5EDF" w:rsidP="004D5EDF">
            <w:pPr>
              <w:tabs>
                <w:tab w:val="left" w:pos="-720"/>
              </w:tabs>
              <w:suppressAutoHyphens/>
              <w:rPr>
                <w:rFonts w:ascii="Times New Roman" w:eastAsia="맑은 고딕" w:hAnsi="Times New Roman" w:cs="Times New Roman"/>
                <w:noProof/>
                <w:lang w:eastAsia="ko-KR"/>
              </w:rPr>
            </w:pPr>
            <w:r w:rsidRPr="00A53EEB">
              <w:rPr>
                <w:rFonts w:ascii="Times New Roman" w:eastAsia="맑은 고딕" w:hAnsi="Times New Roman" w:cs="Times New Roman"/>
                <w:noProof/>
                <w:lang w:eastAsia="ko-KR"/>
              </w:rPr>
              <w:t>Celltrion Sweden AB</w:t>
            </w:r>
          </w:p>
          <w:p w14:paraId="472B67DD" w14:textId="77777777" w:rsidR="004D5EDF" w:rsidRPr="00A53EEB" w:rsidRDefault="004D5EDF" w:rsidP="004D5EDF">
            <w:pPr>
              <w:tabs>
                <w:tab w:val="left" w:pos="-720"/>
              </w:tabs>
              <w:suppressAutoHyphens/>
              <w:rPr>
                <w:rFonts w:ascii="Times New Roman" w:eastAsia="맑은 고딕" w:hAnsi="Times New Roman" w:cs="Times New Roman"/>
                <w:bCs/>
                <w:noProof/>
                <w:u w:val="single"/>
                <w:lang w:eastAsia="ko-KR"/>
              </w:rPr>
            </w:pPr>
            <w:hyperlink r:id="rId75" w:history="1">
              <w:r w:rsidRPr="00A53EEB">
                <w:rPr>
                  <w:rStyle w:val="ad"/>
                  <w:rFonts w:ascii="Times New Roman" w:eastAsia="맑은 고딕" w:hAnsi="Times New Roman" w:cs="Times New Roman"/>
                  <w:noProof/>
                  <w:lang w:eastAsia="ko-KR"/>
                </w:rPr>
                <w:t>contact_se@celltrionhc.com</w:t>
              </w:r>
            </w:hyperlink>
          </w:p>
          <w:p w14:paraId="6434BAC9" w14:textId="77777777" w:rsidR="00E04C8A" w:rsidRPr="004D5EDF" w:rsidRDefault="00E04C8A">
            <w:pPr>
              <w:tabs>
                <w:tab w:val="left" w:pos="-720"/>
              </w:tabs>
              <w:suppressAutoHyphens/>
              <w:rPr>
                <w:rFonts w:ascii="Times New Roman" w:eastAsia="맑은 고딕" w:hAnsi="Times New Roman" w:cs="Times New Roman"/>
                <w:b/>
                <w:noProof/>
                <w:lang w:eastAsia="fr-FR"/>
              </w:rPr>
            </w:pPr>
          </w:p>
        </w:tc>
      </w:tr>
      <w:tr w:rsidR="00E04C8A" w14:paraId="5F17D7EB" w14:textId="77777777">
        <w:tc>
          <w:tcPr>
            <w:tcW w:w="2500" w:type="pct"/>
          </w:tcPr>
          <w:p w14:paraId="3EC463E4" w14:textId="77777777" w:rsidR="00E04C8A" w:rsidRDefault="008E1817">
            <w:pPr>
              <w:rPr>
                <w:rFonts w:ascii="Times New Roman" w:eastAsia="맑은 고딕" w:hAnsi="Times New Roman" w:cs="Times New Roman"/>
                <w:b/>
                <w:noProof/>
                <w:lang w:val="sl-SI" w:eastAsia="fr-FR"/>
              </w:rPr>
            </w:pPr>
            <w:r>
              <w:rPr>
                <w:rFonts w:ascii="Times New Roman" w:eastAsia="맑은 고딕" w:hAnsi="Times New Roman" w:cs="Times New Roman"/>
                <w:b/>
                <w:noProof/>
                <w:lang w:val="sl-SI" w:eastAsia="fr-FR"/>
              </w:rPr>
              <w:t>Latvija</w:t>
            </w:r>
          </w:p>
          <w:p w14:paraId="68C75CBA" w14:textId="77777777" w:rsidR="00601584" w:rsidRDefault="00601584" w:rsidP="0060158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433D2A5B" w14:textId="699B1A09" w:rsidR="00601584" w:rsidRDefault="00372ACD" w:rsidP="00601584">
            <w:pPr>
              <w:tabs>
                <w:tab w:val="left" w:pos="-720"/>
              </w:tabs>
              <w:suppressAutoHyphens/>
              <w:rPr>
                <w:rFonts w:ascii="Times New Roman" w:eastAsia="맑은 고딕" w:hAnsi="Times New Roman" w:cs="Times New Roman"/>
                <w:noProof/>
                <w:lang w:val="sl-SI" w:eastAsia="fr-FR"/>
              </w:rPr>
            </w:pPr>
            <w:r w:rsidRPr="00372ACD">
              <w:rPr>
                <w:rFonts w:ascii="Times New Roman" w:eastAsia="맑은 고딕" w:hAnsi="Times New Roman" w:cs="Times New Roman"/>
                <w:noProof/>
                <w:lang w:val="sl-SI" w:eastAsia="fr-FR"/>
              </w:rPr>
              <w:t xml:space="preserve">Tālr.: </w:t>
            </w:r>
            <w:r w:rsidR="00601584">
              <w:rPr>
                <w:rFonts w:ascii="Times New Roman" w:eastAsia="맑은 고딕" w:hAnsi="Times New Roman" w:cs="Times New Roman"/>
                <w:noProof/>
                <w:lang w:val="sl-SI" w:eastAsia="fr-FR"/>
              </w:rPr>
              <w:t>+36 1 231 0493</w:t>
            </w:r>
          </w:p>
          <w:p w14:paraId="1E547697" w14:textId="77777777" w:rsidR="00E04C8A" w:rsidRPr="00601584" w:rsidRDefault="00E04C8A">
            <w:pPr>
              <w:autoSpaceDE w:val="0"/>
              <w:autoSpaceDN w:val="0"/>
              <w:adjustRightInd w:val="0"/>
              <w:rPr>
                <w:rFonts w:ascii="Times New Roman" w:eastAsia="맑은 고딕" w:hAnsi="Times New Roman" w:cs="Times New Roman"/>
                <w:b/>
                <w:bCs/>
                <w:lang w:val="sl-SI" w:eastAsia="fr-FR"/>
              </w:rPr>
            </w:pPr>
          </w:p>
        </w:tc>
        <w:tc>
          <w:tcPr>
            <w:tcW w:w="2500" w:type="pct"/>
          </w:tcPr>
          <w:p w14:paraId="601D4CCA" w14:textId="77777777" w:rsidR="00E04C8A" w:rsidRDefault="00E04C8A" w:rsidP="00F40A58">
            <w:pPr>
              <w:tabs>
                <w:tab w:val="left" w:pos="-720"/>
              </w:tabs>
              <w:suppressAutoHyphens/>
              <w:rPr>
                <w:rFonts w:ascii="Times New Roman" w:eastAsia="맑은 고딕" w:hAnsi="Times New Roman" w:cs="Times New Roman"/>
                <w:b/>
                <w:noProof/>
                <w:lang w:val="sl-SI" w:eastAsia="fr-FR"/>
              </w:rPr>
            </w:pPr>
          </w:p>
        </w:tc>
      </w:tr>
    </w:tbl>
    <w:p w14:paraId="30C339D9" w14:textId="77777777" w:rsidR="00E04C8A" w:rsidRDefault="008E1817">
      <w:pPr>
        <w:numPr>
          <w:ilvl w:val="12"/>
          <w:numId w:val="0"/>
        </w:numPr>
        <w:rPr>
          <w:rFonts w:ascii="Times New Roman" w:eastAsia="맑은 고딕" w:hAnsi="Times New Roman" w:cs="Times New Roman"/>
          <w:noProof/>
          <w:lang w:val="sl-SI" w:eastAsia="ko-KR"/>
        </w:rPr>
      </w:pPr>
      <w:r>
        <w:rPr>
          <w:rFonts w:ascii="Times New Roman" w:eastAsia="Times New Roman" w:hAnsi="Times New Roman" w:cs="Times New Roman"/>
          <w:b/>
          <w:bCs/>
          <w:noProof/>
          <w:lang w:val="sl-SI"/>
        </w:rPr>
        <w:t>Navodilo je bilo nazadnje revidirano dne</w:t>
      </w:r>
    </w:p>
    <w:p w14:paraId="270F6960" w14:textId="77777777" w:rsidR="00E04C8A" w:rsidRDefault="008E1817">
      <w:pPr>
        <w:numPr>
          <w:ilvl w:val="12"/>
          <w:numId w:val="0"/>
        </w:numPr>
        <w:rPr>
          <w:rFonts w:ascii="Times New Roman" w:hAnsi="Times New Roman" w:cs="Times New Roman"/>
          <w:b/>
          <w:noProof/>
          <w:lang w:val="sl-SI"/>
        </w:rPr>
      </w:pPr>
      <w:r>
        <w:rPr>
          <w:rFonts w:ascii="Times New Roman" w:eastAsia="Times New Roman" w:hAnsi="Times New Roman" w:cs="Times New Roman"/>
          <w:b/>
          <w:bCs/>
          <w:noProof/>
          <w:lang w:val="sl-SI"/>
        </w:rPr>
        <w:t>Drugi viri informacij</w:t>
      </w:r>
    </w:p>
    <w:p w14:paraId="154A4D90" w14:textId="77777777" w:rsidR="00E04C8A" w:rsidRDefault="00E04C8A">
      <w:pPr>
        <w:pStyle w:val="a3"/>
        <w:rPr>
          <w:lang w:val="sl-SI"/>
        </w:rPr>
      </w:pPr>
    </w:p>
    <w:p w14:paraId="5E8E3DF0" w14:textId="77777777" w:rsidR="00E04C8A" w:rsidRDefault="008E1817">
      <w:pPr>
        <w:numPr>
          <w:ilvl w:val="12"/>
          <w:numId w:val="0"/>
        </w:numPr>
        <w:rPr>
          <w:rFonts w:ascii="Times New Roman" w:eastAsia="Times New Roman" w:hAnsi="Times New Roman" w:cs="Times New Roman"/>
          <w:color w:val="0000FF"/>
          <w:u w:val="single"/>
          <w:lang w:val="sl-SI"/>
        </w:rPr>
      </w:pPr>
      <w:r>
        <w:rPr>
          <w:rFonts w:ascii="Times New Roman" w:eastAsia="Times New Roman" w:hAnsi="Times New Roman" w:cs="Times New Roman"/>
          <w:lang w:val="sl-SI"/>
        </w:rPr>
        <w:t xml:space="preserve">Podrobne informacije o zdravilu so objavljene na spletni strani Evropske agencije za zdravila </w:t>
      </w:r>
      <w:hyperlink r:id="rId76" w:history="1">
        <w:r w:rsidRPr="008E1817">
          <w:rPr>
            <w:rStyle w:val="ad"/>
            <w:rFonts w:ascii="Times New Roman" w:eastAsia="Times New Roman" w:hAnsi="Times New Roman" w:cs="Times New Roman"/>
            <w:lang w:val="sl-SI"/>
          </w:rPr>
          <w:t>http://www.ema.europa.eu</w:t>
        </w:r>
      </w:hyperlink>
    </w:p>
    <w:p w14:paraId="11EB1BF9" w14:textId="77777777" w:rsidR="008E1817" w:rsidRDefault="008E1817">
      <w:pPr>
        <w:numPr>
          <w:ilvl w:val="12"/>
          <w:numId w:val="0"/>
        </w:numPr>
        <w:rPr>
          <w:rFonts w:ascii="Times New Roman" w:eastAsia="맑은 고딕" w:hAnsi="Times New Roman" w:cs="Times New Roman"/>
          <w:noProof/>
          <w:color w:val="0000FF"/>
          <w:lang w:val="sl-SI" w:eastAsia="ko-KR"/>
        </w:rPr>
      </w:pPr>
    </w:p>
    <w:p w14:paraId="039CD5A2" w14:textId="77777777" w:rsidR="00E04C8A" w:rsidRDefault="00E04C8A">
      <w:pPr>
        <w:spacing w:line="252" w:lineRule="exact"/>
        <w:rPr>
          <w:rFonts w:ascii="Times New Roman" w:hAnsi="Times New Roman" w:cs="Times New Roman"/>
          <w:b/>
          <w:lang w:val="sl-SI"/>
        </w:rPr>
      </w:pPr>
    </w:p>
    <w:p w14:paraId="32BC67D7" w14:textId="3DC4C36B" w:rsidR="00E04C8A" w:rsidRDefault="00C568D9" w:rsidP="00851138">
      <w:pPr>
        <w:pStyle w:val="a4"/>
        <w:numPr>
          <w:ilvl w:val="0"/>
          <w:numId w:val="38"/>
        </w:numPr>
        <w:spacing w:line="240" w:lineRule="exact"/>
        <w:ind w:hanging="468"/>
        <w:rPr>
          <w:rFonts w:ascii="Times New Roman" w:eastAsia="Times New Roman" w:hAnsi="Times New Roman" w:cs="Times New Roman"/>
          <w:b/>
          <w:noProof/>
          <w:lang w:val="sl-SI"/>
        </w:rPr>
      </w:pPr>
      <w:r w:rsidRPr="007F6B22">
        <w:rPr>
          <w:rFonts w:ascii="Times New Roman" w:eastAsia="Times New Roman" w:hAnsi="Times New Roman" w:cs="Times New Roman"/>
          <w:b/>
          <w:bCs/>
          <w:noProof/>
          <w:lang w:val="sl-SI"/>
        </w:rPr>
        <w:t>Navodila za uporabo</w:t>
      </w:r>
    </w:p>
    <w:p w14:paraId="00E88198" w14:textId="77777777" w:rsidR="00E04C8A" w:rsidRDefault="00E04C8A">
      <w:pPr>
        <w:spacing w:before="16" w:line="280" w:lineRule="exact"/>
        <w:rPr>
          <w:sz w:val="28"/>
          <w:szCs w:val="28"/>
          <w:lang w:val="sl-SI"/>
        </w:rPr>
      </w:pPr>
    </w:p>
    <w:p w14:paraId="72C05991" w14:textId="77777777" w:rsidR="00E04C8A" w:rsidRDefault="008E1817">
      <w:pPr>
        <w:pStyle w:val="a3"/>
        <w:numPr>
          <w:ilvl w:val="1"/>
          <w:numId w:val="2"/>
        </w:numPr>
        <w:ind w:left="660" w:hanging="660"/>
        <w:rPr>
          <w:lang w:val="sl-SI"/>
        </w:rPr>
      </w:pPr>
      <w:r>
        <w:rPr>
          <w:rFonts w:eastAsia="Times New Roman"/>
          <w:lang w:val="sl-SI"/>
        </w:rPr>
        <w:t>Naslednja navodila pojasnjujejo, kako si subkutano injicirate zdravilo Yuflyma z napolnjenim injekcijskim peresnikom. Navodila najprej natančno preberite in jih upoštevajte korak za korakom.</w:t>
      </w:r>
    </w:p>
    <w:p w14:paraId="5838F61A" w14:textId="77777777" w:rsidR="00E04C8A" w:rsidRDefault="00E04C8A">
      <w:pPr>
        <w:spacing w:before="12" w:line="240" w:lineRule="exact"/>
        <w:rPr>
          <w:sz w:val="24"/>
          <w:szCs w:val="24"/>
          <w:lang w:val="sl-SI"/>
        </w:rPr>
      </w:pPr>
    </w:p>
    <w:p w14:paraId="1C463484" w14:textId="77777777" w:rsidR="00E04C8A" w:rsidRDefault="008E1817">
      <w:pPr>
        <w:pStyle w:val="a3"/>
        <w:numPr>
          <w:ilvl w:val="1"/>
          <w:numId w:val="2"/>
        </w:numPr>
        <w:ind w:left="660" w:hanging="660"/>
        <w:rPr>
          <w:lang w:val="sl-SI"/>
        </w:rPr>
      </w:pPr>
      <w:r>
        <w:rPr>
          <w:rFonts w:eastAsia="Times New Roman"/>
          <w:lang w:val="sl-SI"/>
        </w:rPr>
        <w:t>Zdravnik, farmacevt ali medicinska sestra vas bodo naučili, kako si zdravilo injicirate sami.</w:t>
      </w:r>
    </w:p>
    <w:p w14:paraId="4C59631A" w14:textId="77777777" w:rsidR="00E04C8A" w:rsidRDefault="00E04C8A">
      <w:pPr>
        <w:spacing w:before="11" w:line="260" w:lineRule="exact"/>
        <w:rPr>
          <w:sz w:val="26"/>
          <w:szCs w:val="26"/>
          <w:lang w:val="sl-SI"/>
        </w:rPr>
      </w:pPr>
    </w:p>
    <w:p w14:paraId="1C3BAA4C" w14:textId="77777777" w:rsidR="00E04C8A" w:rsidRDefault="008E1817">
      <w:pPr>
        <w:pStyle w:val="a3"/>
        <w:numPr>
          <w:ilvl w:val="1"/>
          <w:numId w:val="2"/>
        </w:numPr>
        <w:ind w:left="660" w:hanging="660"/>
        <w:rPr>
          <w:lang w:val="sl-SI"/>
        </w:rPr>
      </w:pPr>
      <w:r>
        <w:rPr>
          <w:rFonts w:eastAsia="Times New Roman"/>
          <w:b/>
          <w:bCs/>
          <w:spacing w:val="-2"/>
          <w:lang w:val="sl-SI"/>
        </w:rPr>
        <w:t>Ne</w:t>
      </w:r>
      <w:r>
        <w:rPr>
          <w:rFonts w:eastAsia="Times New Roman"/>
          <w:spacing w:val="-2"/>
          <w:lang w:val="sl-SI"/>
        </w:rPr>
        <w:t xml:space="preserve"> poskušajte si zdravila injicirati, dokler popolnoma ne obvladate priprave in dajanja injekcije.</w:t>
      </w:r>
    </w:p>
    <w:p w14:paraId="3800F4E2" w14:textId="77777777" w:rsidR="00E04C8A" w:rsidRDefault="00E04C8A">
      <w:pPr>
        <w:spacing w:before="11" w:line="260" w:lineRule="exact"/>
        <w:rPr>
          <w:sz w:val="26"/>
          <w:szCs w:val="26"/>
          <w:lang w:val="sl-SI"/>
        </w:rPr>
      </w:pPr>
    </w:p>
    <w:p w14:paraId="17BF62B0" w14:textId="77777777" w:rsidR="00E04C8A" w:rsidRDefault="008E1817">
      <w:pPr>
        <w:pStyle w:val="a3"/>
        <w:numPr>
          <w:ilvl w:val="1"/>
          <w:numId w:val="2"/>
        </w:numPr>
        <w:ind w:left="660" w:hanging="660"/>
        <w:rPr>
          <w:lang w:val="sl-SI"/>
        </w:rPr>
      </w:pPr>
      <w:r>
        <w:rPr>
          <w:rFonts w:eastAsia="Times New Roman"/>
          <w:lang w:val="sl-SI"/>
        </w:rPr>
        <w:t>Po ustreznem urjenju si lahko injekcije dajete sami ali vam jih daje kdo drug, npr. svojec ali prijatelj.</w:t>
      </w:r>
    </w:p>
    <w:p w14:paraId="2439B296" w14:textId="77777777" w:rsidR="00E04C8A" w:rsidRDefault="00E04C8A">
      <w:pPr>
        <w:spacing w:before="12" w:line="240" w:lineRule="exact"/>
        <w:rPr>
          <w:sz w:val="24"/>
          <w:szCs w:val="24"/>
          <w:lang w:val="sl-SI"/>
        </w:rPr>
      </w:pPr>
    </w:p>
    <w:p w14:paraId="5484E441" w14:textId="77777777" w:rsidR="00E04C8A" w:rsidRDefault="008E1817">
      <w:pPr>
        <w:pStyle w:val="a3"/>
        <w:numPr>
          <w:ilvl w:val="1"/>
          <w:numId w:val="2"/>
        </w:numPr>
        <w:ind w:left="660" w:hanging="660"/>
        <w:rPr>
          <w:lang w:val="sl-SI"/>
        </w:rPr>
      </w:pPr>
      <w:r>
        <w:rPr>
          <w:rFonts w:eastAsia="Times New Roman"/>
          <w:lang w:val="sl-SI"/>
        </w:rPr>
        <w:t>Vsak napolnjen injekcijski peresnik uporabite samo za eno injiciranje.</w:t>
      </w:r>
    </w:p>
    <w:p w14:paraId="0935818F" w14:textId="77777777" w:rsidR="00E04C8A" w:rsidRDefault="00E04C8A">
      <w:pPr>
        <w:spacing w:before="15" w:line="240" w:lineRule="exact"/>
        <w:rPr>
          <w:sz w:val="24"/>
          <w:szCs w:val="24"/>
          <w:lang w:val="sl-SI"/>
        </w:rPr>
      </w:pPr>
    </w:p>
    <w:p w14:paraId="1AB3A4F6" w14:textId="77777777" w:rsidR="0026401E" w:rsidRDefault="0026401E">
      <w:pPr>
        <w:rPr>
          <w:rFonts w:ascii="Times New Roman" w:eastAsia="Times New Roman" w:hAnsi="Times New Roman" w:cs="Times New Roman"/>
          <w:b/>
          <w:bCs/>
          <w:spacing w:val="-1"/>
          <w:lang w:val="sl-SI"/>
        </w:rPr>
      </w:pPr>
      <w:r>
        <w:rPr>
          <w:rFonts w:eastAsia="Times New Roman"/>
          <w:b/>
          <w:bCs/>
          <w:spacing w:val="-1"/>
          <w:lang w:val="sl-SI"/>
        </w:rPr>
        <w:br w:type="page"/>
      </w:r>
    </w:p>
    <w:p w14:paraId="64B80CA9" w14:textId="58F71A2A" w:rsidR="00E04C8A" w:rsidRDefault="008E1817">
      <w:pPr>
        <w:pStyle w:val="a3"/>
        <w:rPr>
          <w:b/>
          <w:bCs/>
          <w:lang w:val="sl-SI"/>
        </w:rPr>
      </w:pPr>
      <w:r>
        <w:rPr>
          <w:rFonts w:eastAsia="Times New Roman"/>
          <w:b/>
          <w:bCs/>
          <w:spacing w:val="-1"/>
          <w:lang w:val="sl-SI"/>
        </w:rPr>
        <w:lastRenderedPageBreak/>
        <w:t>Zdravilo Yuflyma napolnjen injekcijski peresnik</w:t>
      </w:r>
    </w:p>
    <w:p w14:paraId="0968B8CD" w14:textId="77777777" w:rsidR="00437633" w:rsidRDefault="00437633" w:rsidP="00337BB0">
      <w:pPr>
        <w:tabs>
          <w:tab w:val="left" w:pos="3004"/>
          <w:tab w:val="left" w:pos="5932"/>
        </w:tabs>
        <w:spacing w:before="33" w:line="480" w:lineRule="auto"/>
        <w:ind w:right="1474"/>
        <w:rPr>
          <w:rFonts w:ascii="Times New Roman" w:eastAsia="Times New Roman" w:hAnsi="Times New Roman" w:cs="Times New Roman"/>
          <w:b/>
          <w:bCs/>
          <w:lang w:val="sl-SI"/>
        </w:rPr>
      </w:pPr>
    </w:p>
    <w:p w14:paraId="11863424" w14:textId="77777777" w:rsidR="00437633" w:rsidRDefault="00437633" w:rsidP="00337BB0">
      <w:pPr>
        <w:tabs>
          <w:tab w:val="left" w:pos="3004"/>
          <w:tab w:val="left" w:pos="5932"/>
        </w:tabs>
        <w:spacing w:before="33" w:line="480" w:lineRule="auto"/>
        <w:ind w:left="111" w:right="1474" w:firstLine="15"/>
        <w:rPr>
          <w:rFonts w:ascii="Times New Roman" w:eastAsia="Times New Roman" w:hAnsi="Times New Roman" w:cs="Times New Roman"/>
          <w:b/>
          <w:bCs/>
          <w:lang w:val="sl-SI"/>
        </w:rPr>
      </w:pPr>
      <w:r w:rsidRPr="00437633">
        <w:rPr>
          <w:rFonts w:ascii="Times New Roman" w:eastAsia="Times New Roman" w:hAnsi="Times New Roman" w:cs="Times New Roman"/>
          <w:b/>
          <w:bCs/>
          <w:noProof/>
          <w:lang w:eastAsia="ko-KR"/>
        </w:rPr>
        <w:drawing>
          <wp:anchor distT="0" distB="0" distL="114300" distR="114300" simplePos="0" relativeHeight="251658281" behindDoc="0" locked="0" layoutInCell="1" allowOverlap="1" wp14:anchorId="496C4EAA" wp14:editId="5B129AD6">
            <wp:simplePos x="0" y="0"/>
            <wp:positionH relativeFrom="column">
              <wp:posOffset>81973</wp:posOffset>
            </wp:positionH>
            <wp:positionV relativeFrom="paragraph">
              <wp:posOffset>20320</wp:posOffset>
            </wp:positionV>
            <wp:extent cx="5884821" cy="3596999"/>
            <wp:effectExtent l="0" t="0" r="0" b="0"/>
            <wp:wrapSquare wrapText="bothSides"/>
            <wp:docPr id="1070"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그림 1"/>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884821" cy="3596999"/>
                    </a:xfrm>
                    <a:prstGeom prst="rect">
                      <a:avLst/>
                    </a:prstGeom>
                  </pic:spPr>
                </pic:pic>
              </a:graphicData>
            </a:graphic>
          </wp:anchor>
        </w:drawing>
      </w:r>
    </w:p>
    <w:p w14:paraId="648B0E3C" w14:textId="77777777" w:rsidR="00E04C8A" w:rsidRDefault="008E1817">
      <w:pPr>
        <w:tabs>
          <w:tab w:val="left" w:pos="3004"/>
          <w:tab w:val="left" w:pos="5932"/>
        </w:tabs>
        <w:spacing w:before="33" w:line="480" w:lineRule="auto"/>
        <w:ind w:left="113" w:right="1474"/>
        <w:rPr>
          <w:rFonts w:ascii="Times New Roman" w:eastAsia="Times New Roman" w:hAnsi="Times New Roman" w:cs="Times New Roman"/>
          <w:lang w:val="sl-SI"/>
        </w:rPr>
      </w:pPr>
      <w:r>
        <w:rPr>
          <w:rFonts w:ascii="Times New Roman" w:eastAsia="Times New Roman" w:hAnsi="Times New Roman" w:cs="Times New Roman"/>
          <w:b/>
          <w:bCs/>
          <w:spacing w:val="-1"/>
          <w:lang w:val="sl-SI"/>
        </w:rPr>
        <w:t>Napolnjenega injekcijskega peresnika ne uporabljajte ponovno, če:</w:t>
      </w:r>
    </w:p>
    <w:p w14:paraId="45AE06BD" w14:textId="77777777" w:rsidR="00E04C8A" w:rsidRDefault="008E1817">
      <w:pPr>
        <w:pStyle w:val="a3"/>
        <w:numPr>
          <w:ilvl w:val="1"/>
          <w:numId w:val="2"/>
        </w:numPr>
        <w:ind w:left="660" w:hanging="660"/>
        <w:rPr>
          <w:lang w:val="sl-SI"/>
        </w:rPr>
      </w:pPr>
      <w:r>
        <w:rPr>
          <w:rFonts w:eastAsia="Times New Roman"/>
          <w:lang w:val="sl-SI"/>
        </w:rPr>
        <w:t>je razpokan ali poškodovan</w:t>
      </w:r>
    </w:p>
    <w:p w14:paraId="40454C90" w14:textId="77777777" w:rsidR="00E04C8A" w:rsidRPr="00366D10" w:rsidRDefault="008E1817">
      <w:pPr>
        <w:pStyle w:val="a3"/>
        <w:numPr>
          <w:ilvl w:val="1"/>
          <w:numId w:val="2"/>
        </w:numPr>
        <w:ind w:left="660" w:hanging="660"/>
        <w:rPr>
          <w:sz w:val="26"/>
          <w:szCs w:val="26"/>
          <w:lang w:val="sl-SI"/>
        </w:rPr>
      </w:pPr>
      <w:r>
        <w:rPr>
          <w:rFonts w:eastAsia="Times New Roman"/>
          <w:lang w:val="sl-SI"/>
        </w:rPr>
        <w:t>je pretekel rok uporabnosti.</w:t>
      </w:r>
    </w:p>
    <w:p w14:paraId="5ECEB44E" w14:textId="2DE34C21" w:rsidR="00F90CAB" w:rsidRDefault="00F90CAB">
      <w:pPr>
        <w:pStyle w:val="a3"/>
        <w:numPr>
          <w:ilvl w:val="1"/>
          <w:numId w:val="2"/>
        </w:numPr>
        <w:ind w:left="660" w:hanging="660"/>
        <w:rPr>
          <w:sz w:val="26"/>
          <w:szCs w:val="26"/>
          <w:lang w:val="sl-SI"/>
        </w:rPr>
      </w:pPr>
      <w:r w:rsidRPr="00566D4D">
        <w:rPr>
          <w:lang w:val="es-ES"/>
        </w:rPr>
        <w:t>je padel na trdo površino.</w:t>
      </w:r>
    </w:p>
    <w:p w14:paraId="3D970A3A" w14:textId="77777777" w:rsidR="00E04C8A" w:rsidRDefault="00E04C8A">
      <w:pPr>
        <w:pStyle w:val="a3"/>
        <w:rPr>
          <w:lang w:val="sl-SI"/>
        </w:rPr>
      </w:pPr>
    </w:p>
    <w:p w14:paraId="66702BB5" w14:textId="77777777" w:rsidR="00E04C8A" w:rsidRDefault="008E1817">
      <w:pPr>
        <w:pStyle w:val="a3"/>
        <w:rPr>
          <w:b/>
          <w:bCs/>
          <w:lang w:val="sl-SI"/>
        </w:rPr>
      </w:pPr>
      <w:r>
        <w:rPr>
          <w:rFonts w:eastAsia="Times New Roman"/>
          <w:b/>
          <w:bCs/>
          <w:lang w:val="sl-SI"/>
        </w:rPr>
        <w:t>Ne odstranjujte pokrovčka, dokler niste pripravljeni na injiciranje. Zdravilo Yuflyma shranjujte nedosegljivo otrokom.</w:t>
      </w:r>
    </w:p>
    <w:tbl>
      <w:tblPr>
        <w:tblStyle w:val="ac"/>
        <w:tblW w:w="0" w:type="auto"/>
        <w:tblLook w:val="04A0" w:firstRow="1" w:lastRow="0" w:firstColumn="1" w:lastColumn="0" w:noHBand="0" w:noVBand="1"/>
      </w:tblPr>
      <w:tblGrid>
        <w:gridCol w:w="9550"/>
      </w:tblGrid>
      <w:tr w:rsidR="00E04C8A" w:rsidRPr="003138FB" w14:paraId="04D14252" w14:textId="77777777">
        <w:trPr>
          <w:trHeight w:val="2551"/>
        </w:trPr>
        <w:tc>
          <w:tcPr>
            <w:tcW w:w="9550" w:type="dxa"/>
          </w:tcPr>
          <w:p w14:paraId="7849BA62" w14:textId="77777777" w:rsidR="00E04C8A" w:rsidRDefault="00E04C8A">
            <w:pPr>
              <w:spacing w:line="260" w:lineRule="exact"/>
              <w:rPr>
                <w:rFonts w:ascii="Times New Roman" w:eastAsia="Times New Roman" w:hAnsi="Times New Roman" w:cs="Times New Roman"/>
                <w:b/>
                <w:bCs/>
                <w:spacing w:val="-1"/>
                <w:lang w:val="sl-SI"/>
              </w:rPr>
            </w:pPr>
          </w:p>
          <w:p w14:paraId="3F803691" w14:textId="77777777" w:rsidR="00E04C8A" w:rsidRDefault="008E1817">
            <w:pPr>
              <w:pStyle w:val="a3"/>
              <w:numPr>
                <w:ilvl w:val="0"/>
                <w:numId w:val="25"/>
              </w:numPr>
              <w:ind w:leftChars="50" w:left="470"/>
              <w:rPr>
                <w:b/>
                <w:lang w:val="sl-SI"/>
              </w:rPr>
            </w:pPr>
            <w:r>
              <w:rPr>
                <w:rFonts w:eastAsia="Times New Roman"/>
                <w:b/>
                <w:bCs/>
                <w:lang w:val="sl-SI"/>
              </w:rPr>
              <w:t>Priprava opreme za injiciranje</w:t>
            </w:r>
          </w:p>
          <w:p w14:paraId="34BA20FC" w14:textId="77777777" w:rsidR="00E04C8A" w:rsidRDefault="00E04C8A">
            <w:pPr>
              <w:pStyle w:val="a3"/>
              <w:numPr>
                <w:ilvl w:val="0"/>
                <w:numId w:val="0"/>
              </w:numPr>
              <w:ind w:left="470"/>
              <w:rPr>
                <w:b/>
                <w:lang w:val="sl-SI"/>
              </w:rPr>
            </w:pPr>
          </w:p>
          <w:p w14:paraId="639021E3" w14:textId="77777777" w:rsidR="00E04C8A" w:rsidRDefault="008E1817">
            <w:pPr>
              <w:pStyle w:val="a3"/>
              <w:ind w:leftChars="153" w:left="517" w:hanging="180"/>
              <w:rPr>
                <w:lang w:val="sl-SI" w:eastAsia="ko-KR"/>
              </w:rPr>
            </w:pPr>
            <w:r>
              <w:rPr>
                <w:rFonts w:eastAsia="Times New Roman"/>
                <w:b/>
                <w:bCs/>
                <w:lang w:val="sl-SI" w:eastAsia="ko-KR"/>
              </w:rPr>
              <w:t>a.</w:t>
            </w:r>
            <w:r>
              <w:rPr>
                <w:rFonts w:eastAsia="Times New Roman"/>
                <w:lang w:val="sl-SI" w:eastAsia="ko-KR"/>
              </w:rPr>
              <w:t xml:space="preserve"> Pripravite čisto, ravno površino, kot je miza ali pult, v dobro osvetljenem prostoru.</w:t>
            </w:r>
          </w:p>
          <w:p w14:paraId="2B70E01A" w14:textId="77777777" w:rsidR="00E04C8A" w:rsidRDefault="008E1817">
            <w:pPr>
              <w:pStyle w:val="a3"/>
              <w:ind w:leftChars="153" w:left="517" w:hanging="180"/>
              <w:rPr>
                <w:lang w:val="sl-SI" w:eastAsia="ko-KR"/>
              </w:rPr>
            </w:pPr>
            <w:r>
              <w:rPr>
                <w:rFonts w:eastAsia="Times New Roman"/>
                <w:b/>
                <w:bCs/>
                <w:lang w:val="sl-SI" w:eastAsia="ko-KR"/>
              </w:rPr>
              <w:t>b.</w:t>
            </w:r>
            <w:r>
              <w:rPr>
                <w:rFonts w:eastAsia="Times New Roman"/>
                <w:lang w:val="sl-SI" w:eastAsia="ko-KR"/>
              </w:rPr>
              <w:t xml:space="preserve"> Iz škatle, shranjene v hladilniku, vzemite 1 napolnjen injekcijski peresnik.</w:t>
            </w:r>
          </w:p>
          <w:p w14:paraId="245208BC" w14:textId="77777777" w:rsidR="00E04C8A" w:rsidRDefault="008E1817">
            <w:pPr>
              <w:pStyle w:val="a3"/>
              <w:ind w:leftChars="153" w:left="517" w:hanging="180"/>
              <w:rPr>
                <w:lang w:val="sl-SI" w:eastAsia="ko-KR"/>
              </w:rPr>
            </w:pPr>
            <w:r>
              <w:rPr>
                <w:rFonts w:eastAsia="Times New Roman"/>
                <w:b/>
                <w:bCs/>
                <w:lang w:val="sl-SI" w:eastAsia="ko-KR"/>
              </w:rPr>
              <w:t>c.</w:t>
            </w:r>
            <w:r>
              <w:rPr>
                <w:rFonts w:eastAsia="Times New Roman"/>
                <w:lang w:val="sl-SI" w:eastAsia="ko-KR"/>
              </w:rPr>
              <w:t xml:space="preserve"> Prepričajte se, da imate naslednjo opremo:</w:t>
            </w:r>
          </w:p>
          <w:p w14:paraId="7A25CC1D" w14:textId="77777777" w:rsidR="00E04C8A" w:rsidRDefault="008E1817">
            <w:pPr>
              <w:pStyle w:val="a3"/>
              <w:ind w:leftChars="402" w:left="884"/>
              <w:rPr>
                <w:lang w:val="sl-SI" w:eastAsia="ko-KR"/>
              </w:rPr>
            </w:pPr>
            <w:r>
              <w:rPr>
                <w:rFonts w:eastAsia="Times New Roman"/>
                <w:lang w:val="sl-SI" w:eastAsia="ko-KR"/>
              </w:rPr>
              <w:t>- napolnjen injekcijski peresnik</w:t>
            </w:r>
          </w:p>
          <w:p w14:paraId="1714811A" w14:textId="77777777" w:rsidR="00E04C8A" w:rsidRDefault="008E1817">
            <w:pPr>
              <w:pStyle w:val="a3"/>
              <w:ind w:leftChars="402" w:left="1659" w:hanging="775"/>
              <w:rPr>
                <w:lang w:val="sl-SI" w:eastAsia="ko-KR"/>
              </w:rPr>
            </w:pPr>
            <w:r>
              <w:rPr>
                <w:rFonts w:eastAsia="Times New Roman"/>
                <w:lang w:val="sl-SI" w:eastAsia="ko-KR"/>
              </w:rPr>
              <w:t>- 1 alkoholni zloženec</w:t>
            </w:r>
          </w:p>
          <w:p w14:paraId="08A992FF" w14:textId="77777777" w:rsidR="00E04C8A" w:rsidRDefault="00E04C8A">
            <w:pPr>
              <w:pStyle w:val="a3"/>
              <w:ind w:leftChars="402" w:left="1659" w:hanging="775"/>
              <w:rPr>
                <w:lang w:val="sl-SI" w:eastAsia="ko-KR"/>
              </w:rPr>
            </w:pPr>
          </w:p>
          <w:p w14:paraId="6C78FE3A" w14:textId="77777777" w:rsidR="00E04C8A" w:rsidRDefault="008E1817">
            <w:pPr>
              <w:pStyle w:val="a3"/>
              <w:ind w:left="720"/>
              <w:rPr>
                <w:b/>
                <w:lang w:val="sl-SI" w:eastAsia="ko-KR"/>
              </w:rPr>
            </w:pPr>
            <w:r>
              <w:rPr>
                <w:rFonts w:eastAsia="Times New Roman"/>
                <w:b/>
                <w:bCs/>
                <w:lang w:val="sl-SI" w:eastAsia="ko-KR"/>
              </w:rPr>
              <w:t>Ni priloženo pakiranju:</w:t>
            </w:r>
          </w:p>
          <w:p w14:paraId="78BDDCBF" w14:textId="77777777" w:rsidR="00E04C8A" w:rsidRDefault="008E1817">
            <w:pPr>
              <w:pStyle w:val="a3"/>
              <w:ind w:left="720"/>
              <w:rPr>
                <w:lang w:val="sl-SI" w:eastAsia="ko-KR"/>
              </w:rPr>
            </w:pPr>
            <w:r>
              <w:rPr>
                <w:rFonts w:eastAsia="Times New Roman"/>
                <w:lang w:val="sl-SI" w:eastAsia="ko-KR"/>
              </w:rPr>
              <w:t>- Bombažna blazinica ali gaza</w:t>
            </w:r>
          </w:p>
          <w:p w14:paraId="26CA77F6" w14:textId="77777777" w:rsidR="00E04C8A" w:rsidRDefault="008E1817">
            <w:pPr>
              <w:pStyle w:val="a3"/>
              <w:ind w:left="720"/>
              <w:rPr>
                <w:lang w:val="sl-SI" w:eastAsia="ko-KR"/>
              </w:rPr>
            </w:pPr>
            <w:r>
              <w:rPr>
                <w:rFonts w:eastAsia="Times New Roman"/>
                <w:lang w:val="sl-SI" w:eastAsia="ko-KR"/>
              </w:rPr>
              <w:t>- Lepilni povoj</w:t>
            </w:r>
          </w:p>
          <w:p w14:paraId="4068D37C" w14:textId="77777777" w:rsidR="00E04C8A" w:rsidRDefault="008E1817">
            <w:pPr>
              <w:pStyle w:val="a3"/>
              <w:ind w:left="720"/>
              <w:rPr>
                <w:lang w:val="sl-SI" w:eastAsia="ko-KR"/>
              </w:rPr>
            </w:pPr>
            <w:r>
              <w:rPr>
                <w:rFonts w:eastAsia="Times New Roman"/>
                <w:lang w:val="sl-SI" w:eastAsia="ko-KR"/>
              </w:rPr>
              <w:t>- Vsebnik za ostre predmete</w:t>
            </w:r>
          </w:p>
          <w:p w14:paraId="108621F4" w14:textId="77777777" w:rsidR="00E04C8A" w:rsidRDefault="00E04C8A">
            <w:pPr>
              <w:pStyle w:val="a3"/>
              <w:ind w:leftChars="402" w:left="1659" w:hanging="775"/>
              <w:rPr>
                <w:sz w:val="26"/>
                <w:szCs w:val="26"/>
                <w:lang w:val="sl-SI"/>
              </w:rPr>
            </w:pPr>
          </w:p>
        </w:tc>
      </w:tr>
      <w:tr w:rsidR="00E04C8A" w:rsidRPr="00652F18" w14:paraId="664D76B6" w14:textId="77777777">
        <w:trPr>
          <w:trHeight w:val="5025"/>
        </w:trPr>
        <w:tc>
          <w:tcPr>
            <w:tcW w:w="9550" w:type="dxa"/>
          </w:tcPr>
          <w:p w14:paraId="6AE9EB80" w14:textId="77777777" w:rsidR="00E04C8A" w:rsidRDefault="008E1817">
            <w:pPr>
              <w:spacing w:line="260" w:lineRule="exact"/>
              <w:rPr>
                <w:sz w:val="26"/>
                <w:szCs w:val="26"/>
                <w:lang w:val="sl-SI"/>
              </w:rPr>
            </w:pPr>
            <w:r>
              <w:rPr>
                <w:noProof/>
                <w:sz w:val="26"/>
                <w:szCs w:val="26"/>
                <w:lang w:eastAsia="ko-KR"/>
              </w:rPr>
              <w:lastRenderedPageBreak/>
              <mc:AlternateContent>
                <mc:Choice Requires="wpg">
                  <w:drawing>
                    <wp:anchor distT="0" distB="0" distL="114300" distR="114300" simplePos="0" relativeHeight="251658243" behindDoc="0" locked="0" layoutInCell="1" allowOverlap="1" wp14:anchorId="73CADDBA" wp14:editId="48A92E8B">
                      <wp:simplePos x="0" y="0"/>
                      <wp:positionH relativeFrom="column">
                        <wp:posOffset>61595</wp:posOffset>
                      </wp:positionH>
                      <wp:positionV relativeFrom="paragraph">
                        <wp:posOffset>104775</wp:posOffset>
                      </wp:positionV>
                      <wp:extent cx="2033905" cy="2635250"/>
                      <wp:effectExtent l="0" t="0" r="4445" b="0"/>
                      <wp:wrapSquare wrapText="bothSides"/>
                      <wp:docPr id="37" name="그룹 37"/>
                      <wp:cNvGraphicFramePr/>
                      <a:graphic xmlns:a="http://schemas.openxmlformats.org/drawingml/2006/main">
                        <a:graphicData uri="http://schemas.microsoft.com/office/word/2010/wordprocessingGroup">
                          <wpg:wgp>
                            <wpg:cNvGrpSpPr/>
                            <wpg:grpSpPr>
                              <a:xfrm>
                                <a:off x="0" y="0"/>
                                <a:ext cx="2033905" cy="2635250"/>
                                <a:chOff x="0" y="0"/>
                                <a:chExt cx="2033905" cy="2635250"/>
                              </a:xfrm>
                            </wpg:grpSpPr>
                            <pic:pic xmlns:pic="http://schemas.openxmlformats.org/drawingml/2006/picture">
                              <pic:nvPicPr>
                                <pic:cNvPr id="189" name="그림 189"/>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bwMode="auto">
                                <a:xfrm>
                                  <a:off x="0" y="0"/>
                                  <a:ext cx="2029460" cy="2491740"/>
                                </a:xfrm>
                                <a:prstGeom prst="rect">
                                  <a:avLst/>
                                </a:prstGeom>
                                <a:noFill/>
                                <a:ln>
                                  <a:noFill/>
                                </a:ln>
                              </pic:spPr>
                            </pic:pic>
                            <wps:wsp>
                              <wps:cNvPr id="5" name="Text Box 5"/>
                              <wps:cNvSpPr txBox="1"/>
                              <wps:spPr>
                                <a:xfrm>
                                  <a:off x="1313815" y="2489200"/>
                                  <a:ext cx="720090" cy="146050"/>
                                </a:xfrm>
                                <a:prstGeom prst="rect">
                                  <a:avLst/>
                                </a:prstGeom>
                                <a:solidFill>
                                  <a:prstClr val="white"/>
                                </a:solidFill>
                                <a:ln>
                                  <a:noFill/>
                                </a:ln>
                              </wps:spPr>
                              <wps:txbx>
                                <w:txbxContent>
                                  <w:p w14:paraId="0C45C887" w14:textId="1C58AE58"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3CADDBA" id="그룹 37" o:spid="_x0000_s1128" style="position:absolute;margin-left:4.85pt;margin-top:8.25pt;width:160.15pt;height:207.5pt;z-index:251658243" coordsize="20339,2635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">
                      <v:shape id="그림 189" o:spid="_x0000_s1129" type="#_x0000_t75" style="position:absolute;width:20294;height:2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">
                        <v:imagedata r:id="rId79" o:title=""/>
                      </v:shape>
                      <v:shape id="Text Box 5" o:spid="_x0000_s1130" type="#_x0000_t202" style="position:absolute;left:13138;top:24892;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" stroked="f">
                        <v:textbox style="mso-fit-shape-to-text:t" inset="0,0,0,0">
                          <w:txbxContent>
                            <w:p w14:paraId="0C45C887" w14:textId="1C58AE58" w:rsidR="00474DFB" w:rsidRDefault="00474DFB">
                              <w:pPr>
                                <w:pStyle w:val="af0"/>
                                <w:jc w:val="right"/>
                                <w:rPr>
                                  <w:rFonts w:ascii="Times New Roman" w:hAnsi="Times New Roman" w:cs="Times New Roman"/>
                                  <w:noProof/>
                                  <w:spacing w:val="-1"/>
                                </w:rPr>
                              </w:pPr>
                              <w:r>
                                <w:rPr>
                                  <w:rFonts w:ascii="Times New Roman" w:eastAsia="Times New Roman" w:hAnsi="Times New Roman" w:cs="Times New Roman"/>
                                  <w:lang w:val="sl-SI"/>
                                </w:rPr>
                                <w:t>Slika B</w:t>
                              </w:r>
                            </w:p>
                          </w:txbxContent>
                        </v:textbox>
                      </v:shape>
                      <w10:wrap type="square"/>
                    </v:group>
                  </w:pict>
                </mc:Fallback>
              </mc:AlternateContent>
            </w:r>
          </w:p>
          <w:p w14:paraId="2AFC71AE" w14:textId="77777777" w:rsidR="00E04C8A" w:rsidRDefault="008E1817">
            <w:pPr>
              <w:pStyle w:val="a3"/>
              <w:numPr>
                <w:ilvl w:val="0"/>
                <w:numId w:val="25"/>
              </w:numPr>
              <w:rPr>
                <w:b/>
                <w:lang w:val="sl-SI"/>
              </w:rPr>
            </w:pPr>
            <w:r>
              <w:rPr>
                <w:rFonts w:eastAsia="Times New Roman"/>
                <w:b/>
                <w:bCs/>
                <w:lang w:val="sl-SI"/>
              </w:rPr>
              <w:t>Preglejte napolnjen injekcijski peresnik</w:t>
            </w:r>
          </w:p>
          <w:p w14:paraId="31A1F482" w14:textId="77777777" w:rsidR="00E04C8A" w:rsidRDefault="00E04C8A">
            <w:pPr>
              <w:pStyle w:val="a3"/>
              <w:numPr>
                <w:ilvl w:val="0"/>
                <w:numId w:val="0"/>
              </w:numPr>
              <w:ind w:left="471"/>
              <w:rPr>
                <w:b/>
                <w:lang w:val="sl-SI"/>
              </w:rPr>
            </w:pPr>
          </w:p>
          <w:p w14:paraId="2D2DDFF7" w14:textId="77777777" w:rsidR="00E04C8A" w:rsidRDefault="008E1817">
            <w:pPr>
              <w:pStyle w:val="a3"/>
              <w:ind w:left="3937" w:hanging="180"/>
              <w:rPr>
                <w:lang w:val="sl-SI" w:eastAsia="ko-KR"/>
              </w:rPr>
            </w:pPr>
            <w:r>
              <w:rPr>
                <w:rFonts w:eastAsia="Times New Roman"/>
                <w:b/>
                <w:bCs/>
                <w:lang w:val="sl-SI" w:eastAsia="ko-KR"/>
              </w:rPr>
              <w:t>a.</w:t>
            </w:r>
            <w:r>
              <w:rPr>
                <w:rFonts w:eastAsia="Times New Roman"/>
                <w:lang w:val="sl-SI" w:eastAsia="ko-KR"/>
              </w:rPr>
              <w:t xml:space="preserve"> Poskrbite, da imate pravo zdravilo (Yuflyma) in </w:t>
            </w:r>
          </w:p>
          <w:p w14:paraId="53F5DE2C" w14:textId="77777777" w:rsidR="00E04C8A" w:rsidRDefault="008E1817">
            <w:pPr>
              <w:pStyle w:val="a3"/>
              <w:ind w:left="3937" w:hanging="180"/>
              <w:rPr>
                <w:lang w:val="sl-SI" w:eastAsia="ko-KR"/>
              </w:rPr>
            </w:pPr>
            <w:r>
              <w:rPr>
                <w:rFonts w:eastAsia="Times New Roman"/>
                <w:lang w:val="sl-SI" w:eastAsia="ko-KR"/>
              </w:rPr>
              <w:t xml:space="preserve">odmerek. </w:t>
            </w:r>
          </w:p>
          <w:p w14:paraId="1A5916DA" w14:textId="77777777" w:rsidR="00E04C8A" w:rsidRDefault="008E1817">
            <w:pPr>
              <w:pStyle w:val="a3"/>
              <w:ind w:left="3937" w:hanging="180"/>
              <w:rPr>
                <w:lang w:val="sl-SI" w:eastAsia="ko-KR"/>
              </w:rPr>
            </w:pPr>
            <w:r>
              <w:rPr>
                <w:rFonts w:eastAsia="Times New Roman"/>
                <w:b/>
                <w:bCs/>
                <w:lang w:val="sl-SI" w:eastAsia="ko-KR"/>
              </w:rPr>
              <w:t>b.</w:t>
            </w:r>
            <w:r>
              <w:rPr>
                <w:rFonts w:eastAsia="Times New Roman"/>
                <w:lang w:val="sl-SI" w:eastAsia="ko-KR"/>
              </w:rPr>
              <w:t xml:space="preserve"> Poglejte napolnjen injekcijski peresnik in se prepričajte, da ni razpokan ali poškodovan. </w:t>
            </w:r>
          </w:p>
          <w:p w14:paraId="66CE6D01" w14:textId="2DB87C2B" w:rsidR="00E04C8A" w:rsidRDefault="008E1817">
            <w:pPr>
              <w:spacing w:line="260" w:lineRule="exact"/>
              <w:ind w:left="3937" w:hanging="180"/>
              <w:rPr>
                <w:spacing w:val="-1"/>
                <w:lang w:val="sl-SI" w:eastAsia="ko-KR"/>
              </w:rPr>
            </w:pPr>
            <w:r>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70" behindDoc="0" locked="0" layoutInCell="1" allowOverlap="1" wp14:anchorId="1D6B5BA5" wp14:editId="3AA797EB">
                      <wp:simplePos x="0" y="0"/>
                      <wp:positionH relativeFrom="column">
                        <wp:posOffset>963295</wp:posOffset>
                      </wp:positionH>
                      <wp:positionV relativeFrom="paragraph">
                        <wp:posOffset>302748</wp:posOffset>
                      </wp:positionV>
                      <wp:extent cx="930303" cy="341907"/>
                      <wp:effectExtent l="0" t="0" r="3175" b="1270"/>
                      <wp:wrapNone/>
                      <wp:docPr id="123" name="Text Box 123"/>
                      <wp:cNvGraphicFramePr/>
                      <a:graphic xmlns:a="http://schemas.openxmlformats.org/drawingml/2006/main">
                        <a:graphicData uri="http://schemas.microsoft.com/office/word/2010/wordprocessingShape">
                          <wps:wsp>
                            <wps:cNvSpPr txBox="1"/>
                            <wps:spPr>
                              <a:xfrm>
                                <a:off x="0" y="0"/>
                                <a:ext cx="930303" cy="34190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847C4B7" w14:textId="77777777" w:rsidR="00474DFB" w:rsidRPr="009D4E53" w:rsidRDefault="00474DFB">
                                  <w:pPr>
                                    <w:rPr>
                                      <w:rFonts w:asciiTheme="majorBidi" w:hAnsiTheme="majorBidi" w:cstheme="majorBidi"/>
                                      <w:b/>
                                      <w:bCs/>
                                      <w:sz w:val="16"/>
                                      <w:szCs w:val="14"/>
                                    </w:rPr>
                                  </w:pPr>
                                  <w:r w:rsidRPr="009D4E53">
                                    <w:rPr>
                                      <w:rFonts w:ascii="Times New Roman" w:eastAsia="Times New Roman" w:hAnsi="Times New Roman" w:cs="Times New Roman"/>
                                      <w:b/>
                                      <w:bCs/>
                                      <w:sz w:val="16"/>
                                      <w:szCs w:val="14"/>
                                      <w:lang w:val="sl-SI"/>
                                    </w:rPr>
                                    <w:t xml:space="preserve">EXP.: </w:t>
                                  </w:r>
                                  <w:r w:rsidRPr="009D4E53">
                                    <w:rPr>
                                      <w:rFonts w:ascii="Times New Roman" w:eastAsia="Times New Roman" w:hAnsi="Times New Roman" w:cs="Times New Roman"/>
                                      <w:sz w:val="16"/>
                                      <w:szCs w:val="14"/>
                                      <w:lang w:val="sl-SI"/>
                                    </w:rPr>
                                    <w:t>MESEC LETO</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D6B5BA5" id="Text Box 123" o:spid="_x0000_s1131" type="#_x0000_t202" style="position:absolute;left:0;text-align:left;margin-left:75.85pt;margin-top:23.85pt;width:73.25pt;height:26.9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" fillcolor="white [3212]" stroked="f" strokeweight=".5pt">
                      <v:textbox inset="0,0,0,0">
                        <w:txbxContent>
                          <w:p w14:paraId="3847C4B7" w14:textId="77777777" w:rsidR="00474DFB" w:rsidRPr="009D4E53" w:rsidRDefault="00474DFB">
                            <w:pPr>
                              <w:rPr>
                                <w:rFonts w:asciiTheme="majorBidi" w:hAnsiTheme="majorBidi" w:cstheme="majorBidi"/>
                                <w:b/>
                                <w:bCs/>
                                <w:sz w:val="16"/>
                                <w:szCs w:val="14"/>
                              </w:rPr>
                            </w:pPr>
                            <w:r w:rsidRPr="009D4E53">
                              <w:rPr>
                                <w:rFonts w:ascii="Times New Roman" w:eastAsia="Times New Roman" w:hAnsi="Times New Roman" w:cs="Times New Roman"/>
                                <w:b/>
                                <w:bCs/>
                                <w:sz w:val="16"/>
                                <w:szCs w:val="14"/>
                                <w:lang w:val="sl-SI"/>
                              </w:rPr>
                              <w:t xml:space="preserve">EXP.: </w:t>
                            </w:r>
                            <w:r w:rsidRPr="009D4E53">
                              <w:rPr>
                                <w:rFonts w:ascii="Times New Roman" w:eastAsia="Times New Roman" w:hAnsi="Times New Roman" w:cs="Times New Roman"/>
                                <w:sz w:val="16"/>
                                <w:szCs w:val="14"/>
                                <w:lang w:val="sl-SI"/>
                              </w:rPr>
                              <w:t>MESEC LETO</w:t>
                            </w:r>
                          </w:p>
                        </w:txbxContent>
                      </v:textbox>
                    </v:shape>
                  </w:pict>
                </mc:Fallback>
              </mc:AlternateContent>
            </w:r>
            <w:r>
              <w:rPr>
                <w:rFonts w:ascii="Times New Roman" w:eastAsia="Times New Roman" w:hAnsi="Times New Roman" w:cs="Times New Roman"/>
                <w:b/>
                <w:bCs/>
                <w:spacing w:val="-1"/>
                <w:lang w:val="sl-SI" w:eastAsia="ko-KR"/>
              </w:rPr>
              <w:t>c</w:t>
            </w:r>
            <w:r>
              <w:rPr>
                <w:rFonts w:ascii="Calibri" w:eastAsia="Calibri" w:hAnsi="Calibri" w:cs="Arial"/>
                <w:b/>
                <w:bCs/>
                <w:spacing w:val="-1"/>
                <w:lang w:val="sl-SI" w:eastAsia="ko-KR"/>
              </w:rPr>
              <w:t>.</w:t>
            </w:r>
            <w:r>
              <w:rPr>
                <w:rFonts w:ascii="Calibri" w:eastAsia="Calibri" w:hAnsi="Calibri" w:cs="Arial"/>
                <w:spacing w:val="-1"/>
                <w:lang w:val="sl-SI" w:eastAsia="ko-KR"/>
              </w:rPr>
              <w:t xml:space="preserve"> </w:t>
            </w:r>
            <w:r>
              <w:rPr>
                <w:rFonts w:ascii="Times New Roman" w:eastAsia="Times New Roman" w:hAnsi="Times New Roman" w:cs="Times New Roman"/>
                <w:spacing w:val="-1"/>
                <w:lang w:val="sl-SI" w:eastAsia="ko-KR"/>
              </w:rPr>
              <w:t>Preverite rok uporabnosti na nalepki napolnjenega injekcijskega peresnika.</w:t>
            </w:r>
          </w:p>
          <w:p w14:paraId="1838A7F7" w14:textId="77777777" w:rsidR="00E04C8A" w:rsidRDefault="00E04C8A">
            <w:pPr>
              <w:pStyle w:val="a3"/>
              <w:numPr>
                <w:ilvl w:val="0"/>
                <w:numId w:val="0"/>
              </w:numPr>
              <w:ind w:left="1384"/>
              <w:rPr>
                <w:lang w:val="sl-SI" w:eastAsia="ko-KR"/>
              </w:rPr>
            </w:pPr>
          </w:p>
          <w:p w14:paraId="50907816" w14:textId="77777777" w:rsidR="00E04C8A" w:rsidRDefault="00E04C8A">
            <w:pPr>
              <w:pStyle w:val="a3"/>
              <w:numPr>
                <w:ilvl w:val="0"/>
                <w:numId w:val="0"/>
              </w:numPr>
              <w:ind w:left="984"/>
              <w:rPr>
                <w:b/>
                <w:lang w:val="sl-SI" w:eastAsia="ko-KR"/>
              </w:rPr>
            </w:pPr>
          </w:p>
          <w:p w14:paraId="515BB729" w14:textId="77777777" w:rsidR="00E04C8A" w:rsidRDefault="008E1817">
            <w:pPr>
              <w:pStyle w:val="a3"/>
              <w:numPr>
                <w:ilvl w:val="0"/>
                <w:numId w:val="0"/>
              </w:numPr>
              <w:ind w:left="984"/>
              <w:rPr>
                <w:lang w:val="sl-SI" w:eastAsia="ko-KR"/>
              </w:rPr>
            </w:pPr>
            <w:r>
              <w:rPr>
                <w:rFonts w:eastAsia="Times New Roman"/>
                <w:lang w:val="sl-SI" w:eastAsia="ko-KR"/>
              </w:rPr>
              <w:t xml:space="preserve">Napolnjenega injekcijskega peresnika </w:t>
            </w:r>
            <w:r>
              <w:rPr>
                <w:rFonts w:eastAsia="Times New Roman"/>
                <w:b/>
                <w:bCs/>
                <w:lang w:val="sl-SI" w:eastAsia="ko-KR"/>
              </w:rPr>
              <w:t>ne</w:t>
            </w:r>
            <w:r>
              <w:rPr>
                <w:rFonts w:eastAsia="Times New Roman"/>
                <w:lang w:val="sl-SI" w:eastAsia="ko-KR"/>
              </w:rPr>
              <w:t xml:space="preserve"> uporabljajte ponovno, če:</w:t>
            </w:r>
          </w:p>
          <w:p w14:paraId="468E9190" w14:textId="77777777" w:rsidR="00E04C8A" w:rsidRDefault="008E1817">
            <w:pPr>
              <w:pStyle w:val="a3"/>
              <w:numPr>
                <w:ilvl w:val="0"/>
                <w:numId w:val="18"/>
              </w:numPr>
              <w:rPr>
                <w:lang w:val="sl-SI" w:eastAsia="ko-KR"/>
              </w:rPr>
            </w:pPr>
            <w:r>
              <w:rPr>
                <w:rFonts w:eastAsia="Times New Roman"/>
                <w:lang w:val="sl-SI" w:eastAsia="ko-KR"/>
              </w:rPr>
              <w:t xml:space="preserve">je razpokan ali poškodovan </w:t>
            </w:r>
          </w:p>
          <w:p w14:paraId="79045E68" w14:textId="19803CF0" w:rsidR="00E04C8A" w:rsidRPr="00366D10" w:rsidRDefault="008E1817">
            <w:pPr>
              <w:pStyle w:val="a3"/>
              <w:numPr>
                <w:ilvl w:val="0"/>
                <w:numId w:val="18"/>
              </w:numPr>
              <w:rPr>
                <w:sz w:val="26"/>
                <w:szCs w:val="26"/>
                <w:lang w:val="sl-SI"/>
              </w:rPr>
            </w:pPr>
            <w:r>
              <w:rPr>
                <w:rFonts w:eastAsia="Times New Roman"/>
                <w:lang w:val="sl-SI" w:eastAsia="ko-KR"/>
              </w:rPr>
              <w:t xml:space="preserve">je pretekel rok uporabnosti </w:t>
            </w:r>
          </w:p>
          <w:p w14:paraId="667309D7" w14:textId="7562ECA8" w:rsidR="00F90CAB" w:rsidRDefault="00F90CAB">
            <w:pPr>
              <w:pStyle w:val="a3"/>
              <w:numPr>
                <w:ilvl w:val="0"/>
                <w:numId w:val="18"/>
              </w:numPr>
              <w:rPr>
                <w:sz w:val="26"/>
                <w:szCs w:val="26"/>
                <w:lang w:val="sl-SI"/>
              </w:rPr>
            </w:pPr>
            <w:r w:rsidRPr="00566D4D">
              <w:rPr>
                <w:lang w:val="es-ES"/>
              </w:rPr>
              <w:t>je padel na trdo površino.</w:t>
            </w:r>
          </w:p>
        </w:tc>
      </w:tr>
      <w:tr w:rsidR="00E04C8A" w14:paraId="2B96B429" w14:textId="77777777">
        <w:trPr>
          <w:trHeight w:val="4969"/>
        </w:trPr>
        <w:tc>
          <w:tcPr>
            <w:tcW w:w="9550" w:type="dxa"/>
          </w:tcPr>
          <w:p w14:paraId="44D01CC0" w14:textId="77777777" w:rsidR="00E04C8A" w:rsidRDefault="00E04C8A">
            <w:pPr>
              <w:spacing w:line="260" w:lineRule="exact"/>
              <w:rPr>
                <w:rFonts w:ascii="Times New Roman" w:eastAsia="Times New Roman" w:hAnsi="Times New Roman" w:cs="Times New Roman"/>
                <w:b/>
                <w:bCs/>
                <w:spacing w:val="-1"/>
                <w:lang w:val="sl-SI"/>
              </w:rPr>
            </w:pPr>
          </w:p>
          <w:p w14:paraId="7EEBDC85" w14:textId="77777777" w:rsidR="00E04C8A" w:rsidRDefault="00E04C8A">
            <w:pPr>
              <w:spacing w:line="260" w:lineRule="exact"/>
              <w:rPr>
                <w:sz w:val="26"/>
                <w:szCs w:val="26"/>
                <w:lang w:val="sl-SI"/>
              </w:rPr>
            </w:pPr>
          </w:p>
          <w:p w14:paraId="3977D44D" w14:textId="77777777" w:rsidR="00E04C8A" w:rsidRDefault="008E1817">
            <w:pPr>
              <w:spacing w:line="260" w:lineRule="exact"/>
              <w:rPr>
                <w:sz w:val="26"/>
                <w:szCs w:val="26"/>
                <w:lang w:val="sl-SI"/>
              </w:rPr>
            </w:pPr>
            <w:r>
              <w:rPr>
                <w:noProof/>
                <w:sz w:val="26"/>
                <w:szCs w:val="26"/>
                <w:lang w:eastAsia="ko-KR"/>
              </w:rPr>
              <mc:AlternateContent>
                <mc:Choice Requires="wpg">
                  <w:drawing>
                    <wp:anchor distT="0" distB="0" distL="114300" distR="114300" simplePos="0" relativeHeight="251658244" behindDoc="0" locked="0" layoutInCell="1" allowOverlap="1" wp14:anchorId="4A7BD714" wp14:editId="0BF709C3">
                      <wp:simplePos x="0" y="0"/>
                      <wp:positionH relativeFrom="column">
                        <wp:posOffset>67945</wp:posOffset>
                      </wp:positionH>
                      <wp:positionV relativeFrom="paragraph">
                        <wp:posOffset>19050</wp:posOffset>
                      </wp:positionV>
                      <wp:extent cx="2084705" cy="2673350"/>
                      <wp:effectExtent l="0" t="0" r="0" b="0"/>
                      <wp:wrapSquare wrapText="bothSides"/>
                      <wp:docPr id="36" name="그룹 36"/>
                      <wp:cNvGraphicFramePr/>
                      <a:graphic xmlns:a="http://schemas.openxmlformats.org/drawingml/2006/main">
                        <a:graphicData uri="http://schemas.microsoft.com/office/word/2010/wordprocessingGroup">
                          <wpg:wgp>
                            <wpg:cNvGrpSpPr/>
                            <wpg:grpSpPr>
                              <a:xfrm>
                                <a:off x="0" y="0"/>
                                <a:ext cx="2084705" cy="2673350"/>
                                <a:chOff x="0" y="0"/>
                                <a:chExt cx="2084705" cy="2673350"/>
                              </a:xfrm>
                            </wpg:grpSpPr>
                            <pic:pic xmlns:pic="http://schemas.openxmlformats.org/drawingml/2006/picture">
                              <pic:nvPicPr>
                                <pic:cNvPr id="34" name="그림 34"/>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bwMode="auto">
                                <a:xfrm>
                                  <a:off x="0" y="0"/>
                                  <a:ext cx="2080895" cy="2531110"/>
                                </a:xfrm>
                                <a:prstGeom prst="rect">
                                  <a:avLst/>
                                </a:prstGeom>
                                <a:noFill/>
                                <a:ln>
                                  <a:noFill/>
                                </a:ln>
                              </pic:spPr>
                            </pic:pic>
                            <wps:wsp>
                              <wps:cNvPr id="6" name="Text Box 6"/>
                              <wps:cNvSpPr txBox="1"/>
                              <wps:spPr>
                                <a:xfrm>
                                  <a:off x="1364615" y="2527300"/>
                                  <a:ext cx="720090" cy="146050"/>
                                </a:xfrm>
                                <a:prstGeom prst="rect">
                                  <a:avLst/>
                                </a:prstGeom>
                                <a:solidFill>
                                  <a:prstClr val="white"/>
                                </a:solidFill>
                                <a:ln>
                                  <a:noFill/>
                                </a:ln>
                              </wps:spPr>
                              <wps:txbx>
                                <w:txbxContent>
                                  <w:p w14:paraId="58BE8965" w14:textId="347266DF" w:rsidR="00474DFB" w:rsidRDefault="00474DFB">
                                    <w:pPr>
                                      <w:pStyle w:val="af0"/>
                                      <w:jc w:val="right"/>
                                      <w:rPr>
                                        <w:rFonts w:ascii="Times New Roman" w:hAnsi="Times New Roman" w:cs="Times New Roman"/>
                                      </w:rPr>
                                    </w:pPr>
                                    <w:r>
                                      <w:rPr>
                                        <w:rFonts w:ascii="Times New Roman" w:eastAsia="Times New Roman" w:hAnsi="Times New Roman" w:cs="Times New Roman"/>
                                        <w:lang w:val="sl-SI"/>
                                      </w:rPr>
                                      <w:t>Slika </w:t>
                                    </w:r>
                                    <w:r>
                                      <w:rPr>
                                        <w:rFonts w:ascii="Times New Roman" w:hAnsi="Times New Roman" w:cs="Times New Roman"/>
                                      </w:rP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A7BD714" id="그룹 36" o:spid="_x0000_s1132" style="position:absolute;margin-left:5.35pt;margin-top:1.5pt;width:164.15pt;height:210.5pt;z-index:251658244" coordsize="20847,267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">
                      <v:shape id="그림 34" o:spid="_x0000_s1133" type="#_x0000_t75" style="position:absolute;width:20808;height:25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">
                        <v:imagedata r:id="rId81" o:title=""/>
                      </v:shape>
                      <v:shape id="Text Box 6" o:spid="_x0000_s1134" type="#_x0000_t202" style="position:absolute;left:13646;top:25273;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" stroked="f">
                        <v:textbox style="mso-fit-shape-to-text:t" inset="0,0,0,0">
                          <w:txbxContent>
                            <w:p w14:paraId="58BE8965" w14:textId="347266DF" w:rsidR="00474DFB" w:rsidRDefault="00474DFB">
                              <w:pPr>
                                <w:pStyle w:val="af0"/>
                                <w:jc w:val="right"/>
                                <w:rPr>
                                  <w:rFonts w:ascii="Times New Roman" w:hAnsi="Times New Roman" w:cs="Times New Roman"/>
                                </w:rPr>
                              </w:pPr>
                              <w:r>
                                <w:rPr>
                                  <w:rFonts w:ascii="Times New Roman" w:eastAsia="Times New Roman" w:hAnsi="Times New Roman" w:cs="Times New Roman"/>
                                  <w:lang w:val="sl-SI"/>
                                </w:rPr>
                                <w:t>Slika </w:t>
                              </w:r>
                              <w:r>
                                <w:rPr>
                                  <w:rFonts w:ascii="Times New Roman" w:hAnsi="Times New Roman" w:cs="Times New Roman"/>
                                </w:rPr>
                                <w:t>C</w:t>
                              </w:r>
                            </w:p>
                          </w:txbxContent>
                        </v:textbox>
                      </v:shape>
                      <w10:wrap type="square"/>
                    </v:group>
                  </w:pict>
                </mc:Fallback>
              </mc:AlternateContent>
            </w:r>
          </w:p>
          <w:p w14:paraId="45185CB9" w14:textId="77777777" w:rsidR="00E04C8A" w:rsidRDefault="008E1817">
            <w:pPr>
              <w:pStyle w:val="a3"/>
              <w:numPr>
                <w:ilvl w:val="0"/>
                <w:numId w:val="25"/>
              </w:numPr>
              <w:rPr>
                <w:b/>
                <w:lang w:val="sl-SI"/>
              </w:rPr>
            </w:pPr>
            <w:r>
              <w:rPr>
                <w:rFonts w:eastAsia="Times New Roman"/>
                <w:b/>
                <w:bCs/>
                <w:spacing w:val="-1"/>
                <w:lang w:val="sl-SI"/>
              </w:rPr>
              <w:t>Preglejte zdravilo.</w:t>
            </w:r>
          </w:p>
          <w:p w14:paraId="52A9FB60" w14:textId="77777777" w:rsidR="00E04C8A" w:rsidRDefault="00E04C8A">
            <w:pPr>
              <w:spacing w:line="260" w:lineRule="exact"/>
              <w:rPr>
                <w:sz w:val="26"/>
                <w:szCs w:val="26"/>
                <w:lang w:val="sl-SI"/>
              </w:rPr>
            </w:pPr>
          </w:p>
          <w:p w14:paraId="5E1D675E" w14:textId="77777777" w:rsidR="00E04C8A" w:rsidRDefault="008E1817">
            <w:pPr>
              <w:pStyle w:val="a3"/>
              <w:ind w:left="3937" w:hanging="180"/>
              <w:rPr>
                <w:lang w:val="sl-SI"/>
              </w:rPr>
            </w:pPr>
            <w:r>
              <w:rPr>
                <w:rFonts w:eastAsia="Times New Roman"/>
                <w:b/>
                <w:bCs/>
                <w:lang w:val="sl-SI"/>
              </w:rPr>
              <w:t>a.</w:t>
            </w:r>
            <w:r w:rsidR="00761717">
              <w:rPr>
                <w:rFonts w:eastAsia="Times New Roman"/>
                <w:b/>
                <w:bCs/>
                <w:lang w:val="sl-SI"/>
              </w:rPr>
              <w:t xml:space="preserve"> </w:t>
            </w:r>
            <w:r>
              <w:rPr>
                <w:rFonts w:eastAsia="Times New Roman"/>
                <w:lang w:val="sl-SI"/>
              </w:rPr>
              <w:t>Poglejte skozi okence in se prepričajte, da je tekočina bistra, brezbarvna do bledo rjava in brez delcev.</w:t>
            </w:r>
          </w:p>
          <w:p w14:paraId="291364A8" w14:textId="77777777" w:rsidR="00E04C8A" w:rsidRDefault="00E04C8A">
            <w:pPr>
              <w:pStyle w:val="a3"/>
              <w:rPr>
                <w:lang w:val="sl-SI"/>
              </w:rPr>
            </w:pPr>
          </w:p>
          <w:p w14:paraId="68093CE6" w14:textId="77777777" w:rsidR="00E04C8A" w:rsidRDefault="008E1817">
            <w:pPr>
              <w:pStyle w:val="a3"/>
              <w:numPr>
                <w:ilvl w:val="0"/>
                <w:numId w:val="40"/>
              </w:numPr>
              <w:ind w:left="4297"/>
              <w:rPr>
                <w:lang w:val="sl-SI"/>
              </w:rPr>
            </w:pPr>
            <w:r>
              <w:rPr>
                <w:rFonts w:eastAsia="Times New Roman"/>
                <w:lang w:val="sl-SI"/>
              </w:rPr>
              <w:t xml:space="preserve">Napolnjene injekcijske brizge </w:t>
            </w:r>
            <w:r>
              <w:rPr>
                <w:rFonts w:eastAsia="Times New Roman"/>
                <w:b/>
                <w:bCs/>
                <w:lang w:val="sl-SI"/>
              </w:rPr>
              <w:t>ne</w:t>
            </w:r>
            <w:r>
              <w:rPr>
                <w:rFonts w:eastAsia="Times New Roman"/>
                <w:lang w:val="sl-SI"/>
              </w:rPr>
              <w:t xml:space="preserve"> uporabljajte, če je tekočina obarvana (rumena ali temno rjavo), motna ali vsebuje delce.</w:t>
            </w:r>
          </w:p>
          <w:p w14:paraId="4572226A" w14:textId="77777777" w:rsidR="00E04C8A" w:rsidRDefault="00E04C8A">
            <w:pPr>
              <w:pStyle w:val="a3"/>
              <w:numPr>
                <w:ilvl w:val="0"/>
                <w:numId w:val="0"/>
              </w:numPr>
              <w:ind w:firstLineChars="350" w:firstLine="770"/>
              <w:rPr>
                <w:lang w:val="sl-SI"/>
              </w:rPr>
            </w:pPr>
          </w:p>
          <w:p w14:paraId="469F14B3" w14:textId="77777777" w:rsidR="00E04C8A" w:rsidRDefault="008E1817">
            <w:pPr>
              <w:pStyle w:val="a3"/>
              <w:numPr>
                <w:ilvl w:val="0"/>
                <w:numId w:val="40"/>
              </w:numPr>
              <w:ind w:left="4297"/>
              <w:rPr>
                <w:sz w:val="26"/>
                <w:szCs w:val="26"/>
                <w:lang w:val="sl-SI"/>
              </w:rPr>
            </w:pPr>
            <w:r>
              <w:rPr>
                <w:rFonts w:eastAsia="Times New Roman"/>
                <w:lang w:val="sl-SI"/>
              </w:rPr>
              <w:t>V tekočini so lahko vidni zračni mehurčki. To je normalno.</w:t>
            </w:r>
          </w:p>
          <w:p w14:paraId="5FE9E8D9" w14:textId="77777777" w:rsidR="00E04C8A" w:rsidRDefault="00E04C8A">
            <w:pPr>
              <w:pStyle w:val="a3"/>
              <w:rPr>
                <w:lang w:val="sl-SI"/>
              </w:rPr>
            </w:pPr>
          </w:p>
        </w:tc>
      </w:tr>
    </w:tbl>
    <w:p w14:paraId="4F8A4EE0" w14:textId="77777777" w:rsidR="00E04C8A" w:rsidRDefault="00E04C8A">
      <w:pPr>
        <w:spacing w:line="260" w:lineRule="exact"/>
        <w:rPr>
          <w:sz w:val="26"/>
          <w:szCs w:val="26"/>
          <w:lang w:val="sl-SI"/>
        </w:rPr>
      </w:pPr>
    </w:p>
    <w:p w14:paraId="0800DA3E" w14:textId="77777777" w:rsidR="00E04C8A" w:rsidRDefault="00E04C8A">
      <w:pPr>
        <w:spacing w:line="260" w:lineRule="exact"/>
        <w:rPr>
          <w:sz w:val="26"/>
          <w:szCs w:val="26"/>
          <w:lang w:val="sl-SI"/>
        </w:rPr>
      </w:pPr>
    </w:p>
    <w:p w14:paraId="23C14176" w14:textId="77777777" w:rsidR="00E04C8A" w:rsidRDefault="00E04C8A">
      <w:pPr>
        <w:spacing w:line="260" w:lineRule="exact"/>
        <w:rPr>
          <w:sz w:val="26"/>
          <w:szCs w:val="26"/>
          <w:lang w:val="sl-SI"/>
        </w:rPr>
      </w:pPr>
    </w:p>
    <w:p w14:paraId="47F9038A" w14:textId="77777777" w:rsidR="00E04C8A" w:rsidRDefault="00E04C8A">
      <w:pPr>
        <w:rPr>
          <w:lang w:val="sl-SI"/>
        </w:rPr>
      </w:pPr>
    </w:p>
    <w:tbl>
      <w:tblPr>
        <w:tblStyle w:val="ac"/>
        <w:tblW w:w="0" w:type="auto"/>
        <w:tblLook w:val="04A0" w:firstRow="1" w:lastRow="0" w:firstColumn="1" w:lastColumn="0" w:noHBand="0" w:noVBand="1"/>
      </w:tblPr>
      <w:tblGrid>
        <w:gridCol w:w="9550"/>
      </w:tblGrid>
      <w:tr w:rsidR="00E04C8A" w:rsidRPr="00652F18" w14:paraId="31B0CCAD" w14:textId="77777777">
        <w:trPr>
          <w:trHeight w:val="5238"/>
        </w:trPr>
        <w:tc>
          <w:tcPr>
            <w:tcW w:w="9550" w:type="dxa"/>
          </w:tcPr>
          <w:p w14:paraId="37099D66" w14:textId="77777777" w:rsidR="00E04C8A" w:rsidRDefault="00E04C8A">
            <w:pPr>
              <w:spacing w:line="260" w:lineRule="exact"/>
              <w:rPr>
                <w:rFonts w:ascii="Times New Roman" w:eastAsia="Times New Roman" w:hAnsi="Times New Roman" w:cs="Times New Roman"/>
                <w:b/>
                <w:bCs/>
                <w:spacing w:val="-1"/>
                <w:lang w:val="sl-SI"/>
              </w:rPr>
            </w:pPr>
          </w:p>
          <w:p w14:paraId="06E82AD9" w14:textId="77777777" w:rsidR="00E04C8A" w:rsidRDefault="008E1817">
            <w:pPr>
              <w:spacing w:line="260" w:lineRule="exact"/>
              <w:rPr>
                <w:rFonts w:ascii="Times New Roman" w:eastAsia="Times New Roman" w:hAnsi="Times New Roman" w:cs="Times New Roman"/>
                <w:b/>
                <w:bCs/>
                <w:lang w:val="sl-SI"/>
              </w:rPr>
            </w:pPr>
            <w:r>
              <w:rPr>
                <w:rFonts w:ascii="Times New Roman" w:eastAsia="Times New Roman" w:hAnsi="Times New Roman" w:cs="Times New Roman"/>
                <w:b/>
                <w:bCs/>
                <w:noProof/>
                <w:lang w:eastAsia="ko-KR"/>
              </w:rPr>
              <mc:AlternateContent>
                <mc:Choice Requires="wpg">
                  <w:drawing>
                    <wp:anchor distT="0" distB="0" distL="114300" distR="114300" simplePos="0" relativeHeight="251658245" behindDoc="0" locked="0" layoutInCell="1" allowOverlap="1" wp14:anchorId="1F3E3C1C" wp14:editId="3194AF7A">
                      <wp:simplePos x="0" y="0"/>
                      <wp:positionH relativeFrom="column">
                        <wp:posOffset>55245</wp:posOffset>
                      </wp:positionH>
                      <wp:positionV relativeFrom="paragraph">
                        <wp:posOffset>163830</wp:posOffset>
                      </wp:positionV>
                      <wp:extent cx="2154555" cy="2774950"/>
                      <wp:effectExtent l="0" t="0" r="0" b="6350"/>
                      <wp:wrapSquare wrapText="bothSides"/>
                      <wp:docPr id="35" name="그룹 35"/>
                      <wp:cNvGraphicFramePr/>
                      <a:graphic xmlns:a="http://schemas.openxmlformats.org/drawingml/2006/main">
                        <a:graphicData uri="http://schemas.microsoft.com/office/word/2010/wordprocessingGroup">
                          <wpg:wgp>
                            <wpg:cNvGrpSpPr/>
                            <wpg:grpSpPr>
                              <a:xfrm>
                                <a:off x="0" y="0"/>
                                <a:ext cx="2154555" cy="2774950"/>
                                <a:chOff x="0" y="0"/>
                                <a:chExt cx="2154555" cy="2774950"/>
                              </a:xfrm>
                            </wpg:grpSpPr>
                            <pic:pic xmlns:pic="http://schemas.openxmlformats.org/drawingml/2006/picture">
                              <pic:nvPicPr>
                                <pic:cNvPr id="95" name="그림 95"/>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2153920" cy="2628900"/>
                                </a:xfrm>
                                <a:prstGeom prst="rect">
                                  <a:avLst/>
                                </a:prstGeom>
                                <a:noFill/>
                                <a:ln>
                                  <a:noFill/>
                                </a:ln>
                              </pic:spPr>
                            </pic:pic>
                            <wps:wsp>
                              <wps:cNvPr id="7" name="Text Box 7"/>
                              <wps:cNvSpPr txBox="1"/>
                              <wps:spPr>
                                <a:xfrm>
                                  <a:off x="1434465" y="2628900"/>
                                  <a:ext cx="720090" cy="146050"/>
                                </a:xfrm>
                                <a:prstGeom prst="rect">
                                  <a:avLst/>
                                </a:prstGeom>
                                <a:solidFill>
                                  <a:prstClr val="white"/>
                                </a:solidFill>
                                <a:ln>
                                  <a:noFill/>
                                </a:ln>
                              </wps:spPr>
                              <wps:txbx>
                                <w:txbxContent>
                                  <w:p w14:paraId="2C8C0368" w14:textId="0EB9A245" w:rsidR="00474DFB" w:rsidRDefault="00474DFB">
                                    <w:pPr>
                                      <w:pStyle w:val="af0"/>
                                      <w:jc w:val="right"/>
                                      <w:rPr>
                                        <w:rFonts w:ascii="Times New Roman" w:hAnsi="Times New Roman" w:cs="Times New Roman"/>
                                        <w:szCs w:val="22"/>
                                      </w:rPr>
                                    </w:pPr>
                                    <w:r>
                                      <w:rPr>
                                        <w:rFonts w:ascii="Times New Roman" w:eastAsia="Times New Roman" w:hAnsi="Times New Roman" w:cs="Times New Roman"/>
                                        <w:lang w:val="sl-SI"/>
                                      </w:rPr>
                                      <w:t>Slika </w:t>
                                    </w:r>
                                    <w:r>
                                      <w:rPr>
                                        <w:rFonts w:ascii="Times New Roman" w:hAnsi="Times New Roman" w:cs="Times New Roman"/>
                                      </w:rP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F3E3C1C" id="그룹 35" o:spid="_x0000_s1135" style="position:absolute;margin-left:4.35pt;margin-top:12.9pt;width:169.65pt;height:218.5pt;z-index:251658245" coordsize="21545,2774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">
                      <v:shape id="그림 95" o:spid="_x0000_s1136" type="#_x0000_t75" style="position:absolute;width:21539;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">
                        <v:imagedata r:id="rId83" o:title=""/>
                      </v:shape>
                      <v:shape id="Text Box 7" o:spid="_x0000_s1137" type="#_x0000_t202" style="position:absolute;left:14344;top:26289;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" stroked="f">
                        <v:textbox style="mso-fit-shape-to-text:t" inset="0,0,0,0">
                          <w:txbxContent>
                            <w:p w14:paraId="2C8C0368" w14:textId="0EB9A245" w:rsidR="00474DFB" w:rsidRDefault="00474DFB">
                              <w:pPr>
                                <w:pStyle w:val="af0"/>
                                <w:jc w:val="right"/>
                                <w:rPr>
                                  <w:rFonts w:ascii="Times New Roman" w:hAnsi="Times New Roman" w:cs="Times New Roman"/>
                                  <w:szCs w:val="22"/>
                                </w:rPr>
                              </w:pPr>
                              <w:r>
                                <w:rPr>
                                  <w:rFonts w:ascii="Times New Roman" w:eastAsia="Times New Roman" w:hAnsi="Times New Roman" w:cs="Times New Roman"/>
                                  <w:lang w:val="sl-SI"/>
                                </w:rPr>
                                <w:t>Slika </w:t>
                              </w:r>
                              <w:r>
                                <w:rPr>
                                  <w:rFonts w:ascii="Times New Roman" w:hAnsi="Times New Roman" w:cs="Times New Roman"/>
                                </w:rPr>
                                <w:t>D</w:t>
                              </w:r>
                            </w:p>
                          </w:txbxContent>
                        </v:textbox>
                      </v:shape>
                      <w10:wrap type="square"/>
                    </v:group>
                  </w:pict>
                </mc:Fallback>
              </mc:AlternateContent>
            </w:r>
          </w:p>
          <w:p w14:paraId="13C083AD" w14:textId="77777777" w:rsidR="00E04C8A" w:rsidRDefault="00761717">
            <w:pPr>
              <w:spacing w:line="260" w:lineRule="exact"/>
              <w:rPr>
                <w:rFonts w:ascii="Times New Roman" w:eastAsia="Times New Roman" w:hAnsi="Times New Roman" w:cs="Times New Roman"/>
                <w:b/>
                <w:bCs/>
                <w:lang w:val="sl-SI"/>
              </w:rPr>
            </w:pPr>
            <w:r>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69" behindDoc="0" locked="0" layoutInCell="1" allowOverlap="1" wp14:anchorId="301CA2BA" wp14:editId="559B9761">
                      <wp:simplePos x="0" y="0"/>
                      <wp:positionH relativeFrom="column">
                        <wp:posOffset>1106474</wp:posOffset>
                      </wp:positionH>
                      <wp:positionV relativeFrom="paragraph">
                        <wp:posOffset>22418</wp:posOffset>
                      </wp:positionV>
                      <wp:extent cx="858520" cy="1248355"/>
                      <wp:effectExtent l="0" t="0" r="0" b="9525"/>
                      <wp:wrapNone/>
                      <wp:docPr id="122" name="Text Box 122"/>
                      <wp:cNvGraphicFramePr/>
                      <a:graphic xmlns:a="http://schemas.openxmlformats.org/drawingml/2006/main">
                        <a:graphicData uri="http://schemas.microsoft.com/office/word/2010/wordprocessingShape">
                          <wps:wsp>
                            <wps:cNvSpPr txBox="1"/>
                            <wps:spPr>
                              <a:xfrm>
                                <a:off x="0" y="0"/>
                                <a:ext cx="858520" cy="12483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FEF721" w14:textId="45DCC69D" w:rsidR="00474DFB" w:rsidRPr="00337BB0" w:rsidRDefault="00474DFB">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sl-SI"/>
                                    </w:rPr>
                                    <w:t>15 – 30 minut</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01CA2BA" id="Text Box 122" o:spid="_x0000_s1138" type="#_x0000_t202" style="position:absolute;margin-left:87.1pt;margin-top:1.75pt;width:67.6pt;height:98.3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" fillcolor="white [3212]" stroked="f" strokeweight=".5pt">
                      <v:textbox inset="0,0,0,0">
                        <w:txbxContent>
                          <w:p w14:paraId="3EFEF721" w14:textId="45DCC69D" w:rsidR="00474DFB" w:rsidRPr="00337BB0" w:rsidRDefault="00474DFB">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sl-SI"/>
                              </w:rPr>
                              <w:t>15 – 30 minut</w:t>
                            </w:r>
                          </w:p>
                        </w:txbxContent>
                      </v:textbox>
                    </v:shape>
                  </w:pict>
                </mc:Fallback>
              </mc:AlternateContent>
            </w:r>
          </w:p>
          <w:p w14:paraId="5B884A34" w14:textId="77777777" w:rsidR="00E04C8A" w:rsidRDefault="00E04C8A">
            <w:pPr>
              <w:spacing w:line="260" w:lineRule="exact"/>
              <w:rPr>
                <w:rFonts w:ascii="Times New Roman" w:eastAsia="Times New Roman" w:hAnsi="Times New Roman" w:cs="Times New Roman"/>
                <w:b/>
                <w:bCs/>
                <w:lang w:val="sl-SI"/>
              </w:rPr>
            </w:pPr>
          </w:p>
          <w:p w14:paraId="16939C3D" w14:textId="77777777" w:rsidR="00E04C8A" w:rsidRDefault="008E1817">
            <w:pPr>
              <w:pStyle w:val="a3"/>
              <w:numPr>
                <w:ilvl w:val="0"/>
                <w:numId w:val="25"/>
              </w:numPr>
              <w:rPr>
                <w:b/>
                <w:lang w:val="sl-SI"/>
              </w:rPr>
            </w:pPr>
            <w:r>
              <w:rPr>
                <w:rFonts w:eastAsia="Times New Roman"/>
                <w:b/>
                <w:bCs/>
                <w:lang w:val="sl-SI"/>
              </w:rPr>
              <w:t>Počakajte 15 do 30 minut</w:t>
            </w:r>
          </w:p>
          <w:p w14:paraId="37DD807D" w14:textId="77777777" w:rsidR="00E04C8A" w:rsidRDefault="008E1817">
            <w:pPr>
              <w:pStyle w:val="Default"/>
              <w:rPr>
                <w:lang w:val="sl-SI"/>
              </w:rPr>
            </w:pPr>
            <w:r>
              <w:rPr>
                <w:lang w:val="sl-SI"/>
              </w:rPr>
              <w:t xml:space="preserve"> </w:t>
            </w:r>
          </w:p>
          <w:p w14:paraId="47971B51" w14:textId="77777777" w:rsidR="00E04C8A" w:rsidRDefault="008E1817">
            <w:pPr>
              <w:pStyle w:val="a3"/>
              <w:ind w:left="4117" w:hanging="180"/>
              <w:rPr>
                <w:lang w:val="sl-SI"/>
              </w:rPr>
            </w:pPr>
            <w:r>
              <w:rPr>
                <w:rFonts w:eastAsia="Times New Roman"/>
                <w:b/>
                <w:bCs/>
                <w:lang w:val="sl-SI"/>
              </w:rPr>
              <w:t>a.</w:t>
            </w:r>
            <w:r>
              <w:rPr>
                <w:rFonts w:eastAsia="Times New Roman"/>
                <w:lang w:val="sl-SI"/>
              </w:rPr>
              <w:t xml:space="preserve"> Napolnjen injekcijski peresnik pustite pri sobni temperaturi od 15 do do 30 minut, da se segreje.</w:t>
            </w:r>
          </w:p>
          <w:p w14:paraId="0AFFDF73" w14:textId="77777777" w:rsidR="00E04C8A" w:rsidRDefault="00E04C8A">
            <w:pPr>
              <w:pStyle w:val="Default"/>
              <w:rPr>
                <w:color w:val="211D1E"/>
                <w:sz w:val="20"/>
                <w:szCs w:val="20"/>
                <w:lang w:val="sl-SI"/>
              </w:rPr>
            </w:pPr>
          </w:p>
          <w:p w14:paraId="152BFD45" w14:textId="77777777" w:rsidR="00E04C8A" w:rsidRDefault="00E04C8A">
            <w:pPr>
              <w:pStyle w:val="a3"/>
              <w:numPr>
                <w:ilvl w:val="0"/>
                <w:numId w:val="0"/>
              </w:numPr>
              <w:ind w:left="911"/>
              <w:rPr>
                <w:b/>
                <w:lang w:val="sl-SI"/>
              </w:rPr>
            </w:pPr>
          </w:p>
          <w:p w14:paraId="53A00646" w14:textId="61B417EA" w:rsidR="00E04C8A" w:rsidRDefault="008E1817">
            <w:pPr>
              <w:pStyle w:val="a3"/>
              <w:numPr>
                <w:ilvl w:val="0"/>
                <w:numId w:val="40"/>
              </w:numPr>
              <w:ind w:left="4297"/>
              <w:rPr>
                <w:lang w:val="sl-SI"/>
              </w:rPr>
            </w:pPr>
            <w:r>
              <w:rPr>
                <w:rFonts w:eastAsia="Times New Roman"/>
                <w:bCs/>
                <w:lang w:val="sl-SI"/>
              </w:rPr>
              <w:t>Napolnjenega injekcijskega peresnika</w:t>
            </w:r>
            <w:r>
              <w:rPr>
                <w:rFonts w:eastAsia="Times New Roman"/>
                <w:b/>
                <w:bCs/>
                <w:lang w:val="sl-SI"/>
              </w:rPr>
              <w:t xml:space="preserve"> </w:t>
            </w:r>
            <w:r>
              <w:rPr>
                <w:rFonts w:eastAsia="Times New Roman"/>
                <w:b/>
                <w:lang w:val="sl-SI"/>
              </w:rPr>
              <w:t>ne</w:t>
            </w:r>
            <w:r>
              <w:rPr>
                <w:rFonts w:eastAsia="Times New Roman"/>
                <w:lang w:val="sl-SI"/>
              </w:rPr>
              <w:t xml:space="preserve"> smete segrevati na kateri koli drug način, na primer v mikrovalovni pečici ali vroči vodi. </w:t>
            </w:r>
          </w:p>
          <w:p w14:paraId="3D1D8CD6" w14:textId="77777777" w:rsidR="00E04C8A" w:rsidRDefault="00E04C8A">
            <w:pPr>
              <w:pStyle w:val="a3"/>
              <w:rPr>
                <w:lang w:val="sl-SI"/>
              </w:rPr>
            </w:pPr>
          </w:p>
        </w:tc>
      </w:tr>
      <w:tr w:rsidR="00E04C8A" w:rsidRPr="00652F18" w14:paraId="784F3823" w14:textId="77777777" w:rsidTr="00CF44C4">
        <w:trPr>
          <w:trHeight w:val="7084"/>
        </w:trPr>
        <w:tc>
          <w:tcPr>
            <w:tcW w:w="9550" w:type="dxa"/>
          </w:tcPr>
          <w:p w14:paraId="66A8E801" w14:textId="77777777" w:rsidR="00E04C8A" w:rsidRDefault="00E04C8A">
            <w:pPr>
              <w:spacing w:line="260" w:lineRule="exact"/>
              <w:rPr>
                <w:rFonts w:ascii="Times New Roman" w:eastAsia="Times New Roman" w:hAnsi="Times New Roman" w:cs="Times New Roman"/>
                <w:b/>
                <w:bCs/>
                <w:spacing w:val="-1"/>
                <w:lang w:val="sl-SI"/>
              </w:rPr>
            </w:pPr>
          </w:p>
          <w:p w14:paraId="78D9626D" w14:textId="42D283BC" w:rsidR="00E04C8A" w:rsidRDefault="00C568D9">
            <w:pPr>
              <w:pStyle w:val="a3"/>
              <w:rPr>
                <w:lang w:val="sl-SI"/>
              </w:rPr>
            </w:pPr>
            <w:r>
              <w:rPr>
                <w:rFonts w:eastAsia="Times New Roman"/>
                <w:noProof/>
                <w:spacing w:val="-1"/>
                <w:lang w:eastAsia="ko-KR"/>
              </w:rPr>
              <mc:AlternateContent>
                <mc:Choice Requires="wpg">
                  <w:drawing>
                    <wp:anchor distT="0" distB="0" distL="114300" distR="114300" simplePos="0" relativeHeight="251658282" behindDoc="0" locked="0" layoutInCell="1" allowOverlap="1" wp14:anchorId="4D0B4DF6" wp14:editId="24CC7E68">
                      <wp:simplePos x="0" y="0"/>
                      <wp:positionH relativeFrom="column">
                        <wp:posOffset>-4445</wp:posOffset>
                      </wp:positionH>
                      <wp:positionV relativeFrom="paragraph">
                        <wp:posOffset>160655</wp:posOffset>
                      </wp:positionV>
                      <wp:extent cx="2218055" cy="4039870"/>
                      <wp:effectExtent l="0" t="0" r="0" b="0"/>
                      <wp:wrapSquare wrapText="bothSides"/>
                      <wp:docPr id="1072" name="그룹 1072"/>
                      <wp:cNvGraphicFramePr/>
                      <a:graphic xmlns:a="http://schemas.openxmlformats.org/drawingml/2006/main">
                        <a:graphicData uri="http://schemas.microsoft.com/office/word/2010/wordprocessingGroup">
                          <wpg:wgp>
                            <wpg:cNvGrpSpPr/>
                            <wpg:grpSpPr>
                              <a:xfrm>
                                <a:off x="0" y="0"/>
                                <a:ext cx="2218055" cy="4039870"/>
                                <a:chOff x="0" y="0"/>
                                <a:chExt cx="2091690" cy="3670299"/>
                              </a:xfrm>
                            </wpg:grpSpPr>
                            <wpg:grpSp>
                              <wpg:cNvPr id="1073" name="그룹 1073"/>
                              <wpg:cNvGrpSpPr/>
                              <wpg:grpSpPr>
                                <a:xfrm>
                                  <a:off x="0" y="0"/>
                                  <a:ext cx="2091690" cy="3670299"/>
                                  <a:chOff x="0" y="0"/>
                                  <a:chExt cx="2091690" cy="3670299"/>
                                </a:xfrm>
                              </wpg:grpSpPr>
                              <pic:pic xmlns:pic="http://schemas.openxmlformats.org/drawingml/2006/picture">
                                <pic:nvPicPr>
                                  <pic:cNvPr id="1074" name="그림 1074"/>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091690" cy="3538220"/>
                                  </a:xfrm>
                                  <a:prstGeom prst="rect">
                                    <a:avLst/>
                                  </a:prstGeom>
                                  <a:noFill/>
                                  <a:ln>
                                    <a:noFill/>
                                  </a:ln>
                                </pic:spPr>
                              </pic:pic>
                              <wps:wsp>
                                <wps:cNvPr id="1075" name="Text Box 1075"/>
                                <wps:cNvSpPr txBox="1"/>
                                <wps:spPr>
                                  <a:xfrm>
                                    <a:off x="1371600" y="3524249"/>
                                    <a:ext cx="719455" cy="146050"/>
                                  </a:xfrm>
                                  <a:prstGeom prst="rect">
                                    <a:avLst/>
                                  </a:prstGeom>
                                  <a:solidFill>
                                    <a:prstClr val="white"/>
                                  </a:solidFill>
                                  <a:ln>
                                    <a:noFill/>
                                  </a:ln>
                                </wps:spPr>
                                <wps:txbx>
                                  <w:txbxContent>
                                    <w:p w14:paraId="0E399CBF" w14:textId="5DE81E73" w:rsidR="00474DFB" w:rsidRDefault="00474DFB" w:rsidP="00C568D9">
                                      <w:pPr>
                                        <w:pStyle w:val="af0"/>
                                        <w:jc w:val="right"/>
                                        <w:rPr>
                                          <w:rFonts w:ascii="Times New Roman" w:hAnsi="Times New Roman" w:cs="Times New Roman"/>
                                          <w:noProof/>
                                          <w:spacing w:val="-1"/>
                                        </w:rPr>
                                      </w:pPr>
                                      <w:r w:rsidRPr="00337BB0">
                                        <w:rPr>
                                          <w:rFonts w:ascii="Times New Roman" w:eastAsia="Times New Roman" w:hAnsi="Times New Roman" w:cs="Times New Roman"/>
                                          <w:lang w:val="sl-SI"/>
                                        </w:rPr>
                                        <w:t>Slika </w:t>
                                      </w:r>
                                      <w:r>
                                        <w:rPr>
                                          <w:rFonts w:ascii="Times New Roman" w:eastAsia="Times New Roman" w:hAnsi="Times New Roman" w:cs="Times New Roman"/>
                                          <w:lang w:val="sl-SI"/>
                                        </w:rPr>
                                        <w: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76" name="Text Box 1076"/>
                              <wps:cNvSpPr txBox="1"/>
                              <wps:spPr>
                                <a:xfrm>
                                  <a:off x="616527" y="2660072"/>
                                  <a:ext cx="1392071" cy="75062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63807" w14:textId="77777777" w:rsidR="00474DFB" w:rsidRDefault="00474DFB" w:rsidP="00C568D9">
                                    <w:pPr>
                                      <w:rPr>
                                        <w:rFonts w:asciiTheme="majorBidi" w:hAnsiTheme="majorBidi" w:cstheme="majorBidi"/>
                                        <w:b/>
                                        <w:bCs/>
                                        <w:sz w:val="20"/>
                                        <w:szCs w:val="20"/>
                                      </w:rPr>
                                    </w:pPr>
                                    <w:r>
                                      <w:rPr>
                                        <w:rFonts w:ascii="Times New Roman" w:eastAsia="Times New Roman" w:hAnsi="Times New Roman" w:cs="Times New Roman"/>
                                        <w:b/>
                                        <w:bCs/>
                                        <w:sz w:val="20"/>
                                        <w:szCs w:val="20"/>
                                        <w:lang w:val="sl-SI"/>
                                      </w:rPr>
                                      <w:t xml:space="preserve">SAMO za negovalce </w:t>
                                    </w:r>
                                  </w:p>
                                  <w:p w14:paraId="47F03325" w14:textId="77777777" w:rsidR="00474DFB" w:rsidRDefault="00474DFB" w:rsidP="00C568D9">
                                    <w:pPr>
                                      <w:rPr>
                                        <w:rFonts w:asciiTheme="majorBidi" w:hAnsiTheme="majorBidi" w:cstheme="majorBidi"/>
                                        <w:b/>
                                        <w:bCs/>
                                        <w:sz w:val="20"/>
                                        <w:szCs w:val="20"/>
                                      </w:rPr>
                                    </w:pPr>
                                  </w:p>
                                  <w:p w14:paraId="64E6DAAC" w14:textId="77777777" w:rsidR="00474DFB" w:rsidRDefault="00474DFB" w:rsidP="00C568D9">
                                    <w:pPr>
                                      <w:rPr>
                                        <w:rFonts w:asciiTheme="majorBidi" w:hAnsiTheme="majorBidi" w:cstheme="majorBidi"/>
                                        <w:b/>
                                        <w:bCs/>
                                        <w:sz w:val="20"/>
                                        <w:szCs w:val="20"/>
                                      </w:rPr>
                                    </w:pPr>
                                    <w:r>
                                      <w:rPr>
                                        <w:rFonts w:ascii="Times New Roman" w:eastAsia="Times New Roman" w:hAnsi="Times New Roman" w:cs="Times New Roman"/>
                                        <w:b/>
                                        <w:bCs/>
                                        <w:sz w:val="20"/>
                                        <w:szCs w:val="20"/>
                                        <w:lang w:val="sl-SI"/>
                                      </w:rPr>
                                      <w:t xml:space="preserve">Samoinjiciranje in negovalec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D0B4DF6" id="그룹 1072" o:spid="_x0000_s1139" style="position:absolute;margin-left:-.35pt;margin-top:12.65pt;width:174.65pt;height:318.1pt;z-index:251658282;mso-width-relative:margin;mso-height-relative:margin" coordsize="20916,3670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">
                      <v:group id="그룹 1073" o:spid="_x0000_s1140" style="position:absolute;width:20916;height:36702" coordsize="20916,36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">
                        <v:shape id="그림 1074" o:spid="_x0000_s1141" type="#_x0000_t75" style="position:absolute;width:20916;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">
                          <v:imagedata r:id="rId41" o:title=""/>
                        </v:shape>
                        <v:shape id="Text Box 1075" o:spid="_x0000_s1142" type="#_x0000_t202" style="position:absolute;left:13716;top:35242;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" stroked="f">
                          <v:textbox inset="0,0,0,0">
                            <w:txbxContent>
                              <w:p w14:paraId="0E399CBF" w14:textId="5DE81E73" w:rsidR="00474DFB" w:rsidRDefault="00474DFB" w:rsidP="00C568D9">
                                <w:pPr>
                                  <w:pStyle w:val="af0"/>
                                  <w:jc w:val="right"/>
                                  <w:rPr>
                                    <w:rFonts w:ascii="Times New Roman" w:hAnsi="Times New Roman" w:cs="Times New Roman"/>
                                    <w:noProof/>
                                    <w:spacing w:val="-1"/>
                                  </w:rPr>
                                </w:pPr>
                                <w:r w:rsidRPr="00337BB0">
                                  <w:rPr>
                                    <w:rFonts w:ascii="Times New Roman" w:eastAsia="Times New Roman" w:hAnsi="Times New Roman" w:cs="Times New Roman"/>
                                    <w:lang w:val="sl-SI"/>
                                  </w:rPr>
                                  <w:t>Slika </w:t>
                                </w:r>
                                <w:r>
                                  <w:rPr>
                                    <w:rFonts w:ascii="Times New Roman" w:eastAsia="Times New Roman" w:hAnsi="Times New Roman" w:cs="Times New Roman"/>
                                    <w:lang w:val="sl-SI"/>
                                  </w:rPr>
                                  <w:t>E</w:t>
                                </w:r>
                              </w:p>
                            </w:txbxContent>
                          </v:textbox>
                        </v:shape>
                      </v:group>
                      <v:shape id="Text Box 1076" o:spid="_x0000_s1143" type="#_x0000_t202" style="position:absolute;left:6165;top:26600;width:13920;height:7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" fillcolor="white [3212]" stroked="f" strokeweight=".5pt">
                        <v:textbox inset="0,0,0,0">
                          <w:txbxContent>
                            <w:p w14:paraId="32963807" w14:textId="77777777" w:rsidR="00474DFB" w:rsidRDefault="00474DFB" w:rsidP="00C568D9">
                              <w:pPr>
                                <w:rPr>
                                  <w:rFonts w:asciiTheme="majorBidi" w:hAnsiTheme="majorBidi" w:cstheme="majorBidi"/>
                                  <w:b/>
                                  <w:bCs/>
                                  <w:sz w:val="20"/>
                                  <w:szCs w:val="20"/>
                                </w:rPr>
                              </w:pPr>
                              <w:r>
                                <w:rPr>
                                  <w:rFonts w:ascii="Times New Roman" w:eastAsia="Times New Roman" w:hAnsi="Times New Roman" w:cs="Times New Roman"/>
                                  <w:b/>
                                  <w:bCs/>
                                  <w:sz w:val="20"/>
                                  <w:szCs w:val="20"/>
                                  <w:lang w:val="sl-SI"/>
                                </w:rPr>
                                <w:t xml:space="preserve">SAMO za negovalce </w:t>
                              </w:r>
                            </w:p>
                            <w:p w14:paraId="47F03325" w14:textId="77777777" w:rsidR="00474DFB" w:rsidRDefault="00474DFB" w:rsidP="00C568D9">
                              <w:pPr>
                                <w:rPr>
                                  <w:rFonts w:asciiTheme="majorBidi" w:hAnsiTheme="majorBidi" w:cstheme="majorBidi"/>
                                  <w:b/>
                                  <w:bCs/>
                                  <w:sz w:val="20"/>
                                  <w:szCs w:val="20"/>
                                </w:rPr>
                              </w:pPr>
                            </w:p>
                            <w:p w14:paraId="64E6DAAC" w14:textId="77777777" w:rsidR="00474DFB" w:rsidRDefault="00474DFB" w:rsidP="00C568D9">
                              <w:pPr>
                                <w:rPr>
                                  <w:rFonts w:asciiTheme="majorBidi" w:hAnsiTheme="majorBidi" w:cstheme="majorBidi"/>
                                  <w:b/>
                                  <w:bCs/>
                                  <w:sz w:val="20"/>
                                  <w:szCs w:val="20"/>
                                </w:rPr>
                              </w:pPr>
                              <w:r>
                                <w:rPr>
                                  <w:rFonts w:ascii="Times New Roman" w:eastAsia="Times New Roman" w:hAnsi="Times New Roman" w:cs="Times New Roman"/>
                                  <w:b/>
                                  <w:bCs/>
                                  <w:sz w:val="20"/>
                                  <w:szCs w:val="20"/>
                                  <w:lang w:val="sl-SI"/>
                                </w:rPr>
                                <w:t xml:space="preserve">Samoinjiciranje in negovalec </w:t>
                              </w:r>
                            </w:p>
                          </w:txbxContent>
                        </v:textbox>
                      </v:shape>
                      <w10:wrap type="square"/>
                    </v:group>
                  </w:pict>
                </mc:Fallback>
              </mc:AlternateContent>
            </w:r>
          </w:p>
          <w:p w14:paraId="46A1D74C" w14:textId="77777777" w:rsidR="00E04C8A" w:rsidRDefault="008E1817">
            <w:pPr>
              <w:pStyle w:val="a3"/>
              <w:numPr>
                <w:ilvl w:val="0"/>
                <w:numId w:val="25"/>
              </w:numPr>
              <w:rPr>
                <w:b/>
                <w:lang w:val="sl-SI"/>
              </w:rPr>
            </w:pPr>
            <w:r>
              <w:rPr>
                <w:rFonts w:eastAsia="Times New Roman"/>
                <w:b/>
                <w:bCs/>
                <w:lang w:val="sl-SI"/>
              </w:rPr>
              <w:t>Izberite mesto injiciranja</w:t>
            </w:r>
            <w:r>
              <w:rPr>
                <w:rFonts w:eastAsia="Times New Roman"/>
                <w:lang w:val="sl-SI"/>
              </w:rPr>
              <w:t>.</w:t>
            </w:r>
          </w:p>
          <w:p w14:paraId="49CD676F" w14:textId="77777777" w:rsidR="00E04C8A" w:rsidRDefault="00E04C8A">
            <w:pPr>
              <w:pStyle w:val="a3"/>
              <w:rPr>
                <w:lang w:val="sl-SI"/>
              </w:rPr>
            </w:pPr>
          </w:p>
          <w:p w14:paraId="6805EB95" w14:textId="77777777" w:rsidR="00E04C8A" w:rsidRDefault="008E1817" w:rsidP="00C568D9">
            <w:pPr>
              <w:pStyle w:val="a3"/>
              <w:ind w:left="3860" w:hanging="180"/>
              <w:rPr>
                <w:lang w:val="sl-SI"/>
              </w:rPr>
            </w:pPr>
            <w:r>
              <w:rPr>
                <w:rFonts w:eastAsia="Times New Roman"/>
                <w:b/>
                <w:bCs/>
                <w:lang w:val="sl-SI"/>
              </w:rPr>
              <w:t>a.</w:t>
            </w:r>
            <w:r>
              <w:rPr>
                <w:rFonts w:eastAsia="Times New Roman"/>
                <w:lang w:val="sl-SI"/>
              </w:rPr>
              <w:t xml:space="preserve"> Injicirate lahko v:</w:t>
            </w:r>
          </w:p>
          <w:p w14:paraId="462BA04D" w14:textId="77777777" w:rsidR="00E04C8A" w:rsidRDefault="008E1817" w:rsidP="00C568D9">
            <w:pPr>
              <w:pStyle w:val="a3"/>
              <w:ind w:left="3860"/>
              <w:rPr>
                <w:lang w:val="sl-SI"/>
              </w:rPr>
            </w:pPr>
            <w:r>
              <w:rPr>
                <w:rFonts w:eastAsia="Times New Roman"/>
                <w:lang w:val="sl-SI"/>
              </w:rPr>
              <w:t xml:space="preserve">- sprednjo stran stegen. </w:t>
            </w:r>
          </w:p>
          <w:p w14:paraId="12B17667" w14:textId="77777777" w:rsidR="00E04C8A" w:rsidRDefault="008E1817" w:rsidP="00C568D9">
            <w:pPr>
              <w:pStyle w:val="a3"/>
              <w:ind w:left="3860"/>
              <w:rPr>
                <w:lang w:val="sl-SI"/>
              </w:rPr>
            </w:pPr>
            <w:r>
              <w:rPr>
                <w:rFonts w:eastAsia="Times New Roman"/>
                <w:lang w:val="sl-SI"/>
              </w:rPr>
              <w:t xml:space="preserve">- trebuh, najmanj 5 cm oddaljeno od popka. </w:t>
            </w:r>
          </w:p>
          <w:p w14:paraId="3D180B62" w14:textId="18F71A1D" w:rsidR="00E04C8A" w:rsidRDefault="00C568D9" w:rsidP="00C568D9">
            <w:pPr>
              <w:pStyle w:val="a3"/>
              <w:ind w:left="3860"/>
              <w:rPr>
                <w:lang w:val="sl-SI"/>
              </w:rPr>
            </w:pPr>
            <w:r>
              <w:rPr>
                <w:rFonts w:eastAsia="Times New Roman"/>
                <w:lang w:val="sl-SI"/>
              </w:rPr>
              <w:t>-</w:t>
            </w:r>
            <w:r w:rsidR="008E1817">
              <w:rPr>
                <w:rFonts w:eastAsia="Times New Roman"/>
                <w:lang w:val="sl-SI"/>
              </w:rPr>
              <w:t xml:space="preserve"> zunanji del nadlakti (SAMO, če ste negovalec). </w:t>
            </w:r>
          </w:p>
          <w:p w14:paraId="5E7990C2" w14:textId="77777777" w:rsidR="00E04C8A" w:rsidRDefault="00E04C8A">
            <w:pPr>
              <w:pStyle w:val="a3"/>
              <w:rPr>
                <w:lang w:val="sl-SI"/>
              </w:rPr>
            </w:pPr>
          </w:p>
          <w:p w14:paraId="78B33A5D" w14:textId="77777777" w:rsidR="00E04C8A" w:rsidRDefault="008E1817">
            <w:pPr>
              <w:pStyle w:val="a3"/>
              <w:numPr>
                <w:ilvl w:val="0"/>
                <w:numId w:val="18"/>
              </w:numPr>
              <w:ind w:left="3487"/>
              <w:rPr>
                <w:lang w:val="sl-SI"/>
              </w:rPr>
            </w:pPr>
            <w:r>
              <w:rPr>
                <w:rFonts w:eastAsia="Times New Roman"/>
                <w:b/>
                <w:bCs/>
                <w:lang w:val="sl-SI"/>
              </w:rPr>
              <w:t>Ne</w:t>
            </w:r>
            <w:r>
              <w:rPr>
                <w:rFonts w:eastAsia="Times New Roman"/>
                <w:lang w:val="sl-SI"/>
              </w:rPr>
              <w:t xml:space="preserve"> injicirajte v kožo, ki je od popka oddaljena manj kot 5 cm, je rdeča, trda, občutljiva, poškodovana, podpluta ali brazgotinasta. </w:t>
            </w:r>
          </w:p>
          <w:p w14:paraId="0ED30477" w14:textId="77777777" w:rsidR="00E04C8A" w:rsidRDefault="008E1817">
            <w:pPr>
              <w:pStyle w:val="a3"/>
              <w:numPr>
                <w:ilvl w:val="0"/>
                <w:numId w:val="18"/>
              </w:numPr>
              <w:ind w:left="3487"/>
              <w:rPr>
                <w:lang w:val="sl-SI"/>
              </w:rPr>
            </w:pPr>
            <w:r>
              <w:rPr>
                <w:rFonts w:eastAsia="Times New Roman"/>
                <w:lang w:val="sl-SI"/>
              </w:rPr>
              <w:t xml:space="preserve">Če imate luskavico ne injicirajte neposredno v dvignjene, odebeljene, rdeče ali luskaste zaplate ali lezije na koži. </w:t>
            </w:r>
          </w:p>
          <w:p w14:paraId="505EF450" w14:textId="77777777" w:rsidR="00E04C8A" w:rsidRDefault="008E1817">
            <w:pPr>
              <w:pStyle w:val="a3"/>
              <w:numPr>
                <w:ilvl w:val="0"/>
                <w:numId w:val="18"/>
              </w:numPr>
              <w:ind w:left="3487"/>
              <w:rPr>
                <w:lang w:val="sl-SI"/>
              </w:rPr>
            </w:pPr>
            <w:r>
              <w:rPr>
                <w:rFonts w:eastAsia="Times New Roman"/>
                <w:b/>
                <w:bCs/>
                <w:lang w:val="sl-SI"/>
              </w:rPr>
              <w:t>Ne</w:t>
            </w:r>
            <w:r>
              <w:rPr>
                <w:rFonts w:eastAsia="Times New Roman"/>
                <w:lang w:val="sl-SI"/>
              </w:rPr>
              <w:t xml:space="preserve"> injicirajte skozi oblačila.</w:t>
            </w:r>
          </w:p>
          <w:p w14:paraId="65CF8BE9" w14:textId="77777777" w:rsidR="00E04C8A" w:rsidRDefault="00E04C8A">
            <w:pPr>
              <w:pStyle w:val="a3"/>
              <w:rPr>
                <w:lang w:val="sl-SI"/>
              </w:rPr>
            </w:pPr>
          </w:p>
          <w:p w14:paraId="6637443B" w14:textId="77777777" w:rsidR="00E04C8A" w:rsidRDefault="008E1817" w:rsidP="00C568D9">
            <w:pPr>
              <w:pStyle w:val="a3"/>
              <w:ind w:left="3860" w:hanging="208"/>
              <w:rPr>
                <w:lang w:val="sl-SI"/>
              </w:rPr>
            </w:pPr>
            <w:r>
              <w:rPr>
                <w:rFonts w:eastAsia="Times New Roman"/>
                <w:b/>
                <w:bCs/>
                <w:lang w:val="sl-SI"/>
              </w:rPr>
              <w:t>b.</w:t>
            </w:r>
            <w:r>
              <w:rPr>
                <w:rFonts w:eastAsia="Times New Roman"/>
                <w:lang w:val="sl-SI"/>
              </w:rPr>
              <w:t xml:space="preserve"> Za vsako injiciranje zamenjajte mesto injiciranja. Vsako novo mesto injiciranja mora biti vsaj 3 cm oddaljeno od mesta injiciranja, ki ste ga uporabili prejšnjič. </w:t>
            </w:r>
          </w:p>
          <w:p w14:paraId="71417C6C" w14:textId="77777777" w:rsidR="00E04C8A" w:rsidRDefault="00E04C8A">
            <w:pPr>
              <w:pStyle w:val="a3"/>
              <w:rPr>
                <w:sz w:val="26"/>
                <w:szCs w:val="26"/>
                <w:lang w:val="sl-SI" w:eastAsia="ko-KR"/>
              </w:rPr>
            </w:pPr>
          </w:p>
        </w:tc>
      </w:tr>
    </w:tbl>
    <w:p w14:paraId="12298F21" w14:textId="77777777" w:rsidR="00E04C8A" w:rsidRDefault="00E04C8A">
      <w:pPr>
        <w:ind w:left="224" w:right="1248"/>
        <w:rPr>
          <w:rFonts w:ascii="Times New Roman" w:eastAsia="Times New Roman" w:hAnsi="Times New Roman" w:cs="Times New Roman"/>
          <w:b/>
          <w:bCs/>
          <w:lang w:val="sl-SI"/>
        </w:rPr>
      </w:pPr>
    </w:p>
    <w:p w14:paraId="5F649491" w14:textId="77777777" w:rsidR="00E04C8A" w:rsidRDefault="00E04C8A">
      <w:pPr>
        <w:ind w:left="224" w:right="1248"/>
        <w:rPr>
          <w:rFonts w:ascii="Times New Roman" w:eastAsia="Times New Roman" w:hAnsi="Times New Roman" w:cs="Times New Roman"/>
          <w:b/>
          <w:bCs/>
          <w:lang w:val="sl-SI"/>
        </w:rPr>
      </w:pPr>
    </w:p>
    <w:p w14:paraId="30A465A1" w14:textId="77777777" w:rsidR="00E04C8A" w:rsidRDefault="00E04C8A">
      <w:pPr>
        <w:ind w:left="224" w:right="1248"/>
        <w:rPr>
          <w:rFonts w:ascii="Times New Roman" w:eastAsia="Times New Roman" w:hAnsi="Times New Roman" w:cs="Times New Roman"/>
          <w:b/>
          <w:bCs/>
          <w:lang w:val="sl-SI"/>
        </w:rPr>
      </w:pPr>
    </w:p>
    <w:tbl>
      <w:tblPr>
        <w:tblStyle w:val="ac"/>
        <w:tblW w:w="0" w:type="auto"/>
        <w:tblLook w:val="04A0" w:firstRow="1" w:lastRow="0" w:firstColumn="1" w:lastColumn="0" w:noHBand="0" w:noVBand="1"/>
      </w:tblPr>
      <w:tblGrid>
        <w:gridCol w:w="9581"/>
      </w:tblGrid>
      <w:tr w:rsidR="00E04C8A" w14:paraId="447361C7" w14:textId="77777777">
        <w:trPr>
          <w:trHeight w:val="5805"/>
        </w:trPr>
        <w:tc>
          <w:tcPr>
            <w:tcW w:w="9581" w:type="dxa"/>
          </w:tcPr>
          <w:p w14:paraId="2DDB9AFF" w14:textId="77777777" w:rsidR="00E04C8A" w:rsidRDefault="00E04C8A">
            <w:pPr>
              <w:pStyle w:val="1"/>
              <w:spacing w:before="76"/>
              <w:ind w:left="0" w:right="2736"/>
              <w:rPr>
                <w:rFonts w:eastAsiaTheme="minorEastAsia"/>
                <w:lang w:val="sl-SI" w:eastAsia="ko-KR"/>
              </w:rPr>
            </w:pPr>
          </w:p>
          <w:p w14:paraId="5CD5E361" w14:textId="77777777" w:rsidR="00E04C8A" w:rsidRDefault="008E1817">
            <w:pPr>
              <w:pStyle w:val="1"/>
              <w:spacing w:before="76"/>
              <w:ind w:left="0" w:right="2736"/>
              <w:rPr>
                <w:rFonts w:eastAsiaTheme="minorEastAsia"/>
                <w:lang w:val="sl-SI" w:eastAsia="ko-KR"/>
              </w:rPr>
            </w:pPr>
            <w:r>
              <w:rPr>
                <w:rFonts w:eastAsiaTheme="minorEastAsia"/>
                <w:noProof/>
                <w:lang w:eastAsia="ko-KR"/>
              </w:rPr>
              <mc:AlternateContent>
                <mc:Choice Requires="wpg">
                  <w:drawing>
                    <wp:anchor distT="0" distB="0" distL="114300" distR="114300" simplePos="0" relativeHeight="251658246" behindDoc="0" locked="0" layoutInCell="1" allowOverlap="1" wp14:anchorId="362E6341" wp14:editId="2CA285C3">
                      <wp:simplePos x="0" y="0"/>
                      <wp:positionH relativeFrom="column">
                        <wp:posOffset>-20955</wp:posOffset>
                      </wp:positionH>
                      <wp:positionV relativeFrom="paragraph">
                        <wp:posOffset>116205</wp:posOffset>
                      </wp:positionV>
                      <wp:extent cx="2408555" cy="3092450"/>
                      <wp:effectExtent l="0" t="0" r="0" b="0"/>
                      <wp:wrapSquare wrapText="bothSides"/>
                      <wp:docPr id="30" name="그룹 30"/>
                      <wp:cNvGraphicFramePr/>
                      <a:graphic xmlns:a="http://schemas.openxmlformats.org/drawingml/2006/main">
                        <a:graphicData uri="http://schemas.microsoft.com/office/word/2010/wordprocessingGroup">
                          <wpg:wgp>
                            <wpg:cNvGrpSpPr/>
                            <wpg:grpSpPr>
                              <a:xfrm>
                                <a:off x="0" y="0"/>
                                <a:ext cx="2408555" cy="3092450"/>
                                <a:chOff x="0" y="0"/>
                                <a:chExt cx="2408555" cy="3092450"/>
                              </a:xfrm>
                            </wpg:grpSpPr>
                            <pic:pic xmlns:pic="http://schemas.openxmlformats.org/drawingml/2006/picture">
                              <pic:nvPicPr>
                                <pic:cNvPr id="165" name="그림 165"/>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9" name="Text Box 9"/>
                              <wps:cNvSpPr txBox="1"/>
                              <wps:spPr>
                                <a:xfrm>
                                  <a:off x="1688465" y="2946400"/>
                                  <a:ext cx="720090" cy="146050"/>
                                </a:xfrm>
                                <a:prstGeom prst="rect">
                                  <a:avLst/>
                                </a:prstGeom>
                                <a:solidFill>
                                  <a:prstClr val="white"/>
                                </a:solidFill>
                                <a:ln>
                                  <a:noFill/>
                                </a:ln>
                              </wps:spPr>
                              <wps:txbx>
                                <w:txbxContent>
                                  <w:p w14:paraId="414679C5" w14:textId="592B2BCE" w:rsidR="00474DFB" w:rsidRDefault="00474DFB">
                                    <w:pPr>
                                      <w:pStyle w:val="af0"/>
                                      <w:jc w:val="right"/>
                                      <w:rPr>
                                        <w:rFonts w:cs="Times New Roman"/>
                                        <w:noProof/>
                                      </w:rPr>
                                    </w:pPr>
                                    <w:r>
                                      <w:rPr>
                                        <w:rFonts w:ascii="Times New Roman" w:eastAsia="Times New Roman" w:hAnsi="Times New Roman" w:cs="Times New Roman"/>
                                        <w:lang w:val="sl-SI"/>
                                      </w:rPr>
                                      <w:t>Slika 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62E6341" id="그룹 30" o:spid="_x0000_s1144" style="position:absolute;margin-left:-1.65pt;margin-top:9.15pt;width:189.65pt;height:243.5pt;z-index:251658246" coordsize="24085,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&#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">
                      <v:shape id="그림 165" o:spid="_x0000_s1145"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">
                        <v:imagedata r:id="rId43" o:title=""/>
                      </v:shape>
                      <v:shape id="Text Box 9" o:spid="_x0000_s1146" type="#_x0000_t202" style="position:absolute;left:16884;top:29464;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" stroked="f">
                        <v:textbox style="mso-fit-shape-to-text:t" inset="0,0,0,0">
                          <w:txbxContent>
                            <w:p w14:paraId="414679C5" w14:textId="592B2BCE" w:rsidR="00474DFB" w:rsidRDefault="00474DFB">
                              <w:pPr>
                                <w:pStyle w:val="af0"/>
                                <w:jc w:val="right"/>
                                <w:rPr>
                                  <w:rFonts w:cs="Times New Roman"/>
                                  <w:noProof/>
                                </w:rPr>
                              </w:pPr>
                              <w:r>
                                <w:rPr>
                                  <w:rFonts w:ascii="Times New Roman" w:eastAsia="Times New Roman" w:hAnsi="Times New Roman" w:cs="Times New Roman"/>
                                  <w:lang w:val="sl-SI"/>
                                </w:rPr>
                                <w:t>Slika F</w:t>
                              </w:r>
                            </w:p>
                          </w:txbxContent>
                        </v:textbox>
                      </v:shape>
                      <w10:wrap type="square"/>
                    </v:group>
                  </w:pict>
                </mc:Fallback>
              </mc:AlternateContent>
            </w:r>
          </w:p>
          <w:p w14:paraId="1480E9AA" w14:textId="77777777" w:rsidR="00E04C8A" w:rsidRDefault="008E1817">
            <w:pPr>
              <w:pStyle w:val="a3"/>
              <w:numPr>
                <w:ilvl w:val="0"/>
                <w:numId w:val="25"/>
              </w:numPr>
              <w:rPr>
                <w:b/>
                <w:lang w:val="sl-SI"/>
              </w:rPr>
            </w:pPr>
            <w:r>
              <w:rPr>
                <w:rFonts w:eastAsia="Times New Roman"/>
                <w:b/>
                <w:bCs/>
                <w:lang w:val="sl-SI"/>
              </w:rPr>
              <w:t>Umijte si roke</w:t>
            </w:r>
          </w:p>
          <w:p w14:paraId="3090E80A" w14:textId="77777777" w:rsidR="00E04C8A" w:rsidRDefault="00E04C8A">
            <w:pPr>
              <w:pStyle w:val="a3"/>
              <w:rPr>
                <w:b/>
                <w:lang w:val="sl-SI"/>
              </w:rPr>
            </w:pPr>
          </w:p>
          <w:p w14:paraId="422293D6" w14:textId="77777777" w:rsidR="00E04C8A" w:rsidRDefault="008E1817">
            <w:pPr>
              <w:pStyle w:val="a3"/>
              <w:ind w:left="4297" w:hanging="180"/>
              <w:rPr>
                <w:lang w:val="sl-SI"/>
              </w:rPr>
            </w:pPr>
            <w:r>
              <w:rPr>
                <w:rFonts w:eastAsia="Times New Roman"/>
                <w:b/>
                <w:bCs/>
                <w:lang w:val="sl-SI"/>
              </w:rPr>
              <w:t>a.</w:t>
            </w:r>
            <w:r>
              <w:rPr>
                <w:rFonts w:eastAsia="Times New Roman"/>
                <w:lang w:val="sl-SI"/>
              </w:rPr>
              <w:t xml:space="preserve"> Roke si umijte z milom in vodo ter jih temeljito posušite. </w:t>
            </w:r>
          </w:p>
          <w:p w14:paraId="438E482B" w14:textId="77777777" w:rsidR="00E04C8A" w:rsidRDefault="00E04C8A">
            <w:pPr>
              <w:pStyle w:val="1"/>
              <w:spacing w:before="76"/>
              <w:ind w:left="0" w:right="2736"/>
              <w:rPr>
                <w:rFonts w:eastAsiaTheme="minorEastAsia"/>
                <w:lang w:val="sl-SI" w:eastAsia="ko-KR"/>
              </w:rPr>
            </w:pPr>
          </w:p>
        </w:tc>
      </w:tr>
      <w:tr w:rsidR="00E04C8A" w:rsidRPr="00652F18" w14:paraId="6CFD4518" w14:textId="77777777">
        <w:trPr>
          <w:trHeight w:val="5201"/>
        </w:trPr>
        <w:tc>
          <w:tcPr>
            <w:tcW w:w="9581" w:type="dxa"/>
          </w:tcPr>
          <w:p w14:paraId="197AE610" w14:textId="77777777" w:rsidR="00E04C8A" w:rsidRDefault="00E04C8A">
            <w:pPr>
              <w:ind w:left="104"/>
              <w:rPr>
                <w:rFonts w:ascii="Times New Roman" w:eastAsia="Times New Roman" w:hAnsi="Times New Roman" w:cs="Times New Roman"/>
                <w:b/>
                <w:bCs/>
                <w:spacing w:val="-1"/>
                <w:lang w:val="sl-SI"/>
              </w:rPr>
            </w:pPr>
          </w:p>
          <w:p w14:paraId="1AD8B454" w14:textId="5DF3F14C" w:rsidR="00E04C8A" w:rsidRDefault="00C568D9">
            <w:pPr>
              <w:pStyle w:val="a3"/>
              <w:numPr>
                <w:ilvl w:val="0"/>
                <w:numId w:val="25"/>
              </w:numPr>
              <w:rPr>
                <w:lang w:val="sl-SI"/>
              </w:rPr>
            </w:pPr>
            <w:r>
              <w:rPr>
                <w:rFonts w:ascii="Arial" w:hAnsi="Arial" w:cs="Arial"/>
                <w:b/>
                <w:noProof/>
                <w:spacing w:val="-1"/>
                <w:sz w:val="24"/>
                <w:szCs w:val="24"/>
                <w:lang w:eastAsia="ko-KR"/>
              </w:rPr>
              <mc:AlternateContent>
                <mc:Choice Requires="wpg">
                  <w:drawing>
                    <wp:anchor distT="0" distB="0" distL="114300" distR="114300" simplePos="0" relativeHeight="251658283" behindDoc="0" locked="0" layoutInCell="1" allowOverlap="1" wp14:anchorId="71F258D0" wp14:editId="61D48583">
                      <wp:simplePos x="0" y="0"/>
                      <wp:positionH relativeFrom="column">
                        <wp:posOffset>64644</wp:posOffset>
                      </wp:positionH>
                      <wp:positionV relativeFrom="paragraph">
                        <wp:posOffset>39370</wp:posOffset>
                      </wp:positionV>
                      <wp:extent cx="2159638" cy="2894569"/>
                      <wp:effectExtent l="19050" t="19050" r="12065" b="1270"/>
                      <wp:wrapSquare wrapText="bothSides"/>
                      <wp:docPr id="4003" name="그룹 4003"/>
                      <wp:cNvGraphicFramePr/>
                      <a:graphic xmlns:a="http://schemas.openxmlformats.org/drawingml/2006/main">
                        <a:graphicData uri="http://schemas.microsoft.com/office/word/2010/wordprocessingGroup">
                          <wpg:wgp>
                            <wpg:cNvGrpSpPr/>
                            <wpg:grpSpPr>
                              <a:xfrm>
                                <a:off x="0" y="0"/>
                                <a:ext cx="2159638" cy="2894569"/>
                                <a:chOff x="57722" y="-121350"/>
                                <a:chExt cx="1799592" cy="2414588"/>
                              </a:xfrm>
                            </wpg:grpSpPr>
                            <pic:pic xmlns:pic="http://schemas.openxmlformats.org/drawingml/2006/picture">
                              <pic:nvPicPr>
                                <pic:cNvPr id="4004" name="그림 4004"/>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57724" y="-121350"/>
                                  <a:ext cx="1799590" cy="2200275"/>
                                </a:xfrm>
                                <a:prstGeom prst="rect">
                                  <a:avLst/>
                                </a:prstGeom>
                                <a:noFill/>
                                <a:ln>
                                  <a:solidFill>
                                    <a:schemeClr val="tx1"/>
                                  </a:solidFill>
                                </a:ln>
                              </pic:spPr>
                            </pic:pic>
                            <wps:wsp>
                              <wps:cNvPr id="4005" name="Text Box 4005"/>
                              <wps:cNvSpPr txBox="1"/>
                              <wps:spPr>
                                <a:xfrm>
                                  <a:off x="57722" y="2117978"/>
                                  <a:ext cx="1799590" cy="175260"/>
                                </a:xfrm>
                                <a:prstGeom prst="rect">
                                  <a:avLst/>
                                </a:prstGeom>
                                <a:solidFill>
                                  <a:prstClr val="white"/>
                                </a:solidFill>
                                <a:ln>
                                  <a:noFill/>
                                </a:ln>
                              </wps:spPr>
                              <wps:txbx>
                                <w:txbxContent>
                                  <w:p w14:paraId="4F28AF47" w14:textId="76DF4679" w:rsidR="00474DFB" w:rsidRPr="00E928B9" w:rsidRDefault="00474DFB" w:rsidP="00C568D9">
                                    <w:pPr>
                                      <w:pStyle w:val="af0"/>
                                      <w:jc w:val="right"/>
                                      <w:rPr>
                                        <w:rFonts w:ascii="Times New Roman" w:hAnsi="Times New Roman" w:cs="Times New Roman"/>
                                        <w:bCs w:val="0"/>
                                      </w:rPr>
                                    </w:pPr>
                                    <w:r>
                                      <w:rPr>
                                        <w:rFonts w:ascii="Times New Roman" w:hAnsi="Times New Roman" w:cs="Times New Roman"/>
                                        <w:bCs w:val="0"/>
                                      </w:rPr>
                                      <w:t>Slika 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F258D0" id="그룹 4003" o:spid="_x0000_s1147" style="position:absolute;left:0;text-align:left;margin-left:5.1pt;margin-top:3.1pt;width:170.05pt;height:227.9pt;z-index:251658283;mso-width-relative:margin;mso-height-relative:margin" coordorigin="577,-1213" coordsize="17995,2414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">
                      <v:shape id="그림 4004" o:spid="_x0000_s1148" type="#_x0000_t75" style="position:absolute;left:577;top:-1213;width:17996;height:22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" stroked="t" strokecolor="black [3213]">
                        <v:imagedata r:id="rId85" o:title=""/>
                        <v:path arrowok="t"/>
                      </v:shape>
                      <v:shape id="Text Box 4005" o:spid="_x0000_s1149" type="#_x0000_t202" style="position:absolute;left:577;top:21179;width:1799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" stroked="f">
                        <v:textbox inset="0,0,0,0">
                          <w:txbxContent>
                            <w:p w14:paraId="4F28AF47" w14:textId="76DF4679" w:rsidR="00474DFB" w:rsidRPr="00E928B9" w:rsidRDefault="00474DFB" w:rsidP="00C568D9">
                              <w:pPr>
                                <w:pStyle w:val="af0"/>
                                <w:jc w:val="right"/>
                                <w:rPr>
                                  <w:rFonts w:ascii="Times New Roman" w:hAnsi="Times New Roman" w:cs="Times New Roman"/>
                                  <w:bCs w:val="0"/>
                                </w:rPr>
                              </w:pPr>
                              <w:r>
                                <w:rPr>
                                  <w:rFonts w:ascii="Times New Roman" w:hAnsi="Times New Roman" w:cs="Times New Roman"/>
                                  <w:bCs w:val="0"/>
                                </w:rPr>
                                <w:t>Slika G</w:t>
                              </w:r>
                            </w:p>
                          </w:txbxContent>
                        </v:textbox>
                      </v:shape>
                      <w10:wrap type="square"/>
                    </v:group>
                  </w:pict>
                </mc:Fallback>
              </mc:AlternateContent>
            </w:r>
            <w:r w:rsidR="008E1817">
              <w:rPr>
                <w:rFonts w:eastAsia="Times New Roman"/>
                <w:b/>
                <w:bCs/>
                <w:lang w:val="sl-SI"/>
              </w:rPr>
              <w:t>Očistite mesto injiciranja</w:t>
            </w:r>
            <w:r w:rsidR="008E1817">
              <w:rPr>
                <w:rFonts w:eastAsia="Times New Roman"/>
                <w:lang w:val="sl-SI"/>
              </w:rPr>
              <w:t xml:space="preserve"> </w:t>
            </w:r>
          </w:p>
          <w:p w14:paraId="068ABD0E" w14:textId="77777777" w:rsidR="00E04C8A" w:rsidRDefault="00E04C8A">
            <w:pPr>
              <w:pStyle w:val="a3"/>
              <w:numPr>
                <w:ilvl w:val="0"/>
                <w:numId w:val="0"/>
              </w:numPr>
              <w:ind w:left="471"/>
              <w:rPr>
                <w:lang w:val="sl-SI"/>
              </w:rPr>
            </w:pPr>
          </w:p>
          <w:p w14:paraId="138380F4" w14:textId="67AE8951" w:rsidR="00E04C8A" w:rsidRDefault="008E1817">
            <w:pPr>
              <w:pStyle w:val="a3"/>
              <w:ind w:left="4297" w:hanging="180"/>
              <w:rPr>
                <w:lang w:val="sl-SI"/>
              </w:rPr>
            </w:pPr>
            <w:r>
              <w:rPr>
                <w:rFonts w:eastAsia="Times New Roman"/>
                <w:b/>
                <w:bCs/>
                <w:lang w:val="sl-SI"/>
              </w:rPr>
              <w:t>a.</w:t>
            </w:r>
            <w:r>
              <w:rPr>
                <w:rFonts w:eastAsia="Times New Roman"/>
                <w:lang w:val="sl-SI"/>
              </w:rPr>
              <w:t xml:space="preserve"> Mesto injiciranja očistite z </w:t>
            </w:r>
            <w:r w:rsidR="00754E39" w:rsidRPr="00D14272">
              <w:rPr>
                <w:rFonts w:eastAsia="Times New Roman"/>
                <w:lang w:val="sl-SI"/>
              </w:rPr>
              <w:t>alkoholnim zložencem</w:t>
            </w:r>
            <w:r>
              <w:rPr>
                <w:rFonts w:eastAsia="Times New Roman"/>
                <w:lang w:val="sl-SI"/>
              </w:rPr>
              <w:t xml:space="preserve"> s krožnimi gibi</w:t>
            </w:r>
          </w:p>
          <w:p w14:paraId="36F6D354" w14:textId="77777777" w:rsidR="00E04C8A" w:rsidRDefault="008E1817">
            <w:pPr>
              <w:pStyle w:val="a3"/>
              <w:ind w:left="4297" w:hanging="180"/>
              <w:rPr>
                <w:lang w:val="sl-SI"/>
              </w:rPr>
            </w:pPr>
            <w:r>
              <w:rPr>
                <w:rFonts w:eastAsia="Times New Roman"/>
                <w:b/>
                <w:bCs/>
                <w:lang w:val="sl-SI"/>
              </w:rPr>
              <w:t>b.</w:t>
            </w:r>
            <w:r>
              <w:rPr>
                <w:rFonts w:eastAsia="Times New Roman"/>
                <w:lang w:val="sl-SI"/>
              </w:rPr>
              <w:t xml:space="preserve"> Pred injiciranjem počakajte, da se koža posuši.</w:t>
            </w:r>
          </w:p>
          <w:p w14:paraId="36160A51" w14:textId="77777777" w:rsidR="00E04C8A" w:rsidRDefault="00E04C8A">
            <w:pPr>
              <w:pStyle w:val="a3"/>
              <w:rPr>
                <w:lang w:val="sl-SI"/>
              </w:rPr>
            </w:pPr>
          </w:p>
          <w:p w14:paraId="0696A63D" w14:textId="77777777" w:rsidR="00E04C8A" w:rsidRDefault="00E04C8A">
            <w:pPr>
              <w:pStyle w:val="a3"/>
              <w:rPr>
                <w:lang w:val="sl-SI"/>
              </w:rPr>
            </w:pPr>
          </w:p>
          <w:p w14:paraId="5C741959" w14:textId="77777777" w:rsidR="00E04C8A" w:rsidRDefault="008E1817">
            <w:pPr>
              <w:pStyle w:val="a3"/>
              <w:rPr>
                <w:lang w:val="sl-SI" w:eastAsia="ko-KR"/>
              </w:rPr>
            </w:pPr>
            <w:r>
              <w:rPr>
                <w:rFonts w:ascii="맑은 고딕" w:eastAsia="맑은 고딕" w:hAnsi="맑은 고딕"/>
                <w:lang w:val="sl-SI"/>
              </w:rPr>
              <w:t xml:space="preserve">• </w:t>
            </w:r>
            <w:r>
              <w:rPr>
                <w:rFonts w:eastAsia="Times New Roman"/>
                <w:lang w:val="sl-SI"/>
              </w:rPr>
              <w:t>Pred injiciranjem zdravila na mesto injiciranja</w:t>
            </w:r>
            <w:r>
              <w:rPr>
                <w:rFonts w:ascii="맑은 고딕" w:eastAsia="맑은 고딕" w:hAnsi="맑은 고딕"/>
                <w:lang w:val="sl-SI"/>
              </w:rPr>
              <w:t xml:space="preserve"> </w:t>
            </w:r>
            <w:r>
              <w:rPr>
                <w:rFonts w:eastAsia="맑은 고딕"/>
                <w:b/>
                <w:bCs/>
                <w:lang w:val="sl-SI"/>
              </w:rPr>
              <w:t>ne</w:t>
            </w:r>
            <w:r>
              <w:rPr>
                <w:rFonts w:eastAsia="맑은 고딕"/>
                <w:lang w:val="sl-SI"/>
              </w:rPr>
              <w:t xml:space="preserve"> pihajte in se ga </w:t>
            </w:r>
            <w:r>
              <w:rPr>
                <w:rFonts w:eastAsia="맑은 고딕"/>
                <w:b/>
                <w:bCs/>
                <w:lang w:val="sl-SI"/>
              </w:rPr>
              <w:t>ne</w:t>
            </w:r>
            <w:r>
              <w:rPr>
                <w:rFonts w:eastAsia="맑은 고딕"/>
                <w:lang w:val="sl-SI"/>
              </w:rPr>
              <w:t xml:space="preserve"> dotikajte </w:t>
            </w:r>
            <w:r>
              <w:rPr>
                <w:rFonts w:eastAsia="Times New Roman"/>
                <w:lang w:val="sl-SI"/>
              </w:rPr>
              <w:t>ponovno.</w:t>
            </w:r>
          </w:p>
        </w:tc>
      </w:tr>
      <w:tr w:rsidR="00E04C8A" w:rsidRPr="003138FB" w14:paraId="599EB71B" w14:textId="77777777">
        <w:trPr>
          <w:trHeight w:val="5664"/>
        </w:trPr>
        <w:tc>
          <w:tcPr>
            <w:tcW w:w="9581" w:type="dxa"/>
          </w:tcPr>
          <w:p w14:paraId="4B509AC9" w14:textId="77777777" w:rsidR="00E04C8A" w:rsidRDefault="00E04C8A">
            <w:pPr>
              <w:pStyle w:val="Default"/>
              <w:rPr>
                <w:lang w:val="sl-SI"/>
              </w:rPr>
            </w:pPr>
          </w:p>
          <w:p w14:paraId="65248520" w14:textId="054C9840" w:rsidR="00E04C8A" w:rsidRDefault="008E1817" w:rsidP="00337BB0">
            <w:pPr>
              <w:ind w:left="104"/>
              <w:rPr>
                <w:lang w:val="sl-SI"/>
              </w:rPr>
            </w:pPr>
            <w:r>
              <w:rPr>
                <w:lang w:val="sl-SI"/>
              </w:rPr>
              <w:t xml:space="preserve"> </w:t>
            </w:r>
          </w:p>
          <w:p w14:paraId="45140E24" w14:textId="77777777" w:rsidR="00E04C8A" w:rsidRDefault="00C568D9">
            <w:pPr>
              <w:pStyle w:val="Default"/>
              <w:rPr>
                <w:lang w:val="sl-SI"/>
              </w:rPr>
            </w:pPr>
            <w:r>
              <w:rPr>
                <w:noProof/>
                <w:lang w:eastAsia="ko-KR"/>
              </w:rPr>
              <mc:AlternateContent>
                <mc:Choice Requires="wpg">
                  <w:drawing>
                    <wp:anchor distT="0" distB="0" distL="114300" distR="114300" simplePos="0" relativeHeight="251658275" behindDoc="0" locked="0" layoutInCell="1" allowOverlap="1" wp14:anchorId="7741FF02" wp14:editId="26FABCC3">
                      <wp:simplePos x="0" y="0"/>
                      <wp:positionH relativeFrom="column">
                        <wp:posOffset>9525</wp:posOffset>
                      </wp:positionH>
                      <wp:positionV relativeFrom="paragraph">
                        <wp:posOffset>56515</wp:posOffset>
                      </wp:positionV>
                      <wp:extent cx="2294255" cy="2997200"/>
                      <wp:effectExtent l="19050" t="19050" r="10795" b="0"/>
                      <wp:wrapSquare wrapText="bothSides"/>
                      <wp:docPr id="1077" name="그룹 1077"/>
                      <wp:cNvGraphicFramePr/>
                      <a:graphic xmlns:a="http://schemas.openxmlformats.org/drawingml/2006/main">
                        <a:graphicData uri="http://schemas.microsoft.com/office/word/2010/wordprocessingGroup">
                          <wpg:wgp>
                            <wpg:cNvGrpSpPr/>
                            <wpg:grpSpPr>
                              <a:xfrm>
                                <a:off x="0" y="0"/>
                                <a:ext cx="2294255" cy="2997200"/>
                                <a:chOff x="0" y="0"/>
                                <a:chExt cx="2294255" cy="2997200"/>
                              </a:xfrm>
                            </wpg:grpSpPr>
                            <wpg:grpSp>
                              <wpg:cNvPr id="28" name="그룹 28"/>
                              <wpg:cNvGrpSpPr/>
                              <wpg:grpSpPr>
                                <a:xfrm>
                                  <a:off x="0" y="0"/>
                                  <a:ext cx="2294255" cy="2997200"/>
                                  <a:chOff x="0" y="0"/>
                                  <a:chExt cx="2294255" cy="2997200"/>
                                </a:xfrm>
                              </wpg:grpSpPr>
                              <pic:pic xmlns:pic="http://schemas.openxmlformats.org/drawingml/2006/picture">
                                <pic:nvPicPr>
                                  <pic:cNvPr id="1" name="그림 1"/>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294255" cy="2819400"/>
                                  </a:xfrm>
                                  <a:prstGeom prst="rect">
                                    <a:avLst/>
                                  </a:prstGeom>
                                  <a:ln>
                                    <a:solidFill>
                                      <a:schemeClr val="tx1"/>
                                    </a:solidFill>
                                  </a:ln>
                                </pic:spPr>
                              </pic:pic>
                              <wps:wsp>
                                <wps:cNvPr id="12" name="Text Box 12"/>
                                <wps:cNvSpPr txBox="1"/>
                                <wps:spPr>
                                  <a:xfrm>
                                    <a:off x="1574165" y="2851150"/>
                                    <a:ext cx="720090" cy="146050"/>
                                  </a:xfrm>
                                  <a:prstGeom prst="rect">
                                    <a:avLst/>
                                  </a:prstGeom>
                                  <a:solidFill>
                                    <a:prstClr val="white"/>
                                  </a:solidFill>
                                  <a:ln>
                                    <a:noFill/>
                                  </a:ln>
                                </wps:spPr>
                                <wps:txbx>
                                  <w:txbxContent>
                                    <w:p w14:paraId="0AE21435" w14:textId="7608A8F4" w:rsidR="00474DFB" w:rsidRDefault="00474DFB">
                                      <w:pPr>
                                        <w:pStyle w:val="af0"/>
                                        <w:jc w:val="right"/>
                                        <w:rPr>
                                          <w:rFonts w:ascii="Times New Roman" w:hAnsi="Times New Roman" w:cs="Times New Roman"/>
                                          <w:noProof/>
                                        </w:rPr>
                                      </w:pPr>
                                      <w:r>
                                        <w:rPr>
                                          <w:rFonts w:ascii="Times New Roman" w:eastAsia="Times New Roman" w:hAnsi="Times New Roman" w:cs="Times New Roman"/>
                                          <w:lang w:val="sl-SI"/>
                                        </w:rPr>
                                        <w:t>Slika </w:t>
                                      </w:r>
                                      <w:r>
                                        <w:rPr>
                                          <w:rFonts w:ascii="Times New Roman" w:hAnsi="Times New Roman" w:cs="Times New Roman"/>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30" name="Text Box 1030"/>
                              <wps:cNvSpPr txBox="1"/>
                              <wps:spPr>
                                <a:xfrm>
                                  <a:off x="1136073" y="739140"/>
                                  <a:ext cx="1104181" cy="74515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051F61B" w14:textId="77777777" w:rsidR="00474DFB" w:rsidRDefault="00474DFB">
                                    <w:pPr>
                                      <w:rPr>
                                        <w:rFonts w:asciiTheme="majorBidi" w:hAnsiTheme="majorBidi" w:cstheme="majorBidi"/>
                                        <w:b/>
                                        <w:bCs/>
                                        <w:sz w:val="28"/>
                                        <w:szCs w:val="28"/>
                                      </w:rPr>
                                    </w:pPr>
                                    <w:r>
                                      <w:rPr>
                                        <w:rFonts w:ascii="Times New Roman" w:eastAsia="Times New Roman" w:hAnsi="Times New Roman" w:cs="Times New Roman"/>
                                        <w:b/>
                                        <w:bCs/>
                                        <w:sz w:val="28"/>
                                        <w:szCs w:val="28"/>
                                        <w:lang w:val="sl-SI"/>
                                      </w:rPr>
                                      <w:t>Pokrov igle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7741FF02" id="그룹 1077" o:spid="_x0000_s1150" style="position:absolute;margin-left:.75pt;margin-top:4.45pt;width:180.65pt;height:236pt;z-index:251658275" coordsize="22942,29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">
                      <v:group id="그룹 28" o:spid="_x0000_s1151" style="position:absolute;width:22942;height:29972" coordsize="22942,2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그림 1" o:spid="_x0000_s1152" type="#_x0000_t75" style="position:absolute;width:22942;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" stroked="t" strokecolor="black [3213]">
                          <v:imagedata r:id="rId87" o:title=""/>
                          <v:path arrowok="t"/>
                        </v:shape>
                        <v:shape id="Text Box 12" o:spid="_x0000_s1153" type="#_x0000_t202" style="position:absolute;left:15741;top:28511;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" stroked="f">
                          <v:textbox style="mso-fit-shape-to-text:t" inset="0,0,0,0">
                            <w:txbxContent>
                              <w:p w14:paraId="0AE21435" w14:textId="7608A8F4" w:rsidR="00474DFB" w:rsidRDefault="00474DFB">
                                <w:pPr>
                                  <w:pStyle w:val="af0"/>
                                  <w:jc w:val="right"/>
                                  <w:rPr>
                                    <w:rFonts w:ascii="Times New Roman" w:hAnsi="Times New Roman" w:cs="Times New Roman"/>
                                    <w:noProof/>
                                  </w:rPr>
                                </w:pPr>
                                <w:r>
                                  <w:rPr>
                                    <w:rFonts w:ascii="Times New Roman" w:eastAsia="Times New Roman" w:hAnsi="Times New Roman" w:cs="Times New Roman"/>
                                    <w:lang w:val="sl-SI"/>
                                  </w:rPr>
                                  <w:t>Slika </w:t>
                                </w:r>
                                <w:r>
                                  <w:rPr>
                                    <w:rFonts w:ascii="Times New Roman" w:hAnsi="Times New Roman" w:cs="Times New Roman"/>
                                  </w:rPr>
                                  <w:t>H</w:t>
                                </w:r>
                              </w:p>
                            </w:txbxContent>
                          </v:textbox>
                        </v:shape>
                      </v:group>
                      <v:shape id="Text Box 1030" o:spid="_x0000_s1154" type="#_x0000_t202" style="position:absolute;left:11360;top:7391;width:11042;height:7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" fillcolor="white [3212]" stroked="f" strokeweight=".5pt">
                        <v:textbox inset="0,0,0,0">
                          <w:txbxContent>
                            <w:p w14:paraId="6051F61B" w14:textId="77777777" w:rsidR="00474DFB" w:rsidRDefault="00474DFB">
                              <w:pPr>
                                <w:rPr>
                                  <w:rFonts w:asciiTheme="majorBidi" w:hAnsiTheme="majorBidi" w:cstheme="majorBidi"/>
                                  <w:b/>
                                  <w:bCs/>
                                  <w:sz w:val="28"/>
                                  <w:szCs w:val="28"/>
                                </w:rPr>
                              </w:pPr>
                              <w:r>
                                <w:rPr>
                                  <w:rFonts w:ascii="Times New Roman" w:eastAsia="Times New Roman" w:hAnsi="Times New Roman" w:cs="Times New Roman"/>
                                  <w:b/>
                                  <w:bCs/>
                                  <w:sz w:val="28"/>
                                  <w:szCs w:val="28"/>
                                  <w:lang w:val="sl-SI"/>
                                </w:rPr>
                                <w:t>Pokrov igle</w:t>
                              </w:r>
                            </w:p>
                          </w:txbxContent>
                        </v:textbox>
                      </v:shape>
                      <w10:wrap type="square"/>
                    </v:group>
                  </w:pict>
                </mc:Fallback>
              </mc:AlternateContent>
            </w:r>
          </w:p>
          <w:p w14:paraId="2D6F5C09" w14:textId="77777777" w:rsidR="00E04C8A" w:rsidRDefault="008E1817">
            <w:pPr>
              <w:pStyle w:val="a3"/>
              <w:numPr>
                <w:ilvl w:val="0"/>
                <w:numId w:val="25"/>
              </w:numPr>
              <w:rPr>
                <w:b/>
                <w:lang w:val="sl-SI"/>
              </w:rPr>
            </w:pPr>
            <w:r>
              <w:rPr>
                <w:rFonts w:eastAsia="Times New Roman"/>
                <w:b/>
                <w:bCs/>
                <w:lang w:val="sl-SI"/>
              </w:rPr>
              <w:t>Odstranite pokrovček</w:t>
            </w:r>
          </w:p>
          <w:p w14:paraId="242AA0C2" w14:textId="77777777" w:rsidR="00E04C8A" w:rsidRDefault="00E04C8A">
            <w:pPr>
              <w:pStyle w:val="a3"/>
              <w:rPr>
                <w:lang w:val="sl-SI"/>
              </w:rPr>
            </w:pPr>
          </w:p>
          <w:p w14:paraId="12660400" w14:textId="77777777" w:rsidR="00E04C8A" w:rsidRDefault="008E1817">
            <w:pPr>
              <w:pStyle w:val="a3"/>
              <w:ind w:left="4297" w:hanging="180"/>
              <w:rPr>
                <w:lang w:val="sl-SI"/>
              </w:rPr>
            </w:pPr>
            <w:r>
              <w:rPr>
                <w:rFonts w:eastAsia="Times New Roman"/>
                <w:b/>
                <w:bCs/>
                <w:lang w:val="sl-SI"/>
              </w:rPr>
              <w:t>a.</w:t>
            </w:r>
            <w:r>
              <w:rPr>
                <w:rFonts w:eastAsia="Times New Roman"/>
                <w:lang w:val="sl-SI"/>
              </w:rPr>
              <w:t xml:space="preserve"> Napolnjen injekcijski peresnik primite z eno roko za telo injektorja s pokrovčkom navzgor. Z drugo roko pokrovček nežno povlecite ravno navzdol.  </w:t>
            </w:r>
          </w:p>
          <w:p w14:paraId="6EB43F73" w14:textId="77777777" w:rsidR="00E04C8A" w:rsidRDefault="00E04C8A">
            <w:pPr>
              <w:pStyle w:val="a3"/>
              <w:rPr>
                <w:lang w:val="sl-SI"/>
              </w:rPr>
            </w:pPr>
          </w:p>
          <w:p w14:paraId="13F31B9C" w14:textId="77777777" w:rsidR="00E04C8A" w:rsidRDefault="008E1817">
            <w:pPr>
              <w:pStyle w:val="a3"/>
              <w:numPr>
                <w:ilvl w:val="0"/>
                <w:numId w:val="19"/>
              </w:numPr>
              <w:ind w:left="4297"/>
              <w:rPr>
                <w:lang w:val="sl-SI"/>
              </w:rPr>
            </w:pPr>
            <w:r>
              <w:rPr>
                <w:rFonts w:eastAsia="Times New Roman"/>
                <w:b/>
                <w:bCs/>
                <w:lang w:val="sl-SI"/>
              </w:rPr>
              <w:t>Ne</w:t>
            </w:r>
            <w:r>
              <w:rPr>
                <w:rFonts w:eastAsia="Times New Roman"/>
                <w:lang w:val="sl-SI"/>
              </w:rPr>
              <w:t xml:space="preserve"> odstranjujte pokrovčka, dokler niste pripravljeni na injiciranje. </w:t>
            </w:r>
          </w:p>
          <w:p w14:paraId="7076FAD3" w14:textId="77777777" w:rsidR="00E04C8A" w:rsidRDefault="00E04C8A">
            <w:pPr>
              <w:pStyle w:val="a3"/>
              <w:numPr>
                <w:ilvl w:val="0"/>
                <w:numId w:val="0"/>
              </w:numPr>
              <w:ind w:left="4297"/>
              <w:rPr>
                <w:lang w:val="sl-SI"/>
              </w:rPr>
            </w:pPr>
          </w:p>
          <w:p w14:paraId="1F81519D" w14:textId="77777777" w:rsidR="00E04C8A" w:rsidRDefault="008E1817">
            <w:pPr>
              <w:pStyle w:val="a3"/>
              <w:numPr>
                <w:ilvl w:val="0"/>
                <w:numId w:val="19"/>
              </w:numPr>
              <w:ind w:left="4297"/>
              <w:rPr>
                <w:lang w:val="sl-SI"/>
              </w:rPr>
            </w:pPr>
            <w:r>
              <w:rPr>
                <w:rFonts w:eastAsia="Times New Roman"/>
                <w:b/>
                <w:bCs/>
                <w:lang w:val="sl-SI"/>
              </w:rPr>
              <w:t>Ne</w:t>
            </w:r>
            <w:r>
              <w:rPr>
                <w:rFonts w:eastAsia="Times New Roman"/>
                <w:lang w:val="sl-SI"/>
              </w:rPr>
              <w:t xml:space="preserve"> dotikajte se igle ali pokrovčka igle. V nasprotnem primeru lahko pride do poškodbe zaradi vboda z iglo. </w:t>
            </w:r>
          </w:p>
          <w:p w14:paraId="3F24A94F" w14:textId="77777777" w:rsidR="00E04C8A" w:rsidRDefault="00E04C8A">
            <w:pPr>
              <w:pStyle w:val="a3"/>
              <w:numPr>
                <w:ilvl w:val="0"/>
                <w:numId w:val="0"/>
              </w:numPr>
              <w:ind w:left="4297"/>
              <w:rPr>
                <w:lang w:val="sl-SI"/>
              </w:rPr>
            </w:pPr>
          </w:p>
          <w:p w14:paraId="7630FB08" w14:textId="77777777" w:rsidR="00E04C8A" w:rsidRPr="003B280A" w:rsidRDefault="008E1817">
            <w:pPr>
              <w:pStyle w:val="a3"/>
              <w:numPr>
                <w:ilvl w:val="0"/>
                <w:numId w:val="19"/>
              </w:numPr>
              <w:ind w:left="4297"/>
              <w:rPr>
                <w:lang w:val="sl-SI"/>
              </w:rPr>
            </w:pPr>
            <w:r>
              <w:rPr>
                <w:rFonts w:eastAsia="Times New Roman"/>
                <w:lang w:val="sl-SI"/>
              </w:rPr>
              <w:t xml:space="preserve">Pokrovčka </w:t>
            </w:r>
            <w:r>
              <w:rPr>
                <w:rFonts w:eastAsia="Times New Roman"/>
                <w:b/>
                <w:bCs/>
                <w:lang w:val="sl-SI"/>
              </w:rPr>
              <w:t>ne</w:t>
            </w:r>
            <w:r>
              <w:rPr>
                <w:rFonts w:eastAsia="Times New Roman"/>
                <w:lang w:val="sl-SI"/>
              </w:rPr>
              <w:t xml:space="preserve"> nameščajte nazaj na napolnjeni injekcijski peresnik. Pokrovček takoj zavrzite v vsebnik za ostre predmete.</w:t>
            </w:r>
          </w:p>
          <w:p w14:paraId="501B53CC" w14:textId="77777777" w:rsidR="00754E39" w:rsidRDefault="00754E39" w:rsidP="003B280A">
            <w:pPr>
              <w:pStyle w:val="a4"/>
              <w:rPr>
                <w:lang w:val="sl-SI"/>
              </w:rPr>
            </w:pPr>
          </w:p>
          <w:p w14:paraId="7C801B28" w14:textId="31463082" w:rsidR="00754E39" w:rsidRDefault="00754E39">
            <w:pPr>
              <w:pStyle w:val="a3"/>
              <w:numPr>
                <w:ilvl w:val="0"/>
                <w:numId w:val="19"/>
              </w:numPr>
              <w:ind w:left="4297"/>
              <w:rPr>
                <w:lang w:val="sl-SI"/>
              </w:rPr>
            </w:pPr>
            <w:r w:rsidRPr="007C415F">
              <w:rPr>
                <w:rFonts w:eastAsia="Times New Roman"/>
                <w:lang w:val="sl-SI"/>
              </w:rPr>
              <w:t>Na konici igle lahko vidite kapljico tekočine; to je normalno.</w:t>
            </w:r>
          </w:p>
        </w:tc>
      </w:tr>
      <w:tr w:rsidR="00E04C8A" w:rsidRPr="00652F18" w14:paraId="1E0AD335" w14:textId="77777777">
        <w:trPr>
          <w:trHeight w:val="7028"/>
        </w:trPr>
        <w:tc>
          <w:tcPr>
            <w:tcW w:w="9581" w:type="dxa"/>
          </w:tcPr>
          <w:p w14:paraId="38E35E1A" w14:textId="77777777" w:rsidR="00E04C8A" w:rsidRDefault="00E04C8A">
            <w:pPr>
              <w:ind w:left="104"/>
              <w:rPr>
                <w:rFonts w:ascii="Times New Roman" w:eastAsia="Times New Roman" w:hAnsi="Times New Roman" w:cs="Times New Roman"/>
                <w:b/>
                <w:bCs/>
                <w:spacing w:val="-1"/>
                <w:lang w:val="sl-SI"/>
              </w:rPr>
            </w:pPr>
          </w:p>
          <w:p w14:paraId="059DD661" w14:textId="77777777" w:rsidR="00E04C8A" w:rsidRDefault="00C568D9">
            <w:pPr>
              <w:pStyle w:val="1"/>
              <w:spacing w:before="76"/>
              <w:ind w:left="0" w:right="2736"/>
              <w:rPr>
                <w:rFonts w:eastAsiaTheme="minorEastAsia"/>
                <w:lang w:val="sl-SI" w:eastAsia="ko-KR"/>
              </w:rPr>
            </w:pPr>
            <w:r>
              <w:rPr>
                <w:rFonts w:eastAsiaTheme="minorEastAsia"/>
                <w:noProof/>
                <w:lang w:eastAsia="ko-KR"/>
              </w:rPr>
              <mc:AlternateContent>
                <mc:Choice Requires="wpg">
                  <w:drawing>
                    <wp:anchor distT="0" distB="0" distL="114300" distR="114300" simplePos="0" relativeHeight="251658278" behindDoc="0" locked="0" layoutInCell="1" allowOverlap="1" wp14:anchorId="020E757E" wp14:editId="7FBE14F9">
                      <wp:simplePos x="0" y="0"/>
                      <wp:positionH relativeFrom="column">
                        <wp:posOffset>44854</wp:posOffset>
                      </wp:positionH>
                      <wp:positionV relativeFrom="paragraph">
                        <wp:posOffset>142760</wp:posOffset>
                      </wp:positionV>
                      <wp:extent cx="2247207" cy="3975100"/>
                      <wp:effectExtent l="19050" t="19050" r="20320" b="6350"/>
                      <wp:wrapSquare wrapText="bothSides"/>
                      <wp:docPr id="1078" name="그룹 1078"/>
                      <wp:cNvGraphicFramePr/>
                      <a:graphic xmlns:a="http://schemas.openxmlformats.org/drawingml/2006/main">
                        <a:graphicData uri="http://schemas.microsoft.com/office/word/2010/wordprocessingGroup">
                          <wpg:wgp>
                            <wpg:cNvGrpSpPr/>
                            <wpg:grpSpPr>
                              <a:xfrm>
                                <a:off x="0" y="0"/>
                                <a:ext cx="2247207" cy="3975100"/>
                                <a:chOff x="0" y="0"/>
                                <a:chExt cx="2247207" cy="3975100"/>
                              </a:xfrm>
                            </wpg:grpSpPr>
                            <wpg:grpSp>
                              <wpg:cNvPr id="27" name="그룹 27"/>
                              <wpg:cNvGrpSpPr/>
                              <wpg:grpSpPr>
                                <a:xfrm>
                                  <a:off x="6927" y="0"/>
                                  <a:ext cx="2240280" cy="3975100"/>
                                  <a:chOff x="0" y="0"/>
                                  <a:chExt cx="2240280" cy="3975100"/>
                                </a:xfrm>
                              </wpg:grpSpPr>
                              <pic:pic xmlns:pic="http://schemas.openxmlformats.org/drawingml/2006/picture">
                                <pic:nvPicPr>
                                  <pic:cNvPr id="169" name="그림 169"/>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bwMode="auto">
                                  <a:xfrm>
                                    <a:off x="0" y="0"/>
                                    <a:ext cx="2240280" cy="3794760"/>
                                  </a:xfrm>
                                  <a:prstGeom prst="rect">
                                    <a:avLst/>
                                  </a:prstGeom>
                                  <a:noFill/>
                                  <a:ln>
                                    <a:solidFill>
                                      <a:schemeClr val="tx1"/>
                                    </a:solidFill>
                                  </a:ln>
                                </pic:spPr>
                              </pic:pic>
                              <wps:wsp>
                                <wps:cNvPr id="14" name="Text Box 14"/>
                                <wps:cNvSpPr txBox="1"/>
                                <wps:spPr>
                                  <a:xfrm>
                                    <a:off x="1517650" y="3829050"/>
                                    <a:ext cx="719455" cy="146050"/>
                                  </a:xfrm>
                                  <a:prstGeom prst="rect">
                                    <a:avLst/>
                                  </a:prstGeom>
                                  <a:solidFill>
                                    <a:prstClr val="white"/>
                                  </a:solidFill>
                                  <a:ln>
                                    <a:noFill/>
                                  </a:ln>
                                </wps:spPr>
                                <wps:txbx>
                                  <w:txbxContent>
                                    <w:p w14:paraId="23275BF9" w14:textId="1B25D8A9" w:rsidR="00474DFB" w:rsidRDefault="00474DFB">
                                      <w:pPr>
                                        <w:pStyle w:val="af0"/>
                                        <w:jc w:val="right"/>
                                        <w:rPr>
                                          <w:rFonts w:cs="Times New Roman"/>
                                          <w:noProof/>
                                        </w:rPr>
                                      </w:pPr>
                                      <w:r>
                                        <w:rPr>
                                          <w:rFonts w:ascii="Times New Roman" w:eastAsia="Times New Roman" w:hAnsi="Times New Roman" w:cs="Times New Roman"/>
                                          <w:lang w:val="sl-SI"/>
                                        </w:rPr>
                                        <w:t>Slika </w:t>
                                      </w:r>
                                      <w:r>
                                        <w:rPr>
                                          <w:rFonts w:ascii="Times New Roman" w:hAnsi="Times New Roman" w:cs="Times New Roman"/>
                                        </w:rPr>
                                        <w:t>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33" name="Text Box 1033"/>
                              <wps:cNvSpPr txBox="1"/>
                              <wps:spPr>
                                <a:xfrm>
                                  <a:off x="0" y="1745672"/>
                                  <a:ext cx="2237105" cy="26719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95E4467" w14:textId="77777777" w:rsidR="00474DFB" w:rsidRDefault="00474DFB">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sl-SI"/>
                                      </w:rPr>
                                      <w:t>ALI</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020E757E" id="그룹 1078" o:spid="_x0000_s1155" style="position:absolute;margin-left:3.55pt;margin-top:11.25pt;width:176.95pt;height:313pt;z-index:251658278" coordsize="22472,397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">
                      <v:group id="그룹 27" o:spid="_x0000_s1156" style="position:absolute;left:69;width:22403;height:39751" coordsize="22402,39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그림 169" o:spid="_x0000_s1157" type="#_x0000_t75" style="position:absolute;width:22402;height:37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" stroked="t" strokecolor="black [3213]">
                          <v:imagedata r:id="rId89" o:title=""/>
                          <v:path arrowok="t"/>
                        </v:shape>
                        <v:shape id="Text Box 14" o:spid="_x0000_s1158" type="#_x0000_t202" style="position:absolute;left:15176;top:38290;width:719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" stroked="f">
                          <v:textbox style="mso-fit-shape-to-text:t" inset="0,0,0,0">
                            <w:txbxContent>
                              <w:p w14:paraId="23275BF9" w14:textId="1B25D8A9" w:rsidR="00474DFB" w:rsidRDefault="00474DFB">
                                <w:pPr>
                                  <w:pStyle w:val="af0"/>
                                  <w:jc w:val="right"/>
                                  <w:rPr>
                                    <w:rFonts w:cs="Times New Roman"/>
                                    <w:noProof/>
                                  </w:rPr>
                                </w:pPr>
                                <w:r>
                                  <w:rPr>
                                    <w:rFonts w:ascii="Times New Roman" w:eastAsia="Times New Roman" w:hAnsi="Times New Roman" w:cs="Times New Roman"/>
                                    <w:lang w:val="sl-SI"/>
                                  </w:rPr>
                                  <w:t>Slika </w:t>
                                </w:r>
                                <w:r>
                                  <w:rPr>
                                    <w:rFonts w:ascii="Times New Roman" w:hAnsi="Times New Roman" w:cs="Times New Roman"/>
                                  </w:rPr>
                                  <w:t>I</w:t>
                                </w:r>
                              </w:p>
                            </w:txbxContent>
                          </v:textbox>
                        </v:shape>
                      </v:group>
                      <v:shape id="Text Box 1033" o:spid="_x0000_s1159" type="#_x0000_t202" style="position:absolute;top:17456;width:22371;height:2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" fillcolor="black [3213]" stroked="f" strokeweight=".5pt">
                        <v:textbox inset="0,0,0,0">
                          <w:txbxContent>
                            <w:p w14:paraId="795E4467" w14:textId="77777777" w:rsidR="00474DFB" w:rsidRDefault="00474DFB">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sl-SI"/>
                                </w:rPr>
                                <w:t>ALI</w:t>
                              </w:r>
                            </w:p>
                          </w:txbxContent>
                        </v:textbox>
                      </v:shape>
                      <w10:wrap type="square"/>
                    </v:group>
                  </w:pict>
                </mc:Fallback>
              </mc:AlternateContent>
            </w:r>
          </w:p>
          <w:p w14:paraId="1335ECEE" w14:textId="77777777" w:rsidR="00E04C8A" w:rsidRDefault="008E1817">
            <w:pPr>
              <w:pStyle w:val="a3"/>
              <w:numPr>
                <w:ilvl w:val="0"/>
                <w:numId w:val="25"/>
              </w:numPr>
              <w:ind w:left="4297"/>
              <w:rPr>
                <w:b/>
                <w:lang w:val="sl-SI"/>
              </w:rPr>
            </w:pPr>
            <w:r>
              <w:rPr>
                <w:rFonts w:eastAsia="Times New Roman"/>
                <w:b/>
                <w:bCs/>
                <w:lang w:val="sl-SI"/>
              </w:rPr>
              <w:t>Napolnjen injekcijski peresnik položite na mesto injiciranja.</w:t>
            </w:r>
          </w:p>
          <w:p w14:paraId="16CF27F3" w14:textId="77777777" w:rsidR="00E04C8A" w:rsidRDefault="00E04C8A">
            <w:pPr>
              <w:pStyle w:val="a3"/>
              <w:rPr>
                <w:lang w:val="sl-SI"/>
              </w:rPr>
            </w:pPr>
          </w:p>
          <w:p w14:paraId="243C65AD" w14:textId="77777777" w:rsidR="00E04C8A" w:rsidRDefault="008E1817">
            <w:pPr>
              <w:pStyle w:val="a3"/>
              <w:ind w:left="4297" w:hanging="180"/>
              <w:rPr>
                <w:lang w:val="sl-SI"/>
              </w:rPr>
            </w:pPr>
            <w:r>
              <w:rPr>
                <w:rFonts w:eastAsia="Times New Roman"/>
                <w:b/>
                <w:bCs/>
                <w:lang w:val="sl-SI"/>
              </w:rPr>
              <w:t>a.</w:t>
            </w:r>
            <w:r>
              <w:rPr>
                <w:rFonts w:eastAsia="Times New Roman"/>
                <w:lang w:val="sl-SI"/>
              </w:rPr>
              <w:t xml:space="preserve"> Napolnjen injekcijski peresnik držite tako, da boste lahko videli okence.</w:t>
            </w:r>
          </w:p>
          <w:p w14:paraId="3C1573DE" w14:textId="1DD935BF" w:rsidR="00E04C8A" w:rsidRDefault="008E1817">
            <w:pPr>
              <w:pStyle w:val="a3"/>
              <w:ind w:left="4297" w:hanging="180"/>
              <w:rPr>
                <w:lang w:val="sl-SI" w:eastAsia="ko-KR"/>
              </w:rPr>
            </w:pPr>
            <w:r>
              <w:rPr>
                <w:rFonts w:eastAsia="Times New Roman"/>
                <w:b/>
                <w:bCs/>
                <w:lang w:val="sl-SI"/>
              </w:rPr>
              <w:t>b.</w:t>
            </w:r>
            <w:r>
              <w:rPr>
                <w:rFonts w:eastAsia="Times New Roman"/>
                <w:lang w:val="sl-SI"/>
              </w:rPr>
              <w:t xml:space="preserve"> Pred uporabo brez stiskanja ali raztegovanja kože</w:t>
            </w:r>
            <w:r>
              <w:rPr>
                <w:noProof/>
                <w:lang w:eastAsia="ko-KR"/>
              </w:rPr>
              <mc:AlternateContent>
                <mc:Choice Requires="wps">
                  <w:drawing>
                    <wp:anchor distT="0" distB="0" distL="114300" distR="114300" simplePos="0" relativeHeight="251658277" behindDoc="0" locked="0" layoutInCell="1" allowOverlap="1" wp14:anchorId="7866CFB2" wp14:editId="30EFA53F">
                      <wp:simplePos x="0" y="0"/>
                      <wp:positionH relativeFrom="column">
                        <wp:posOffset>515909</wp:posOffset>
                      </wp:positionH>
                      <wp:positionV relativeFrom="paragraph">
                        <wp:posOffset>53695</wp:posOffset>
                      </wp:positionV>
                      <wp:extent cx="448945" cy="411273"/>
                      <wp:effectExtent l="0" t="0" r="8255" b="8255"/>
                      <wp:wrapNone/>
                      <wp:docPr id="1032" name="Text Box 1032"/>
                      <wp:cNvGraphicFramePr/>
                      <a:graphic xmlns:a="http://schemas.openxmlformats.org/drawingml/2006/main">
                        <a:graphicData uri="http://schemas.microsoft.com/office/word/2010/wordprocessingShape">
                          <wps:wsp>
                            <wps:cNvSpPr txBox="1"/>
                            <wps:spPr>
                              <a:xfrm>
                                <a:off x="0" y="0"/>
                                <a:ext cx="448945" cy="41127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AE26F27" w14:textId="77777777" w:rsidR="00474DFB" w:rsidRDefault="00474DFB">
                                  <w:pPr>
                                    <w:jc w:val="right"/>
                                    <w:rPr>
                                      <w:rFonts w:asciiTheme="majorBidi" w:hAnsiTheme="majorBidi" w:cstheme="majorBidi"/>
                                      <w:b/>
                                      <w:bCs/>
                                      <w:sz w:val="20"/>
                                      <w:szCs w:val="20"/>
                                    </w:rPr>
                                  </w:pPr>
                                  <w:r>
                                    <w:rPr>
                                      <w:rFonts w:ascii="Times New Roman" w:eastAsia="Times New Roman" w:hAnsi="Times New Roman" w:cs="Times New Roman"/>
                                      <w:b/>
                                      <w:bCs/>
                                      <w:sz w:val="20"/>
                                      <w:szCs w:val="20"/>
                                      <w:lang w:val="sl-SI"/>
                                    </w:rPr>
                                    <w:t>90°</w:t>
                                  </w:r>
                                </w:p>
                              </w:txbxContent>
                            </wps:txbx>
                            <wps:bodyPr rot="0" spcFirstLastPara="0" vertOverflow="overflow" horzOverflow="overflow" vert="horz" wrap="square" lIns="0" tIns="0" rIns="0" bIns="0" numCol="1" spcCol="0" rtlCol="0" fromWordArt="0" anchor="b"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866CFB2" id="Text Box 1032" o:spid="_x0000_s1160" type="#_x0000_t202" style="position:absolute;left:0;text-align:left;margin-left:40.6pt;margin-top:4.25pt;width:35.35pt;height:32.4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" fillcolor="white [3212]" stroked="f" strokeweight=".5pt">
                      <v:textbox inset="0,0,0,0">
                        <w:txbxContent>
                          <w:p w14:paraId="6AE26F27" w14:textId="77777777" w:rsidR="00474DFB" w:rsidRDefault="00474DFB">
                            <w:pPr>
                              <w:jc w:val="right"/>
                              <w:rPr>
                                <w:rFonts w:asciiTheme="majorBidi" w:hAnsiTheme="majorBidi" w:cstheme="majorBidi"/>
                                <w:b/>
                                <w:bCs/>
                                <w:sz w:val="20"/>
                                <w:szCs w:val="20"/>
                              </w:rPr>
                            </w:pPr>
                            <w:r>
                              <w:rPr>
                                <w:rFonts w:ascii="Times New Roman" w:eastAsia="Times New Roman" w:hAnsi="Times New Roman" w:cs="Times New Roman"/>
                                <w:b/>
                                <w:bCs/>
                                <w:sz w:val="20"/>
                                <w:szCs w:val="20"/>
                                <w:lang w:val="sl-SI"/>
                              </w:rPr>
                              <w:t>90°</w:t>
                            </w:r>
                          </w:p>
                        </w:txbxContent>
                      </v:textbox>
                    </v:shape>
                  </w:pict>
                </mc:Fallback>
              </mc:AlternateContent>
            </w:r>
            <w:r>
              <w:rPr>
                <w:rFonts w:eastAsia="Times New Roman"/>
                <w:lang w:val="sl-SI"/>
              </w:rPr>
              <w:t xml:space="preserve"> napolnjen injekcijski peresnik položite na mesto injiciranja pod kotom 90 stopinj.</w:t>
            </w:r>
          </w:p>
        </w:tc>
      </w:tr>
      <w:tr w:rsidR="00E04C8A" w:rsidRPr="00652F18" w14:paraId="7826750A" w14:textId="77777777">
        <w:trPr>
          <w:trHeight w:val="8391"/>
        </w:trPr>
        <w:tc>
          <w:tcPr>
            <w:tcW w:w="9581" w:type="dxa"/>
          </w:tcPr>
          <w:p w14:paraId="20555DA4" w14:textId="77777777" w:rsidR="00E04C8A" w:rsidRDefault="00E04C8A">
            <w:pPr>
              <w:ind w:left="104"/>
              <w:rPr>
                <w:rFonts w:ascii="Times New Roman" w:eastAsia="Times New Roman" w:hAnsi="Times New Roman" w:cs="Times New Roman"/>
                <w:b/>
                <w:bCs/>
                <w:spacing w:val="-1"/>
                <w:lang w:val="sl-SI"/>
              </w:rPr>
            </w:pPr>
          </w:p>
          <w:p w14:paraId="05F617B3" w14:textId="77777777" w:rsidR="00E04C8A" w:rsidRDefault="00C568D9">
            <w:pPr>
              <w:pStyle w:val="1"/>
              <w:spacing w:before="76"/>
              <w:ind w:left="0" w:right="2736"/>
              <w:rPr>
                <w:rFonts w:eastAsiaTheme="minorEastAsia"/>
                <w:lang w:val="sl-SI" w:eastAsia="ko-KR"/>
              </w:rPr>
            </w:pPr>
            <w:r>
              <w:rPr>
                <w:rFonts w:eastAsiaTheme="minorEastAsia"/>
                <w:noProof/>
                <w:lang w:eastAsia="ko-KR"/>
              </w:rPr>
              <mc:AlternateContent>
                <mc:Choice Requires="wpg">
                  <w:drawing>
                    <wp:anchor distT="0" distB="0" distL="114300" distR="114300" simplePos="0" relativeHeight="251658279" behindDoc="0" locked="0" layoutInCell="1" allowOverlap="1" wp14:anchorId="3DED0AE9" wp14:editId="49C86BCE">
                      <wp:simplePos x="0" y="0"/>
                      <wp:positionH relativeFrom="column">
                        <wp:posOffset>24072</wp:posOffset>
                      </wp:positionH>
                      <wp:positionV relativeFrom="paragraph">
                        <wp:posOffset>185131</wp:posOffset>
                      </wp:positionV>
                      <wp:extent cx="2052955" cy="4870450"/>
                      <wp:effectExtent l="19050" t="19050" r="23495" b="6350"/>
                      <wp:wrapSquare wrapText="bothSides"/>
                      <wp:docPr id="1086" name="그룹 1086"/>
                      <wp:cNvGraphicFramePr/>
                      <a:graphic xmlns:a="http://schemas.openxmlformats.org/drawingml/2006/main">
                        <a:graphicData uri="http://schemas.microsoft.com/office/word/2010/wordprocessingGroup">
                          <wpg:wgp>
                            <wpg:cNvGrpSpPr/>
                            <wpg:grpSpPr>
                              <a:xfrm>
                                <a:off x="0" y="0"/>
                                <a:ext cx="2052955" cy="4870450"/>
                                <a:chOff x="0" y="0"/>
                                <a:chExt cx="2052955" cy="4870450"/>
                              </a:xfrm>
                            </wpg:grpSpPr>
                            <wpg:grpSp>
                              <wpg:cNvPr id="1085" name="그룹 1085"/>
                              <wpg:cNvGrpSpPr/>
                              <wpg:grpSpPr>
                                <a:xfrm>
                                  <a:off x="0" y="0"/>
                                  <a:ext cx="2052955" cy="4870450"/>
                                  <a:chOff x="0" y="0"/>
                                  <a:chExt cx="2052955" cy="4870450"/>
                                </a:xfrm>
                              </wpg:grpSpPr>
                              <wpg:grpSp>
                                <wpg:cNvPr id="26" name="그룹 26"/>
                                <wpg:cNvGrpSpPr/>
                                <wpg:grpSpPr>
                                  <a:xfrm>
                                    <a:off x="0" y="0"/>
                                    <a:ext cx="2052955" cy="4870450"/>
                                    <a:chOff x="0" y="0"/>
                                    <a:chExt cx="2052955" cy="4870450"/>
                                  </a:xfrm>
                                </wpg:grpSpPr>
                                <pic:pic xmlns:pic="http://schemas.openxmlformats.org/drawingml/2006/picture">
                                  <pic:nvPicPr>
                                    <pic:cNvPr id="171" name="그림 171"/>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bwMode="auto">
                                    <a:xfrm>
                                      <a:off x="0" y="0"/>
                                      <a:ext cx="2050415" cy="4697730"/>
                                    </a:xfrm>
                                    <a:prstGeom prst="rect">
                                      <a:avLst/>
                                    </a:prstGeom>
                                    <a:noFill/>
                                    <a:ln>
                                      <a:solidFill>
                                        <a:schemeClr val="tx1"/>
                                      </a:solidFill>
                                    </a:ln>
                                  </pic:spPr>
                                </pic:pic>
                                <wps:wsp>
                                  <wps:cNvPr id="15" name="Text Box 15"/>
                                  <wps:cNvSpPr txBox="1"/>
                                  <wps:spPr>
                                    <a:xfrm>
                                      <a:off x="1333500" y="4724400"/>
                                      <a:ext cx="719455" cy="146050"/>
                                    </a:xfrm>
                                    <a:prstGeom prst="rect">
                                      <a:avLst/>
                                    </a:prstGeom>
                                    <a:solidFill>
                                      <a:prstClr val="white"/>
                                    </a:solidFill>
                                    <a:ln>
                                      <a:noFill/>
                                    </a:ln>
                                  </wps:spPr>
                                  <wps:txbx>
                                    <w:txbxContent>
                                      <w:p w14:paraId="21E5B98B" w14:textId="2BC3E5BC" w:rsidR="00474DFB" w:rsidRDefault="00474DFB">
                                        <w:pPr>
                                          <w:pStyle w:val="af0"/>
                                          <w:jc w:val="right"/>
                                          <w:rPr>
                                            <w:rFonts w:cs="Times New Roman"/>
                                            <w:noProof/>
                                          </w:rPr>
                                        </w:pPr>
                                        <w:r>
                                          <w:rPr>
                                            <w:rFonts w:ascii="Times New Roman" w:eastAsia="Times New Roman" w:hAnsi="Times New Roman" w:cs="Times New Roman"/>
                                            <w:lang w:val="sl-SI"/>
                                          </w:rPr>
                                          <w:t>Slika </w:t>
                                        </w:r>
                                        <w:r>
                                          <w:rPr>
                                            <w:rFonts w:ascii="Times New Roman" w:hAnsi="Times New Roman" w:cs="Times New Roman"/>
                                          </w:rPr>
                                          <w:t>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79" name="직사각형 1079"/>
                                <wps:cNvSpPr/>
                                <wps:spPr>
                                  <a:xfrm>
                                    <a:off x="207818" y="720437"/>
                                    <a:ext cx="581891" cy="65485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 name="타원 1084"/>
                                <wps:cNvSpPr/>
                                <wps:spPr>
                                  <a:xfrm>
                                    <a:off x="138546" y="2791691"/>
                                    <a:ext cx="699654" cy="630382"/>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8" name="12-Point Star 1038"/>
                                <wps:cNvSpPr/>
                                <wps:spPr>
                                  <a:xfrm>
                                    <a:off x="41564" y="720437"/>
                                    <a:ext cx="747626" cy="727363"/>
                                  </a:xfrm>
                                  <a:prstGeom prst="star12">
                                    <a:avLst>
                                      <a:gd name="adj" fmla="val 40846"/>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8D6E8" w14:textId="77777777" w:rsidR="00474DFB" w:rsidRPr="00C568D9" w:rsidRDefault="00474DFB">
                                      <w:pPr>
                                        <w:jc w:val="center"/>
                                        <w:rPr>
                                          <w:rFonts w:asciiTheme="majorBidi" w:hAnsiTheme="majorBidi" w:cstheme="majorBidi"/>
                                          <w:sz w:val="28"/>
                                          <w:szCs w:val="28"/>
                                        </w:rPr>
                                      </w:pPr>
                                      <w:r w:rsidRPr="00C568D9">
                                        <w:rPr>
                                          <w:rFonts w:ascii="Times New Roman" w:eastAsia="Times New Roman" w:hAnsi="Times New Roman" w:cs="Times New Roman"/>
                                          <w:sz w:val="28"/>
                                          <w:szCs w:val="28"/>
                                          <w:lang w:val="sl-SI"/>
                                        </w:rPr>
                                        <w:t xml:space="preserve">Prvi klik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40" name="12-Point Star 1040"/>
                                <wps:cNvSpPr/>
                                <wps:spPr>
                                  <a:xfrm>
                                    <a:off x="41564" y="2874819"/>
                                    <a:ext cx="831272" cy="720437"/>
                                  </a:xfrm>
                                  <a:prstGeom prst="star12">
                                    <a:avLst>
                                      <a:gd name="adj" fmla="val 40890"/>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8F3B0C" w14:textId="77777777" w:rsidR="00474DFB" w:rsidRDefault="00474DFB">
                                      <w:pPr>
                                        <w:jc w:val="center"/>
                                        <w:rPr>
                                          <w:rFonts w:asciiTheme="majorBidi" w:hAnsiTheme="majorBidi" w:cstheme="majorBidi"/>
                                          <w:sz w:val="28"/>
                                          <w:szCs w:val="28"/>
                                        </w:rPr>
                                      </w:pPr>
                                      <w:r>
                                        <w:rPr>
                                          <w:rFonts w:ascii="Times New Roman" w:eastAsia="Times New Roman" w:hAnsi="Times New Roman" w:cs="Times New Roman"/>
                                          <w:sz w:val="28"/>
                                          <w:szCs w:val="28"/>
                                          <w:lang w:val="sl-SI"/>
                                        </w:rPr>
                                        <w:t xml:space="preserve">Drugi klik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1036" name="Text Box 1036"/>
                              <wps:cNvSpPr txBox="1"/>
                              <wps:spPr>
                                <a:xfrm>
                                  <a:off x="0" y="4080164"/>
                                  <a:ext cx="2052955" cy="61743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D05C94" w14:textId="77777777" w:rsidR="00474DFB" w:rsidRDefault="00474DFB">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sl-SI"/>
                                      </w:rPr>
                                      <w:t>Nato počasi štejte do 5.</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3DED0AE9" id="그룹 1086" o:spid="_x0000_s1161" style="position:absolute;margin-left:1.9pt;margin-top:14.6pt;width:161.65pt;height:383.5pt;z-index:251658279" coordsize="20529,4870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LA+A1+//74Z/xgD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">
                      <v:group id="그룹 1085" o:spid="_x0000_s1162" style="position:absolute;width:20529;height:48704" coordsize="20529,4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">
                        <v:group id="그룹 26" o:spid="_x0000_s1163" style="position:absolute;width:20529;height:48704" coordsize="20529,4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그림 171" o:spid="_x0000_s1164" type="#_x0000_t75" style="position:absolute;width:20504;height:46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" stroked="t" strokecolor="black [3213]">
                            <v:imagedata r:id="rId91" o:title=""/>
                            <v:path arrowok="t"/>
                          </v:shape>
                          <v:shape id="Text Box 15" o:spid="_x0000_s1165" type="#_x0000_t202" style="position:absolute;left:13335;top:47244;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" stroked="f">
                            <v:textbox style="mso-fit-shape-to-text:t" inset="0,0,0,0">
                              <w:txbxContent>
                                <w:p w14:paraId="21E5B98B" w14:textId="2BC3E5BC" w:rsidR="00474DFB" w:rsidRDefault="00474DFB">
                                  <w:pPr>
                                    <w:pStyle w:val="af0"/>
                                    <w:jc w:val="right"/>
                                    <w:rPr>
                                      <w:rFonts w:cs="Times New Roman"/>
                                      <w:noProof/>
                                    </w:rPr>
                                  </w:pPr>
                                  <w:r>
                                    <w:rPr>
                                      <w:rFonts w:ascii="Times New Roman" w:eastAsia="Times New Roman" w:hAnsi="Times New Roman" w:cs="Times New Roman"/>
                                      <w:lang w:val="sl-SI"/>
                                    </w:rPr>
                                    <w:t>Slika </w:t>
                                  </w:r>
                                  <w:r>
                                    <w:rPr>
                                      <w:rFonts w:ascii="Times New Roman" w:hAnsi="Times New Roman" w:cs="Times New Roman"/>
                                    </w:rPr>
                                    <w:t>J</w:t>
                                  </w:r>
                                </w:p>
                              </w:txbxContent>
                            </v:textbox>
                          </v:shape>
                        </v:group>
                        <v:rect id="직사각형 1079" o:spid="_x0000_s1166" style="position:absolute;left:2078;top:7204;width:5819;height:6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" fillcolor="white [3212]" strokecolor="white [3212]" strokeweight="2pt"/>
                        <v:oval id="타원 1084" o:spid="_x0000_s1167" style="position:absolute;left:1385;top:27916;width:6997;height:63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" fillcolor="white [3212]" strokecolor="white [3212]" strokeweight="2pt"/>
                        <v:shape id="12-Point Star 1038" o:spid="_x0000_s1168" style="position:absolute;left:415;top:7204;width:7476;height:7274;visibility:visible;mso-wrap-style:square;v-text-anchor:middle" coordsize="747626,727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" adj="-11796480,,5400" path="m,363682l78843,286787,50081,181841,157880,153601,186907,48724,294776,76706,373813,r79037,76706l560720,48724r29026,104877l697545,181841,668783,286787r78843,76895l668783,440576r28762,104946l589746,573762,560720,678639,452850,650657r-79037,76706l294776,650657,186907,678639,157880,573762,50081,545522,78843,440576,,363682xe" fillcolor="black [3213]" strokecolor="black [3213]" strokeweight="2pt">
                          <v:stroke joinstyle="miter"/>
                          <v:formulas/>
                          <v:path arrowok="t" o:connecttype="custom" o:connectlocs="0,363682;78843,286787;50081,181841;157880,153601;186907,48724;294776,76706;373813,0;452850,76706;560720,48724;589746,153601;697545,181841;668783,286787;747626,363682;668783,440576;697545,545522;589746,573762;560720,678639;452850,650657;373813,727363;294776,650657;186907,678639;157880,573762;50081,545522;78843,440576;0,363682" o:connectangles="0,0,0,0,0,0,0,0,0,0,0,0,0,0,0,0,0,0,0,0,0,0,0,0,0" textboxrect="0,0,747626,727363"/>
                          <v:textbox inset="0,0,0,0">
                            <w:txbxContent>
                              <w:p w14:paraId="3328D6E8" w14:textId="77777777" w:rsidR="00474DFB" w:rsidRPr="00C568D9" w:rsidRDefault="00474DFB">
                                <w:pPr>
                                  <w:jc w:val="center"/>
                                  <w:rPr>
                                    <w:rFonts w:asciiTheme="majorBidi" w:hAnsiTheme="majorBidi" w:cstheme="majorBidi"/>
                                    <w:sz w:val="28"/>
                                    <w:szCs w:val="28"/>
                                  </w:rPr>
                                </w:pPr>
                                <w:r w:rsidRPr="00C568D9">
                                  <w:rPr>
                                    <w:rFonts w:ascii="Times New Roman" w:eastAsia="Times New Roman" w:hAnsi="Times New Roman" w:cs="Times New Roman"/>
                                    <w:sz w:val="28"/>
                                    <w:szCs w:val="28"/>
                                    <w:lang w:val="sl-SI"/>
                                  </w:rPr>
                                  <w:t xml:space="preserve">Prvi klik </w:t>
                                </w:r>
                              </w:p>
                            </w:txbxContent>
                          </v:textbox>
                        </v:shape>
                        <v:shape id="12-Point Star 1040" o:spid="_x0000_s1169" style="position:absolute;left:415;top:28748;width:8313;height:7204;visibility:visible;mso-wrap-style:square;v-text-anchor:middle" coordsize="831272,72043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" adj="-11796480,,5400" path="m,360219l87311,283974,55685,180109,175285,151914,207818,48260,327662,75670,415636,r87974,75670l623454,48260r32533,103654l775587,180109,743961,283974r87311,76245l743961,436463r31626,103865l655987,568523,623454,672177,503610,644767r-87974,75670l327662,644767,207818,672177,175285,568523,55685,540328,87311,436463,,360219xe" fillcolor="black [3213]" strokecolor="black [3213]" strokeweight="2pt">
                          <v:stroke joinstyle="miter"/>
                          <v:formulas/>
                          <v:path arrowok="t" o:connecttype="custom" o:connectlocs="0,360219;87311,283974;55685,180109;175285,151914;207818,48260;327662,75670;415636,0;503610,75670;623454,48260;655987,151914;775587,180109;743961,283974;831272,360219;743961,436463;775587,540328;655987,568523;623454,672177;503610,644767;415636,720437;327662,644767;207818,672177;175285,568523;55685,540328;87311,436463;0,360219" o:connectangles="0,0,0,0,0,0,0,0,0,0,0,0,0,0,0,0,0,0,0,0,0,0,0,0,0" textboxrect="0,0,831272,720437"/>
                          <v:textbox inset="0,0,0,0">
                            <w:txbxContent>
                              <w:p w14:paraId="088F3B0C" w14:textId="77777777" w:rsidR="00474DFB" w:rsidRDefault="00474DFB">
                                <w:pPr>
                                  <w:jc w:val="center"/>
                                  <w:rPr>
                                    <w:rFonts w:asciiTheme="majorBidi" w:hAnsiTheme="majorBidi" w:cstheme="majorBidi"/>
                                    <w:sz w:val="28"/>
                                    <w:szCs w:val="28"/>
                                  </w:rPr>
                                </w:pPr>
                                <w:r>
                                  <w:rPr>
                                    <w:rFonts w:ascii="Times New Roman" w:eastAsia="Times New Roman" w:hAnsi="Times New Roman" w:cs="Times New Roman"/>
                                    <w:sz w:val="28"/>
                                    <w:szCs w:val="28"/>
                                    <w:lang w:val="sl-SI"/>
                                  </w:rPr>
                                  <w:t xml:space="preserve">Drugi klik </w:t>
                                </w:r>
                              </w:p>
                            </w:txbxContent>
                          </v:textbox>
                        </v:shape>
                      </v:group>
                      <v:shape id="Text Box 1036" o:spid="_x0000_s1170" type="#_x0000_t202" style="position:absolute;top:40801;width:20529;height:6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" fillcolor="black [3213]" stroked="f" strokeweight=".5pt">
                        <v:textbox inset="0,0,0,0">
                          <w:txbxContent>
                            <w:p w14:paraId="14D05C94" w14:textId="77777777" w:rsidR="00474DFB" w:rsidRDefault="00474DFB">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sl-SI"/>
                                </w:rPr>
                                <w:t>Nato počasi štejte do 5.</w:t>
                              </w:r>
                            </w:p>
                          </w:txbxContent>
                        </v:textbox>
                      </v:shape>
                      <w10:wrap type="square"/>
                    </v:group>
                  </w:pict>
                </mc:Fallback>
              </mc:AlternateContent>
            </w:r>
          </w:p>
          <w:p w14:paraId="6478708E" w14:textId="77777777" w:rsidR="00E04C8A" w:rsidRDefault="008E1817">
            <w:pPr>
              <w:pStyle w:val="Default"/>
              <w:rPr>
                <w:lang w:val="sl-SI"/>
              </w:rPr>
            </w:pPr>
            <w:r>
              <w:rPr>
                <w:lang w:val="sl-SI"/>
              </w:rPr>
              <w:t xml:space="preserve"> </w:t>
            </w:r>
          </w:p>
          <w:p w14:paraId="7B82DBC3" w14:textId="77777777" w:rsidR="00E04C8A" w:rsidRDefault="008E1817">
            <w:pPr>
              <w:pStyle w:val="a3"/>
              <w:numPr>
                <w:ilvl w:val="0"/>
                <w:numId w:val="25"/>
              </w:numPr>
              <w:rPr>
                <w:b/>
                <w:lang w:val="sl-SI"/>
              </w:rPr>
            </w:pPr>
            <w:r>
              <w:rPr>
                <w:rFonts w:eastAsia="Times New Roman"/>
                <w:b/>
                <w:bCs/>
                <w:lang w:val="sl-SI"/>
              </w:rPr>
              <w:t>Dajte si injekcijo</w:t>
            </w:r>
          </w:p>
          <w:p w14:paraId="6635C26C" w14:textId="77777777" w:rsidR="00E04C8A" w:rsidRDefault="00E04C8A">
            <w:pPr>
              <w:pStyle w:val="a3"/>
              <w:rPr>
                <w:lang w:val="sl-SI"/>
              </w:rPr>
            </w:pPr>
          </w:p>
          <w:p w14:paraId="3770895E" w14:textId="77777777" w:rsidR="00E04C8A" w:rsidRDefault="008E1817">
            <w:pPr>
              <w:pStyle w:val="a3"/>
              <w:ind w:left="4027" w:hanging="180"/>
              <w:rPr>
                <w:lang w:val="sl-SI"/>
              </w:rPr>
            </w:pPr>
            <w:r>
              <w:rPr>
                <w:rFonts w:eastAsia="Times New Roman"/>
                <w:b/>
                <w:bCs/>
                <w:lang w:val="sl-SI"/>
              </w:rPr>
              <w:t>a.</w:t>
            </w:r>
            <w:r>
              <w:rPr>
                <w:rFonts w:eastAsia="Times New Roman"/>
                <w:lang w:val="sl-SI"/>
              </w:rPr>
              <w:t xml:space="preserve"> Napolnjen injekcijski peresnik </w:t>
            </w:r>
            <w:r>
              <w:rPr>
                <w:rFonts w:eastAsia="Times New Roman"/>
                <w:b/>
                <w:bCs/>
                <w:lang w:val="sl-SI"/>
              </w:rPr>
              <w:t>močno</w:t>
            </w:r>
            <w:r>
              <w:rPr>
                <w:rFonts w:eastAsia="Times New Roman"/>
                <w:lang w:val="sl-SI"/>
              </w:rPr>
              <w:t xml:space="preserve"> pritisnite ob kožo. Ko se začne injiciranje, boste zaslišali prvi glasen "klik" in modri bat bo začel polniti okence.</w:t>
            </w:r>
          </w:p>
          <w:p w14:paraId="7352B6B5" w14:textId="77777777" w:rsidR="00E04C8A" w:rsidRDefault="008E1817">
            <w:pPr>
              <w:pStyle w:val="a3"/>
              <w:rPr>
                <w:lang w:val="sl-SI"/>
              </w:rPr>
            </w:pPr>
            <w:r>
              <w:rPr>
                <w:lang w:val="sl-SI"/>
              </w:rPr>
              <w:t xml:space="preserve"> </w:t>
            </w:r>
          </w:p>
          <w:p w14:paraId="47383C9B" w14:textId="77777777" w:rsidR="00E04C8A" w:rsidRDefault="008E1817">
            <w:pPr>
              <w:pStyle w:val="a3"/>
              <w:ind w:left="4027" w:hanging="180"/>
              <w:rPr>
                <w:lang w:val="sl-SI"/>
              </w:rPr>
            </w:pPr>
            <w:r>
              <w:rPr>
                <w:rFonts w:eastAsia="Times New Roman"/>
                <w:b/>
                <w:bCs/>
                <w:lang w:val="sl-SI"/>
              </w:rPr>
              <w:t>b.</w:t>
            </w:r>
            <w:r>
              <w:rPr>
                <w:rFonts w:eastAsia="Times New Roman"/>
                <w:lang w:val="sl-SI"/>
              </w:rPr>
              <w:t xml:space="preserve"> Napolnjen injekcijski peresnik čvrsto pritiskajte ob kožo in slišali boste drugi glasen „klik“. </w:t>
            </w:r>
          </w:p>
          <w:p w14:paraId="5379F414" w14:textId="77777777" w:rsidR="00E04C8A" w:rsidRDefault="00E04C8A">
            <w:pPr>
              <w:pStyle w:val="a3"/>
              <w:numPr>
                <w:ilvl w:val="0"/>
                <w:numId w:val="0"/>
              </w:numPr>
              <w:rPr>
                <w:lang w:val="sl-SI"/>
              </w:rPr>
            </w:pPr>
          </w:p>
          <w:p w14:paraId="08958114" w14:textId="77777777" w:rsidR="00E04C8A" w:rsidRDefault="008E1817">
            <w:pPr>
              <w:pStyle w:val="a3"/>
              <w:ind w:left="4027" w:hanging="180"/>
              <w:rPr>
                <w:lang w:val="sl-SI"/>
              </w:rPr>
            </w:pPr>
            <w:r>
              <w:rPr>
                <w:rFonts w:eastAsia="Times New Roman"/>
                <w:b/>
                <w:bCs/>
                <w:lang w:val="sl-SI"/>
              </w:rPr>
              <w:t>c.</w:t>
            </w:r>
            <w:r>
              <w:rPr>
                <w:rFonts w:eastAsia="Times New Roman"/>
                <w:lang w:val="sl-SI"/>
              </w:rPr>
              <w:t xml:space="preserve"> Ko zaslišite drugi glasen klik, nadaljujte s pritiskanjem napolnjenega injekcijskega peresnika čvrsto ob kožo in počasi štejte do 5, da se prepričate, da ste injicirali celoten odmerek.</w:t>
            </w:r>
            <w:r>
              <w:rPr>
                <w:rFonts w:eastAsia="Times New Roman"/>
                <w:color w:val="211D1E"/>
                <w:sz w:val="20"/>
                <w:szCs w:val="20"/>
                <w:lang w:val="sl-SI"/>
              </w:rPr>
              <w:t xml:space="preserve"> </w:t>
            </w:r>
          </w:p>
          <w:p w14:paraId="6A859FA0" w14:textId="77777777" w:rsidR="00E04C8A" w:rsidRDefault="00E04C8A">
            <w:pPr>
              <w:pStyle w:val="a3"/>
              <w:rPr>
                <w:color w:val="211D1E"/>
                <w:sz w:val="20"/>
                <w:szCs w:val="20"/>
                <w:lang w:val="sl-SI"/>
              </w:rPr>
            </w:pPr>
          </w:p>
          <w:p w14:paraId="2349A248" w14:textId="77777777" w:rsidR="00E04C8A" w:rsidRDefault="00E04C8A">
            <w:pPr>
              <w:pStyle w:val="a3"/>
              <w:rPr>
                <w:color w:val="211D1E"/>
                <w:sz w:val="20"/>
                <w:szCs w:val="20"/>
                <w:lang w:val="sl-SI"/>
              </w:rPr>
            </w:pPr>
          </w:p>
          <w:p w14:paraId="5AE35FDF" w14:textId="77777777" w:rsidR="00E04C8A" w:rsidRDefault="008E1817">
            <w:pPr>
              <w:pStyle w:val="a3"/>
              <w:numPr>
                <w:ilvl w:val="0"/>
                <w:numId w:val="20"/>
              </w:numPr>
              <w:rPr>
                <w:color w:val="211D1E"/>
                <w:sz w:val="20"/>
                <w:szCs w:val="20"/>
                <w:lang w:val="sl-SI"/>
              </w:rPr>
            </w:pPr>
            <w:r>
              <w:rPr>
                <w:rFonts w:eastAsia="Times New Roman"/>
                <w:lang w:val="sl-SI"/>
              </w:rPr>
              <w:t xml:space="preserve">Po začetku injiciranja </w:t>
            </w:r>
            <w:r>
              <w:rPr>
                <w:rFonts w:eastAsia="Times New Roman"/>
                <w:b/>
                <w:bCs/>
                <w:lang w:val="sl-SI"/>
              </w:rPr>
              <w:t>ne</w:t>
            </w:r>
            <w:r>
              <w:rPr>
                <w:rFonts w:eastAsia="Times New Roman"/>
                <w:lang w:val="sl-SI"/>
              </w:rPr>
              <w:t xml:space="preserve"> spreminjajte položaja napolnjenega injekcijskega peresnika.</w:t>
            </w:r>
          </w:p>
          <w:p w14:paraId="5FE1E54C" w14:textId="66796FD7" w:rsidR="00E04C8A" w:rsidRDefault="00E04C8A">
            <w:pPr>
              <w:pStyle w:val="a3"/>
              <w:rPr>
                <w:color w:val="211D1E"/>
                <w:sz w:val="20"/>
                <w:szCs w:val="20"/>
                <w:lang w:val="sl-SI"/>
              </w:rPr>
            </w:pPr>
          </w:p>
        </w:tc>
      </w:tr>
      <w:tr w:rsidR="00E04C8A" w14:paraId="57BE2223" w14:textId="77777777" w:rsidTr="00851138">
        <w:trPr>
          <w:trHeight w:val="7931"/>
        </w:trPr>
        <w:tc>
          <w:tcPr>
            <w:tcW w:w="9581" w:type="dxa"/>
          </w:tcPr>
          <w:p w14:paraId="7664F811" w14:textId="77777777" w:rsidR="00E04C8A" w:rsidRDefault="00E04C8A">
            <w:pPr>
              <w:ind w:left="104"/>
              <w:rPr>
                <w:rFonts w:ascii="Times New Roman" w:eastAsia="Times New Roman" w:hAnsi="Times New Roman" w:cs="Times New Roman"/>
                <w:b/>
                <w:bCs/>
                <w:spacing w:val="-1"/>
                <w:lang w:val="sl-SI"/>
              </w:rPr>
            </w:pPr>
          </w:p>
          <w:p w14:paraId="1A8D92B3" w14:textId="77777777" w:rsidR="00E04C8A" w:rsidRDefault="00E04C8A">
            <w:pPr>
              <w:ind w:left="104"/>
              <w:rPr>
                <w:rFonts w:ascii="Times New Roman" w:eastAsia="Times New Roman" w:hAnsi="Times New Roman" w:cs="Times New Roman"/>
                <w:lang w:val="sl-SI"/>
              </w:rPr>
            </w:pPr>
          </w:p>
          <w:p w14:paraId="44418D82" w14:textId="77777777" w:rsidR="00E04C8A" w:rsidRDefault="008E1817">
            <w:pPr>
              <w:pStyle w:val="a3"/>
              <w:rPr>
                <w:lang w:val="sl-SI"/>
              </w:rPr>
            </w:pPr>
            <w:r>
              <w:rPr>
                <w:noProof/>
                <w:lang w:eastAsia="ko-KR"/>
              </w:rPr>
              <mc:AlternateContent>
                <mc:Choice Requires="wpg">
                  <w:drawing>
                    <wp:anchor distT="0" distB="0" distL="114300" distR="114300" simplePos="0" relativeHeight="251658247" behindDoc="0" locked="0" layoutInCell="1" allowOverlap="1" wp14:anchorId="09865A6C" wp14:editId="1522315F">
                      <wp:simplePos x="0" y="0"/>
                      <wp:positionH relativeFrom="column">
                        <wp:posOffset>27305</wp:posOffset>
                      </wp:positionH>
                      <wp:positionV relativeFrom="paragraph">
                        <wp:posOffset>62230</wp:posOffset>
                      </wp:positionV>
                      <wp:extent cx="2139315" cy="2566035"/>
                      <wp:effectExtent l="19050" t="19050" r="13335" b="5715"/>
                      <wp:wrapSquare wrapText="bothSides"/>
                      <wp:docPr id="23" name="그룹 23"/>
                      <wp:cNvGraphicFramePr/>
                      <a:graphic xmlns:a="http://schemas.openxmlformats.org/drawingml/2006/main">
                        <a:graphicData uri="http://schemas.microsoft.com/office/word/2010/wordprocessingGroup">
                          <wpg:wgp>
                            <wpg:cNvGrpSpPr/>
                            <wpg:grpSpPr>
                              <a:xfrm>
                                <a:off x="0" y="0"/>
                                <a:ext cx="2139315" cy="2566035"/>
                                <a:chOff x="-1" y="0"/>
                                <a:chExt cx="2139419" cy="2566916"/>
                              </a:xfrm>
                            </wpg:grpSpPr>
                            <pic:pic xmlns:pic="http://schemas.openxmlformats.org/drawingml/2006/picture">
                              <pic:nvPicPr>
                                <pic:cNvPr id="172" name="그림 172"/>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bwMode="auto">
                                <a:xfrm>
                                  <a:off x="-1" y="0"/>
                                  <a:ext cx="2139419" cy="2349795"/>
                                </a:xfrm>
                                <a:prstGeom prst="rect">
                                  <a:avLst/>
                                </a:prstGeom>
                                <a:noFill/>
                                <a:ln>
                                  <a:solidFill>
                                    <a:schemeClr val="tx1"/>
                                  </a:solidFill>
                                </a:ln>
                              </pic:spPr>
                            </pic:pic>
                            <wps:wsp>
                              <wps:cNvPr id="16" name="Text Box 16"/>
                              <wps:cNvSpPr txBox="1"/>
                              <wps:spPr>
                                <a:xfrm>
                                  <a:off x="1549474" y="2427216"/>
                                  <a:ext cx="571500" cy="139700"/>
                                </a:xfrm>
                                <a:prstGeom prst="rect">
                                  <a:avLst/>
                                </a:prstGeom>
                                <a:solidFill>
                                  <a:prstClr val="white"/>
                                </a:solidFill>
                                <a:ln>
                                  <a:noFill/>
                                </a:ln>
                              </wps:spPr>
                              <wps:txbx>
                                <w:txbxContent>
                                  <w:p w14:paraId="3A6AD189" w14:textId="71E4AFC7" w:rsidR="00474DFB" w:rsidRDefault="00474DFB">
                                    <w:pPr>
                                      <w:pStyle w:val="af0"/>
                                      <w:jc w:val="right"/>
                                      <w:rPr>
                                        <w:noProof/>
                                      </w:rPr>
                                    </w:pPr>
                                    <w:r>
                                      <w:rPr>
                                        <w:rFonts w:ascii="Times New Roman" w:eastAsia="Times New Roman" w:hAnsi="Times New Roman" w:cs="Times New Roman"/>
                                        <w:lang w:val="sl-SI"/>
                                      </w:rPr>
                                      <w:t>Slika </w:t>
                                    </w:r>
                                    <w:r>
                                      <w:rPr>
                                        <w:rFonts w:ascii="Times New Roman" w:hAnsi="Times New Roman" w:cs="Times New Roman"/>
                                      </w:rPr>
                                      <w:t>K</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9865A6C" id="그룹 23" o:spid="_x0000_s1171" style="position:absolute;margin-left:2.15pt;margin-top:4.9pt;width:168.45pt;height:202.05pt;z-index:251658247;mso-width-relative:margin;mso-height-relative:margin" coordorigin="" coordsize="21394,256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">
                      <v:shape id="그림 172" o:spid="_x0000_s1172" type="#_x0000_t75" style="position:absolute;width:21394;height:23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" stroked="t" strokecolor="black [3213]">
                        <v:imagedata r:id="rId93" o:title=""/>
                        <v:path arrowok="t"/>
                      </v:shape>
                      <v:shape id="Text Box 16" o:spid="_x0000_s1173" type="#_x0000_t202" style="position:absolute;left:15494;top:24272;width:571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" stroked="f">
                        <v:textbox inset="0,0,0,0">
                          <w:txbxContent>
                            <w:p w14:paraId="3A6AD189" w14:textId="71E4AFC7" w:rsidR="00474DFB" w:rsidRDefault="00474DFB">
                              <w:pPr>
                                <w:pStyle w:val="af0"/>
                                <w:jc w:val="right"/>
                                <w:rPr>
                                  <w:noProof/>
                                </w:rPr>
                              </w:pPr>
                              <w:r>
                                <w:rPr>
                                  <w:rFonts w:ascii="Times New Roman" w:eastAsia="Times New Roman" w:hAnsi="Times New Roman" w:cs="Times New Roman"/>
                                  <w:lang w:val="sl-SI"/>
                                </w:rPr>
                                <w:t>Slika </w:t>
                              </w:r>
                              <w:r>
                                <w:rPr>
                                  <w:rFonts w:ascii="Times New Roman" w:hAnsi="Times New Roman" w:cs="Times New Roman"/>
                                </w:rPr>
                                <w:t>K</w:t>
                              </w:r>
                            </w:p>
                          </w:txbxContent>
                        </v:textbox>
                      </v:shape>
                      <w10:wrap type="square"/>
                    </v:group>
                  </w:pict>
                </mc:Fallback>
              </mc:AlternateContent>
            </w:r>
          </w:p>
          <w:p w14:paraId="21DE7BB6" w14:textId="77777777" w:rsidR="00E04C8A" w:rsidRDefault="008E1817">
            <w:pPr>
              <w:pStyle w:val="a3"/>
              <w:numPr>
                <w:ilvl w:val="0"/>
                <w:numId w:val="25"/>
              </w:numPr>
              <w:rPr>
                <w:b/>
                <w:lang w:val="sl-SI"/>
              </w:rPr>
            </w:pPr>
            <w:r>
              <w:rPr>
                <w:rFonts w:eastAsia="Times New Roman"/>
                <w:b/>
                <w:bCs/>
                <w:lang w:val="sl-SI"/>
              </w:rPr>
              <w:t>Napolnjen injekcijski peresnik odstranite iz mesta injiciranja in poskrbite za mesto injiciranja</w:t>
            </w:r>
            <w:r>
              <w:rPr>
                <w:rFonts w:eastAsia="Times New Roman"/>
                <w:lang w:val="sl-SI"/>
              </w:rPr>
              <w:t xml:space="preserve"> </w:t>
            </w:r>
          </w:p>
          <w:p w14:paraId="6F3CB388" w14:textId="77777777" w:rsidR="00E04C8A" w:rsidRDefault="00E04C8A">
            <w:pPr>
              <w:pStyle w:val="a3"/>
              <w:numPr>
                <w:ilvl w:val="0"/>
                <w:numId w:val="0"/>
              </w:numPr>
              <w:ind w:left="471"/>
              <w:rPr>
                <w:b/>
                <w:lang w:val="sl-SI"/>
              </w:rPr>
            </w:pPr>
          </w:p>
          <w:p w14:paraId="06C04E03" w14:textId="77777777" w:rsidR="00E04C8A" w:rsidRDefault="008E1817">
            <w:pPr>
              <w:pStyle w:val="a3"/>
              <w:ind w:left="3667" w:hanging="180"/>
              <w:rPr>
                <w:lang w:val="sl-SI"/>
              </w:rPr>
            </w:pPr>
            <w:r>
              <w:rPr>
                <w:rFonts w:eastAsia="Times New Roman"/>
                <w:b/>
                <w:bCs/>
                <w:lang w:val="sl-SI"/>
              </w:rPr>
              <w:t>a.</w:t>
            </w:r>
            <w:r>
              <w:rPr>
                <w:rFonts w:eastAsia="Times New Roman"/>
                <w:lang w:val="sl-SI"/>
              </w:rPr>
              <w:t xml:space="preserve"> Poglejte napolnjen injekcijski peresnik in se prepričajte, da je modri bat s sivim vrhom do konca napolnil okno.</w:t>
            </w:r>
          </w:p>
          <w:p w14:paraId="1A7D8842" w14:textId="77777777" w:rsidR="00E04C8A" w:rsidRDefault="008E1817">
            <w:pPr>
              <w:pStyle w:val="a3"/>
              <w:ind w:left="3667" w:hanging="180"/>
              <w:rPr>
                <w:lang w:val="sl-SI"/>
              </w:rPr>
            </w:pPr>
            <w:r>
              <w:rPr>
                <w:rFonts w:eastAsia="Times New Roman"/>
                <w:b/>
                <w:bCs/>
                <w:lang w:val="sl-SI"/>
              </w:rPr>
              <w:t>b.</w:t>
            </w:r>
            <w:r>
              <w:rPr>
                <w:rFonts w:eastAsia="Times New Roman"/>
                <w:lang w:val="sl-SI"/>
              </w:rPr>
              <w:t xml:space="preserve"> Napolnjen injekcijski peresnik odstranite iz kože.</w:t>
            </w:r>
          </w:p>
          <w:p w14:paraId="5CE1042C" w14:textId="77777777" w:rsidR="00E04C8A" w:rsidRDefault="00E04C8A">
            <w:pPr>
              <w:pStyle w:val="a3"/>
              <w:rPr>
                <w:lang w:val="sl-SI"/>
              </w:rPr>
            </w:pPr>
          </w:p>
          <w:p w14:paraId="3F69EEAA" w14:textId="77777777" w:rsidR="00E04C8A" w:rsidRDefault="008E1817">
            <w:pPr>
              <w:pStyle w:val="a3"/>
              <w:numPr>
                <w:ilvl w:val="0"/>
                <w:numId w:val="0"/>
              </w:numPr>
              <w:tabs>
                <w:tab w:val="left" w:pos="3153"/>
                <w:tab w:val="left" w:pos="3294"/>
              </w:tabs>
              <w:rPr>
                <w:lang w:val="sl-SI"/>
              </w:rPr>
            </w:pPr>
            <w:r>
              <w:rPr>
                <w:rFonts w:eastAsia="맑은 고딕"/>
                <w:lang w:val="sl-SI"/>
              </w:rPr>
              <w:t>•</w:t>
            </w:r>
            <w:r>
              <w:rPr>
                <w:rFonts w:eastAsia="Times New Roman"/>
                <w:lang w:val="sl-SI"/>
              </w:rPr>
              <w:t xml:space="preserve"> Ko napolnjen injekcijski peresnik</w:t>
            </w:r>
            <w:r>
              <w:rPr>
                <w:rFonts w:eastAsia="맑은 고딕"/>
                <w:lang w:val="sl-SI"/>
              </w:rPr>
              <w:t xml:space="preserve"> </w:t>
            </w:r>
            <w:r>
              <w:rPr>
                <w:rFonts w:eastAsia="Times New Roman"/>
                <w:lang w:val="sl-SI"/>
              </w:rPr>
              <w:t>odstranite iz mesta injiciranja, se igla samodejno prekrije.</w:t>
            </w:r>
            <w:r>
              <w:rPr>
                <w:rFonts w:eastAsia="Times New Roman"/>
                <w:b/>
                <w:bCs/>
                <w:lang w:val="sl-SI"/>
              </w:rPr>
              <w:t xml:space="preserve"> </w:t>
            </w:r>
            <w:r>
              <w:rPr>
                <w:rFonts w:eastAsia="Times New Roman"/>
                <w:bCs/>
                <w:lang w:val="sl-SI"/>
              </w:rPr>
              <w:t>Pokrovčka</w:t>
            </w:r>
            <w:r>
              <w:rPr>
                <w:rFonts w:eastAsia="Times New Roman"/>
                <w:b/>
                <w:bCs/>
                <w:lang w:val="sl-SI"/>
              </w:rPr>
              <w:t xml:space="preserve"> ne</w:t>
            </w:r>
            <w:r>
              <w:rPr>
                <w:rFonts w:eastAsia="Times New Roman"/>
                <w:lang w:val="sl-SI"/>
              </w:rPr>
              <w:t xml:space="preserve"> nameščajte nazaj na peresnik</w:t>
            </w:r>
            <w:r>
              <w:rPr>
                <w:rFonts w:eastAsia="맑은 고딕"/>
                <w:lang w:val="sl-SI"/>
              </w:rPr>
              <w:t xml:space="preserve"> </w:t>
            </w:r>
            <w:r>
              <w:rPr>
                <w:rFonts w:eastAsia="Times New Roman"/>
                <w:lang w:val="sl-SI"/>
              </w:rPr>
              <w:t>.</w:t>
            </w:r>
          </w:p>
          <w:p w14:paraId="5DF5D210" w14:textId="77777777" w:rsidR="00E04C8A" w:rsidRDefault="00E04C8A">
            <w:pPr>
              <w:pStyle w:val="a3"/>
              <w:rPr>
                <w:lang w:val="sl-SI"/>
              </w:rPr>
            </w:pPr>
          </w:p>
          <w:p w14:paraId="3A8895A4" w14:textId="77777777" w:rsidR="00E04C8A" w:rsidRDefault="008E1817">
            <w:pPr>
              <w:pStyle w:val="a3"/>
              <w:rPr>
                <w:lang w:val="sl-SI"/>
              </w:rPr>
            </w:pPr>
            <w:r>
              <w:rPr>
                <w:rFonts w:eastAsia="맑은 고딕"/>
                <w:lang w:val="sl-SI"/>
              </w:rPr>
              <w:t>•</w:t>
            </w:r>
            <w:r>
              <w:rPr>
                <w:rFonts w:eastAsia="Times New Roman"/>
                <w:lang w:val="sl-SI"/>
              </w:rPr>
              <w:t xml:space="preserve"> Če se okence še ni obarvalo popolnoma modro ali se zdravilo še vedno injicira, to pomeni, da niste prejeli celotnega odmerka. Takoj pokličite zdravstvenega delavca.</w:t>
            </w:r>
          </w:p>
          <w:p w14:paraId="24E188A6" w14:textId="29E71393" w:rsidR="00E04C8A" w:rsidRDefault="00E04C8A">
            <w:pPr>
              <w:pStyle w:val="a3"/>
              <w:rPr>
                <w:lang w:val="sl-SI"/>
              </w:rPr>
            </w:pPr>
          </w:p>
          <w:p w14:paraId="7B441A7F" w14:textId="20E6A8C6" w:rsidR="00E04C8A" w:rsidRDefault="00851138">
            <w:pPr>
              <w:pStyle w:val="a3"/>
              <w:ind w:left="3667" w:hanging="180"/>
              <w:rPr>
                <w:lang w:val="sl-SI"/>
              </w:rPr>
            </w:pPr>
            <w:r>
              <w:rPr>
                <w:noProof/>
                <w:lang w:eastAsia="ko-KR"/>
              </w:rPr>
              <mc:AlternateContent>
                <mc:Choice Requires="wpg">
                  <w:drawing>
                    <wp:anchor distT="0" distB="0" distL="114300" distR="114300" simplePos="0" relativeHeight="251658276" behindDoc="0" locked="0" layoutInCell="1" allowOverlap="1" wp14:anchorId="0FCA7429" wp14:editId="06FB5030">
                      <wp:simplePos x="0" y="0"/>
                      <wp:positionH relativeFrom="column">
                        <wp:posOffset>88103</wp:posOffset>
                      </wp:positionH>
                      <wp:positionV relativeFrom="paragraph">
                        <wp:posOffset>170770</wp:posOffset>
                      </wp:positionV>
                      <wp:extent cx="2136775" cy="2037715"/>
                      <wp:effectExtent l="19050" t="19050" r="15875" b="635"/>
                      <wp:wrapSquare wrapText="bothSides"/>
                      <wp:docPr id="1087" name="그룹 1087"/>
                      <wp:cNvGraphicFramePr/>
                      <a:graphic xmlns:a="http://schemas.openxmlformats.org/drawingml/2006/main">
                        <a:graphicData uri="http://schemas.microsoft.com/office/word/2010/wordprocessingGroup">
                          <wpg:wgp>
                            <wpg:cNvGrpSpPr/>
                            <wpg:grpSpPr>
                              <a:xfrm>
                                <a:off x="0" y="0"/>
                                <a:ext cx="2136775" cy="2037715"/>
                                <a:chOff x="0" y="-1"/>
                                <a:chExt cx="2137144" cy="2038262"/>
                              </a:xfrm>
                            </wpg:grpSpPr>
                            <wpg:grpSp>
                              <wpg:cNvPr id="22" name="그룹 22"/>
                              <wpg:cNvGrpSpPr/>
                              <wpg:grpSpPr>
                                <a:xfrm>
                                  <a:off x="0" y="-1"/>
                                  <a:ext cx="2137144" cy="2038262"/>
                                  <a:chOff x="8890" y="-1"/>
                                  <a:chExt cx="2137144" cy="2038262"/>
                                </a:xfrm>
                              </wpg:grpSpPr>
                              <pic:pic xmlns:pic="http://schemas.openxmlformats.org/drawingml/2006/picture">
                                <pic:nvPicPr>
                                  <pic:cNvPr id="173" name="그림 173"/>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bwMode="auto">
                                  <a:xfrm>
                                    <a:off x="8890" y="-1"/>
                                    <a:ext cx="2137144" cy="1753665"/>
                                  </a:xfrm>
                                  <a:prstGeom prst="rect">
                                    <a:avLst/>
                                  </a:prstGeom>
                                  <a:noFill/>
                                  <a:ln>
                                    <a:solidFill>
                                      <a:schemeClr val="tx1"/>
                                    </a:solidFill>
                                  </a:ln>
                                </pic:spPr>
                              </pic:pic>
                              <wps:wsp>
                                <wps:cNvPr id="17" name="Text Box 17"/>
                                <wps:cNvSpPr txBox="1"/>
                                <wps:spPr>
                                  <a:xfrm>
                                    <a:off x="1599934" y="1807121"/>
                                    <a:ext cx="546100" cy="231140"/>
                                  </a:xfrm>
                                  <a:prstGeom prst="rect">
                                    <a:avLst/>
                                  </a:prstGeom>
                                  <a:solidFill>
                                    <a:prstClr val="white"/>
                                  </a:solidFill>
                                  <a:ln>
                                    <a:noFill/>
                                  </a:ln>
                                </wps:spPr>
                                <wps:txbx>
                                  <w:txbxContent>
                                    <w:p w14:paraId="14C6FD7C" w14:textId="265D6EB7" w:rsidR="00474DFB" w:rsidRDefault="00474DFB">
                                      <w:pPr>
                                        <w:pStyle w:val="af0"/>
                                        <w:jc w:val="right"/>
                                        <w:rPr>
                                          <w:noProof/>
                                        </w:rPr>
                                      </w:pPr>
                                      <w:r>
                                        <w:rPr>
                                          <w:rFonts w:ascii="Times New Roman" w:eastAsia="Times New Roman" w:hAnsi="Times New Roman" w:cs="Times New Roman"/>
                                          <w:lang w:val="sl-SI"/>
                                        </w:rPr>
                                        <w:t>Slika </w:t>
                                      </w:r>
                                      <w:r>
                                        <w:rPr>
                                          <w:rFonts w:ascii="Times New Roman" w:hAnsi="Times New Roman" w:cs="Times New Roman"/>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grpSp>
                            <wps:wsp>
                              <wps:cNvPr id="1031" name="Text Box 1031"/>
                              <wps:cNvSpPr txBox="1"/>
                              <wps:spPr>
                                <a:xfrm>
                                  <a:off x="1187485" y="883187"/>
                                  <a:ext cx="789709" cy="74814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FFF5AF" w14:textId="77777777" w:rsidR="00474DFB" w:rsidRDefault="00474DFB">
                                    <w:pPr>
                                      <w:rPr>
                                        <w:rFonts w:asciiTheme="majorBidi" w:hAnsiTheme="majorBidi" w:cstheme="majorBidi"/>
                                        <w:b/>
                                        <w:bCs/>
                                        <w:sz w:val="28"/>
                                        <w:szCs w:val="28"/>
                                      </w:rPr>
                                    </w:pPr>
                                    <w:r>
                                      <w:rPr>
                                        <w:rFonts w:ascii="Times New Roman" w:eastAsia="Times New Roman" w:hAnsi="Times New Roman" w:cs="Times New Roman"/>
                                        <w:b/>
                                        <w:bCs/>
                                        <w:sz w:val="28"/>
                                        <w:szCs w:val="28"/>
                                        <w:lang w:val="sl-SI"/>
                                      </w:rPr>
                                      <w:t xml:space="preserve">Pokrov igle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CA7429" id="그룹 1087" o:spid="_x0000_s1174" style="position:absolute;left:0;text-align:left;margin-left:6.95pt;margin-top:13.45pt;width:168.25pt;height:160.45pt;z-index:251658276;mso-width-relative:margin;mso-height-relative:margin" coordorigin="" coordsize="21371,2038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">
                      <v:group id="그룹 22" o:spid="_x0000_s1175" style="position:absolute;width:21371;height:20382" coordorigin="88" coordsize="2137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그림 173" o:spid="_x0000_s1176" type="#_x0000_t75" style="position:absolute;left:88;width:21372;height:17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" stroked="t" strokecolor="black [3213]">
                          <v:imagedata r:id="rId95" o:title=""/>
                          <v:path arrowok="t"/>
                        </v:shape>
                        <v:shape id="Text Box 17" o:spid="_x0000_s1177" type="#_x0000_t202" style="position:absolute;left:15999;top:18071;width:5461;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" stroked="f">
                          <v:textbox inset="0,0,0,0">
                            <w:txbxContent>
                              <w:p w14:paraId="14C6FD7C" w14:textId="265D6EB7" w:rsidR="00474DFB" w:rsidRDefault="00474DFB">
                                <w:pPr>
                                  <w:pStyle w:val="af0"/>
                                  <w:jc w:val="right"/>
                                  <w:rPr>
                                    <w:noProof/>
                                  </w:rPr>
                                </w:pPr>
                                <w:r>
                                  <w:rPr>
                                    <w:rFonts w:ascii="Times New Roman" w:eastAsia="Times New Roman" w:hAnsi="Times New Roman" w:cs="Times New Roman"/>
                                    <w:lang w:val="sl-SI"/>
                                  </w:rPr>
                                  <w:t>Slika </w:t>
                                </w:r>
                                <w:r>
                                  <w:rPr>
                                    <w:rFonts w:ascii="Times New Roman" w:hAnsi="Times New Roman" w:cs="Times New Roman"/>
                                  </w:rPr>
                                  <w:t>L</w:t>
                                </w:r>
                              </w:p>
                            </w:txbxContent>
                          </v:textbox>
                        </v:shape>
                      </v:group>
                      <v:shape id="Text Box 1031" o:spid="_x0000_s1178" type="#_x0000_t202" style="position:absolute;left:11874;top:8831;width:7897;height:74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" fillcolor="white [3212]" stroked="f" strokeweight=".5pt">
                        <v:textbox inset="0,0,0,0">
                          <w:txbxContent>
                            <w:p w14:paraId="15FFF5AF" w14:textId="77777777" w:rsidR="00474DFB" w:rsidRDefault="00474DFB">
                              <w:pPr>
                                <w:rPr>
                                  <w:rFonts w:asciiTheme="majorBidi" w:hAnsiTheme="majorBidi" w:cstheme="majorBidi"/>
                                  <w:b/>
                                  <w:bCs/>
                                  <w:sz w:val="28"/>
                                  <w:szCs w:val="28"/>
                                </w:rPr>
                              </w:pPr>
                              <w:r>
                                <w:rPr>
                                  <w:rFonts w:ascii="Times New Roman" w:eastAsia="Times New Roman" w:hAnsi="Times New Roman" w:cs="Times New Roman"/>
                                  <w:b/>
                                  <w:bCs/>
                                  <w:sz w:val="28"/>
                                  <w:szCs w:val="28"/>
                                  <w:lang w:val="sl-SI"/>
                                </w:rPr>
                                <w:t xml:space="preserve">Pokrov igle </w:t>
                              </w:r>
                            </w:p>
                          </w:txbxContent>
                        </v:textbox>
                      </v:shape>
                      <w10:wrap type="square"/>
                    </v:group>
                  </w:pict>
                </mc:Fallback>
              </mc:AlternateContent>
            </w:r>
            <w:r w:rsidR="008E1817">
              <w:rPr>
                <w:rFonts w:eastAsia="Times New Roman"/>
                <w:b/>
                <w:bCs/>
                <w:lang w:val="sl-SI"/>
              </w:rPr>
              <w:t xml:space="preserve">c. </w:t>
            </w:r>
            <w:r w:rsidR="008E1817">
              <w:rPr>
                <w:rFonts w:eastAsia="Times New Roman"/>
                <w:lang w:val="sl-SI"/>
              </w:rPr>
              <w:t>Na mesto injiciranja nežno pritisnite (ne drgnite) z vato ali gazo na mesto vboda in nanesite lepilno obvezo, če je treba. Pojavi se lahko rahla krvavitev.</w:t>
            </w:r>
          </w:p>
          <w:p w14:paraId="7EB9844D" w14:textId="77777777" w:rsidR="00E04C8A" w:rsidRDefault="00E04C8A">
            <w:pPr>
              <w:pStyle w:val="a3"/>
              <w:rPr>
                <w:lang w:val="sl-SI"/>
              </w:rPr>
            </w:pPr>
          </w:p>
          <w:p w14:paraId="2E157C14" w14:textId="77777777" w:rsidR="00E04C8A" w:rsidRDefault="008E1817">
            <w:pPr>
              <w:pStyle w:val="a3"/>
              <w:rPr>
                <w:lang w:val="sl-SI"/>
              </w:rPr>
            </w:pPr>
            <w:r>
              <w:rPr>
                <w:rFonts w:eastAsia="맑은 고딕"/>
                <w:lang w:val="sl-SI"/>
              </w:rPr>
              <w:t>•</w:t>
            </w:r>
            <w:r>
              <w:rPr>
                <w:rFonts w:eastAsia="Times New Roman"/>
                <w:lang w:val="sl-SI"/>
              </w:rPr>
              <w:t xml:space="preserve"> Napolnjenega injekcijskega peresnika </w:t>
            </w:r>
            <w:r>
              <w:rPr>
                <w:rFonts w:eastAsia="Times New Roman"/>
                <w:b/>
                <w:bCs/>
                <w:lang w:val="sl-SI"/>
              </w:rPr>
              <w:t>ne</w:t>
            </w:r>
            <w:r>
              <w:rPr>
                <w:rFonts w:eastAsia="Times New Roman"/>
                <w:lang w:val="sl-SI"/>
              </w:rPr>
              <w:t xml:space="preserve"> uporabljajte ponovno..</w:t>
            </w:r>
          </w:p>
          <w:p w14:paraId="0945D9B8" w14:textId="77777777" w:rsidR="00E04C8A" w:rsidRDefault="008E1817">
            <w:pPr>
              <w:pStyle w:val="a3"/>
              <w:numPr>
                <w:ilvl w:val="0"/>
                <w:numId w:val="0"/>
              </w:numPr>
              <w:ind w:left="1024"/>
              <w:rPr>
                <w:lang w:val="sl-SI" w:eastAsia="ko-KR"/>
              </w:rPr>
            </w:pPr>
            <w:r>
              <w:rPr>
                <w:rFonts w:eastAsia="맑은 고딕"/>
                <w:lang w:val="sl-SI"/>
              </w:rPr>
              <w:t xml:space="preserve">• </w:t>
            </w:r>
            <w:r>
              <w:rPr>
                <w:rFonts w:eastAsia="Times New Roman"/>
                <w:lang w:val="sl-SI"/>
              </w:rPr>
              <w:t>Mesta</w:t>
            </w:r>
            <w:r>
              <w:rPr>
                <w:rFonts w:eastAsia="맑은 고딕"/>
                <w:lang w:val="sl-SI"/>
              </w:rPr>
              <w:t xml:space="preserve"> </w:t>
            </w:r>
            <w:r>
              <w:rPr>
                <w:rFonts w:eastAsia="Times New Roman"/>
                <w:lang w:val="sl-SI"/>
              </w:rPr>
              <w:t>injiciranja</w:t>
            </w:r>
            <w:r>
              <w:rPr>
                <w:rFonts w:eastAsia="맑은 고딕"/>
                <w:lang w:val="sl-SI"/>
              </w:rPr>
              <w:t xml:space="preserve"> </w:t>
            </w:r>
            <w:r>
              <w:rPr>
                <w:rFonts w:eastAsia="맑은 고딕"/>
                <w:b/>
                <w:bCs/>
                <w:lang w:val="sl-SI"/>
              </w:rPr>
              <w:t>ne</w:t>
            </w:r>
            <w:r>
              <w:rPr>
                <w:rFonts w:eastAsia="맑은 고딕"/>
                <w:lang w:val="sl-SI"/>
              </w:rPr>
              <w:t xml:space="preserve"> </w:t>
            </w:r>
            <w:r>
              <w:rPr>
                <w:rFonts w:eastAsia="Times New Roman"/>
                <w:lang w:val="sl-SI"/>
              </w:rPr>
              <w:t>drgnite</w:t>
            </w:r>
            <w:r>
              <w:rPr>
                <w:rFonts w:eastAsia="Times New Roman"/>
                <w:sz w:val="20"/>
                <w:szCs w:val="20"/>
                <w:lang w:val="sl-SI"/>
              </w:rPr>
              <w:t>.</w:t>
            </w:r>
            <w:r>
              <w:rPr>
                <w:rFonts w:eastAsia="맑은 고딕"/>
                <w:lang w:val="sl-SI"/>
              </w:rPr>
              <w:t xml:space="preserve"> </w:t>
            </w:r>
          </w:p>
        </w:tc>
      </w:tr>
      <w:tr w:rsidR="00E04C8A" w:rsidRPr="00652F18" w14:paraId="2165D8A5" w14:textId="77777777" w:rsidTr="00851138">
        <w:trPr>
          <w:trHeight w:val="5139"/>
        </w:trPr>
        <w:tc>
          <w:tcPr>
            <w:tcW w:w="9581" w:type="dxa"/>
          </w:tcPr>
          <w:p w14:paraId="34307EB1" w14:textId="77777777" w:rsidR="00E04C8A" w:rsidRDefault="00E04C8A">
            <w:pPr>
              <w:ind w:left="104"/>
              <w:rPr>
                <w:rFonts w:ascii="Times New Roman" w:eastAsia="Times New Roman" w:hAnsi="Times New Roman" w:cs="Times New Roman"/>
                <w:b/>
                <w:bCs/>
                <w:spacing w:val="-1"/>
                <w:lang w:val="sl-SI"/>
              </w:rPr>
            </w:pPr>
          </w:p>
          <w:p w14:paraId="43792E4F" w14:textId="70DF5D70" w:rsidR="00E04C8A" w:rsidRDefault="00851138">
            <w:pPr>
              <w:pStyle w:val="a3"/>
              <w:numPr>
                <w:ilvl w:val="0"/>
                <w:numId w:val="0"/>
              </w:numPr>
              <w:ind w:left="471"/>
              <w:rPr>
                <w:lang w:val="sl-SI"/>
              </w:rPr>
            </w:pPr>
            <w:r>
              <w:rPr>
                <w:b/>
                <w:noProof/>
                <w:lang w:eastAsia="ko-KR"/>
              </w:rPr>
              <mc:AlternateContent>
                <mc:Choice Requires="wpg">
                  <w:drawing>
                    <wp:anchor distT="0" distB="0" distL="114300" distR="114300" simplePos="0" relativeHeight="251658248" behindDoc="0" locked="0" layoutInCell="1" allowOverlap="1" wp14:anchorId="2A59E61F" wp14:editId="60AD705D">
                      <wp:simplePos x="0" y="0"/>
                      <wp:positionH relativeFrom="column">
                        <wp:posOffset>27335</wp:posOffset>
                      </wp:positionH>
                      <wp:positionV relativeFrom="paragraph">
                        <wp:posOffset>22225</wp:posOffset>
                      </wp:positionV>
                      <wp:extent cx="2225675" cy="2937510"/>
                      <wp:effectExtent l="19050" t="19050" r="22225" b="0"/>
                      <wp:wrapSquare wrapText="bothSides"/>
                      <wp:docPr id="19" name="그룹 19"/>
                      <wp:cNvGraphicFramePr/>
                      <a:graphic xmlns:a="http://schemas.openxmlformats.org/drawingml/2006/main">
                        <a:graphicData uri="http://schemas.microsoft.com/office/word/2010/wordprocessingGroup">
                          <wpg:wgp>
                            <wpg:cNvGrpSpPr/>
                            <wpg:grpSpPr>
                              <a:xfrm>
                                <a:off x="0" y="0"/>
                                <a:ext cx="2225675" cy="2937510"/>
                                <a:chOff x="0" y="0"/>
                                <a:chExt cx="2225675" cy="2937510"/>
                              </a:xfrm>
                            </wpg:grpSpPr>
                            <pic:pic xmlns:pic="http://schemas.openxmlformats.org/drawingml/2006/picture">
                              <pic:nvPicPr>
                                <pic:cNvPr id="4" name="그림 4"/>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225675" cy="2735580"/>
                                </a:xfrm>
                                <a:prstGeom prst="rect">
                                  <a:avLst/>
                                </a:prstGeom>
                                <a:ln>
                                  <a:solidFill>
                                    <a:schemeClr val="tx1"/>
                                  </a:solidFill>
                                </a:ln>
                              </pic:spPr>
                            </pic:pic>
                            <wps:wsp>
                              <wps:cNvPr id="18" name="Text Box 18"/>
                              <wps:cNvSpPr txBox="1"/>
                              <wps:spPr>
                                <a:xfrm>
                                  <a:off x="1549400" y="2762250"/>
                                  <a:ext cx="676275" cy="175260"/>
                                </a:xfrm>
                                <a:prstGeom prst="rect">
                                  <a:avLst/>
                                </a:prstGeom>
                                <a:solidFill>
                                  <a:prstClr val="white"/>
                                </a:solidFill>
                                <a:ln>
                                  <a:noFill/>
                                </a:ln>
                              </wps:spPr>
                              <wps:txbx>
                                <w:txbxContent>
                                  <w:p w14:paraId="47C63F91" w14:textId="1CF89A19" w:rsidR="00474DFB" w:rsidRDefault="00474DFB">
                                    <w:pPr>
                                      <w:pStyle w:val="af0"/>
                                      <w:jc w:val="right"/>
                                      <w:rPr>
                                        <w:b w:val="0"/>
                                        <w:noProof/>
                                      </w:rPr>
                                    </w:pPr>
                                    <w:r>
                                      <w:rPr>
                                        <w:rFonts w:ascii="Times New Roman" w:eastAsia="Times New Roman" w:hAnsi="Times New Roman" w:cs="Times New Roman"/>
                                        <w:lang w:val="sl-SI"/>
                                      </w:rPr>
                                      <w:t>Slika </w:t>
                                    </w:r>
                                    <w:r>
                                      <w:rPr>
                                        <w:rFonts w:ascii="Times New Roman" w:hAnsi="Times New Roman" w:cs="Times New Roman"/>
                                      </w:rPr>
                                      <w:t>M</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2A59E61F" id="그룹 19" o:spid="_x0000_s1179" style="position:absolute;left:0;text-align:left;margin-left:2.15pt;margin-top:1.75pt;width:175.25pt;height:231.3pt;z-index:251658248" coordsize="22256,29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">
                      <v:shape id="그림 4" o:spid="_x0000_s1180" type="#_x0000_t75" style="position:absolute;width:22256;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" stroked="t" strokecolor="black [3213]">
                        <v:imagedata r:id="rId97" o:title=""/>
                        <v:path arrowok="t"/>
                      </v:shape>
                      <v:shape id="Text Box 18" o:spid="_x0000_s1181" type="#_x0000_t202" style="position:absolute;left:15494;top:27622;width:676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" stroked="f">
                        <v:textbox inset="0,0,0,0">
                          <w:txbxContent>
                            <w:p w14:paraId="47C63F91" w14:textId="1CF89A19" w:rsidR="00474DFB" w:rsidRDefault="00474DFB">
                              <w:pPr>
                                <w:pStyle w:val="af0"/>
                                <w:jc w:val="right"/>
                                <w:rPr>
                                  <w:b w:val="0"/>
                                  <w:noProof/>
                                </w:rPr>
                              </w:pPr>
                              <w:r>
                                <w:rPr>
                                  <w:rFonts w:ascii="Times New Roman" w:eastAsia="Times New Roman" w:hAnsi="Times New Roman" w:cs="Times New Roman"/>
                                  <w:lang w:val="sl-SI"/>
                                </w:rPr>
                                <w:t>Slika </w:t>
                              </w:r>
                              <w:r>
                                <w:rPr>
                                  <w:rFonts w:ascii="Times New Roman" w:hAnsi="Times New Roman" w:cs="Times New Roman"/>
                                </w:rPr>
                                <w:t>M</w:t>
                              </w:r>
                            </w:p>
                          </w:txbxContent>
                        </v:textbox>
                      </v:shape>
                      <w10:wrap type="square"/>
                    </v:group>
                  </w:pict>
                </mc:Fallback>
              </mc:AlternateContent>
            </w:r>
          </w:p>
          <w:p w14:paraId="1AF256A8" w14:textId="5628A8C4" w:rsidR="00E04C8A" w:rsidRDefault="008E1817">
            <w:pPr>
              <w:pStyle w:val="a3"/>
              <w:numPr>
                <w:ilvl w:val="0"/>
                <w:numId w:val="25"/>
              </w:numPr>
              <w:rPr>
                <w:lang w:val="sl-SI"/>
              </w:rPr>
            </w:pPr>
            <w:r>
              <w:rPr>
                <w:rFonts w:eastAsia="Times New Roman"/>
                <w:b/>
                <w:bCs/>
                <w:lang w:val="sl-SI"/>
              </w:rPr>
              <w:t xml:space="preserve"> Napolnjeno injekcijsko brizg</w:t>
            </w:r>
            <w:r w:rsidRPr="00C568D9">
              <w:rPr>
                <w:rFonts w:eastAsia="Times New Roman"/>
                <w:b/>
                <w:bCs/>
                <w:lang w:val="sl-SI"/>
              </w:rPr>
              <w:t xml:space="preserve">o </w:t>
            </w:r>
            <w:r w:rsidRPr="00337BB0">
              <w:rPr>
                <w:rFonts w:eastAsia="Times New Roman"/>
                <w:b/>
                <w:lang w:val="sl-SI"/>
              </w:rPr>
              <w:t>zavrzite</w:t>
            </w:r>
            <w:r>
              <w:rPr>
                <w:rFonts w:eastAsia="Times New Roman"/>
                <w:lang w:val="sl-SI"/>
              </w:rPr>
              <w:t>.</w:t>
            </w:r>
          </w:p>
          <w:p w14:paraId="5DF32938" w14:textId="77777777" w:rsidR="00E04C8A" w:rsidRDefault="00E04C8A">
            <w:pPr>
              <w:pStyle w:val="a3"/>
              <w:rPr>
                <w:lang w:val="sl-SI"/>
              </w:rPr>
            </w:pPr>
          </w:p>
          <w:p w14:paraId="54814067" w14:textId="77777777" w:rsidR="00E04C8A" w:rsidRDefault="008E1817">
            <w:pPr>
              <w:pStyle w:val="a3"/>
              <w:ind w:left="4297" w:hanging="180"/>
              <w:rPr>
                <w:lang w:val="sl-SI"/>
              </w:rPr>
            </w:pPr>
            <w:r>
              <w:rPr>
                <w:rFonts w:eastAsia="Times New Roman"/>
                <w:b/>
                <w:bCs/>
                <w:lang w:val="sl-SI"/>
              </w:rPr>
              <w:t>a.</w:t>
            </w:r>
            <w:r>
              <w:rPr>
                <w:rFonts w:eastAsia="Times New Roman"/>
                <w:lang w:val="sl-SI"/>
              </w:rPr>
              <w:t xml:space="preserve"> Uporabljeni injekcijski peresnik zavrzite v poseben vsebnik za ostre odpadke, kot vam je naročil zdravnik, medicinska sestra ali farmacevt. </w:t>
            </w:r>
          </w:p>
          <w:p w14:paraId="7D90A14E" w14:textId="77777777" w:rsidR="00E04C8A" w:rsidRDefault="00E04C8A">
            <w:pPr>
              <w:pStyle w:val="a3"/>
              <w:ind w:left="4297" w:hanging="180"/>
              <w:rPr>
                <w:lang w:val="sl-SI"/>
              </w:rPr>
            </w:pPr>
          </w:p>
          <w:p w14:paraId="30893123" w14:textId="77777777" w:rsidR="00E04C8A" w:rsidRDefault="008E1817">
            <w:pPr>
              <w:pStyle w:val="a3"/>
              <w:ind w:left="4297" w:hanging="180"/>
              <w:rPr>
                <w:lang w:val="sl-SI"/>
              </w:rPr>
            </w:pPr>
            <w:r>
              <w:rPr>
                <w:rFonts w:eastAsia="Times New Roman"/>
                <w:b/>
                <w:bCs/>
                <w:lang w:val="sl-SI"/>
              </w:rPr>
              <w:t>b.</w:t>
            </w:r>
            <w:r>
              <w:rPr>
                <w:rFonts w:eastAsia="Times New Roman"/>
                <w:lang w:val="sl-SI"/>
              </w:rPr>
              <w:t>Alkoholni zloženec in pakiranje lahko odstranite v gospodinjske odpadke.</w:t>
            </w:r>
          </w:p>
          <w:p w14:paraId="1A2ED2AD" w14:textId="77777777" w:rsidR="00E04C8A" w:rsidRDefault="00E04C8A">
            <w:pPr>
              <w:pStyle w:val="a3"/>
              <w:rPr>
                <w:b/>
                <w:lang w:val="sl-SI"/>
              </w:rPr>
            </w:pPr>
          </w:p>
          <w:p w14:paraId="1154EADA" w14:textId="77777777" w:rsidR="00E04C8A" w:rsidRDefault="008E1817">
            <w:pPr>
              <w:pStyle w:val="a3"/>
              <w:ind w:left="4297" w:hanging="360"/>
              <w:rPr>
                <w:lang w:val="sl-SI"/>
              </w:rPr>
            </w:pPr>
            <w:r>
              <w:rPr>
                <w:rFonts w:ascii="맑은 고딕" w:eastAsia="맑은 고딕" w:hAnsi="맑은 고딕"/>
                <w:lang w:val="sl-SI"/>
              </w:rPr>
              <w:t>•</w:t>
            </w:r>
            <w:r>
              <w:rPr>
                <w:rFonts w:eastAsia="Times New Roman"/>
                <w:lang w:val="sl-SI"/>
              </w:rPr>
              <w:tab/>
              <w:t>Napolnjeni injekcijski peresnik in posebni vsebnik za ostre odpadke vedno shranjujte nedosegljivo otrokom.</w:t>
            </w:r>
          </w:p>
          <w:p w14:paraId="01C262EC" w14:textId="77777777" w:rsidR="00E04C8A" w:rsidRDefault="00E04C8A">
            <w:pPr>
              <w:pStyle w:val="a3"/>
              <w:rPr>
                <w:lang w:val="sl-SI"/>
              </w:rPr>
            </w:pPr>
          </w:p>
          <w:p w14:paraId="1959B447" w14:textId="77777777" w:rsidR="00E04C8A" w:rsidRDefault="00E04C8A">
            <w:pPr>
              <w:pStyle w:val="a3"/>
              <w:rPr>
                <w:lang w:val="sl-SI" w:eastAsia="ko-KR"/>
              </w:rPr>
            </w:pPr>
          </w:p>
        </w:tc>
      </w:tr>
    </w:tbl>
    <w:p w14:paraId="5B34FC0B" w14:textId="3781E005" w:rsidR="00840AAB" w:rsidRDefault="00840AAB">
      <w:pPr>
        <w:pStyle w:val="a3"/>
        <w:rPr>
          <w:lang w:val="sl-SI" w:eastAsia="ko-KR"/>
        </w:rPr>
      </w:pPr>
    </w:p>
    <w:p w14:paraId="0C7BEC66" w14:textId="77777777" w:rsidR="00840AAB" w:rsidRDefault="00840AAB">
      <w:pPr>
        <w:rPr>
          <w:rFonts w:ascii="Times New Roman" w:hAnsi="Times New Roman" w:cs="Times New Roman"/>
          <w:lang w:val="sl-SI" w:eastAsia="ko-KR"/>
        </w:rPr>
      </w:pPr>
      <w:r>
        <w:rPr>
          <w:lang w:val="sl-SI" w:eastAsia="ko-KR"/>
        </w:rPr>
        <w:br w:type="page"/>
      </w:r>
    </w:p>
    <w:p w14:paraId="06959DC9" w14:textId="77777777" w:rsidR="00840AAB" w:rsidRDefault="00840AAB" w:rsidP="00840AAB">
      <w:pPr>
        <w:spacing w:before="76"/>
        <w:ind w:left="39"/>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lastRenderedPageBreak/>
        <w:t>Navodilo za uporabo</w:t>
      </w:r>
    </w:p>
    <w:p w14:paraId="34D2CB29" w14:textId="77777777" w:rsidR="00840AAB" w:rsidRDefault="00840AAB" w:rsidP="00840AAB">
      <w:pPr>
        <w:spacing w:before="13" w:line="240" w:lineRule="exact"/>
        <w:rPr>
          <w:sz w:val="24"/>
          <w:szCs w:val="24"/>
          <w:lang w:val="sl-SI"/>
        </w:rPr>
      </w:pPr>
    </w:p>
    <w:p w14:paraId="15C8C501" w14:textId="0AA672D1" w:rsidR="00840AAB" w:rsidRDefault="00840AAB" w:rsidP="00840AAB">
      <w:pPr>
        <w:ind w:left="818" w:right="776"/>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 xml:space="preserve">Yuflyma </w:t>
      </w:r>
      <w:r w:rsidR="007131E2">
        <w:rPr>
          <w:rFonts w:ascii="Times New Roman" w:eastAsia="Times New Roman" w:hAnsi="Times New Roman" w:cs="Times New Roman"/>
          <w:b/>
          <w:bCs/>
          <w:spacing w:val="-1"/>
          <w:lang w:val="sl-SI"/>
        </w:rPr>
        <w:t>8</w:t>
      </w:r>
      <w:r>
        <w:rPr>
          <w:rFonts w:ascii="Times New Roman" w:eastAsia="Times New Roman" w:hAnsi="Times New Roman" w:cs="Times New Roman"/>
          <w:b/>
          <w:bCs/>
          <w:spacing w:val="-1"/>
          <w:lang w:val="sl-SI"/>
        </w:rPr>
        <w:t>0 mg raztopina za injiciranje v napolnjeni injekcijski brizgi</w:t>
      </w:r>
    </w:p>
    <w:p w14:paraId="523A7A6C" w14:textId="77777777" w:rsidR="00840AAB" w:rsidRDefault="00840AAB" w:rsidP="00840AAB">
      <w:pPr>
        <w:pStyle w:val="a3"/>
        <w:jc w:val="center"/>
        <w:rPr>
          <w:lang w:val="sl-SI"/>
        </w:rPr>
      </w:pPr>
      <w:r>
        <w:rPr>
          <w:rFonts w:eastAsia="Times New Roman"/>
          <w:lang w:val="sl-SI"/>
        </w:rPr>
        <w:t>adalimumab</w:t>
      </w:r>
    </w:p>
    <w:p w14:paraId="287770E1" w14:textId="77777777" w:rsidR="00840AAB" w:rsidRDefault="00840AAB" w:rsidP="00840AAB">
      <w:pPr>
        <w:spacing w:before="18" w:line="240" w:lineRule="exact"/>
        <w:rPr>
          <w:sz w:val="24"/>
          <w:szCs w:val="24"/>
          <w:lang w:val="sl-SI"/>
        </w:rPr>
      </w:pPr>
    </w:p>
    <w:p w14:paraId="093233F2" w14:textId="77777777" w:rsidR="00840AAB" w:rsidRDefault="00840AAB" w:rsidP="00840AAB">
      <w:pPr>
        <w:spacing w:before="18" w:line="240" w:lineRule="exact"/>
        <w:rPr>
          <w:sz w:val="24"/>
          <w:szCs w:val="24"/>
          <w:lang w:val="sl-SI"/>
        </w:rPr>
      </w:pPr>
      <w:r>
        <w:rPr>
          <w:rFonts w:ascii="Times New Roman" w:hAnsi="Times New Roman" w:cs="Times New Roman"/>
          <w:noProof/>
          <w:lang w:eastAsia="ko-KR"/>
        </w:rPr>
        <w:drawing>
          <wp:inline distT="0" distB="0" distL="0" distR="0" wp14:anchorId="4DCE7FDF" wp14:editId="060C6981">
            <wp:extent cx="203200" cy="169545"/>
            <wp:effectExtent l="0" t="0" r="6350" b="1905"/>
            <wp:docPr id="3884" name="그림 3884"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sl-SI"/>
        </w:rPr>
        <w:t>Za to zdravilo se izvaja dodatno spremljanje varnosti. Tako bodo hitreje na voljo nove informacije o njegovi varnosti. Tudi sami lahko k temu prispevate tako, da poročate o katerem koli neželenem učinku zdravila, ki bi se utegnil pojaviti pri vas. Glejte na koncu poglavja 4, kako poročati o neželenih učinkih.</w:t>
      </w:r>
    </w:p>
    <w:p w14:paraId="65FF73F9" w14:textId="77777777" w:rsidR="00840AAB" w:rsidRDefault="00840AAB" w:rsidP="00840AAB">
      <w:pPr>
        <w:spacing w:before="18" w:line="240" w:lineRule="exact"/>
        <w:rPr>
          <w:sz w:val="24"/>
          <w:szCs w:val="24"/>
          <w:lang w:val="sl-SI"/>
        </w:rPr>
      </w:pPr>
    </w:p>
    <w:p w14:paraId="141105FB" w14:textId="77777777" w:rsidR="00840AAB" w:rsidRDefault="00840AAB" w:rsidP="00840AAB">
      <w:pPr>
        <w:spacing w:before="18" w:line="240" w:lineRule="exact"/>
        <w:rPr>
          <w:rFonts w:ascii="Times New Roman" w:hAnsi="Times New Roman" w:cs="Times New Roman"/>
          <w:b/>
          <w:lang w:val="sl-SI"/>
        </w:rPr>
      </w:pPr>
      <w:r>
        <w:rPr>
          <w:rFonts w:ascii="Times New Roman" w:eastAsia="Times New Roman" w:hAnsi="Times New Roman" w:cs="Times New Roman"/>
          <w:b/>
          <w:bCs/>
          <w:lang w:val="sl-SI"/>
        </w:rPr>
        <w:t>Pred začetkom uporabe zdravila natančno preberite navodilo, ker vsebuje za vas pomembne podatke!</w:t>
      </w:r>
    </w:p>
    <w:p w14:paraId="6C1F1E96" w14:textId="77777777" w:rsidR="00840AAB" w:rsidRDefault="00840AAB" w:rsidP="00840AAB">
      <w:pPr>
        <w:pStyle w:val="a3"/>
        <w:numPr>
          <w:ilvl w:val="0"/>
          <w:numId w:val="5"/>
        </w:numPr>
        <w:ind w:left="660" w:hanging="660"/>
        <w:rPr>
          <w:lang w:val="sl-SI"/>
        </w:rPr>
      </w:pPr>
      <w:r>
        <w:rPr>
          <w:rFonts w:eastAsia="Times New Roman"/>
          <w:lang w:val="sl-SI"/>
        </w:rPr>
        <w:t>Navodilo shranite. Morda ga boste želeli ponovno prebrati.</w:t>
      </w:r>
    </w:p>
    <w:p w14:paraId="00E5475F" w14:textId="77777777" w:rsidR="00840AAB" w:rsidRDefault="00840AAB" w:rsidP="00840AAB">
      <w:pPr>
        <w:pStyle w:val="a3"/>
        <w:numPr>
          <w:ilvl w:val="0"/>
          <w:numId w:val="5"/>
        </w:numPr>
        <w:ind w:left="660" w:hanging="660"/>
        <w:rPr>
          <w:lang w:val="sl-SI"/>
        </w:rPr>
      </w:pPr>
      <w:r>
        <w:rPr>
          <w:rFonts w:eastAsia="Times New Roman"/>
          <w:lang w:val="sl-SI"/>
        </w:rPr>
        <w:t xml:space="preserve">Prejeli boste </w:t>
      </w:r>
      <w:r>
        <w:rPr>
          <w:rFonts w:eastAsia="Times New Roman"/>
          <w:b/>
          <w:bCs/>
          <w:lang w:val="sl-SI"/>
        </w:rPr>
        <w:t>opozorilno kartico za bolnika</w:t>
      </w:r>
      <w:r>
        <w:rPr>
          <w:rFonts w:eastAsia="Times New Roman"/>
          <w:lang w:val="sl-SI"/>
        </w:rPr>
        <w:t xml:space="preserve">, ki vsebuje pomembne informacije o varnosti, ki jih morate poznati pred in med zdravljenjem z zdravilom Yuflyma. </w:t>
      </w:r>
      <w:r>
        <w:rPr>
          <w:rFonts w:eastAsia="Times New Roman"/>
          <w:b/>
          <w:bCs/>
          <w:lang w:val="sl-SI"/>
        </w:rPr>
        <w:t>Opozorilno kartico za bolnika</w:t>
      </w:r>
      <w:r>
        <w:rPr>
          <w:rFonts w:eastAsia="Times New Roman"/>
          <w:lang w:val="sl-SI"/>
        </w:rPr>
        <w:t xml:space="preserve"> imejte pri sebi med zdravljenjem in še 4 mesece po zadnji injekciji zdravila Yuflyma.</w:t>
      </w:r>
    </w:p>
    <w:p w14:paraId="76EFCA1F" w14:textId="77777777" w:rsidR="00840AAB" w:rsidRDefault="00840AAB" w:rsidP="00840AAB">
      <w:pPr>
        <w:pStyle w:val="a3"/>
        <w:numPr>
          <w:ilvl w:val="0"/>
          <w:numId w:val="5"/>
        </w:numPr>
        <w:ind w:left="660" w:hanging="660"/>
        <w:rPr>
          <w:lang w:val="sl-SI"/>
        </w:rPr>
      </w:pPr>
      <w:r>
        <w:rPr>
          <w:rFonts w:eastAsia="Times New Roman"/>
          <w:lang w:val="sl-SI"/>
        </w:rPr>
        <w:t>Če imate dodatna vprašanja, se posvetujte z zdravnikom ali farmacevtom.</w:t>
      </w:r>
    </w:p>
    <w:p w14:paraId="6829F375" w14:textId="77777777" w:rsidR="00840AAB" w:rsidRDefault="00840AAB" w:rsidP="00840AAB">
      <w:pPr>
        <w:pStyle w:val="a3"/>
        <w:numPr>
          <w:ilvl w:val="0"/>
          <w:numId w:val="5"/>
        </w:numPr>
        <w:ind w:left="660" w:hanging="660"/>
        <w:rPr>
          <w:lang w:val="sl-SI"/>
        </w:rPr>
      </w:pPr>
      <w:r>
        <w:rPr>
          <w:rFonts w:eastAsia="Times New Roman"/>
          <w:lang w:val="sl-SI"/>
        </w:rPr>
        <w:t>Zdravilo je bilo predpisano vam osebno in ga ne smete dajati drugim. Njim bi lahko celo škodovalo, čeprav imajo znake bolezni, podobne vašim.</w:t>
      </w:r>
    </w:p>
    <w:p w14:paraId="2C6DBFF9" w14:textId="77777777" w:rsidR="00840AAB" w:rsidRDefault="00840AAB" w:rsidP="00840AAB">
      <w:pPr>
        <w:pStyle w:val="a3"/>
        <w:numPr>
          <w:ilvl w:val="0"/>
          <w:numId w:val="5"/>
        </w:numPr>
        <w:ind w:left="660" w:hanging="660"/>
        <w:rPr>
          <w:lang w:val="sl-SI"/>
        </w:rPr>
      </w:pPr>
      <w:r>
        <w:rPr>
          <w:rFonts w:eastAsia="Times New Roman"/>
          <w:lang w:val="sl-SI"/>
        </w:rPr>
        <w:t>Če opazite kateri koli neželeni učinek, se posvetujte z zdravnikom ali farmacevtom. Posvetujte se tudi, če opazite katere koli neželene učinke, ki niso navedeni v tem navodilu. Glejte poglavje 4.</w:t>
      </w:r>
    </w:p>
    <w:p w14:paraId="096A7F96" w14:textId="77777777" w:rsidR="00840AAB" w:rsidRDefault="00840AAB" w:rsidP="00840AAB">
      <w:pPr>
        <w:pStyle w:val="a3"/>
        <w:rPr>
          <w:lang w:val="sl-SI"/>
        </w:rPr>
      </w:pPr>
    </w:p>
    <w:p w14:paraId="55AD65F2" w14:textId="77777777" w:rsidR="00840AAB" w:rsidRDefault="00840AAB" w:rsidP="00840AAB">
      <w:pPr>
        <w:pStyle w:val="a3"/>
        <w:rPr>
          <w:b/>
          <w:lang w:val="sl-SI"/>
        </w:rPr>
      </w:pPr>
      <w:r>
        <w:rPr>
          <w:rFonts w:eastAsia="Times New Roman"/>
          <w:b/>
          <w:bCs/>
          <w:lang w:val="sl-SI"/>
        </w:rPr>
        <w:t>Kaj vsebuje navodilo</w:t>
      </w:r>
    </w:p>
    <w:p w14:paraId="782CE78D" w14:textId="77777777" w:rsidR="00840AAB" w:rsidRDefault="00840AAB" w:rsidP="0030421B">
      <w:pPr>
        <w:pStyle w:val="a3"/>
        <w:numPr>
          <w:ilvl w:val="0"/>
          <w:numId w:val="126"/>
        </w:numPr>
        <w:ind w:hanging="760"/>
        <w:rPr>
          <w:lang w:val="sl-SI"/>
        </w:rPr>
      </w:pPr>
      <w:r>
        <w:rPr>
          <w:rFonts w:eastAsia="Times New Roman"/>
          <w:lang w:val="sl-SI"/>
        </w:rPr>
        <w:t>Kaj je zdravilo Yuflyma in za kaj ga uporabljamo</w:t>
      </w:r>
    </w:p>
    <w:p w14:paraId="6DBC08FA" w14:textId="77777777" w:rsidR="00840AAB" w:rsidRDefault="00840AAB" w:rsidP="0030421B">
      <w:pPr>
        <w:pStyle w:val="a3"/>
        <w:numPr>
          <w:ilvl w:val="0"/>
          <w:numId w:val="126"/>
        </w:numPr>
        <w:ind w:hanging="760"/>
        <w:rPr>
          <w:lang w:val="sl-SI"/>
        </w:rPr>
      </w:pPr>
      <w:r>
        <w:rPr>
          <w:rFonts w:eastAsia="Times New Roman"/>
          <w:lang w:val="sl-SI"/>
        </w:rPr>
        <w:t>Kaj morate vedeti, preden boste uporabili zdravilo Yuflyma</w:t>
      </w:r>
    </w:p>
    <w:p w14:paraId="61B1494B" w14:textId="77777777" w:rsidR="00840AAB" w:rsidRDefault="00840AAB" w:rsidP="0030421B">
      <w:pPr>
        <w:pStyle w:val="a3"/>
        <w:numPr>
          <w:ilvl w:val="0"/>
          <w:numId w:val="126"/>
        </w:numPr>
        <w:ind w:hanging="760"/>
        <w:rPr>
          <w:lang w:val="sl-SI"/>
        </w:rPr>
      </w:pPr>
      <w:r>
        <w:rPr>
          <w:rFonts w:eastAsia="Times New Roman"/>
          <w:lang w:val="sl-SI"/>
        </w:rPr>
        <w:t>Kako uporabljati zdravilo Yuflyma</w:t>
      </w:r>
    </w:p>
    <w:p w14:paraId="6955A06E" w14:textId="77777777" w:rsidR="00840AAB" w:rsidRDefault="00840AAB" w:rsidP="0030421B">
      <w:pPr>
        <w:pStyle w:val="a3"/>
        <w:numPr>
          <w:ilvl w:val="0"/>
          <w:numId w:val="126"/>
        </w:numPr>
        <w:ind w:hanging="760"/>
        <w:rPr>
          <w:lang w:val="sl-SI"/>
        </w:rPr>
      </w:pPr>
      <w:r>
        <w:rPr>
          <w:rFonts w:eastAsia="Times New Roman"/>
          <w:lang w:val="sl-SI"/>
        </w:rPr>
        <w:t>Možni neželeni učinki</w:t>
      </w:r>
    </w:p>
    <w:p w14:paraId="14F8822B" w14:textId="77777777" w:rsidR="00840AAB" w:rsidRDefault="00840AAB" w:rsidP="0030421B">
      <w:pPr>
        <w:pStyle w:val="a3"/>
        <w:numPr>
          <w:ilvl w:val="0"/>
          <w:numId w:val="126"/>
        </w:numPr>
        <w:ind w:hanging="760"/>
        <w:rPr>
          <w:lang w:val="sl-SI"/>
        </w:rPr>
      </w:pPr>
      <w:r>
        <w:rPr>
          <w:rFonts w:eastAsia="Times New Roman"/>
          <w:lang w:val="sl-SI"/>
        </w:rPr>
        <w:t>Shranjevanje zdravila Yuflyma</w:t>
      </w:r>
    </w:p>
    <w:p w14:paraId="1CA655CF" w14:textId="77777777" w:rsidR="00840AAB" w:rsidRDefault="00840AAB" w:rsidP="0030421B">
      <w:pPr>
        <w:pStyle w:val="a3"/>
        <w:numPr>
          <w:ilvl w:val="0"/>
          <w:numId w:val="126"/>
        </w:numPr>
        <w:ind w:hanging="760"/>
        <w:rPr>
          <w:lang w:val="sl-SI"/>
        </w:rPr>
      </w:pPr>
      <w:r>
        <w:rPr>
          <w:rFonts w:eastAsia="Times New Roman"/>
          <w:lang w:val="sl-SI"/>
        </w:rPr>
        <w:t>Vsebina pakiranja in dodatne informacije</w:t>
      </w:r>
    </w:p>
    <w:p w14:paraId="3436A3CB" w14:textId="77777777" w:rsidR="00840AAB" w:rsidRDefault="00840AAB" w:rsidP="0030421B">
      <w:pPr>
        <w:pStyle w:val="a3"/>
        <w:numPr>
          <w:ilvl w:val="0"/>
          <w:numId w:val="126"/>
        </w:numPr>
        <w:ind w:hanging="760"/>
        <w:rPr>
          <w:lang w:val="sl-SI"/>
        </w:rPr>
      </w:pPr>
      <w:r>
        <w:rPr>
          <w:rFonts w:eastAsia="Times New Roman"/>
          <w:lang w:val="sl-SI"/>
        </w:rPr>
        <w:t>Navodila za uporabo</w:t>
      </w:r>
    </w:p>
    <w:p w14:paraId="2F366210" w14:textId="77777777" w:rsidR="00840AAB" w:rsidRDefault="00840AAB" w:rsidP="00840AAB">
      <w:pPr>
        <w:spacing w:line="200" w:lineRule="exact"/>
        <w:rPr>
          <w:sz w:val="20"/>
          <w:szCs w:val="20"/>
          <w:lang w:val="sl-SI"/>
        </w:rPr>
      </w:pPr>
    </w:p>
    <w:p w14:paraId="545CC5F2" w14:textId="77777777" w:rsidR="00840AAB" w:rsidRDefault="00840AAB" w:rsidP="00840AAB">
      <w:pPr>
        <w:spacing w:line="200" w:lineRule="exact"/>
        <w:rPr>
          <w:sz w:val="20"/>
          <w:szCs w:val="20"/>
          <w:lang w:val="sl-SI"/>
        </w:rPr>
      </w:pPr>
    </w:p>
    <w:p w14:paraId="0622AF5B" w14:textId="77777777" w:rsidR="00840AAB" w:rsidRDefault="00840AAB" w:rsidP="0030421B">
      <w:pPr>
        <w:pStyle w:val="a4"/>
        <w:numPr>
          <w:ilvl w:val="0"/>
          <w:numId w:val="127"/>
        </w:numPr>
        <w:spacing w:line="240" w:lineRule="exact"/>
        <w:rPr>
          <w:rFonts w:ascii="Times New Roman" w:hAnsi="Times New Roman" w:cs="Times New Roman"/>
          <w:b/>
          <w:lang w:val="sl-SI"/>
        </w:rPr>
      </w:pPr>
      <w:r>
        <w:rPr>
          <w:rFonts w:ascii="Times New Roman" w:eastAsia="Times New Roman" w:hAnsi="Times New Roman" w:cs="Times New Roman"/>
          <w:b/>
          <w:bCs/>
          <w:lang w:val="sl-SI"/>
        </w:rPr>
        <w:t>Kaj je zdravilo Yuflyma in za kaj ga uporabljamo</w:t>
      </w:r>
    </w:p>
    <w:p w14:paraId="7BADF2BF" w14:textId="77777777" w:rsidR="00840AAB" w:rsidRDefault="00840AAB" w:rsidP="00840AAB">
      <w:pPr>
        <w:spacing w:line="240" w:lineRule="exact"/>
        <w:rPr>
          <w:rFonts w:ascii="Times New Roman" w:hAnsi="Times New Roman" w:cs="Times New Roman"/>
          <w:b/>
          <w:lang w:val="sl-SI"/>
        </w:rPr>
      </w:pPr>
    </w:p>
    <w:p w14:paraId="5B468E88" w14:textId="77777777" w:rsidR="00840AAB" w:rsidRDefault="00840AAB" w:rsidP="00840AAB">
      <w:pPr>
        <w:pStyle w:val="a3"/>
        <w:rPr>
          <w:lang w:val="sl-SI"/>
        </w:rPr>
      </w:pPr>
      <w:r>
        <w:rPr>
          <w:rFonts w:eastAsia="Times New Roman"/>
          <w:lang w:val="sl-SI"/>
        </w:rPr>
        <w:t>Yuflyma vsebuje učinkovino adalimumab, zdravilo, ki deluje na imunski sistem (zaščito) vašega telesa.</w:t>
      </w:r>
    </w:p>
    <w:p w14:paraId="3CD6EF11" w14:textId="77777777" w:rsidR="00840AAB" w:rsidRDefault="00840AAB" w:rsidP="00840AAB">
      <w:pPr>
        <w:pStyle w:val="a3"/>
        <w:rPr>
          <w:lang w:val="sl-SI"/>
        </w:rPr>
      </w:pPr>
    </w:p>
    <w:p w14:paraId="1C9E3C17" w14:textId="77777777" w:rsidR="00840AAB" w:rsidRDefault="00840AAB" w:rsidP="00840AAB">
      <w:pPr>
        <w:pStyle w:val="a3"/>
        <w:rPr>
          <w:lang w:val="sl-SI"/>
        </w:rPr>
      </w:pPr>
      <w:r>
        <w:rPr>
          <w:rFonts w:eastAsia="Times New Roman"/>
          <w:lang w:val="sl-SI"/>
        </w:rPr>
        <w:t>Zdravilo Yuflyma je namenjeno zdravljenju naslednjih vnetnih bolezni:</w:t>
      </w:r>
    </w:p>
    <w:p w14:paraId="7D73FAD2" w14:textId="77777777" w:rsidR="00840AAB" w:rsidRDefault="00840AAB" w:rsidP="00840AAB">
      <w:pPr>
        <w:pStyle w:val="a3"/>
        <w:numPr>
          <w:ilvl w:val="0"/>
          <w:numId w:val="5"/>
        </w:numPr>
        <w:ind w:left="660" w:hanging="660"/>
        <w:rPr>
          <w:lang w:val="sl-SI"/>
        </w:rPr>
      </w:pPr>
      <w:r>
        <w:rPr>
          <w:rFonts w:eastAsia="Times New Roman"/>
          <w:lang w:val="sl-SI"/>
        </w:rPr>
        <w:t>revmatoidni artritis,</w:t>
      </w:r>
    </w:p>
    <w:p w14:paraId="3F477752" w14:textId="77777777" w:rsidR="00840AAB" w:rsidRDefault="00840AAB" w:rsidP="00840AAB">
      <w:pPr>
        <w:pStyle w:val="a3"/>
        <w:numPr>
          <w:ilvl w:val="0"/>
          <w:numId w:val="5"/>
        </w:numPr>
        <w:ind w:left="660" w:hanging="660"/>
        <w:rPr>
          <w:lang w:val="sl-SI"/>
        </w:rPr>
      </w:pPr>
      <w:r>
        <w:rPr>
          <w:rFonts w:eastAsia="Times New Roman"/>
          <w:lang w:val="sl-SI"/>
        </w:rPr>
        <w:t>luskavica (psoriaza) v plakih,</w:t>
      </w:r>
    </w:p>
    <w:p w14:paraId="33B95377" w14:textId="77777777" w:rsidR="00840AAB" w:rsidRDefault="00840AAB" w:rsidP="00840AAB">
      <w:pPr>
        <w:pStyle w:val="a3"/>
        <w:numPr>
          <w:ilvl w:val="0"/>
          <w:numId w:val="5"/>
        </w:numPr>
        <w:ind w:left="660" w:hanging="660"/>
        <w:rPr>
          <w:lang w:val="sl-SI"/>
        </w:rPr>
      </w:pPr>
      <w:r>
        <w:rPr>
          <w:rFonts w:eastAsia="Times New Roman"/>
          <w:lang w:val="sl-SI"/>
        </w:rPr>
        <w:t>hidradenitis suppurativa,</w:t>
      </w:r>
    </w:p>
    <w:p w14:paraId="67C3CB6D" w14:textId="77777777" w:rsidR="00840AAB" w:rsidRDefault="00840AAB" w:rsidP="00840AAB">
      <w:pPr>
        <w:pStyle w:val="a3"/>
        <w:numPr>
          <w:ilvl w:val="0"/>
          <w:numId w:val="5"/>
        </w:numPr>
        <w:ind w:left="660" w:hanging="660"/>
        <w:rPr>
          <w:lang w:val="sl-SI"/>
        </w:rPr>
      </w:pPr>
      <w:r>
        <w:rPr>
          <w:rFonts w:eastAsia="Times New Roman"/>
          <w:lang w:val="sl-SI"/>
        </w:rPr>
        <w:t>Crohnova bolezen,</w:t>
      </w:r>
    </w:p>
    <w:p w14:paraId="5D601493" w14:textId="77777777" w:rsidR="00840AAB" w:rsidRDefault="00840AAB" w:rsidP="00840AAB">
      <w:pPr>
        <w:pStyle w:val="a3"/>
        <w:numPr>
          <w:ilvl w:val="0"/>
          <w:numId w:val="5"/>
        </w:numPr>
        <w:ind w:left="660" w:hanging="660"/>
        <w:rPr>
          <w:lang w:val="sl-SI"/>
        </w:rPr>
      </w:pPr>
      <w:r>
        <w:rPr>
          <w:rFonts w:eastAsia="Times New Roman"/>
          <w:lang w:val="sl-SI"/>
        </w:rPr>
        <w:t>ulcerozni kolitis,</w:t>
      </w:r>
    </w:p>
    <w:p w14:paraId="4A022E88" w14:textId="77777777" w:rsidR="00840AAB" w:rsidRDefault="00840AAB" w:rsidP="00840AAB">
      <w:pPr>
        <w:pStyle w:val="a3"/>
        <w:numPr>
          <w:ilvl w:val="0"/>
          <w:numId w:val="5"/>
        </w:numPr>
        <w:ind w:left="660" w:hanging="660"/>
        <w:rPr>
          <w:lang w:val="sl-SI"/>
        </w:rPr>
      </w:pPr>
      <w:r>
        <w:rPr>
          <w:rFonts w:eastAsia="Times New Roman"/>
          <w:lang w:val="sl-SI"/>
        </w:rPr>
        <w:t>neinfekcijski uveitis.</w:t>
      </w:r>
    </w:p>
    <w:p w14:paraId="50BFFD28" w14:textId="77777777" w:rsidR="00840AAB" w:rsidRDefault="00840AAB" w:rsidP="00840AAB">
      <w:pPr>
        <w:spacing w:before="10" w:line="240" w:lineRule="exact"/>
        <w:rPr>
          <w:sz w:val="24"/>
          <w:szCs w:val="24"/>
          <w:lang w:val="sl-SI"/>
        </w:rPr>
      </w:pPr>
    </w:p>
    <w:p w14:paraId="705FDAFE" w14:textId="77777777" w:rsidR="00840AAB" w:rsidRDefault="00840AAB" w:rsidP="00840AAB">
      <w:pPr>
        <w:pStyle w:val="a3"/>
        <w:rPr>
          <w:lang w:val="sl-SI"/>
        </w:rPr>
      </w:pPr>
      <w:r>
        <w:rPr>
          <w:rFonts w:eastAsia="Times New Roman"/>
          <w:lang w:val="sl-SI"/>
        </w:rPr>
        <w:t>Učinkovina v zdravilu Yuflyma, adalimumab, je humano monoklonsko protitelo. Monoklonska protitelesa so beljakovine, ki se vežejo na specifične tarče.</w:t>
      </w:r>
    </w:p>
    <w:p w14:paraId="28613EF5" w14:textId="77777777" w:rsidR="00840AAB" w:rsidRDefault="00840AAB" w:rsidP="00840AAB">
      <w:pPr>
        <w:spacing w:before="16" w:line="240" w:lineRule="exact"/>
        <w:rPr>
          <w:sz w:val="24"/>
          <w:szCs w:val="24"/>
          <w:lang w:val="sl-SI"/>
        </w:rPr>
      </w:pPr>
    </w:p>
    <w:p w14:paraId="35B8FA12" w14:textId="77777777" w:rsidR="00840AAB" w:rsidRDefault="00840AAB" w:rsidP="00840AAB">
      <w:pPr>
        <w:pStyle w:val="a3"/>
        <w:rPr>
          <w:lang w:val="sl-SI"/>
        </w:rPr>
      </w:pPr>
      <w:r>
        <w:rPr>
          <w:rFonts w:eastAsia="Times New Roman"/>
          <w:lang w:val="sl-SI"/>
        </w:rPr>
        <w:t>Tarča adalimumaba je beljakovina, ki se imenuje tumor nekrotizirajoči faktor (TNFα), ki je vključen v imunski (obrambni) sistem in je prisoten v povečanih koncentracijah pri zgoraj navedenih vnetnih boleznih. Z vezavo na TNFα zdravilo Yuflyma zmanjša vnetni proces pri teh boleznih.</w:t>
      </w:r>
    </w:p>
    <w:p w14:paraId="145E5FCE" w14:textId="77777777" w:rsidR="00840AAB" w:rsidRDefault="00840AAB" w:rsidP="00840AAB">
      <w:pPr>
        <w:pStyle w:val="a3"/>
        <w:rPr>
          <w:lang w:val="sl-SI"/>
        </w:rPr>
      </w:pPr>
    </w:p>
    <w:p w14:paraId="038E1E75" w14:textId="77777777" w:rsidR="00840AAB" w:rsidRDefault="00840AAB" w:rsidP="00840AAB">
      <w:pPr>
        <w:pStyle w:val="a3"/>
        <w:rPr>
          <w:b/>
          <w:lang w:val="sl-SI"/>
        </w:rPr>
      </w:pPr>
      <w:r>
        <w:rPr>
          <w:rFonts w:eastAsia="Times New Roman"/>
          <w:b/>
          <w:bCs/>
          <w:lang w:val="sl-SI"/>
        </w:rPr>
        <w:t>Revmatoidni artritis</w:t>
      </w:r>
    </w:p>
    <w:p w14:paraId="7E331FF4" w14:textId="77777777" w:rsidR="00840AAB" w:rsidRDefault="00840AAB" w:rsidP="00840AAB">
      <w:pPr>
        <w:pStyle w:val="a3"/>
        <w:rPr>
          <w:u w:val="single"/>
          <w:lang w:val="sl-SI"/>
        </w:rPr>
      </w:pPr>
    </w:p>
    <w:p w14:paraId="0A5DCF5A" w14:textId="77777777" w:rsidR="00840AAB" w:rsidRDefault="00840AAB" w:rsidP="00840AAB">
      <w:pPr>
        <w:pStyle w:val="a3"/>
        <w:rPr>
          <w:lang w:val="sl-SI"/>
        </w:rPr>
      </w:pPr>
      <w:r>
        <w:rPr>
          <w:rFonts w:eastAsia="Times New Roman"/>
          <w:lang w:val="sl-SI"/>
        </w:rPr>
        <w:t>Revmatoidni artritis je vnetna bolezen sklepov.</w:t>
      </w:r>
    </w:p>
    <w:p w14:paraId="4BE85EFA" w14:textId="77777777" w:rsidR="00840AAB" w:rsidRDefault="00840AAB" w:rsidP="00840AAB">
      <w:pPr>
        <w:spacing w:before="11" w:line="240" w:lineRule="exact"/>
        <w:rPr>
          <w:sz w:val="24"/>
          <w:szCs w:val="24"/>
          <w:lang w:val="sl-SI"/>
        </w:rPr>
      </w:pPr>
    </w:p>
    <w:p w14:paraId="2C9067E6" w14:textId="77777777" w:rsidR="00840AAB" w:rsidRDefault="00840AAB" w:rsidP="00840AAB">
      <w:pPr>
        <w:pStyle w:val="a3"/>
        <w:rPr>
          <w:lang w:val="sl-SI"/>
        </w:rPr>
      </w:pPr>
      <w:r>
        <w:rPr>
          <w:rFonts w:eastAsia="Times New Roman"/>
          <w:lang w:val="sl-SI"/>
        </w:rPr>
        <w:t xml:space="preserve">Zdravilo Yuflyma se uporablja za zdravljenje zmernega do hudega revmatoidnega artritisa pri odraslih. </w:t>
      </w:r>
      <w:r>
        <w:rPr>
          <w:rFonts w:eastAsia="Times New Roman"/>
          <w:lang w:val="sl-SI"/>
        </w:rPr>
        <w:lastRenderedPageBreak/>
        <w:t xml:space="preserve">Morda boste najprej prejeli druga zdravila, </w:t>
      </w:r>
      <w:r w:rsidRPr="00EB18BA">
        <w:rPr>
          <w:rFonts w:eastAsia="Times New Roman"/>
          <w:lang w:val="sl-SI"/>
        </w:rPr>
        <w:t>ki spreminjajo potek bolezni</w:t>
      </w:r>
      <w:r>
        <w:rPr>
          <w:rFonts w:eastAsia="Times New Roman"/>
          <w:lang w:val="sl-SI"/>
        </w:rPr>
        <w:t>, npr. metotreksat. Če se na ta zdravila ne odzovete dovolj dobro, boste prejeli zdravilo Yuflyma.</w:t>
      </w:r>
    </w:p>
    <w:p w14:paraId="3AEEBC8B" w14:textId="77777777" w:rsidR="00840AAB" w:rsidRDefault="00840AAB" w:rsidP="00840AAB">
      <w:pPr>
        <w:spacing w:before="17" w:line="240" w:lineRule="exact"/>
        <w:rPr>
          <w:sz w:val="24"/>
          <w:szCs w:val="24"/>
          <w:lang w:val="sl-SI"/>
        </w:rPr>
      </w:pPr>
    </w:p>
    <w:p w14:paraId="73C4001A" w14:textId="77777777" w:rsidR="00840AAB" w:rsidRDefault="00840AAB" w:rsidP="00840AAB">
      <w:pPr>
        <w:pStyle w:val="a3"/>
        <w:rPr>
          <w:lang w:val="sl-SI"/>
        </w:rPr>
      </w:pPr>
      <w:r>
        <w:rPr>
          <w:rFonts w:eastAsia="Times New Roman"/>
          <w:lang w:val="sl-SI"/>
        </w:rPr>
        <w:t>Zdravilo Yuflyma je mogoče uporabljati tudi za zdravljenje hudega, aktivnega in napredujočega revmatoidnega artritisa brez predhodnega zdravljenja z metotreksatom.</w:t>
      </w:r>
    </w:p>
    <w:p w14:paraId="4144DCF5" w14:textId="77777777" w:rsidR="00840AAB" w:rsidRDefault="00840AAB" w:rsidP="00840AAB">
      <w:pPr>
        <w:spacing w:before="11" w:line="240" w:lineRule="exact"/>
        <w:rPr>
          <w:sz w:val="24"/>
          <w:szCs w:val="24"/>
          <w:lang w:val="sl-SI"/>
        </w:rPr>
      </w:pPr>
    </w:p>
    <w:p w14:paraId="09DD720F" w14:textId="77777777" w:rsidR="00840AAB" w:rsidRDefault="00840AAB" w:rsidP="00840AAB">
      <w:pPr>
        <w:pStyle w:val="a3"/>
        <w:rPr>
          <w:lang w:val="sl-SI"/>
        </w:rPr>
      </w:pPr>
      <w:r>
        <w:rPr>
          <w:rFonts w:eastAsia="Times New Roman"/>
          <w:lang w:val="sl-SI"/>
        </w:rPr>
        <w:t>Zdravilo Yuflyma lahko upočasni poškodbe sklepov, ki jih povzroča vnetna bolezen, in jim lahko pomaga, da se bolj prosto gibajo.</w:t>
      </w:r>
    </w:p>
    <w:p w14:paraId="0F6D4EC4" w14:textId="77777777" w:rsidR="00840AAB" w:rsidRDefault="00840AAB" w:rsidP="00840AAB">
      <w:pPr>
        <w:spacing w:before="10" w:line="240" w:lineRule="exact"/>
        <w:rPr>
          <w:sz w:val="24"/>
          <w:szCs w:val="24"/>
          <w:lang w:val="sl-SI"/>
        </w:rPr>
      </w:pPr>
    </w:p>
    <w:p w14:paraId="6F737A36" w14:textId="77777777" w:rsidR="00840AAB" w:rsidRDefault="00840AAB" w:rsidP="00840AAB">
      <w:pPr>
        <w:pStyle w:val="a3"/>
        <w:rPr>
          <w:lang w:val="sl-SI"/>
        </w:rPr>
      </w:pPr>
      <w:r>
        <w:rPr>
          <w:rFonts w:eastAsia="Times New Roman"/>
          <w:lang w:val="sl-SI"/>
        </w:rPr>
        <w:t>Vaš zdravnik se bo odločil, ali je treba zdravilo Yuflyma uporabljati skupaj z metotreksatom ali samostojno.</w:t>
      </w:r>
    </w:p>
    <w:p w14:paraId="3C244E9F" w14:textId="77777777" w:rsidR="00840AAB" w:rsidRDefault="00840AAB" w:rsidP="00840AAB">
      <w:pPr>
        <w:spacing w:before="18" w:line="240" w:lineRule="exact"/>
        <w:rPr>
          <w:sz w:val="24"/>
          <w:szCs w:val="24"/>
          <w:lang w:val="sl-SI"/>
        </w:rPr>
      </w:pPr>
    </w:p>
    <w:p w14:paraId="1C5F93D2" w14:textId="77777777" w:rsidR="00840AAB" w:rsidRDefault="00840AAB" w:rsidP="00840AAB">
      <w:pPr>
        <w:pStyle w:val="a3"/>
        <w:rPr>
          <w:b/>
          <w:lang w:val="sl-SI"/>
        </w:rPr>
      </w:pPr>
      <w:r>
        <w:rPr>
          <w:rFonts w:eastAsia="Times New Roman"/>
          <w:b/>
          <w:bCs/>
          <w:lang w:val="sl-SI"/>
        </w:rPr>
        <w:t>Luskavica (psoriaza) v plakih</w:t>
      </w:r>
    </w:p>
    <w:p w14:paraId="19B69F21" w14:textId="77777777" w:rsidR="00840AAB" w:rsidRDefault="00840AAB" w:rsidP="00840AAB">
      <w:pPr>
        <w:spacing w:before="9" w:line="240" w:lineRule="exact"/>
        <w:rPr>
          <w:sz w:val="24"/>
          <w:szCs w:val="24"/>
          <w:lang w:val="sl-SI"/>
        </w:rPr>
      </w:pPr>
    </w:p>
    <w:p w14:paraId="0E03858A" w14:textId="77777777" w:rsidR="00840AAB" w:rsidRDefault="00840AAB" w:rsidP="00840AAB">
      <w:pPr>
        <w:pStyle w:val="a3"/>
        <w:rPr>
          <w:lang w:val="sl-SI"/>
        </w:rPr>
      </w:pPr>
      <w:r>
        <w:rPr>
          <w:rFonts w:eastAsia="Times New Roman"/>
          <w:lang w:val="sl-SI"/>
        </w:rPr>
        <w:t>Luskavica v plakih je bolezen kože, pri kateri nastajajo rdeče, kosmičaste, krastave lise na koži, pokrite s srebrnimi luskami. Luskavica v plakih lahko prizadene tudi nohte, ki postanejo krušljivi, zadebeljeni in se dvignejo od nohtne posteljice, kar je lahko boleče.</w:t>
      </w:r>
    </w:p>
    <w:p w14:paraId="3826BCBA" w14:textId="77777777" w:rsidR="00840AAB" w:rsidRDefault="00840AAB" w:rsidP="00840AAB">
      <w:pPr>
        <w:spacing w:before="13" w:line="240" w:lineRule="exact"/>
        <w:rPr>
          <w:sz w:val="24"/>
          <w:szCs w:val="24"/>
          <w:lang w:val="sl-SI"/>
        </w:rPr>
      </w:pPr>
    </w:p>
    <w:p w14:paraId="6E4AE405" w14:textId="4AC03C99" w:rsidR="00840AAB" w:rsidRDefault="00840AAB" w:rsidP="0030421B">
      <w:pPr>
        <w:pStyle w:val="a3"/>
        <w:rPr>
          <w:lang w:val="sl-SI"/>
        </w:rPr>
      </w:pPr>
      <w:r>
        <w:rPr>
          <w:rFonts w:eastAsia="Times New Roman"/>
          <w:lang w:val="sl-SI"/>
        </w:rPr>
        <w:t>Zdravilo Yuflyma se uporablja za zdravljenje</w:t>
      </w:r>
      <w:r w:rsidR="00965F06">
        <w:rPr>
          <w:rFonts w:eastAsia="Times New Roman"/>
          <w:lang w:val="sl-SI"/>
        </w:rPr>
        <w:t xml:space="preserve"> </w:t>
      </w:r>
      <w:r>
        <w:rPr>
          <w:rFonts w:eastAsia="Times New Roman"/>
          <w:lang w:val="sl-SI"/>
        </w:rPr>
        <w:t>zmerne do hude kronične luskavice v plakih pri odraslih</w:t>
      </w:r>
      <w:r w:rsidR="00965F06">
        <w:rPr>
          <w:rFonts w:eastAsia="Times New Roman"/>
          <w:lang w:val="sl-SI"/>
        </w:rPr>
        <w:t>.</w:t>
      </w:r>
    </w:p>
    <w:p w14:paraId="4A1A76F2" w14:textId="77777777" w:rsidR="00840AAB" w:rsidRDefault="00840AAB" w:rsidP="00840AAB">
      <w:pPr>
        <w:spacing w:before="15" w:line="240" w:lineRule="exact"/>
        <w:rPr>
          <w:sz w:val="24"/>
          <w:szCs w:val="24"/>
          <w:lang w:val="sl-SI"/>
        </w:rPr>
      </w:pPr>
    </w:p>
    <w:p w14:paraId="745207BD" w14:textId="77777777" w:rsidR="00840AAB" w:rsidRDefault="00840AAB" w:rsidP="00840AAB">
      <w:pPr>
        <w:pStyle w:val="a3"/>
        <w:rPr>
          <w:b/>
          <w:lang w:val="sl-SI"/>
        </w:rPr>
      </w:pPr>
      <w:r>
        <w:rPr>
          <w:rFonts w:eastAsia="Times New Roman"/>
          <w:b/>
          <w:bCs/>
          <w:lang w:val="sl-SI"/>
        </w:rPr>
        <w:t>Hidradenitis suppurativa</w:t>
      </w:r>
    </w:p>
    <w:p w14:paraId="09FFD819" w14:textId="77777777" w:rsidR="00840AAB" w:rsidRDefault="00840AAB" w:rsidP="00840AAB">
      <w:pPr>
        <w:spacing w:before="9" w:line="240" w:lineRule="exact"/>
        <w:rPr>
          <w:sz w:val="24"/>
          <w:szCs w:val="24"/>
          <w:lang w:val="sl-SI"/>
        </w:rPr>
      </w:pPr>
    </w:p>
    <w:p w14:paraId="3711E311" w14:textId="77777777" w:rsidR="00840AAB" w:rsidRDefault="00840AAB" w:rsidP="00840AAB">
      <w:pPr>
        <w:pStyle w:val="a3"/>
        <w:rPr>
          <w:lang w:val="sl-SI"/>
        </w:rPr>
      </w:pPr>
      <w:r>
        <w:rPr>
          <w:rFonts w:eastAsia="Times New Roman"/>
          <w:lang w:val="sl-SI"/>
        </w:rPr>
        <w:t xml:space="preserve">Hidradenitis suppurativa (včasih imenovan tudi acne inversa) je kronična in pogosto boleča vnetna bolezen kože. Simptomi lahko vključujejo mehke nodule (vozliče) in abscese (ognojke), iz katerih lahko izteka gnoj. Najpogosteje prizadene specifične predele kože, kot je predel </w:t>
      </w:r>
      <w:hyperlink r:id="rId98" w:history="1">
        <w:r>
          <w:rPr>
            <w:rFonts w:eastAsia="Times New Roman"/>
            <w:lang w:val="sl-SI"/>
          </w:rPr>
          <w:t xml:space="preserve">pod prsmi, </w:t>
        </w:r>
      </w:hyperlink>
      <w:r>
        <w:rPr>
          <w:rFonts w:eastAsia="Times New Roman"/>
          <w:lang w:val="sl-SI"/>
        </w:rPr>
        <w:t>pod pazduhami, notranji del stegen, dimlje in zadnjico. Na prizadetih področjih se lahko pojavijo tudi brazgotine.</w:t>
      </w:r>
    </w:p>
    <w:p w14:paraId="4440CE8E" w14:textId="77777777" w:rsidR="00840AAB" w:rsidRDefault="00840AAB" w:rsidP="00840AAB">
      <w:pPr>
        <w:spacing w:before="13" w:line="240" w:lineRule="exact"/>
        <w:rPr>
          <w:sz w:val="24"/>
          <w:szCs w:val="24"/>
          <w:lang w:val="sl-SI"/>
        </w:rPr>
      </w:pPr>
    </w:p>
    <w:p w14:paraId="0540ED17" w14:textId="77777777" w:rsidR="00840AAB" w:rsidRDefault="00840AAB" w:rsidP="00840AAB">
      <w:pPr>
        <w:pStyle w:val="a3"/>
        <w:rPr>
          <w:lang w:val="sl-SI"/>
        </w:rPr>
      </w:pPr>
      <w:r>
        <w:rPr>
          <w:rFonts w:eastAsia="Times New Roman"/>
          <w:lang w:val="sl-SI"/>
        </w:rPr>
        <w:t>Zdravilo Yuflyma se uporablja za zdravljenje</w:t>
      </w:r>
    </w:p>
    <w:p w14:paraId="26D4341E" w14:textId="77777777" w:rsidR="00840AAB" w:rsidRDefault="00840AAB" w:rsidP="00840AAB">
      <w:pPr>
        <w:pStyle w:val="a3"/>
        <w:numPr>
          <w:ilvl w:val="1"/>
          <w:numId w:val="4"/>
        </w:numPr>
        <w:ind w:left="660" w:hanging="660"/>
        <w:rPr>
          <w:lang w:val="sl-SI"/>
        </w:rPr>
      </w:pPr>
      <w:r>
        <w:rPr>
          <w:rFonts w:eastAsia="Times New Roman"/>
          <w:lang w:val="sl-SI"/>
        </w:rPr>
        <w:t>zmerne do hude hidradenitis suppurativa pri odraslih in</w:t>
      </w:r>
    </w:p>
    <w:p w14:paraId="35E0358C" w14:textId="77777777" w:rsidR="00840AAB" w:rsidRDefault="00840AAB" w:rsidP="00840AAB">
      <w:pPr>
        <w:pStyle w:val="a3"/>
        <w:numPr>
          <w:ilvl w:val="1"/>
          <w:numId w:val="4"/>
        </w:numPr>
        <w:ind w:left="660" w:hanging="660"/>
        <w:rPr>
          <w:lang w:val="sl-SI"/>
        </w:rPr>
      </w:pPr>
      <w:r>
        <w:rPr>
          <w:rFonts w:eastAsia="Times New Roman"/>
          <w:lang w:val="sl-SI"/>
        </w:rPr>
        <w:t>zmerne do hude hidradenitis suppurativa pri mladostnikih, starih od 12 do 17 let.</w:t>
      </w:r>
    </w:p>
    <w:p w14:paraId="7572FCBF" w14:textId="77777777" w:rsidR="00840AAB" w:rsidRDefault="00840AAB" w:rsidP="00840AAB">
      <w:pPr>
        <w:spacing w:before="10" w:line="240" w:lineRule="exact"/>
        <w:rPr>
          <w:sz w:val="24"/>
          <w:szCs w:val="24"/>
          <w:lang w:val="sl-SI"/>
        </w:rPr>
      </w:pPr>
    </w:p>
    <w:p w14:paraId="575710C3" w14:textId="77777777" w:rsidR="00840AAB" w:rsidRDefault="00840AAB" w:rsidP="00840AAB">
      <w:pPr>
        <w:pStyle w:val="a3"/>
        <w:rPr>
          <w:lang w:val="sl-SI"/>
        </w:rPr>
      </w:pPr>
      <w:r>
        <w:rPr>
          <w:rFonts w:eastAsia="Times New Roman"/>
          <w:lang w:val="sl-SI"/>
        </w:rPr>
        <w:t>Zdravilo Yuflyma lahko zmanjša število vozličev in ognojkov, ki jih povzroča bolezen in bolečino, ki je pogosto povezana s to boleznijo. Najprej boste morda prejeli druga zdravila. Če se na ta zdravila ne odzovete dovolj dobro, boste prejeli zdravilo Yuflyma.</w:t>
      </w:r>
    </w:p>
    <w:p w14:paraId="422AFFE7" w14:textId="77777777" w:rsidR="00840AAB" w:rsidRDefault="00840AAB" w:rsidP="00840AAB">
      <w:pPr>
        <w:spacing w:before="18" w:line="240" w:lineRule="exact"/>
        <w:rPr>
          <w:sz w:val="24"/>
          <w:szCs w:val="24"/>
          <w:lang w:val="sl-SI"/>
        </w:rPr>
      </w:pPr>
    </w:p>
    <w:p w14:paraId="06A80C73" w14:textId="77777777" w:rsidR="00840AAB" w:rsidRDefault="00840AAB" w:rsidP="00840AAB">
      <w:pPr>
        <w:pStyle w:val="a3"/>
        <w:rPr>
          <w:b/>
          <w:lang w:val="sl-SI"/>
        </w:rPr>
      </w:pPr>
      <w:r>
        <w:rPr>
          <w:rFonts w:eastAsia="Times New Roman"/>
          <w:b/>
          <w:bCs/>
          <w:lang w:val="sl-SI"/>
        </w:rPr>
        <w:t>Crohnova bolezen</w:t>
      </w:r>
    </w:p>
    <w:p w14:paraId="77F24ED9" w14:textId="77777777" w:rsidR="00840AAB" w:rsidRDefault="00840AAB" w:rsidP="00840AAB">
      <w:pPr>
        <w:pStyle w:val="a3"/>
        <w:rPr>
          <w:u w:val="single"/>
          <w:lang w:val="sl-SI"/>
        </w:rPr>
      </w:pPr>
    </w:p>
    <w:p w14:paraId="25C7C814" w14:textId="77777777" w:rsidR="00840AAB" w:rsidRDefault="00840AAB" w:rsidP="00840AAB">
      <w:pPr>
        <w:pStyle w:val="a3"/>
        <w:rPr>
          <w:lang w:val="sl-SI"/>
        </w:rPr>
      </w:pPr>
      <w:r>
        <w:rPr>
          <w:rFonts w:eastAsia="Times New Roman"/>
          <w:lang w:val="sl-SI"/>
        </w:rPr>
        <w:t>Crohnova bolezen je vnetna bolezen prebavil. Zdravilo Yuflyma se uporablja za zdravljenje</w:t>
      </w:r>
    </w:p>
    <w:p w14:paraId="7C537ACF" w14:textId="77777777" w:rsidR="00840AAB" w:rsidRDefault="00840AAB" w:rsidP="00840AAB">
      <w:pPr>
        <w:pStyle w:val="a3"/>
        <w:numPr>
          <w:ilvl w:val="1"/>
          <w:numId w:val="4"/>
        </w:numPr>
        <w:ind w:left="660" w:hanging="660"/>
        <w:rPr>
          <w:lang w:val="sl-SI"/>
        </w:rPr>
      </w:pPr>
      <w:r>
        <w:rPr>
          <w:rFonts w:eastAsia="Times New Roman"/>
          <w:lang w:val="sl-SI"/>
        </w:rPr>
        <w:t>zmerne do hude Crohnove bolezni pri odraslih in</w:t>
      </w:r>
    </w:p>
    <w:p w14:paraId="299B4558" w14:textId="77777777" w:rsidR="00840AAB" w:rsidRDefault="00840AAB" w:rsidP="00840AAB">
      <w:pPr>
        <w:pStyle w:val="a3"/>
        <w:numPr>
          <w:ilvl w:val="1"/>
          <w:numId w:val="4"/>
        </w:numPr>
        <w:ind w:left="660" w:hanging="660"/>
        <w:rPr>
          <w:lang w:val="sl-SI"/>
        </w:rPr>
      </w:pPr>
      <w:r>
        <w:rPr>
          <w:rFonts w:eastAsia="Times New Roman"/>
          <w:lang w:val="sl-SI"/>
        </w:rPr>
        <w:t>zmerne do hude Crohnove bolezni pri otrocih in mladostnikih, starih od 6 do 17 let.</w:t>
      </w:r>
    </w:p>
    <w:p w14:paraId="44C01B68" w14:textId="77777777" w:rsidR="00840AAB" w:rsidRDefault="00840AAB" w:rsidP="00840AAB">
      <w:pPr>
        <w:spacing w:before="16" w:line="240" w:lineRule="exact"/>
        <w:rPr>
          <w:sz w:val="24"/>
          <w:szCs w:val="24"/>
          <w:lang w:val="sl-SI"/>
        </w:rPr>
      </w:pPr>
    </w:p>
    <w:p w14:paraId="18E847D7" w14:textId="77777777" w:rsidR="00840AAB" w:rsidRDefault="00840AAB" w:rsidP="00840AAB">
      <w:pPr>
        <w:pStyle w:val="a3"/>
        <w:rPr>
          <w:lang w:val="sl-SI"/>
        </w:rPr>
      </w:pPr>
      <w:r>
        <w:rPr>
          <w:rFonts w:eastAsia="Times New Roman"/>
          <w:lang w:val="sl-SI"/>
        </w:rPr>
        <w:t>Najprej boste morda prejeli druga zdravila. Če se na ta zdravila ne odzovete dovolj dobro, boste prejeli zdravilo Yuflyma.</w:t>
      </w:r>
    </w:p>
    <w:p w14:paraId="2218BB87" w14:textId="77777777" w:rsidR="00840AAB" w:rsidRDefault="00840AAB" w:rsidP="00840AAB">
      <w:pPr>
        <w:spacing w:before="15" w:line="240" w:lineRule="exact"/>
        <w:rPr>
          <w:sz w:val="24"/>
          <w:szCs w:val="24"/>
          <w:lang w:val="sl-SI"/>
        </w:rPr>
      </w:pPr>
    </w:p>
    <w:p w14:paraId="29DEFB44" w14:textId="77777777" w:rsidR="00840AAB" w:rsidRDefault="00840AAB" w:rsidP="00840AAB">
      <w:pPr>
        <w:pStyle w:val="a3"/>
        <w:rPr>
          <w:b/>
          <w:lang w:val="sl-SI"/>
        </w:rPr>
      </w:pPr>
      <w:r>
        <w:rPr>
          <w:rFonts w:eastAsia="Times New Roman"/>
          <w:b/>
          <w:bCs/>
          <w:lang w:val="sl-SI"/>
        </w:rPr>
        <w:t>Ulcerozni kolitis</w:t>
      </w:r>
    </w:p>
    <w:p w14:paraId="6A5A35A5" w14:textId="77777777" w:rsidR="00840AAB" w:rsidRDefault="00840AAB" w:rsidP="00840AAB">
      <w:pPr>
        <w:pStyle w:val="a3"/>
        <w:rPr>
          <w:b/>
          <w:lang w:val="sl-SI"/>
        </w:rPr>
      </w:pPr>
    </w:p>
    <w:p w14:paraId="21C8E1E5" w14:textId="77777777" w:rsidR="00840AAB" w:rsidRDefault="00840AAB" w:rsidP="00840AAB">
      <w:pPr>
        <w:pStyle w:val="a3"/>
        <w:rPr>
          <w:lang w:val="sl-SI"/>
        </w:rPr>
      </w:pPr>
      <w:r>
        <w:rPr>
          <w:rFonts w:eastAsia="Times New Roman"/>
          <w:lang w:val="sl-SI"/>
        </w:rPr>
        <w:t>Ulcerozni kolitis je vnetna bolezen debelega črevesa.</w:t>
      </w:r>
    </w:p>
    <w:p w14:paraId="328ED7B2" w14:textId="77777777" w:rsidR="00840AAB" w:rsidRDefault="00840AAB" w:rsidP="00840AAB">
      <w:pPr>
        <w:spacing w:before="17" w:line="240" w:lineRule="exact"/>
        <w:rPr>
          <w:sz w:val="24"/>
          <w:szCs w:val="24"/>
          <w:lang w:val="sl-SI"/>
        </w:rPr>
      </w:pPr>
    </w:p>
    <w:p w14:paraId="2CF5A8C6" w14:textId="77777777" w:rsidR="00840AAB" w:rsidRDefault="00840AAB" w:rsidP="00840AAB">
      <w:pPr>
        <w:pStyle w:val="a3"/>
        <w:rPr>
          <w:rFonts w:eastAsia="Times New Roman"/>
          <w:lang w:val="sl-SI"/>
        </w:rPr>
      </w:pPr>
      <w:r>
        <w:rPr>
          <w:rFonts w:eastAsia="Times New Roman"/>
          <w:lang w:val="sl-SI"/>
        </w:rPr>
        <w:t>Zdravilo Yuflyma se uporablja za zdravljenje:</w:t>
      </w:r>
    </w:p>
    <w:p w14:paraId="675876FD" w14:textId="2DD6E93B" w:rsidR="00840AAB" w:rsidRPr="001452D7" w:rsidRDefault="00840AAB" w:rsidP="00840AAB">
      <w:pPr>
        <w:pStyle w:val="a3"/>
        <w:numPr>
          <w:ilvl w:val="1"/>
          <w:numId w:val="4"/>
        </w:numPr>
        <w:ind w:left="660" w:hanging="660"/>
        <w:rPr>
          <w:rFonts w:eastAsia="Times New Roman"/>
          <w:lang w:val="sl-SI"/>
        </w:rPr>
      </w:pPr>
      <w:r w:rsidRPr="001452D7">
        <w:rPr>
          <w:rFonts w:eastAsia="Times New Roman"/>
          <w:lang w:val="sl-SI"/>
        </w:rPr>
        <w:t xml:space="preserve">zmernega do hudega ulceroznega kolitisa pri odraslih in </w:t>
      </w:r>
    </w:p>
    <w:p w14:paraId="47D9B78E" w14:textId="77777777" w:rsidR="00840AAB" w:rsidRPr="001452D7" w:rsidRDefault="00840AAB" w:rsidP="00840AAB">
      <w:pPr>
        <w:pStyle w:val="a3"/>
        <w:numPr>
          <w:ilvl w:val="1"/>
          <w:numId w:val="4"/>
        </w:numPr>
        <w:ind w:left="660" w:hanging="660"/>
        <w:rPr>
          <w:rFonts w:eastAsia="Times New Roman"/>
          <w:lang w:val="sl-SI"/>
        </w:rPr>
      </w:pPr>
      <w:r w:rsidRPr="001452D7">
        <w:rPr>
          <w:rFonts w:eastAsia="Times New Roman"/>
          <w:lang w:val="sl-SI"/>
        </w:rPr>
        <w:t>zmernega do hudega ulceroznega kolitisa pri otrocih in mladostnikih, starih od 6 do 17 let.</w:t>
      </w:r>
    </w:p>
    <w:p w14:paraId="06638ECB" w14:textId="77777777" w:rsidR="00840AAB" w:rsidRPr="0028193B" w:rsidRDefault="00840AAB" w:rsidP="00840AAB">
      <w:pPr>
        <w:pStyle w:val="a3"/>
        <w:rPr>
          <w:rFonts w:eastAsia="Times New Roman"/>
          <w:lang w:val="sl-SI"/>
        </w:rPr>
      </w:pPr>
    </w:p>
    <w:p w14:paraId="3469AACF" w14:textId="77777777" w:rsidR="00840AAB" w:rsidRDefault="00840AAB" w:rsidP="00840AAB">
      <w:pPr>
        <w:pStyle w:val="a3"/>
        <w:rPr>
          <w:lang w:val="sl-SI"/>
        </w:rPr>
      </w:pPr>
      <w:r>
        <w:rPr>
          <w:rFonts w:eastAsia="Times New Roman"/>
          <w:lang w:val="sl-SI"/>
        </w:rPr>
        <w:t>Najprej boste morda prejeli druga zdravila. Če se na ta zdravila ne odzovete dovolj dobro, boste prejeli zdravilo Yuflyma.</w:t>
      </w:r>
    </w:p>
    <w:p w14:paraId="54CA8F5B" w14:textId="77777777" w:rsidR="00840AAB" w:rsidRDefault="00840AAB" w:rsidP="00840AAB">
      <w:pPr>
        <w:spacing w:before="15" w:line="240" w:lineRule="exact"/>
        <w:rPr>
          <w:sz w:val="24"/>
          <w:szCs w:val="24"/>
          <w:lang w:val="sl-SI"/>
        </w:rPr>
      </w:pPr>
    </w:p>
    <w:p w14:paraId="79EA6CD3" w14:textId="77777777" w:rsidR="00840AAB" w:rsidRDefault="00840AAB" w:rsidP="00840AAB">
      <w:pPr>
        <w:pStyle w:val="a3"/>
        <w:rPr>
          <w:b/>
          <w:lang w:val="sl-SI"/>
        </w:rPr>
      </w:pPr>
      <w:r>
        <w:rPr>
          <w:rFonts w:eastAsia="Times New Roman"/>
          <w:b/>
          <w:bCs/>
          <w:lang w:val="sl-SI"/>
        </w:rPr>
        <w:lastRenderedPageBreak/>
        <w:t>Neinfekcijski uveitis</w:t>
      </w:r>
    </w:p>
    <w:p w14:paraId="315DC188" w14:textId="77777777" w:rsidR="00840AAB" w:rsidRDefault="00840AAB" w:rsidP="00840AAB">
      <w:pPr>
        <w:pStyle w:val="a3"/>
        <w:rPr>
          <w:lang w:val="sl-SI"/>
        </w:rPr>
      </w:pPr>
    </w:p>
    <w:p w14:paraId="74D64104" w14:textId="77777777" w:rsidR="00840AAB" w:rsidRDefault="00840AAB" w:rsidP="00840AAB">
      <w:pPr>
        <w:pStyle w:val="a3"/>
        <w:rPr>
          <w:lang w:val="sl-SI"/>
        </w:rPr>
      </w:pPr>
      <w:r>
        <w:rPr>
          <w:rFonts w:eastAsia="Times New Roman"/>
          <w:lang w:val="sl-SI"/>
        </w:rPr>
        <w:t>Neinfekcijski uveitis je vnetna bolezen, ki prizadene določene dele očesa. Zdravilo Yuflyma se uporablja za zdravljenje</w:t>
      </w:r>
    </w:p>
    <w:p w14:paraId="5A8922A6" w14:textId="77777777" w:rsidR="00840AAB" w:rsidRDefault="00840AAB" w:rsidP="00840AAB">
      <w:pPr>
        <w:pStyle w:val="a3"/>
        <w:numPr>
          <w:ilvl w:val="1"/>
          <w:numId w:val="4"/>
        </w:numPr>
        <w:ind w:left="660" w:hanging="660"/>
        <w:rPr>
          <w:lang w:val="sl-SI"/>
        </w:rPr>
      </w:pPr>
      <w:r>
        <w:rPr>
          <w:rFonts w:eastAsia="Times New Roman"/>
          <w:lang w:val="sl-SI"/>
        </w:rPr>
        <w:t>odraslih z neinfekcijskim uveitisom, kjer vnetje prizadene zadnji del očesa,</w:t>
      </w:r>
    </w:p>
    <w:p w14:paraId="5A031F3B" w14:textId="77777777" w:rsidR="00840AAB" w:rsidRDefault="00840AAB" w:rsidP="00840AAB">
      <w:pPr>
        <w:pStyle w:val="a3"/>
        <w:numPr>
          <w:ilvl w:val="1"/>
          <w:numId w:val="4"/>
        </w:numPr>
        <w:ind w:left="660" w:hanging="660"/>
        <w:rPr>
          <w:lang w:val="sl-SI"/>
        </w:rPr>
      </w:pPr>
      <w:r>
        <w:rPr>
          <w:rFonts w:eastAsia="Times New Roman"/>
          <w:lang w:val="sl-SI"/>
        </w:rPr>
        <w:t>otrok, starejših od 2 let, s kroničnim neinfekcijskim uveitisom, kjer vnetje prizadene sprednji del očesa.</w:t>
      </w:r>
    </w:p>
    <w:p w14:paraId="44D20DF9" w14:textId="77777777" w:rsidR="00840AAB" w:rsidRDefault="00840AAB" w:rsidP="00840AAB">
      <w:pPr>
        <w:pStyle w:val="a3"/>
        <w:rPr>
          <w:lang w:val="sl-SI"/>
        </w:rPr>
      </w:pPr>
    </w:p>
    <w:p w14:paraId="496EE6BE" w14:textId="77777777" w:rsidR="00840AAB" w:rsidRDefault="00840AAB" w:rsidP="00840AAB">
      <w:pPr>
        <w:pStyle w:val="a3"/>
        <w:rPr>
          <w:lang w:val="sl-SI"/>
        </w:rPr>
      </w:pPr>
      <w:r>
        <w:rPr>
          <w:rFonts w:eastAsia="Times New Roman"/>
          <w:lang w:val="sl-SI"/>
        </w:rPr>
        <w:t>To vnetje lahko povzroči poslabšanje vida in/ali prisotnost delcev v očesu (črnih pik ali koprenastih črt, ki se premikajo po vidnem polju). Zdravilo Yuflyma deluje tako, da zmanjša takšno vnetje.</w:t>
      </w:r>
    </w:p>
    <w:p w14:paraId="3E96E655" w14:textId="77777777" w:rsidR="00840AAB" w:rsidRDefault="00840AAB" w:rsidP="00840AAB">
      <w:pPr>
        <w:spacing w:before="10" w:line="240" w:lineRule="exact"/>
        <w:rPr>
          <w:sz w:val="24"/>
          <w:szCs w:val="24"/>
          <w:lang w:val="sl-SI"/>
        </w:rPr>
      </w:pPr>
    </w:p>
    <w:p w14:paraId="3E0F2684" w14:textId="77777777" w:rsidR="00840AAB" w:rsidRDefault="00840AAB" w:rsidP="00840AAB">
      <w:pPr>
        <w:pStyle w:val="a3"/>
        <w:rPr>
          <w:lang w:val="sl-SI"/>
        </w:rPr>
      </w:pPr>
      <w:r>
        <w:rPr>
          <w:rFonts w:eastAsia="Times New Roman"/>
          <w:lang w:val="sl-SI"/>
        </w:rPr>
        <w:t>Najprej boste morda prejeli druga zdravila. Če se na ta zdravila ne odzovete dovolj dobro, boste prejeli zdravilo Yuflyma.</w:t>
      </w:r>
    </w:p>
    <w:p w14:paraId="66457569" w14:textId="77777777" w:rsidR="00840AAB" w:rsidRDefault="00840AAB" w:rsidP="00840AAB">
      <w:pPr>
        <w:spacing w:before="18" w:line="240" w:lineRule="exact"/>
        <w:rPr>
          <w:rFonts w:ascii="Times New Roman" w:hAnsi="Times New Roman" w:cs="Times New Roman"/>
          <w:b/>
          <w:lang w:val="sl-SI"/>
        </w:rPr>
      </w:pPr>
    </w:p>
    <w:p w14:paraId="11B626B9" w14:textId="77777777" w:rsidR="00840AAB" w:rsidRDefault="00840AAB" w:rsidP="00840AAB">
      <w:pPr>
        <w:spacing w:before="18" w:line="240" w:lineRule="exact"/>
        <w:ind w:left="108"/>
        <w:rPr>
          <w:rFonts w:ascii="Times New Roman" w:hAnsi="Times New Roman" w:cs="Times New Roman"/>
          <w:b/>
          <w:lang w:val="sl-SI"/>
        </w:rPr>
      </w:pPr>
    </w:p>
    <w:p w14:paraId="13F83810" w14:textId="77777777" w:rsidR="00840AAB" w:rsidRDefault="00840AAB" w:rsidP="0030421B">
      <w:pPr>
        <w:pStyle w:val="a4"/>
        <w:numPr>
          <w:ilvl w:val="0"/>
          <w:numId w:val="127"/>
        </w:numPr>
        <w:spacing w:before="18" w:line="240" w:lineRule="exact"/>
        <w:ind w:left="357" w:hanging="357"/>
        <w:rPr>
          <w:lang w:val="sl-SI"/>
        </w:rPr>
      </w:pPr>
      <w:r>
        <w:rPr>
          <w:rFonts w:ascii="Times New Roman" w:eastAsia="Times New Roman" w:hAnsi="Times New Roman" w:cs="Times New Roman"/>
          <w:b/>
          <w:bCs/>
          <w:lang w:val="sl-SI"/>
        </w:rPr>
        <w:t>Kaj morate vedeti, preden boste uporabili zdravilo Yuflyma</w:t>
      </w:r>
    </w:p>
    <w:p w14:paraId="348B81C6" w14:textId="77777777" w:rsidR="00840AAB" w:rsidRDefault="00840AAB" w:rsidP="00840AAB">
      <w:pPr>
        <w:spacing w:before="18" w:line="240" w:lineRule="exact"/>
        <w:ind w:left="108"/>
        <w:rPr>
          <w:b/>
          <w:bCs/>
          <w:lang w:val="sl-SI"/>
        </w:rPr>
      </w:pPr>
    </w:p>
    <w:p w14:paraId="66FE591A" w14:textId="77777777" w:rsidR="00840AAB" w:rsidRDefault="00840AAB" w:rsidP="00840AAB">
      <w:pPr>
        <w:pStyle w:val="a3"/>
        <w:rPr>
          <w:b/>
          <w:lang w:val="sl-SI"/>
        </w:rPr>
      </w:pPr>
      <w:r>
        <w:rPr>
          <w:rFonts w:eastAsia="Times New Roman"/>
          <w:b/>
          <w:bCs/>
          <w:lang w:val="sl-SI"/>
        </w:rPr>
        <w:t>Ne uporabljajte zdravila Yuflyma:</w:t>
      </w:r>
    </w:p>
    <w:p w14:paraId="46AD21EC" w14:textId="77777777" w:rsidR="00840AAB" w:rsidRDefault="00840AAB" w:rsidP="00840AAB">
      <w:pPr>
        <w:pStyle w:val="a3"/>
        <w:rPr>
          <w:b/>
          <w:lang w:val="sl-SI"/>
        </w:rPr>
      </w:pPr>
    </w:p>
    <w:p w14:paraId="7AFB2EA7" w14:textId="77777777" w:rsidR="00840AAB" w:rsidRDefault="00840AAB" w:rsidP="00840AAB">
      <w:pPr>
        <w:pStyle w:val="a3"/>
        <w:numPr>
          <w:ilvl w:val="1"/>
          <w:numId w:val="4"/>
        </w:numPr>
        <w:ind w:left="660" w:hanging="660"/>
        <w:rPr>
          <w:lang w:val="sl-SI"/>
        </w:rPr>
      </w:pPr>
      <w:r>
        <w:rPr>
          <w:rFonts w:eastAsia="Times New Roman"/>
          <w:lang w:val="sl-SI"/>
        </w:rPr>
        <w:t>če ste alergični na adalimumab ali katero koli sestavino tega zdravila (navedeno v poglavju 6).</w:t>
      </w:r>
    </w:p>
    <w:p w14:paraId="1139A74B" w14:textId="77777777" w:rsidR="00840AAB" w:rsidRDefault="00840AAB" w:rsidP="00840AAB">
      <w:pPr>
        <w:pStyle w:val="a3"/>
        <w:numPr>
          <w:ilvl w:val="0"/>
          <w:numId w:val="0"/>
        </w:numPr>
        <w:ind w:left="660"/>
        <w:rPr>
          <w:lang w:val="sl-SI"/>
        </w:rPr>
      </w:pPr>
    </w:p>
    <w:p w14:paraId="6BD3AE01" w14:textId="77777777" w:rsidR="00840AAB" w:rsidRDefault="00840AAB" w:rsidP="00840AAB">
      <w:pPr>
        <w:pStyle w:val="a3"/>
        <w:numPr>
          <w:ilvl w:val="1"/>
          <w:numId w:val="4"/>
        </w:numPr>
        <w:ind w:left="660" w:hanging="660"/>
        <w:rPr>
          <w:lang w:val="sl-SI"/>
        </w:rPr>
      </w:pPr>
      <w:r>
        <w:rPr>
          <w:rFonts w:eastAsia="Times New Roman"/>
          <w:lang w:val="sl-SI"/>
        </w:rPr>
        <w:t>če imate aktivno tuberkulozo ali druge hude okužbe (glejte "Opozorila in previdnostni ukrepi"); Pomembno je, da zdravniku poveste, če imate simptome okužb, npr. zvišano telesno temperaturo, rane, občutek utrujenosti ali težave z zobmi.</w:t>
      </w:r>
    </w:p>
    <w:p w14:paraId="32C73A53" w14:textId="77777777" w:rsidR="00840AAB" w:rsidRDefault="00840AAB" w:rsidP="00840AAB">
      <w:pPr>
        <w:pStyle w:val="a3"/>
        <w:numPr>
          <w:ilvl w:val="0"/>
          <w:numId w:val="0"/>
        </w:numPr>
        <w:ind w:left="660"/>
        <w:rPr>
          <w:lang w:val="sl-SI"/>
        </w:rPr>
      </w:pPr>
    </w:p>
    <w:p w14:paraId="2015539A" w14:textId="77777777" w:rsidR="00840AAB" w:rsidRDefault="00840AAB" w:rsidP="00840AAB">
      <w:pPr>
        <w:pStyle w:val="a3"/>
        <w:numPr>
          <w:ilvl w:val="1"/>
          <w:numId w:val="4"/>
        </w:numPr>
        <w:ind w:left="660" w:hanging="660"/>
        <w:rPr>
          <w:lang w:val="sl-SI"/>
        </w:rPr>
      </w:pPr>
      <w:r>
        <w:rPr>
          <w:rFonts w:eastAsia="Times New Roman"/>
          <w:lang w:val="sl-SI"/>
        </w:rPr>
        <w:t>če imate zmerno ali hudo srčno popuščanje; Pomembno je, da zdravniku poveste, če ste imeli ali imate kakšno resno bolezen srca (glejte "Opozorila in previdnostni ukrepi").</w:t>
      </w:r>
    </w:p>
    <w:p w14:paraId="6D34FF6D" w14:textId="77777777" w:rsidR="00840AAB" w:rsidRDefault="00840AAB" w:rsidP="00840AAB">
      <w:pPr>
        <w:spacing w:before="13" w:line="240" w:lineRule="exact"/>
        <w:rPr>
          <w:sz w:val="24"/>
          <w:szCs w:val="24"/>
          <w:lang w:val="sl-SI"/>
        </w:rPr>
      </w:pPr>
    </w:p>
    <w:p w14:paraId="2537F98D" w14:textId="77777777" w:rsidR="00840AAB" w:rsidRDefault="00840AAB" w:rsidP="00840AAB">
      <w:pPr>
        <w:pStyle w:val="a3"/>
        <w:rPr>
          <w:b/>
          <w:lang w:val="sl-SI"/>
        </w:rPr>
      </w:pPr>
      <w:r>
        <w:rPr>
          <w:rFonts w:eastAsia="Times New Roman"/>
          <w:b/>
          <w:bCs/>
          <w:lang w:val="sl-SI"/>
        </w:rPr>
        <w:t>Opozorila in previdnostni ukrepi</w:t>
      </w:r>
    </w:p>
    <w:p w14:paraId="6F6D60EC" w14:textId="77777777" w:rsidR="00840AAB" w:rsidRDefault="00840AAB" w:rsidP="00840AAB">
      <w:pPr>
        <w:spacing w:before="9" w:line="240" w:lineRule="exact"/>
        <w:rPr>
          <w:sz w:val="24"/>
          <w:szCs w:val="24"/>
          <w:lang w:val="sl-SI"/>
        </w:rPr>
      </w:pPr>
    </w:p>
    <w:p w14:paraId="522C419B" w14:textId="77777777" w:rsidR="00840AAB" w:rsidRDefault="00840AAB" w:rsidP="00840AAB">
      <w:pPr>
        <w:pStyle w:val="a3"/>
        <w:rPr>
          <w:lang w:val="sl-SI"/>
        </w:rPr>
      </w:pPr>
      <w:r>
        <w:rPr>
          <w:rFonts w:eastAsia="Times New Roman"/>
          <w:lang w:val="sl-SI"/>
        </w:rPr>
        <w:t>Pred začetkom uporabe zdravila Yuflyma se posvetujte s svojim zdravnikom ali farmacevtom.</w:t>
      </w:r>
    </w:p>
    <w:p w14:paraId="06DDCB87" w14:textId="77777777" w:rsidR="00840AAB" w:rsidRDefault="00840AAB" w:rsidP="00840AAB">
      <w:pPr>
        <w:pStyle w:val="a3"/>
        <w:rPr>
          <w:lang w:val="sl-SI"/>
        </w:rPr>
      </w:pPr>
    </w:p>
    <w:p w14:paraId="05D5A2F5" w14:textId="77777777" w:rsidR="00840AAB" w:rsidRDefault="00840AAB" w:rsidP="00840AAB">
      <w:pPr>
        <w:pStyle w:val="a3"/>
        <w:rPr>
          <w:u w:val="single" w:color="000000"/>
          <w:lang w:val="sl-SI"/>
        </w:rPr>
      </w:pPr>
      <w:r>
        <w:rPr>
          <w:rFonts w:eastAsia="Times New Roman"/>
          <w:u w:val="single" w:color="000000"/>
          <w:lang w:val="sl-SI"/>
        </w:rPr>
        <w:t>Alergijske reakcije</w:t>
      </w:r>
    </w:p>
    <w:p w14:paraId="6FD94B38" w14:textId="77777777" w:rsidR="00840AAB" w:rsidRDefault="00840AAB" w:rsidP="00840AAB">
      <w:pPr>
        <w:pStyle w:val="a3"/>
        <w:rPr>
          <w:u w:val="single"/>
          <w:lang w:val="sl-SI"/>
        </w:rPr>
      </w:pPr>
    </w:p>
    <w:p w14:paraId="7E27A8B6" w14:textId="77777777" w:rsidR="00840AAB" w:rsidRDefault="00840AAB" w:rsidP="00840AAB">
      <w:pPr>
        <w:pStyle w:val="a3"/>
        <w:numPr>
          <w:ilvl w:val="1"/>
          <w:numId w:val="4"/>
        </w:numPr>
        <w:ind w:left="660" w:hanging="660"/>
        <w:rPr>
          <w:lang w:val="sl-SI"/>
        </w:rPr>
      </w:pPr>
      <w:r>
        <w:rPr>
          <w:rFonts w:eastAsia="Times New Roman"/>
          <w:lang w:val="sl-SI"/>
        </w:rPr>
        <w:t>Če doživite alergijske reakcije s simptomi, kot so tiščanje v prsih, piskajoče dihanje, omotica, otekanje ali izpuščaj, zdravila Yuflyma ne injicirajte več in se takoj posvetujte s svojim zdravnikom, saj so v redkih primerih te reakcije lahko življenje ogrožajoče.</w:t>
      </w:r>
    </w:p>
    <w:p w14:paraId="52805A9B" w14:textId="77777777" w:rsidR="00840AAB" w:rsidRDefault="00840AAB" w:rsidP="00840AAB">
      <w:pPr>
        <w:pStyle w:val="a3"/>
        <w:rPr>
          <w:b/>
          <w:lang w:val="sl-SI"/>
        </w:rPr>
      </w:pPr>
    </w:p>
    <w:p w14:paraId="2120DC54" w14:textId="77777777" w:rsidR="00840AAB" w:rsidRDefault="00840AAB" w:rsidP="00840AAB">
      <w:pPr>
        <w:pStyle w:val="a3"/>
        <w:rPr>
          <w:u w:val="single"/>
          <w:lang w:val="sl-SI"/>
        </w:rPr>
      </w:pPr>
      <w:r>
        <w:rPr>
          <w:rFonts w:eastAsia="Times New Roman"/>
          <w:u w:val="single"/>
          <w:lang w:val="sl-SI"/>
        </w:rPr>
        <w:t>Okužbe</w:t>
      </w:r>
    </w:p>
    <w:p w14:paraId="04B14B33" w14:textId="77777777" w:rsidR="00840AAB" w:rsidRDefault="00840AAB" w:rsidP="00840AAB">
      <w:pPr>
        <w:pStyle w:val="a3"/>
        <w:rPr>
          <w:b/>
          <w:lang w:val="sl-SI"/>
        </w:rPr>
      </w:pPr>
    </w:p>
    <w:p w14:paraId="209E9E59" w14:textId="28BE3921" w:rsidR="00840AAB" w:rsidRDefault="00840AAB" w:rsidP="00840AAB">
      <w:pPr>
        <w:pStyle w:val="a3"/>
        <w:numPr>
          <w:ilvl w:val="1"/>
          <w:numId w:val="4"/>
        </w:numPr>
        <w:ind w:left="660" w:hanging="660"/>
        <w:rPr>
          <w:lang w:val="sl-SI"/>
        </w:rPr>
      </w:pPr>
      <w:r>
        <w:rPr>
          <w:rFonts w:eastAsia="Times New Roman"/>
          <w:lang w:val="sl-SI"/>
        </w:rPr>
        <w:t xml:space="preserve">Če imate kakšno okužbo, vključno z dolgotrajno ali omejeno okužbo (npr. razjedo na nogi), se pred uporabo zdravila Yuflyma posvetujte s svojim zdravnikom. Če niste </w:t>
      </w:r>
      <w:r w:rsidR="006238AA" w:rsidRPr="0027578E">
        <w:rPr>
          <w:rFonts w:eastAsia="Times New Roman"/>
          <w:lang w:val="sl-SI"/>
        </w:rPr>
        <w:t>prepričani</w:t>
      </w:r>
      <w:r>
        <w:rPr>
          <w:rFonts w:eastAsia="Times New Roman"/>
          <w:lang w:val="sl-SI"/>
        </w:rPr>
        <w:t>, se posvetujte z zdravnikom.</w:t>
      </w:r>
    </w:p>
    <w:p w14:paraId="002D865E" w14:textId="77777777" w:rsidR="00840AAB" w:rsidRDefault="00840AAB" w:rsidP="00840AAB">
      <w:pPr>
        <w:pStyle w:val="a3"/>
        <w:rPr>
          <w:lang w:val="sl-SI"/>
        </w:rPr>
      </w:pPr>
    </w:p>
    <w:p w14:paraId="6D8862F1" w14:textId="77777777" w:rsidR="00840AAB" w:rsidRDefault="00840AAB" w:rsidP="00840AAB">
      <w:pPr>
        <w:pStyle w:val="a3"/>
        <w:numPr>
          <w:ilvl w:val="1"/>
          <w:numId w:val="4"/>
        </w:numPr>
        <w:ind w:left="660" w:hanging="660"/>
        <w:rPr>
          <w:lang w:val="sl-SI"/>
        </w:rPr>
      </w:pPr>
      <w:r>
        <w:rPr>
          <w:rFonts w:eastAsia="Times New Roman"/>
          <w:lang w:val="sl-SI"/>
        </w:rPr>
        <w:t>Med zdravljenjem z zdravilom Yuflyma se lahko poveča dovzetnost za okužbe. Če imate težave s pljuči, se to tveganje lahko poveča. Te okužbe so lahko resne in vključujejo:</w:t>
      </w:r>
    </w:p>
    <w:p w14:paraId="2448AA7F" w14:textId="77777777" w:rsidR="00840AAB" w:rsidRDefault="00840AAB" w:rsidP="00840AAB">
      <w:pPr>
        <w:pStyle w:val="a3"/>
        <w:numPr>
          <w:ilvl w:val="1"/>
          <w:numId w:val="4"/>
        </w:numPr>
        <w:ind w:left="660" w:firstLine="49"/>
        <w:rPr>
          <w:lang w:val="sl-SI"/>
        </w:rPr>
      </w:pPr>
      <w:r>
        <w:rPr>
          <w:rFonts w:eastAsia="Times New Roman"/>
          <w:lang w:val="sl-SI"/>
        </w:rPr>
        <w:t>tuberkulozo,</w:t>
      </w:r>
    </w:p>
    <w:p w14:paraId="12C17E11" w14:textId="77777777" w:rsidR="00840AAB" w:rsidRDefault="00840AAB" w:rsidP="00840AAB">
      <w:pPr>
        <w:pStyle w:val="a3"/>
        <w:numPr>
          <w:ilvl w:val="1"/>
          <w:numId w:val="4"/>
        </w:numPr>
        <w:ind w:left="660" w:firstLine="49"/>
        <w:rPr>
          <w:lang w:val="sl-SI"/>
        </w:rPr>
      </w:pPr>
      <w:r>
        <w:rPr>
          <w:rFonts w:eastAsia="Times New Roman"/>
          <w:lang w:val="sl-SI"/>
        </w:rPr>
        <w:t>okužbe, ki jih povzročajo virusi, glive, zajedavci ali bakterije,</w:t>
      </w:r>
    </w:p>
    <w:p w14:paraId="240E00EF" w14:textId="77777777" w:rsidR="00840AAB" w:rsidRDefault="00840AAB" w:rsidP="00840AAB">
      <w:pPr>
        <w:pStyle w:val="a3"/>
        <w:numPr>
          <w:ilvl w:val="1"/>
          <w:numId w:val="4"/>
        </w:numPr>
        <w:ind w:left="660" w:firstLine="49"/>
        <w:rPr>
          <w:lang w:val="sl-SI"/>
        </w:rPr>
      </w:pPr>
      <w:r>
        <w:rPr>
          <w:rFonts w:eastAsia="Times New Roman"/>
          <w:lang w:val="sl-SI"/>
        </w:rPr>
        <w:t>hude okužbe krvi (sepso).</w:t>
      </w:r>
    </w:p>
    <w:p w14:paraId="4846917D" w14:textId="77777777" w:rsidR="00840AAB" w:rsidRDefault="00840AAB" w:rsidP="00840AAB">
      <w:pPr>
        <w:pStyle w:val="a3"/>
        <w:rPr>
          <w:lang w:val="sl-SI"/>
        </w:rPr>
      </w:pPr>
    </w:p>
    <w:p w14:paraId="564838E2" w14:textId="77777777" w:rsidR="00840AAB" w:rsidRDefault="00840AAB" w:rsidP="00D45531">
      <w:pPr>
        <w:pStyle w:val="a3"/>
        <w:numPr>
          <w:ilvl w:val="0"/>
          <w:numId w:val="0"/>
        </w:numPr>
        <w:ind w:leftChars="300" w:left="660"/>
        <w:rPr>
          <w:lang w:val="sl-SI"/>
        </w:rPr>
      </w:pPr>
      <w:r>
        <w:rPr>
          <w:rFonts w:eastAsia="Times New Roman"/>
          <w:lang w:val="sl-SI"/>
        </w:rPr>
        <w:t>V redkih primerih so lahko te okužbe smrtno nevarne. Pomembno je, da svojega zdravnika obvestite o simptomih, kot so zvišana telesna temperatura, rane, utrujenost ali težave z zobmi. Vaš zdravnik bo morda priporočil začasno prenehanje uporabe zdravila Yuflyma.</w:t>
      </w:r>
    </w:p>
    <w:p w14:paraId="2BBB1317" w14:textId="77777777" w:rsidR="00840AAB" w:rsidRDefault="00840AAB" w:rsidP="00840AAB">
      <w:pPr>
        <w:pStyle w:val="a3"/>
        <w:rPr>
          <w:lang w:val="sl-SI"/>
        </w:rPr>
      </w:pPr>
    </w:p>
    <w:p w14:paraId="42D81CCB" w14:textId="77777777" w:rsidR="00840AAB" w:rsidRDefault="00840AAB" w:rsidP="00840AAB">
      <w:pPr>
        <w:pStyle w:val="a3"/>
        <w:numPr>
          <w:ilvl w:val="1"/>
          <w:numId w:val="4"/>
        </w:numPr>
        <w:ind w:left="660" w:hanging="660"/>
        <w:rPr>
          <w:lang w:val="sl-SI"/>
        </w:rPr>
      </w:pPr>
      <w:r>
        <w:rPr>
          <w:rFonts w:eastAsia="Times New Roman"/>
          <w:lang w:val="sl-SI"/>
        </w:rPr>
        <w:t>Zdravniku povejte, če živite na območju ali potujete v regije, kjer so glivične okužbe (npr. histoplazmoza, kokcidioidomikoza ali blastomikoza) zelo pogoste.</w:t>
      </w:r>
    </w:p>
    <w:p w14:paraId="77D55D80" w14:textId="77777777" w:rsidR="00840AAB" w:rsidRDefault="00840AAB" w:rsidP="00840AAB">
      <w:pPr>
        <w:pStyle w:val="a3"/>
        <w:rPr>
          <w:lang w:val="sl-SI"/>
        </w:rPr>
      </w:pPr>
    </w:p>
    <w:p w14:paraId="4F70FBD3" w14:textId="77777777" w:rsidR="00840AAB" w:rsidRDefault="00840AAB" w:rsidP="00840AAB">
      <w:pPr>
        <w:pStyle w:val="a3"/>
        <w:numPr>
          <w:ilvl w:val="1"/>
          <w:numId w:val="4"/>
        </w:numPr>
        <w:ind w:left="660" w:hanging="660"/>
        <w:rPr>
          <w:lang w:val="sl-SI"/>
        </w:rPr>
      </w:pPr>
      <w:r>
        <w:rPr>
          <w:rFonts w:eastAsia="Times New Roman"/>
          <w:lang w:val="sl-SI"/>
        </w:rPr>
        <w:t>Zdravniku povejte, če ste v preteklosti imeli ponavljajoče se okužbe ali druga stanja, ki zvečujejo tveganje za okužbe.</w:t>
      </w:r>
    </w:p>
    <w:p w14:paraId="3C799F1A" w14:textId="77777777" w:rsidR="00840AAB" w:rsidRDefault="00840AAB" w:rsidP="00840AAB">
      <w:pPr>
        <w:pStyle w:val="a3"/>
        <w:numPr>
          <w:ilvl w:val="0"/>
          <w:numId w:val="0"/>
        </w:numPr>
        <w:rPr>
          <w:lang w:val="sl-SI"/>
        </w:rPr>
      </w:pPr>
    </w:p>
    <w:p w14:paraId="20D96CEF" w14:textId="77777777" w:rsidR="00840AAB" w:rsidRDefault="00840AAB" w:rsidP="00840AAB">
      <w:pPr>
        <w:pStyle w:val="a3"/>
        <w:numPr>
          <w:ilvl w:val="1"/>
          <w:numId w:val="4"/>
        </w:numPr>
        <w:ind w:left="660" w:hanging="660"/>
        <w:rPr>
          <w:lang w:val="sl-SI"/>
        </w:rPr>
      </w:pPr>
      <w:r>
        <w:rPr>
          <w:rFonts w:eastAsia="Times New Roman"/>
          <w:lang w:val="sl-SI"/>
        </w:rPr>
        <w:t>Če ste starejši od 65 let, ste morda dovzetnejši za okužbe, če jemljete zdravilo Yuflyma. Med zdravljenjem z zdravilom Yuflyma morate biti vi in zdravnik še posebej pozorni na znake okužbe. Pomembno je, da svojemu zdravniku poveste, če dobite znake okužbe, kot so zvišana telesna temperatura, rane, občutek utrujenosti ali težave z zobmi.</w:t>
      </w:r>
    </w:p>
    <w:p w14:paraId="5034C10C" w14:textId="77777777" w:rsidR="00840AAB" w:rsidRDefault="00840AAB" w:rsidP="00840AAB">
      <w:pPr>
        <w:spacing w:before="11" w:line="240" w:lineRule="exact"/>
        <w:rPr>
          <w:sz w:val="24"/>
          <w:szCs w:val="24"/>
          <w:lang w:val="sl-SI"/>
        </w:rPr>
      </w:pPr>
    </w:p>
    <w:p w14:paraId="12DEDA5B" w14:textId="77777777" w:rsidR="00840AAB" w:rsidRDefault="00840AAB" w:rsidP="00840AAB">
      <w:pPr>
        <w:pStyle w:val="a3"/>
        <w:rPr>
          <w:u w:val="single"/>
          <w:lang w:val="sl-SI"/>
        </w:rPr>
      </w:pPr>
      <w:r>
        <w:rPr>
          <w:rFonts w:eastAsia="Times New Roman"/>
          <w:u w:val="single" w:color="000000"/>
          <w:lang w:val="sl-SI"/>
        </w:rPr>
        <w:t>Tuberkuloza</w:t>
      </w:r>
    </w:p>
    <w:p w14:paraId="0A6B853E" w14:textId="77777777" w:rsidR="00840AAB" w:rsidRDefault="00840AAB" w:rsidP="00840AAB">
      <w:pPr>
        <w:pStyle w:val="a3"/>
        <w:numPr>
          <w:ilvl w:val="0"/>
          <w:numId w:val="0"/>
        </w:numPr>
        <w:rPr>
          <w:lang w:val="sl-SI"/>
        </w:rPr>
      </w:pPr>
    </w:p>
    <w:p w14:paraId="59E34721" w14:textId="77777777" w:rsidR="00840AAB" w:rsidRPr="00337BB0" w:rsidRDefault="00840AAB" w:rsidP="00840AAB">
      <w:pPr>
        <w:pStyle w:val="a3"/>
        <w:numPr>
          <w:ilvl w:val="1"/>
          <w:numId w:val="4"/>
        </w:numPr>
        <w:ind w:left="426" w:hanging="340"/>
        <w:rPr>
          <w:lang w:val="sl-SI"/>
        </w:rPr>
      </w:pPr>
      <w:r>
        <w:rPr>
          <w:rFonts w:eastAsia="Times New Roman"/>
          <w:lang w:val="sl-SI"/>
        </w:rPr>
        <w:t>Zelo pomembno je, da svojemu zdravniku poveste, če ste kdaj imeli tuberkulozo ali če ste bili v tesnem stiku s kom, ki jo je imel. Če imate aktivno tuberkulozo, ne uporabljajte zdravila Yuflyma.</w:t>
      </w:r>
    </w:p>
    <w:p w14:paraId="7F2CB23F" w14:textId="77777777" w:rsidR="00840AAB" w:rsidRPr="007F4583" w:rsidRDefault="00840AAB" w:rsidP="00840AAB">
      <w:pPr>
        <w:pStyle w:val="a3"/>
        <w:numPr>
          <w:ilvl w:val="1"/>
          <w:numId w:val="4"/>
        </w:numPr>
        <w:ind w:left="998" w:hanging="340"/>
        <w:rPr>
          <w:lang w:val="sl-SI"/>
        </w:rPr>
      </w:pPr>
      <w:r w:rsidRPr="007F4583">
        <w:rPr>
          <w:rFonts w:eastAsia="Times New Roman"/>
          <w:lang w:val="sl-SI"/>
        </w:rPr>
        <w:t xml:space="preserve">Ker so bili pri bolnikih, zdravljenih z zdravilom Yuflyma opisani primeri tuberkuloze, vas bo zdravnik pred začetkom zdravljenja z zdravilom Yuflyma preiskal in preveril, ali imate znake in simptome tuberkuloze. To bo vključevalo natančno zdravniško oceno vključno s poizvedbo o vašem zdravju v preteklosti in ustrezne preiskave (npr. rentgensko slikanje prsnih organov in tuberkulinski test). Izvedbo in rezultate teh preiskav je treba zabeležiti na </w:t>
      </w:r>
      <w:r>
        <w:rPr>
          <w:rFonts w:eastAsia="Times New Roman"/>
          <w:b/>
          <w:bCs/>
          <w:lang w:val="sl-SI"/>
        </w:rPr>
        <w:t>opozorilno kartico za bolnika</w:t>
      </w:r>
      <w:r w:rsidRPr="007F4583">
        <w:rPr>
          <w:rFonts w:eastAsia="Times New Roman"/>
          <w:lang w:val="sl-SI"/>
        </w:rPr>
        <w:t>.</w:t>
      </w:r>
    </w:p>
    <w:p w14:paraId="70BF255A" w14:textId="77777777" w:rsidR="00840AAB" w:rsidRDefault="00840AAB" w:rsidP="00840AAB">
      <w:pPr>
        <w:pStyle w:val="a3"/>
        <w:numPr>
          <w:ilvl w:val="1"/>
          <w:numId w:val="4"/>
        </w:numPr>
        <w:ind w:left="998" w:hanging="340"/>
        <w:rPr>
          <w:lang w:val="sl-SI"/>
        </w:rPr>
      </w:pPr>
      <w:r>
        <w:rPr>
          <w:rFonts w:eastAsia="Times New Roman"/>
          <w:lang w:val="sl-SI"/>
        </w:rPr>
        <w:t>Tuberkuloza se lahko razvije med zdravljenjem, tudi če ste prejeli zdravljenje za tuberkulozo.</w:t>
      </w:r>
    </w:p>
    <w:p w14:paraId="7008E14F" w14:textId="77777777" w:rsidR="00840AAB" w:rsidRDefault="00840AAB" w:rsidP="00840AAB">
      <w:pPr>
        <w:pStyle w:val="a3"/>
        <w:numPr>
          <w:ilvl w:val="1"/>
          <w:numId w:val="4"/>
        </w:numPr>
        <w:ind w:left="998" w:hanging="340"/>
        <w:rPr>
          <w:lang w:val="sl-SI"/>
        </w:rPr>
      </w:pPr>
      <w:r>
        <w:rPr>
          <w:rFonts w:eastAsia="Times New Roman"/>
          <w:lang w:val="sl-SI"/>
        </w:rPr>
        <w:t>Če se med zdravljenjem ali po njem pojavijo simptomi tuberkuloze (npr. kašelj, ki ne preneha, hujšanje, pomanjkanje energije, rahlo zvišana telesna temperatura) ali kakšne druge okužbe, to takoj povejte zdravniku.</w:t>
      </w:r>
    </w:p>
    <w:p w14:paraId="1FB87808" w14:textId="77777777" w:rsidR="00840AAB" w:rsidRDefault="00840AAB" w:rsidP="00840AAB">
      <w:pPr>
        <w:spacing w:before="11" w:line="240" w:lineRule="exact"/>
        <w:rPr>
          <w:sz w:val="24"/>
          <w:szCs w:val="24"/>
          <w:lang w:val="sl-SI"/>
        </w:rPr>
      </w:pPr>
    </w:p>
    <w:p w14:paraId="02E186C7" w14:textId="77777777" w:rsidR="00840AAB" w:rsidRDefault="00840AAB" w:rsidP="00840AAB">
      <w:pPr>
        <w:pStyle w:val="a3"/>
        <w:rPr>
          <w:u w:val="single"/>
          <w:lang w:val="sl-SI"/>
        </w:rPr>
      </w:pPr>
      <w:r>
        <w:rPr>
          <w:rFonts w:eastAsia="Times New Roman"/>
          <w:u w:val="single" w:color="000000"/>
          <w:lang w:val="sl-SI"/>
        </w:rPr>
        <w:t>Hepatitis B</w:t>
      </w:r>
    </w:p>
    <w:p w14:paraId="20FC38CB" w14:textId="77777777" w:rsidR="00840AAB" w:rsidRDefault="00840AAB" w:rsidP="00840AAB">
      <w:pPr>
        <w:spacing w:before="4" w:line="190" w:lineRule="exact"/>
        <w:rPr>
          <w:sz w:val="19"/>
          <w:szCs w:val="19"/>
          <w:lang w:val="sl-SI"/>
        </w:rPr>
      </w:pPr>
    </w:p>
    <w:p w14:paraId="071B7594" w14:textId="77777777" w:rsidR="00840AAB" w:rsidRDefault="00840AAB" w:rsidP="00840AAB">
      <w:pPr>
        <w:pStyle w:val="a3"/>
        <w:numPr>
          <w:ilvl w:val="1"/>
          <w:numId w:val="4"/>
        </w:numPr>
        <w:ind w:left="660" w:hanging="660"/>
        <w:rPr>
          <w:lang w:val="sl-SI"/>
        </w:rPr>
      </w:pPr>
      <w:r>
        <w:rPr>
          <w:rFonts w:eastAsia="Times New Roman"/>
          <w:lang w:val="sl-SI"/>
        </w:rPr>
        <w:t>Zdravniku morate povedati, če ste nosilec virusa hepatitisa B (HBV), če imate aktiven HBV ali če mislite, da bi lahko dobili HBV.</w:t>
      </w:r>
    </w:p>
    <w:p w14:paraId="437A713A" w14:textId="77777777" w:rsidR="00840AAB" w:rsidRDefault="00840AAB" w:rsidP="00840AAB">
      <w:pPr>
        <w:pStyle w:val="a3"/>
        <w:numPr>
          <w:ilvl w:val="1"/>
          <w:numId w:val="4"/>
        </w:numPr>
        <w:ind w:left="998" w:hanging="340"/>
        <w:rPr>
          <w:lang w:val="sl-SI"/>
        </w:rPr>
      </w:pPr>
      <w:r>
        <w:rPr>
          <w:rFonts w:eastAsia="Times New Roman"/>
          <w:lang w:val="sl-SI"/>
        </w:rPr>
        <w:t>Vaš zdravnik vas mora testirati na HBV. Zdravilo Yuflyma lahko pri nosilcih HBV povzroči reaktivacijo tega virusa.</w:t>
      </w:r>
    </w:p>
    <w:p w14:paraId="4B569C54" w14:textId="77777777" w:rsidR="00840AAB" w:rsidRDefault="00840AAB" w:rsidP="00840AAB">
      <w:pPr>
        <w:pStyle w:val="a3"/>
        <w:numPr>
          <w:ilvl w:val="1"/>
          <w:numId w:val="4"/>
        </w:numPr>
        <w:ind w:left="998" w:hanging="340"/>
        <w:rPr>
          <w:lang w:val="sl-SI"/>
        </w:rPr>
      </w:pPr>
      <w:r>
        <w:rPr>
          <w:rFonts w:eastAsia="Times New Roman"/>
          <w:lang w:val="sl-SI"/>
        </w:rPr>
        <w:t>V redkih primerih, zlasti če jemljete druga zdravila, ki zavirajo imunski sistem, je lahko ponovna aktivacija HBV smrtno nevarna.</w:t>
      </w:r>
    </w:p>
    <w:p w14:paraId="54B82FAF" w14:textId="77777777" w:rsidR="00840AAB" w:rsidRDefault="00840AAB" w:rsidP="00840AAB">
      <w:pPr>
        <w:spacing w:before="11" w:line="240" w:lineRule="exact"/>
        <w:rPr>
          <w:sz w:val="24"/>
          <w:szCs w:val="24"/>
          <w:lang w:val="sl-SI"/>
        </w:rPr>
      </w:pPr>
    </w:p>
    <w:p w14:paraId="390A3F5D" w14:textId="77777777" w:rsidR="00840AAB" w:rsidRDefault="00840AAB" w:rsidP="00840AAB">
      <w:pPr>
        <w:pStyle w:val="a3"/>
        <w:rPr>
          <w:u w:val="single"/>
          <w:lang w:val="sl-SI"/>
        </w:rPr>
      </w:pPr>
      <w:r>
        <w:rPr>
          <w:rFonts w:eastAsia="Times New Roman"/>
          <w:u w:val="single" w:color="000000"/>
          <w:lang w:val="sl-SI"/>
        </w:rPr>
        <w:t>Kirurški poseg ali poseg na zobeh</w:t>
      </w:r>
    </w:p>
    <w:p w14:paraId="592DB71D" w14:textId="77777777" w:rsidR="00840AAB" w:rsidRDefault="00840AAB" w:rsidP="00840AAB">
      <w:pPr>
        <w:spacing w:before="4" w:line="190" w:lineRule="exact"/>
        <w:rPr>
          <w:sz w:val="19"/>
          <w:szCs w:val="19"/>
          <w:lang w:val="sl-SI"/>
        </w:rPr>
      </w:pPr>
    </w:p>
    <w:p w14:paraId="49D6B5B1" w14:textId="77777777" w:rsidR="00840AAB" w:rsidRDefault="00840AAB" w:rsidP="00840AAB">
      <w:pPr>
        <w:pStyle w:val="a3"/>
        <w:numPr>
          <w:ilvl w:val="1"/>
          <w:numId w:val="4"/>
        </w:numPr>
        <w:ind w:left="660" w:hanging="660"/>
        <w:rPr>
          <w:lang w:val="sl-SI"/>
        </w:rPr>
      </w:pPr>
      <w:r>
        <w:rPr>
          <w:rFonts w:eastAsia="Times New Roman"/>
          <w:lang w:val="sl-SI"/>
        </w:rPr>
        <w:t>Če boste imeli kirurški poseg ali poseg na zobeh, prosimo, povejte svojemu zdravniku, da jemljete zdravilo Yuflyma. Zdravnik vam bo morda priporočil začasno prekinitev zdravljenja z zdravilom Yuflyma.</w:t>
      </w:r>
    </w:p>
    <w:p w14:paraId="4D051F31" w14:textId="77777777" w:rsidR="00840AAB" w:rsidRDefault="00840AAB" w:rsidP="00840AAB">
      <w:pPr>
        <w:spacing w:before="8" w:line="240" w:lineRule="exact"/>
        <w:rPr>
          <w:sz w:val="24"/>
          <w:szCs w:val="24"/>
          <w:lang w:val="sl-SI"/>
        </w:rPr>
      </w:pPr>
    </w:p>
    <w:p w14:paraId="588A771C" w14:textId="77777777" w:rsidR="00840AAB" w:rsidRDefault="00840AAB" w:rsidP="00840AAB">
      <w:pPr>
        <w:pStyle w:val="a3"/>
        <w:rPr>
          <w:u w:val="single"/>
          <w:lang w:val="sl-SI"/>
        </w:rPr>
      </w:pPr>
      <w:r>
        <w:rPr>
          <w:rFonts w:eastAsia="Times New Roman"/>
          <w:u w:val="single" w:color="000000"/>
          <w:lang w:val="sl-SI"/>
        </w:rPr>
        <w:t>Demielinizirajoča bolezen</w:t>
      </w:r>
    </w:p>
    <w:p w14:paraId="530864FB" w14:textId="77777777" w:rsidR="00840AAB" w:rsidRDefault="00840AAB" w:rsidP="00840AAB">
      <w:pPr>
        <w:spacing w:before="4" w:line="190" w:lineRule="exact"/>
        <w:rPr>
          <w:sz w:val="19"/>
          <w:szCs w:val="19"/>
          <w:lang w:val="sl-SI"/>
        </w:rPr>
      </w:pPr>
    </w:p>
    <w:p w14:paraId="0416DC09" w14:textId="77777777" w:rsidR="00840AAB" w:rsidRDefault="00840AAB" w:rsidP="00840AAB">
      <w:pPr>
        <w:pStyle w:val="a3"/>
        <w:numPr>
          <w:ilvl w:val="1"/>
          <w:numId w:val="4"/>
        </w:numPr>
        <w:ind w:left="660" w:hanging="660"/>
        <w:rPr>
          <w:lang w:val="sl-SI"/>
        </w:rPr>
      </w:pPr>
      <w:r>
        <w:rPr>
          <w:rFonts w:eastAsia="Times New Roman"/>
          <w:lang w:val="sl-SI"/>
        </w:rPr>
        <w:t>Če imate ali pa se pri vas razvija demielinizirajoča bolezen (bolezen, ki prizadene izolacijsko plast okrog živcev, kot je multipla skleroza), bo zdravnik presodil, ali lahko dobivate oziroma tudi še nadalje dobivate zdravilo Yuflyma. Če opazite simptome, kot so spremembe vida, šibkost rok ali nog, otrplost ali mravljinčenje v katerem koli delu telesa, o tem nemudoma obvestite zdravnika.</w:t>
      </w:r>
    </w:p>
    <w:p w14:paraId="7C03F97E" w14:textId="77777777" w:rsidR="00840AAB" w:rsidRDefault="00840AAB" w:rsidP="00840AAB">
      <w:pPr>
        <w:spacing w:before="14" w:line="240" w:lineRule="exact"/>
        <w:rPr>
          <w:sz w:val="24"/>
          <w:szCs w:val="24"/>
          <w:lang w:val="sl-SI"/>
        </w:rPr>
      </w:pPr>
    </w:p>
    <w:p w14:paraId="3F8747C4" w14:textId="77777777" w:rsidR="00840AAB" w:rsidRDefault="00840AAB" w:rsidP="00840AAB">
      <w:pPr>
        <w:pStyle w:val="a3"/>
        <w:rPr>
          <w:u w:val="single"/>
          <w:lang w:val="sl-SI"/>
        </w:rPr>
      </w:pPr>
      <w:r>
        <w:rPr>
          <w:rFonts w:eastAsia="Times New Roman"/>
          <w:u w:val="single" w:color="000000"/>
          <w:lang w:val="sl-SI"/>
        </w:rPr>
        <w:t>Cepljenja</w:t>
      </w:r>
    </w:p>
    <w:p w14:paraId="43D900BF" w14:textId="77777777" w:rsidR="00840AAB" w:rsidRDefault="00840AAB" w:rsidP="00840AAB">
      <w:pPr>
        <w:spacing w:before="4" w:line="190" w:lineRule="exact"/>
        <w:rPr>
          <w:sz w:val="19"/>
          <w:szCs w:val="19"/>
          <w:lang w:val="sl-SI"/>
        </w:rPr>
      </w:pPr>
    </w:p>
    <w:p w14:paraId="76FE715B" w14:textId="77777777" w:rsidR="00840AAB" w:rsidRDefault="00840AAB" w:rsidP="00840AAB">
      <w:pPr>
        <w:pStyle w:val="a3"/>
        <w:numPr>
          <w:ilvl w:val="1"/>
          <w:numId w:val="4"/>
        </w:numPr>
        <w:ind w:left="660" w:hanging="660"/>
        <w:rPr>
          <w:lang w:val="sl-SI"/>
        </w:rPr>
      </w:pPr>
      <w:r>
        <w:rPr>
          <w:rFonts w:eastAsia="Times New Roman"/>
          <w:lang w:val="sl-SI"/>
        </w:rPr>
        <w:t>Določena cepiva lahko povzročijo okužbe, zato se jih med zdravljenjem z zdravilom Yuflyma ne sme uporabljati.</w:t>
      </w:r>
    </w:p>
    <w:p w14:paraId="1A4FA553" w14:textId="77777777" w:rsidR="00840AAB" w:rsidRDefault="00840AAB" w:rsidP="00840AAB">
      <w:pPr>
        <w:spacing w:before="11" w:line="240" w:lineRule="exact"/>
        <w:rPr>
          <w:sz w:val="24"/>
          <w:szCs w:val="24"/>
          <w:lang w:val="sl-SI"/>
        </w:rPr>
      </w:pPr>
    </w:p>
    <w:p w14:paraId="7C861EF7" w14:textId="77777777" w:rsidR="00840AAB" w:rsidRDefault="00840AAB" w:rsidP="00840AAB">
      <w:pPr>
        <w:pStyle w:val="a3"/>
        <w:numPr>
          <w:ilvl w:val="1"/>
          <w:numId w:val="4"/>
        </w:numPr>
        <w:ind w:left="998" w:hanging="340"/>
        <w:rPr>
          <w:lang w:val="sl-SI"/>
        </w:rPr>
      </w:pPr>
      <w:r>
        <w:rPr>
          <w:rFonts w:eastAsia="Times New Roman"/>
          <w:lang w:val="sl-SI"/>
        </w:rPr>
        <w:lastRenderedPageBreak/>
        <w:t>Preden opravite kakršno koli cepljenje, se posvetujte z zdravnikom.</w:t>
      </w:r>
    </w:p>
    <w:p w14:paraId="405EE450" w14:textId="77777777" w:rsidR="00840AAB" w:rsidRDefault="00840AAB" w:rsidP="00840AAB">
      <w:pPr>
        <w:pStyle w:val="a3"/>
        <w:numPr>
          <w:ilvl w:val="1"/>
          <w:numId w:val="4"/>
        </w:numPr>
        <w:ind w:left="998" w:hanging="340"/>
        <w:rPr>
          <w:lang w:val="sl-SI"/>
        </w:rPr>
      </w:pPr>
      <w:r>
        <w:rPr>
          <w:rFonts w:eastAsia="Times New Roman"/>
          <w:lang w:val="sl-SI"/>
        </w:rPr>
        <w:t>Priporočljivo je, če je le mogoče, da otroci pred začetkom zdravljenja z zdravilom Yuflyma opravijo vsa cepljenja za svojo starost.</w:t>
      </w:r>
    </w:p>
    <w:p w14:paraId="1369B133" w14:textId="77777777" w:rsidR="00840AAB" w:rsidRDefault="00840AAB" w:rsidP="00840AAB">
      <w:pPr>
        <w:pStyle w:val="a3"/>
        <w:numPr>
          <w:ilvl w:val="1"/>
          <w:numId w:val="4"/>
        </w:numPr>
        <w:ind w:left="998" w:hanging="340"/>
        <w:rPr>
          <w:lang w:val="sl-SI"/>
        </w:rPr>
      </w:pPr>
      <w:r>
        <w:rPr>
          <w:rFonts w:eastAsia="Times New Roman"/>
          <w:lang w:val="sl-SI"/>
        </w:rPr>
        <w:t>Če ste prejemali zdravilo Yuflyma med nosečnostjo, obstaja večje tveganje, da bo vaš otrok dobil takšno okužbo do približno pet mesecev po zadnjem odmerku zdravila Yuflyma, ki ste ga prejeli med nosečnostjo. Pomembno je, da o uporabi zdravila Yuflyma med nosečnostjo obvestite otrokove zdravnike in druge zdravstvene delavce, da se bodo lahko odločili, kdaj bo vaš otrok prejel katero koli cepivo.</w:t>
      </w:r>
    </w:p>
    <w:p w14:paraId="58BFA6BA" w14:textId="77777777" w:rsidR="00840AAB" w:rsidRDefault="00840AAB" w:rsidP="00840AAB">
      <w:pPr>
        <w:spacing w:before="14" w:line="240" w:lineRule="exact"/>
        <w:rPr>
          <w:sz w:val="24"/>
          <w:szCs w:val="24"/>
          <w:lang w:val="sl-SI"/>
        </w:rPr>
      </w:pPr>
    </w:p>
    <w:p w14:paraId="4B6C060F" w14:textId="77777777" w:rsidR="00840AAB" w:rsidRDefault="00840AAB" w:rsidP="00840AAB">
      <w:pPr>
        <w:pStyle w:val="a3"/>
        <w:rPr>
          <w:u w:val="single"/>
          <w:lang w:val="sl-SI"/>
        </w:rPr>
      </w:pPr>
      <w:r>
        <w:rPr>
          <w:rFonts w:eastAsia="Times New Roman"/>
          <w:u w:val="single" w:color="000000"/>
          <w:lang w:val="sl-SI"/>
        </w:rPr>
        <w:t>Srčno popuščanje</w:t>
      </w:r>
    </w:p>
    <w:p w14:paraId="0A315B26" w14:textId="77777777" w:rsidR="00840AAB" w:rsidRDefault="00840AAB" w:rsidP="00840AAB">
      <w:pPr>
        <w:spacing w:before="4" w:line="190" w:lineRule="exact"/>
        <w:rPr>
          <w:sz w:val="19"/>
          <w:szCs w:val="19"/>
          <w:lang w:val="sl-SI"/>
        </w:rPr>
      </w:pPr>
    </w:p>
    <w:p w14:paraId="22827149" w14:textId="77777777" w:rsidR="00840AAB" w:rsidRDefault="00840AAB" w:rsidP="00840AAB">
      <w:pPr>
        <w:pStyle w:val="a3"/>
        <w:numPr>
          <w:ilvl w:val="1"/>
          <w:numId w:val="4"/>
        </w:numPr>
        <w:ind w:left="660" w:hanging="660"/>
        <w:rPr>
          <w:lang w:val="sl-SI"/>
        </w:rPr>
      </w:pPr>
      <w:r>
        <w:rPr>
          <w:rFonts w:eastAsia="Times New Roman"/>
          <w:lang w:val="sl-SI"/>
        </w:rPr>
        <w:t>Če imate blago srčno popuščanje in se zdravite z zdravilom Yuflyma, mora zdravnik natančno spremljati stanje vašega srčnega popuščanja. Pomembno je, da zdravniku poveste, če ste imeli ali imate resnejše težave s srcem. Če se simptomi srčnega popuščanja (npr. težko dihanje ali otekanje nog) pojavijo na novo ali se poslabšajo, se morate takoj obrniti na svojega zdravnika. Ta bo presodil, ali lahko dobivate zdravilo Yuflyma.</w:t>
      </w:r>
    </w:p>
    <w:p w14:paraId="0140C501" w14:textId="77777777" w:rsidR="00840AAB" w:rsidRDefault="00840AAB" w:rsidP="00840AAB">
      <w:pPr>
        <w:spacing w:before="14" w:line="240" w:lineRule="exact"/>
        <w:rPr>
          <w:sz w:val="24"/>
          <w:szCs w:val="24"/>
          <w:lang w:val="sl-SI"/>
        </w:rPr>
      </w:pPr>
    </w:p>
    <w:p w14:paraId="2CD275C8" w14:textId="77777777" w:rsidR="00840AAB" w:rsidRDefault="00840AAB" w:rsidP="00840AAB">
      <w:pPr>
        <w:pStyle w:val="a3"/>
        <w:rPr>
          <w:u w:val="single"/>
          <w:lang w:val="sl-SI"/>
        </w:rPr>
      </w:pPr>
      <w:r>
        <w:rPr>
          <w:rFonts w:eastAsia="Times New Roman"/>
          <w:u w:val="single" w:color="000000"/>
          <w:lang w:val="sl-SI"/>
        </w:rPr>
        <w:t>Zvišana telesna temperatura, podplutbe, krvavitve ali bledica</w:t>
      </w:r>
    </w:p>
    <w:p w14:paraId="20FD38E6" w14:textId="77777777" w:rsidR="00840AAB" w:rsidRDefault="00840AAB" w:rsidP="00840AAB">
      <w:pPr>
        <w:spacing w:before="4" w:line="190" w:lineRule="exact"/>
        <w:rPr>
          <w:sz w:val="19"/>
          <w:szCs w:val="19"/>
          <w:lang w:val="sl-SI"/>
        </w:rPr>
      </w:pPr>
    </w:p>
    <w:p w14:paraId="2D7C9A39" w14:textId="77777777" w:rsidR="00840AAB" w:rsidRDefault="00840AAB" w:rsidP="00840AAB">
      <w:pPr>
        <w:pStyle w:val="a3"/>
        <w:numPr>
          <w:ilvl w:val="1"/>
          <w:numId w:val="4"/>
        </w:numPr>
        <w:ind w:left="660" w:hanging="660"/>
        <w:rPr>
          <w:lang w:val="sl-SI"/>
        </w:rPr>
      </w:pPr>
      <w:r>
        <w:rPr>
          <w:rFonts w:eastAsia="Times New Roman"/>
          <w:lang w:val="sl-SI"/>
        </w:rPr>
        <w:t>Pri nekaterih bolnikih telo ne ustvari dovolj krvnih celic, ki pomagajo pri premagovanju okužbe ali ustavitvi krvavitve. Vaš zdravnik se bo morda odločil, da vaše zdravljenje prekine. Če dobite zvišano telesno temperaturo, ki ne mine, če se vam pojavljajo podplutbe, zlahka zakrvavite ali ste zelo bledi, se takoj posvetujte z zdravnikom.</w:t>
      </w:r>
    </w:p>
    <w:p w14:paraId="2035438E" w14:textId="77777777" w:rsidR="00840AAB" w:rsidRDefault="00840AAB" w:rsidP="00840AAB">
      <w:pPr>
        <w:pStyle w:val="a3"/>
        <w:rPr>
          <w:u w:val="single"/>
          <w:lang w:val="sl-SI"/>
        </w:rPr>
      </w:pPr>
    </w:p>
    <w:p w14:paraId="366D5B51" w14:textId="77777777" w:rsidR="00840AAB" w:rsidRDefault="00840AAB" w:rsidP="00840AAB">
      <w:pPr>
        <w:pStyle w:val="a3"/>
        <w:rPr>
          <w:u w:val="single"/>
          <w:lang w:val="sl-SI"/>
        </w:rPr>
      </w:pPr>
      <w:r>
        <w:rPr>
          <w:rFonts w:eastAsia="Times New Roman"/>
          <w:u w:val="single"/>
          <w:lang w:val="sl-SI"/>
        </w:rPr>
        <w:t>Rak</w:t>
      </w:r>
    </w:p>
    <w:p w14:paraId="1C550184" w14:textId="77777777" w:rsidR="00840AAB" w:rsidRDefault="00840AAB" w:rsidP="00840AAB">
      <w:pPr>
        <w:pStyle w:val="a3"/>
        <w:rPr>
          <w:u w:val="single"/>
          <w:lang w:val="sl-SI"/>
        </w:rPr>
      </w:pPr>
    </w:p>
    <w:p w14:paraId="0427E0E6" w14:textId="77777777" w:rsidR="00840AAB" w:rsidRDefault="00840AAB" w:rsidP="00840AAB">
      <w:pPr>
        <w:pStyle w:val="a3"/>
        <w:numPr>
          <w:ilvl w:val="1"/>
          <w:numId w:val="4"/>
        </w:numPr>
        <w:ind w:left="660" w:hanging="660"/>
        <w:rPr>
          <w:lang w:val="sl-SI"/>
        </w:rPr>
      </w:pPr>
      <w:r>
        <w:rPr>
          <w:rFonts w:eastAsia="Times New Roman"/>
          <w:lang w:val="sl-SI"/>
        </w:rPr>
        <w:t>Med bolniki (otroci in odraslimi), ki so jemali zdravilo Yuflyma ali druge zaviralce TNF, so se pojavili zelo redki primeri določenih vrst raka.</w:t>
      </w:r>
    </w:p>
    <w:p w14:paraId="08EB9706" w14:textId="77777777" w:rsidR="00840AAB" w:rsidRDefault="00840AAB" w:rsidP="00840AAB">
      <w:pPr>
        <w:pStyle w:val="a3"/>
        <w:rPr>
          <w:lang w:val="sl-SI"/>
        </w:rPr>
      </w:pPr>
    </w:p>
    <w:p w14:paraId="510D6EE3" w14:textId="77777777" w:rsidR="00840AAB" w:rsidRDefault="00840AAB" w:rsidP="00840AAB">
      <w:pPr>
        <w:pStyle w:val="a3"/>
        <w:numPr>
          <w:ilvl w:val="1"/>
          <w:numId w:val="4"/>
        </w:numPr>
        <w:ind w:left="998" w:hanging="340"/>
        <w:rPr>
          <w:lang w:val="sl-SI"/>
        </w:rPr>
      </w:pPr>
      <w:r>
        <w:rPr>
          <w:rFonts w:eastAsia="Times New Roman"/>
          <w:lang w:val="sl-SI"/>
        </w:rPr>
        <w:t>Pri bolnikih z resnejšim revmatoidnim artritisom, ki imajo bolezen že dolgo, obstaja povečana verjetnost, da zbolijo za limfomom (rak, ki prizadene limfatični sistem) in levkemijo (rak, ki prizadene kri in kostni mozeg).</w:t>
      </w:r>
    </w:p>
    <w:p w14:paraId="0B63CCAA" w14:textId="77777777" w:rsidR="00840AAB" w:rsidRDefault="00840AAB" w:rsidP="00840AAB">
      <w:pPr>
        <w:pStyle w:val="a3"/>
        <w:numPr>
          <w:ilvl w:val="1"/>
          <w:numId w:val="4"/>
        </w:numPr>
        <w:ind w:left="998" w:hanging="340"/>
        <w:rPr>
          <w:lang w:val="sl-SI"/>
        </w:rPr>
      </w:pPr>
      <w:r>
        <w:rPr>
          <w:rFonts w:eastAsia="Times New Roman"/>
          <w:lang w:val="sl-SI"/>
        </w:rPr>
        <w:t>Če uporabljate zdravilo Yuflyma, se vam lahko poveča tveganje za pojav limfoma, levkemije ali drugih vrst raka. V redkih primerih so pri bolnikih, ki dobivajo zdravilo Yuflyma, opazili specifično in resno obliko limfoma. Nekateri od teh bolnikov so bili zdravljeni tudi z azatioprinom ali 6-merkaptopurinom.</w:t>
      </w:r>
    </w:p>
    <w:p w14:paraId="0EAF5334" w14:textId="77777777" w:rsidR="00840AAB" w:rsidRDefault="00840AAB" w:rsidP="00840AAB">
      <w:pPr>
        <w:pStyle w:val="a3"/>
        <w:numPr>
          <w:ilvl w:val="1"/>
          <w:numId w:val="4"/>
        </w:numPr>
        <w:ind w:left="998" w:hanging="340"/>
        <w:rPr>
          <w:lang w:val="sl-SI"/>
        </w:rPr>
      </w:pPr>
      <w:r>
        <w:rPr>
          <w:rFonts w:eastAsia="Times New Roman"/>
          <w:lang w:val="sl-SI"/>
        </w:rPr>
        <w:t>Povejte zdravniku, če prejemate azatioprin ali 6-merkaptopurin sočasno z zdravilom Yuflyma.</w:t>
      </w:r>
    </w:p>
    <w:p w14:paraId="7717A344" w14:textId="77777777" w:rsidR="00840AAB" w:rsidRDefault="00840AAB" w:rsidP="00840AAB">
      <w:pPr>
        <w:pStyle w:val="a3"/>
        <w:numPr>
          <w:ilvl w:val="1"/>
          <w:numId w:val="4"/>
        </w:numPr>
        <w:ind w:left="998" w:hanging="340"/>
        <w:rPr>
          <w:lang w:val="sl-SI"/>
        </w:rPr>
      </w:pPr>
      <w:r>
        <w:rPr>
          <w:rFonts w:eastAsia="Times New Roman"/>
          <w:lang w:val="sl-SI"/>
        </w:rPr>
        <w:t>Poleg tega so pri bolnikih, zdravljenih z zdravilom Yuflyma, opazili primere nemelanomskega kožnega raka.</w:t>
      </w:r>
    </w:p>
    <w:p w14:paraId="60DF5C71" w14:textId="77777777" w:rsidR="00840AAB" w:rsidRDefault="00840AAB" w:rsidP="00840AAB">
      <w:pPr>
        <w:pStyle w:val="a3"/>
        <w:numPr>
          <w:ilvl w:val="1"/>
          <w:numId w:val="4"/>
        </w:numPr>
        <w:ind w:left="998" w:hanging="340"/>
        <w:rPr>
          <w:lang w:val="sl-SI"/>
        </w:rPr>
      </w:pPr>
      <w:r>
        <w:rPr>
          <w:rFonts w:eastAsia="Times New Roman"/>
          <w:lang w:val="sl-SI"/>
        </w:rPr>
        <w:t>Če se vam med zdravljenjem ali po njem pojavijo nove spremembe na koži, ali če se vam spremeni videz obstoječih sprememb, morate to povedati zdravniku.</w:t>
      </w:r>
    </w:p>
    <w:p w14:paraId="73EA34E3" w14:textId="77777777" w:rsidR="00840AAB" w:rsidRDefault="00840AAB" w:rsidP="00840AAB">
      <w:pPr>
        <w:pStyle w:val="a3"/>
        <w:rPr>
          <w:lang w:val="sl-SI"/>
        </w:rPr>
      </w:pPr>
    </w:p>
    <w:p w14:paraId="7AFBE07F" w14:textId="77777777" w:rsidR="00840AAB" w:rsidRDefault="00840AAB" w:rsidP="00840AAB">
      <w:pPr>
        <w:pStyle w:val="a3"/>
        <w:numPr>
          <w:ilvl w:val="1"/>
          <w:numId w:val="4"/>
        </w:numPr>
        <w:ind w:left="660" w:hanging="660"/>
        <w:rPr>
          <w:lang w:val="sl-SI"/>
        </w:rPr>
      </w:pPr>
      <w:r>
        <w:rPr>
          <w:rFonts w:eastAsia="Times New Roman"/>
          <w:lang w:val="sl-SI"/>
        </w:rPr>
        <w:t>Pri bolnikih s posebno boleznijo pljuč, t.i. kronično obstruktivno pljučno boleznijo (KOPB), zdravljenih z nekim drugim zaviralcem TNF, so bili primeri rakov, ki niso bili limfomi. Če imate KOPB ali če veliko kadite, se morate z zdravnikom posvetovati, ali je zdravljenje z zaviralcem TNF za vas primerno.</w:t>
      </w:r>
    </w:p>
    <w:p w14:paraId="2BE0680A" w14:textId="77777777" w:rsidR="00840AAB" w:rsidRDefault="00840AAB" w:rsidP="00840AAB">
      <w:pPr>
        <w:spacing w:before="11" w:line="240" w:lineRule="exact"/>
        <w:rPr>
          <w:sz w:val="24"/>
          <w:szCs w:val="24"/>
          <w:lang w:val="sl-SI"/>
        </w:rPr>
      </w:pPr>
    </w:p>
    <w:p w14:paraId="5B0423DE" w14:textId="77777777" w:rsidR="00840AAB" w:rsidRDefault="00840AAB" w:rsidP="00840AAB">
      <w:pPr>
        <w:pStyle w:val="a3"/>
        <w:rPr>
          <w:u w:val="single"/>
          <w:lang w:val="sl-SI"/>
        </w:rPr>
      </w:pPr>
      <w:r>
        <w:rPr>
          <w:rFonts w:eastAsia="Times New Roman"/>
          <w:u w:val="single" w:color="000000"/>
          <w:lang w:val="sl-SI"/>
        </w:rPr>
        <w:t>Avtoimunska bolezen</w:t>
      </w:r>
    </w:p>
    <w:p w14:paraId="48E0EC7D" w14:textId="77777777" w:rsidR="00840AAB" w:rsidRDefault="00840AAB" w:rsidP="00840AAB">
      <w:pPr>
        <w:spacing w:before="4" w:line="190" w:lineRule="exact"/>
        <w:rPr>
          <w:sz w:val="19"/>
          <w:szCs w:val="19"/>
          <w:lang w:val="sl-SI"/>
        </w:rPr>
      </w:pPr>
    </w:p>
    <w:p w14:paraId="77DD6660" w14:textId="77777777" w:rsidR="00840AAB" w:rsidRDefault="00840AAB" w:rsidP="00840AAB">
      <w:pPr>
        <w:pStyle w:val="a3"/>
        <w:numPr>
          <w:ilvl w:val="1"/>
          <w:numId w:val="4"/>
        </w:numPr>
        <w:ind w:left="660" w:hanging="660"/>
        <w:rPr>
          <w:lang w:val="sl-SI"/>
        </w:rPr>
      </w:pPr>
      <w:r>
        <w:rPr>
          <w:rFonts w:eastAsia="Times New Roman"/>
          <w:lang w:val="sl-SI"/>
        </w:rPr>
        <w:t>V redkih primerih lahko zdravljenje z zdravilom Yuflyma povzroči lupusu podoben sindrom. Če se pojavijo simptomi, kot so trdovratni nepojasnjeni izpuščaji, zvišana telesna temperatura, bolečine v sklepih ali utrujenost, se posvetujte z zdravnikom.</w:t>
      </w:r>
    </w:p>
    <w:p w14:paraId="03AD7175" w14:textId="77777777" w:rsidR="00840AAB" w:rsidRDefault="00840AAB" w:rsidP="00840AAB">
      <w:pPr>
        <w:spacing w:before="15" w:line="240" w:lineRule="exact"/>
        <w:rPr>
          <w:sz w:val="24"/>
          <w:szCs w:val="24"/>
          <w:lang w:val="sl-SI"/>
        </w:rPr>
      </w:pPr>
    </w:p>
    <w:p w14:paraId="2FE63D4B" w14:textId="77777777" w:rsidR="00840AAB" w:rsidRPr="00D45531" w:rsidRDefault="00840AAB" w:rsidP="00840AAB">
      <w:pPr>
        <w:pStyle w:val="a3"/>
        <w:rPr>
          <w:rFonts w:eastAsia="Times New Roman"/>
          <w:b/>
          <w:bCs/>
          <w:lang w:val="sl-SI"/>
        </w:rPr>
      </w:pPr>
      <w:r w:rsidRPr="00D45531">
        <w:rPr>
          <w:rFonts w:eastAsia="Times New Roman"/>
          <w:b/>
          <w:bCs/>
          <w:lang w:val="sl-SI"/>
        </w:rPr>
        <w:t>Otroci in mladostniki</w:t>
      </w:r>
    </w:p>
    <w:p w14:paraId="2ECA2B08" w14:textId="77777777" w:rsidR="00840AAB" w:rsidRDefault="00840AAB" w:rsidP="00840AAB">
      <w:pPr>
        <w:spacing w:before="10" w:line="240" w:lineRule="exact"/>
        <w:rPr>
          <w:sz w:val="24"/>
          <w:szCs w:val="24"/>
          <w:lang w:val="sl-SI"/>
        </w:rPr>
      </w:pPr>
    </w:p>
    <w:p w14:paraId="1CE1A202" w14:textId="2C391BDB" w:rsidR="00840AAB" w:rsidRDefault="00840AAB" w:rsidP="00840AAB">
      <w:pPr>
        <w:pStyle w:val="a3"/>
        <w:numPr>
          <w:ilvl w:val="1"/>
          <w:numId w:val="4"/>
        </w:numPr>
        <w:ind w:left="660" w:hanging="660"/>
        <w:rPr>
          <w:lang w:val="sl-SI"/>
        </w:rPr>
      </w:pPr>
      <w:r>
        <w:rPr>
          <w:rFonts w:eastAsia="Times New Roman"/>
          <w:lang w:val="sl-SI"/>
        </w:rPr>
        <w:t>Cepljenje: če je mogoče, naj imajo otro</w:t>
      </w:r>
      <w:r w:rsidR="00C0726E">
        <w:rPr>
          <w:rFonts w:eastAsia="Times New Roman"/>
          <w:lang w:val="sl-SI"/>
        </w:rPr>
        <w:t>c</w:t>
      </w:r>
      <w:r>
        <w:rPr>
          <w:rFonts w:eastAsia="Times New Roman"/>
          <w:lang w:val="sl-SI"/>
        </w:rPr>
        <w:t>i pred začetkom uporabe zdravila Yuflyma opravljena vsa potrebna cepljenja.</w:t>
      </w:r>
    </w:p>
    <w:p w14:paraId="1710E0E0" w14:textId="77777777" w:rsidR="00840AAB" w:rsidRDefault="00840AAB" w:rsidP="00840AAB">
      <w:pPr>
        <w:pStyle w:val="a3"/>
        <w:numPr>
          <w:ilvl w:val="0"/>
          <w:numId w:val="0"/>
        </w:numPr>
        <w:rPr>
          <w:lang w:val="sl-SI"/>
        </w:rPr>
      </w:pPr>
    </w:p>
    <w:p w14:paraId="7D8FA30D" w14:textId="77777777" w:rsidR="00840AAB" w:rsidRDefault="00840AAB" w:rsidP="00840AAB">
      <w:pPr>
        <w:pStyle w:val="a3"/>
        <w:rPr>
          <w:b/>
          <w:lang w:val="sl-SI"/>
        </w:rPr>
      </w:pPr>
      <w:r>
        <w:rPr>
          <w:rFonts w:eastAsia="Times New Roman"/>
          <w:b/>
          <w:bCs/>
          <w:lang w:val="sl-SI"/>
        </w:rPr>
        <w:t>Druga zdravila in zdravilo Yuflyma</w:t>
      </w:r>
    </w:p>
    <w:p w14:paraId="0A6F13F9" w14:textId="77777777" w:rsidR="00840AAB" w:rsidRDefault="00840AAB" w:rsidP="00840AAB">
      <w:pPr>
        <w:pStyle w:val="a3"/>
        <w:rPr>
          <w:b/>
          <w:lang w:val="sl-SI"/>
        </w:rPr>
      </w:pPr>
    </w:p>
    <w:p w14:paraId="625E00CF" w14:textId="77777777" w:rsidR="00840AAB" w:rsidRDefault="00840AAB" w:rsidP="00840AAB">
      <w:pPr>
        <w:pStyle w:val="a3"/>
        <w:rPr>
          <w:lang w:val="sl-SI"/>
        </w:rPr>
      </w:pPr>
      <w:r>
        <w:rPr>
          <w:rFonts w:eastAsia="Times New Roman"/>
          <w:lang w:val="sl-SI"/>
        </w:rPr>
        <w:t>Obvestite zdravnika ali farmacevta, če jemljete, ste pred kratkim jemali ali pa boste morda začeli jemati katero koli drugo zdravilo. Zdravila Yuflyma ne smete uporabljati skupaj z zdravili, ki vsebujejo naslednje učinkovine, saj lahko povečajo tveganje za resne okužbe:</w:t>
      </w:r>
    </w:p>
    <w:p w14:paraId="23A63D9A" w14:textId="77777777" w:rsidR="00840AAB" w:rsidRDefault="00840AAB" w:rsidP="00840AAB">
      <w:pPr>
        <w:pStyle w:val="a3"/>
        <w:numPr>
          <w:ilvl w:val="1"/>
          <w:numId w:val="4"/>
        </w:numPr>
        <w:ind w:left="660" w:hanging="660"/>
        <w:rPr>
          <w:lang w:val="sl-SI"/>
        </w:rPr>
      </w:pPr>
      <w:r>
        <w:rPr>
          <w:rFonts w:eastAsia="Times New Roman"/>
          <w:lang w:val="sl-SI"/>
        </w:rPr>
        <w:t>anakinra,</w:t>
      </w:r>
    </w:p>
    <w:p w14:paraId="3B96057A" w14:textId="77777777" w:rsidR="00840AAB" w:rsidRDefault="00840AAB" w:rsidP="00840AAB">
      <w:pPr>
        <w:pStyle w:val="a3"/>
        <w:numPr>
          <w:ilvl w:val="1"/>
          <w:numId w:val="4"/>
        </w:numPr>
        <w:ind w:left="660" w:hanging="660"/>
        <w:rPr>
          <w:lang w:val="sl-SI"/>
        </w:rPr>
      </w:pPr>
      <w:r>
        <w:rPr>
          <w:rFonts w:eastAsia="Times New Roman"/>
          <w:lang w:val="sl-SI"/>
        </w:rPr>
        <w:t>abatacept.</w:t>
      </w:r>
    </w:p>
    <w:p w14:paraId="055CEC92" w14:textId="77777777" w:rsidR="00840AAB" w:rsidRDefault="00840AAB" w:rsidP="00840AAB">
      <w:pPr>
        <w:pStyle w:val="a3"/>
        <w:rPr>
          <w:lang w:val="sl-SI"/>
        </w:rPr>
      </w:pPr>
    </w:p>
    <w:p w14:paraId="58EC48F2" w14:textId="77777777" w:rsidR="00840AAB" w:rsidRDefault="00840AAB" w:rsidP="00840AAB">
      <w:pPr>
        <w:pStyle w:val="a3"/>
        <w:rPr>
          <w:lang w:val="sl-SI"/>
        </w:rPr>
      </w:pPr>
      <w:r>
        <w:rPr>
          <w:rFonts w:eastAsia="Times New Roman"/>
          <w:lang w:val="sl-SI"/>
        </w:rPr>
        <w:t>Zdravilo Yuflyma se lahko jemlje skupaj z:</w:t>
      </w:r>
    </w:p>
    <w:p w14:paraId="7BB756AF" w14:textId="77777777" w:rsidR="00840AAB" w:rsidRDefault="00840AAB" w:rsidP="00840AAB">
      <w:pPr>
        <w:pStyle w:val="a3"/>
        <w:numPr>
          <w:ilvl w:val="1"/>
          <w:numId w:val="4"/>
        </w:numPr>
        <w:ind w:left="660" w:hanging="660"/>
        <w:rPr>
          <w:lang w:val="sl-SI"/>
        </w:rPr>
      </w:pPr>
      <w:r>
        <w:rPr>
          <w:rFonts w:eastAsia="Times New Roman"/>
          <w:lang w:val="sl-SI"/>
        </w:rPr>
        <w:t>metotreksatom</w:t>
      </w:r>
    </w:p>
    <w:p w14:paraId="4385718F" w14:textId="77777777" w:rsidR="00840AAB" w:rsidRDefault="00840AAB" w:rsidP="00840AAB">
      <w:pPr>
        <w:pStyle w:val="a3"/>
        <w:numPr>
          <w:ilvl w:val="1"/>
          <w:numId w:val="4"/>
        </w:numPr>
        <w:ind w:left="660" w:hanging="660"/>
        <w:rPr>
          <w:lang w:val="sl-SI"/>
        </w:rPr>
      </w:pPr>
      <w:r>
        <w:rPr>
          <w:rFonts w:eastAsia="Times New Roman"/>
          <w:lang w:val="sl-SI"/>
        </w:rPr>
        <w:t>nekaterimi antirevmatičnimi učinkovinami, ki spreminjajo potek bolezni (na primer sulfalasazin, hidroksiklorokin, leflunomid in pripravki zlata za injiciranje)</w:t>
      </w:r>
    </w:p>
    <w:p w14:paraId="716249B2" w14:textId="77777777" w:rsidR="00840AAB" w:rsidRDefault="00840AAB" w:rsidP="00840AAB">
      <w:pPr>
        <w:pStyle w:val="a3"/>
        <w:numPr>
          <w:ilvl w:val="1"/>
          <w:numId w:val="4"/>
        </w:numPr>
        <w:ind w:left="660" w:hanging="660"/>
        <w:rPr>
          <w:lang w:val="sl-SI"/>
        </w:rPr>
      </w:pPr>
      <w:r>
        <w:rPr>
          <w:rFonts w:eastAsia="Times New Roman"/>
          <w:lang w:val="sl-SI"/>
        </w:rPr>
        <w:t>steroidi ali zdravili proti bolečinam, vključno z nesteroidnimi protivnetnimi zdravili.</w:t>
      </w:r>
    </w:p>
    <w:p w14:paraId="62B22E31" w14:textId="77777777" w:rsidR="00840AAB" w:rsidRDefault="00840AAB" w:rsidP="00840AAB">
      <w:pPr>
        <w:pStyle w:val="a3"/>
        <w:rPr>
          <w:lang w:val="sl-SI"/>
        </w:rPr>
      </w:pPr>
    </w:p>
    <w:p w14:paraId="68A309CE" w14:textId="77777777" w:rsidR="00840AAB" w:rsidRDefault="00840AAB" w:rsidP="00840AAB">
      <w:pPr>
        <w:pStyle w:val="a3"/>
        <w:rPr>
          <w:lang w:val="sl-SI"/>
        </w:rPr>
      </w:pPr>
      <w:r>
        <w:rPr>
          <w:rFonts w:eastAsia="Times New Roman"/>
          <w:lang w:val="sl-SI"/>
        </w:rPr>
        <w:t>Če imate dodatna vprašanja, se posvetujte z zdravnikom.</w:t>
      </w:r>
    </w:p>
    <w:p w14:paraId="51BC1547" w14:textId="77777777" w:rsidR="00840AAB" w:rsidRDefault="00840AAB" w:rsidP="00840AAB">
      <w:pPr>
        <w:spacing w:before="18" w:line="240" w:lineRule="exact"/>
        <w:rPr>
          <w:sz w:val="24"/>
          <w:szCs w:val="24"/>
          <w:lang w:val="sl-SI"/>
        </w:rPr>
      </w:pPr>
    </w:p>
    <w:p w14:paraId="37891EC8" w14:textId="77777777" w:rsidR="00840AAB" w:rsidRDefault="00840AAB" w:rsidP="00840AAB">
      <w:pPr>
        <w:pStyle w:val="a3"/>
        <w:rPr>
          <w:b/>
          <w:lang w:val="sl-SI"/>
        </w:rPr>
      </w:pPr>
      <w:r>
        <w:rPr>
          <w:rFonts w:eastAsia="Times New Roman"/>
          <w:b/>
          <w:bCs/>
          <w:lang w:val="sl-SI"/>
        </w:rPr>
        <w:t>Nosečnost in dojenje</w:t>
      </w:r>
    </w:p>
    <w:p w14:paraId="226EBE44" w14:textId="77777777" w:rsidR="00840AAB" w:rsidRDefault="00840AAB" w:rsidP="00840AAB">
      <w:pPr>
        <w:spacing w:before="9" w:line="260" w:lineRule="exact"/>
        <w:rPr>
          <w:sz w:val="26"/>
          <w:szCs w:val="26"/>
          <w:lang w:val="sl-SI"/>
        </w:rPr>
      </w:pPr>
    </w:p>
    <w:p w14:paraId="0D8607DB" w14:textId="77777777" w:rsidR="00840AAB" w:rsidRDefault="00840AAB" w:rsidP="00840AAB">
      <w:pPr>
        <w:pStyle w:val="a3"/>
        <w:numPr>
          <w:ilvl w:val="1"/>
          <w:numId w:val="4"/>
        </w:numPr>
        <w:ind w:left="660" w:hanging="660"/>
        <w:rPr>
          <w:lang w:val="sl-SI"/>
        </w:rPr>
      </w:pPr>
      <w:r>
        <w:rPr>
          <w:rFonts w:eastAsia="Times New Roman"/>
          <w:lang w:val="sl-SI"/>
        </w:rPr>
        <w:t>Premisliti morate o uporabi ustrezne kontracepcijske zaščite za preprečitev nosečnosti in z njo nadaljevati vsaj še 5 mesecev po zadnjem zdravljenju z zdravilom Yuflyma.</w:t>
      </w:r>
    </w:p>
    <w:p w14:paraId="69E8052B" w14:textId="77777777" w:rsidR="00840AAB" w:rsidRDefault="00840AAB" w:rsidP="00840AAB">
      <w:pPr>
        <w:pStyle w:val="a3"/>
        <w:numPr>
          <w:ilvl w:val="1"/>
          <w:numId w:val="4"/>
        </w:numPr>
        <w:ind w:left="660" w:hanging="660"/>
        <w:rPr>
          <w:lang w:val="sl-SI"/>
        </w:rPr>
      </w:pPr>
      <w:r>
        <w:rPr>
          <w:rFonts w:eastAsia="Times New Roman"/>
          <w:lang w:val="sl-SI"/>
        </w:rPr>
        <w:t>Če ste noseči, mislite, da bi lahko bili noseči ali načrtujete zanositev, se posvetujte z zdravnikom, preden uporabite to zdravilo.</w:t>
      </w:r>
    </w:p>
    <w:p w14:paraId="051B2DB3" w14:textId="77777777" w:rsidR="00840AAB" w:rsidRDefault="00840AAB" w:rsidP="00840AAB">
      <w:pPr>
        <w:pStyle w:val="a3"/>
        <w:numPr>
          <w:ilvl w:val="1"/>
          <w:numId w:val="4"/>
        </w:numPr>
        <w:ind w:left="660" w:hanging="660"/>
        <w:rPr>
          <w:lang w:val="sl-SI"/>
        </w:rPr>
      </w:pPr>
      <w:r>
        <w:rPr>
          <w:rFonts w:eastAsia="Times New Roman"/>
          <w:lang w:val="sl-SI"/>
        </w:rPr>
        <w:t>Zdravilo Yuflyma se sme med nosečnostjo uporabljati le, če je to potrebno.</w:t>
      </w:r>
    </w:p>
    <w:p w14:paraId="7EB4CECA" w14:textId="77777777" w:rsidR="00840AAB" w:rsidRDefault="00840AAB" w:rsidP="00840AAB">
      <w:pPr>
        <w:pStyle w:val="a3"/>
        <w:numPr>
          <w:ilvl w:val="1"/>
          <w:numId w:val="4"/>
        </w:numPr>
        <w:ind w:left="660" w:hanging="660"/>
        <w:rPr>
          <w:lang w:val="sl-SI"/>
        </w:rPr>
      </w:pPr>
      <w:r>
        <w:rPr>
          <w:rFonts w:eastAsia="Times New Roman"/>
          <w:lang w:val="sl-SI"/>
        </w:rPr>
        <w:t>Glede na študijo nosečnosti ni bilo povečanega tveganja za prirojene okvare, če je mati med nosečnostjo prejemala zdravilo Yuflyma, v primerjavi z materami z isto boleznijo, ki zdravila Yuflyma niso prejemale.</w:t>
      </w:r>
    </w:p>
    <w:p w14:paraId="796E265F" w14:textId="77777777" w:rsidR="00840AAB" w:rsidRDefault="00840AAB" w:rsidP="00840AAB">
      <w:pPr>
        <w:pStyle w:val="a3"/>
        <w:numPr>
          <w:ilvl w:val="1"/>
          <w:numId w:val="4"/>
        </w:numPr>
        <w:ind w:left="660" w:hanging="660"/>
        <w:rPr>
          <w:lang w:val="sl-SI"/>
        </w:rPr>
      </w:pPr>
      <w:r>
        <w:rPr>
          <w:rFonts w:eastAsia="Times New Roman"/>
          <w:lang w:val="sl-SI"/>
        </w:rPr>
        <w:t>Zdravilo Yuflyma se lahko uporablja med dojenjem.</w:t>
      </w:r>
    </w:p>
    <w:p w14:paraId="11C3089F" w14:textId="77777777" w:rsidR="00840AAB" w:rsidRDefault="00840AAB" w:rsidP="00840AAB">
      <w:pPr>
        <w:pStyle w:val="a3"/>
        <w:numPr>
          <w:ilvl w:val="1"/>
          <w:numId w:val="4"/>
        </w:numPr>
        <w:ind w:left="660" w:hanging="660"/>
        <w:rPr>
          <w:lang w:val="sl-SI"/>
        </w:rPr>
      </w:pPr>
      <w:r>
        <w:rPr>
          <w:rFonts w:eastAsia="Times New Roman"/>
          <w:lang w:val="sl-SI"/>
        </w:rPr>
        <w:t>Če med nosečnostjo prejemate zdravilo Yuflyma, je lahko tveganje za okužbo pri vašem otroku večje.</w:t>
      </w:r>
    </w:p>
    <w:p w14:paraId="022E63DA" w14:textId="77777777" w:rsidR="00840AAB" w:rsidRDefault="00840AAB" w:rsidP="00840AAB">
      <w:pPr>
        <w:pStyle w:val="a3"/>
        <w:numPr>
          <w:ilvl w:val="1"/>
          <w:numId w:val="4"/>
        </w:numPr>
        <w:ind w:left="660" w:hanging="660"/>
        <w:rPr>
          <w:lang w:val="sl-SI"/>
        </w:rPr>
      </w:pPr>
      <w:r>
        <w:rPr>
          <w:rFonts w:eastAsia="Times New Roman"/>
          <w:lang w:val="sl-SI"/>
        </w:rPr>
        <w:t>Pomembno je, da o uporabi zdravila Yuflyma med nosečnostjo obvestite otrokove zdravnike in druge zdravstvene delavce, da se bodo lahko odločili, kdaj bo vaš otrok prejel katero koli cepivo. Za več informacij o cepivih glejte poglavje "Opozorila in previdnostni ukrepi".</w:t>
      </w:r>
    </w:p>
    <w:p w14:paraId="48B95C7D" w14:textId="77777777" w:rsidR="00840AAB" w:rsidRDefault="00840AAB" w:rsidP="00840AAB">
      <w:pPr>
        <w:spacing w:before="15" w:line="240" w:lineRule="exact"/>
        <w:rPr>
          <w:b/>
          <w:sz w:val="24"/>
          <w:szCs w:val="24"/>
          <w:lang w:val="sl-SI"/>
        </w:rPr>
      </w:pPr>
    </w:p>
    <w:p w14:paraId="0A1E0D65" w14:textId="77777777" w:rsidR="00840AAB" w:rsidRDefault="00840AAB" w:rsidP="00840AAB">
      <w:pPr>
        <w:pStyle w:val="a3"/>
        <w:rPr>
          <w:b/>
          <w:lang w:val="sl-SI"/>
        </w:rPr>
      </w:pPr>
      <w:r>
        <w:rPr>
          <w:rFonts w:eastAsia="Times New Roman"/>
          <w:b/>
          <w:bCs/>
          <w:lang w:val="sl-SI"/>
        </w:rPr>
        <w:t>Vpliv na sposobnost upravljanja vozil in strojev</w:t>
      </w:r>
    </w:p>
    <w:p w14:paraId="3DF487F9" w14:textId="77777777" w:rsidR="00840AAB" w:rsidRDefault="00840AAB" w:rsidP="00840AAB">
      <w:pPr>
        <w:spacing w:before="12" w:line="240" w:lineRule="exact"/>
        <w:rPr>
          <w:sz w:val="24"/>
          <w:szCs w:val="24"/>
          <w:lang w:val="sl-SI"/>
        </w:rPr>
      </w:pPr>
    </w:p>
    <w:p w14:paraId="691142B5" w14:textId="77777777" w:rsidR="00840AAB" w:rsidRDefault="00840AAB" w:rsidP="00840AAB">
      <w:pPr>
        <w:pStyle w:val="a3"/>
        <w:rPr>
          <w:lang w:val="sl-SI"/>
        </w:rPr>
      </w:pPr>
      <w:r>
        <w:rPr>
          <w:rFonts w:eastAsia="Times New Roman"/>
          <w:lang w:val="sl-SI"/>
        </w:rPr>
        <w:t>Zdravilo Yuflyma ima lahko blag vpliv na sposobnost vožnje, kolesarjenja ali upravljanja strojev. Po jemanju zdravila Yuflyma se lahko pojavita vrtoglavica in poslabšanje vida.</w:t>
      </w:r>
    </w:p>
    <w:p w14:paraId="5638FF21" w14:textId="77777777" w:rsidR="00840AAB" w:rsidRDefault="00840AAB" w:rsidP="00840AAB">
      <w:pPr>
        <w:pStyle w:val="a3"/>
        <w:rPr>
          <w:lang w:val="sl-SI"/>
        </w:rPr>
      </w:pPr>
    </w:p>
    <w:p w14:paraId="63A08BF9" w14:textId="0ED8A331" w:rsidR="00840AAB" w:rsidRDefault="00840AAB" w:rsidP="00840AAB">
      <w:pPr>
        <w:pStyle w:val="a3"/>
        <w:rPr>
          <w:b/>
          <w:lang w:val="sl-SI"/>
        </w:rPr>
      </w:pPr>
      <w:r w:rsidRPr="00366D10">
        <w:rPr>
          <w:rFonts w:eastAsia="Times New Roman"/>
          <w:b/>
          <w:lang w:val="sl-SI"/>
        </w:rPr>
        <w:t>Zdravilo</w:t>
      </w:r>
      <w:r>
        <w:rPr>
          <w:rFonts w:eastAsia="Times New Roman"/>
          <w:lang w:val="sl-SI"/>
        </w:rPr>
        <w:t xml:space="preserve"> </w:t>
      </w:r>
      <w:r w:rsidR="00FE3CB3">
        <w:rPr>
          <w:rFonts w:hint="eastAsia"/>
          <w:b/>
          <w:lang w:val="sl-SI" w:eastAsia="ko-KR"/>
        </w:rPr>
        <w:t>Yuflyma</w:t>
      </w:r>
      <w:r w:rsidR="00FE3CB3">
        <w:rPr>
          <w:rFonts w:eastAsia="Times New Roman"/>
          <w:b/>
          <w:bCs/>
          <w:lang w:val="sl-SI"/>
        </w:rPr>
        <w:t xml:space="preserve"> </w:t>
      </w:r>
      <w:r>
        <w:rPr>
          <w:rFonts w:eastAsia="Times New Roman"/>
          <w:b/>
          <w:bCs/>
          <w:lang w:val="sl-SI"/>
        </w:rPr>
        <w:t>vsebuje natrij</w:t>
      </w:r>
    </w:p>
    <w:p w14:paraId="2126BA62" w14:textId="77777777" w:rsidR="00840AAB" w:rsidRDefault="00840AAB" w:rsidP="00840AAB">
      <w:pPr>
        <w:spacing w:before="12" w:line="240" w:lineRule="exact"/>
        <w:rPr>
          <w:sz w:val="24"/>
          <w:szCs w:val="24"/>
          <w:lang w:val="sl-SI"/>
        </w:rPr>
      </w:pPr>
    </w:p>
    <w:p w14:paraId="65C8FCCB" w14:textId="1CCEB01B" w:rsidR="00840AAB" w:rsidRDefault="00840AAB" w:rsidP="00840AAB">
      <w:pPr>
        <w:spacing w:line="200" w:lineRule="exact"/>
        <w:rPr>
          <w:sz w:val="20"/>
          <w:szCs w:val="20"/>
          <w:lang w:val="sl-SI"/>
        </w:rPr>
      </w:pPr>
      <w:r>
        <w:rPr>
          <w:rFonts w:ascii="Times New Roman" w:eastAsia="Times New Roman" w:hAnsi="Times New Roman" w:cs="Times New Roman"/>
          <w:lang w:val="sl-SI"/>
        </w:rPr>
        <w:t>To zdravilo vsebuje manj kot 1 mmol natrija (23</w:t>
      </w:r>
      <w:r>
        <w:rPr>
          <w:rFonts w:ascii="Calibri" w:eastAsia="Calibri" w:hAnsi="Calibri" w:cs="Calibri"/>
          <w:lang w:val="sl-SI"/>
        </w:rPr>
        <w:t> </w:t>
      </w:r>
      <w:r>
        <w:rPr>
          <w:rFonts w:ascii="Times New Roman" w:eastAsia="Times New Roman" w:hAnsi="Times New Roman" w:cs="Times New Roman"/>
          <w:lang w:val="sl-SI"/>
        </w:rPr>
        <w:t>mg) na odmerek 0,</w:t>
      </w:r>
      <w:r w:rsidR="00965F06">
        <w:rPr>
          <w:rFonts w:ascii="Times New Roman" w:eastAsia="Times New Roman" w:hAnsi="Times New Roman" w:cs="Times New Roman"/>
          <w:lang w:val="sl-SI"/>
        </w:rPr>
        <w:t>8</w:t>
      </w:r>
      <w:r>
        <w:rPr>
          <w:rFonts w:ascii="Calibri" w:eastAsia="Calibri" w:hAnsi="Calibri" w:cs="Calibri"/>
          <w:lang w:val="sl-SI"/>
        </w:rPr>
        <w:t> </w:t>
      </w:r>
      <w:r>
        <w:rPr>
          <w:rFonts w:ascii="Times New Roman" w:eastAsia="Times New Roman" w:hAnsi="Times New Roman" w:cs="Times New Roman"/>
          <w:lang w:val="sl-SI"/>
        </w:rPr>
        <w:t>ml, kar v bistvu pomeni ‛brez natrija’.</w:t>
      </w:r>
    </w:p>
    <w:p w14:paraId="6A96E49D" w14:textId="77777777" w:rsidR="00840AAB" w:rsidRDefault="00840AAB" w:rsidP="00840AAB">
      <w:pPr>
        <w:spacing w:line="200" w:lineRule="exact"/>
        <w:rPr>
          <w:sz w:val="20"/>
          <w:szCs w:val="20"/>
          <w:lang w:val="sl-SI"/>
        </w:rPr>
      </w:pPr>
    </w:p>
    <w:p w14:paraId="39CD5851" w14:textId="77777777" w:rsidR="00840AAB" w:rsidRDefault="00840AAB" w:rsidP="00840AAB">
      <w:pPr>
        <w:spacing w:line="200" w:lineRule="exact"/>
        <w:rPr>
          <w:sz w:val="20"/>
          <w:szCs w:val="20"/>
          <w:lang w:val="sl-SI"/>
        </w:rPr>
      </w:pPr>
    </w:p>
    <w:p w14:paraId="15C1E9E1" w14:textId="77777777" w:rsidR="00840AAB" w:rsidRDefault="00840AAB" w:rsidP="0030421B">
      <w:pPr>
        <w:pStyle w:val="a4"/>
        <w:numPr>
          <w:ilvl w:val="0"/>
          <w:numId w:val="127"/>
        </w:numPr>
        <w:spacing w:before="18" w:line="240" w:lineRule="exact"/>
        <w:ind w:left="357" w:hanging="357"/>
        <w:rPr>
          <w:rFonts w:ascii="Times New Roman" w:hAnsi="Times New Roman" w:cs="Times New Roman"/>
          <w:b/>
          <w:lang w:val="sl-SI"/>
        </w:rPr>
      </w:pPr>
      <w:r>
        <w:rPr>
          <w:rFonts w:ascii="Times New Roman" w:eastAsia="Times New Roman" w:hAnsi="Times New Roman" w:cs="Times New Roman"/>
          <w:b/>
          <w:bCs/>
          <w:lang w:val="sl-SI"/>
        </w:rPr>
        <w:t>Kako uporabljati zdravilo Yuflyma</w:t>
      </w:r>
    </w:p>
    <w:p w14:paraId="4B361708" w14:textId="77777777" w:rsidR="00840AAB" w:rsidRDefault="00840AAB" w:rsidP="00840AAB">
      <w:pPr>
        <w:spacing w:before="9" w:line="240" w:lineRule="exact"/>
        <w:rPr>
          <w:sz w:val="24"/>
          <w:szCs w:val="24"/>
          <w:lang w:val="sl-SI"/>
        </w:rPr>
      </w:pPr>
    </w:p>
    <w:p w14:paraId="751E73E1" w14:textId="77777777" w:rsidR="00840AAB" w:rsidRDefault="00840AAB" w:rsidP="00840AAB">
      <w:pPr>
        <w:pStyle w:val="a3"/>
        <w:rPr>
          <w:lang w:val="sl-SI"/>
        </w:rPr>
      </w:pPr>
      <w:r>
        <w:rPr>
          <w:rFonts w:eastAsia="Times New Roman"/>
          <w:lang w:val="sl-SI"/>
        </w:rPr>
        <w:t>Pri uporabi tega zdravila natančno upoštevajte navodila zdravnika ali farmacevta. Če ste negotovi, se posvetujte z zdravnikom ali farmacevtom.</w:t>
      </w:r>
    </w:p>
    <w:p w14:paraId="2C50871C" w14:textId="77777777" w:rsidR="00840AAB" w:rsidRDefault="00840AAB" w:rsidP="00840AAB">
      <w:pPr>
        <w:spacing w:before="10" w:line="240" w:lineRule="exact"/>
        <w:rPr>
          <w:sz w:val="24"/>
          <w:szCs w:val="24"/>
          <w:lang w:val="sl-SI"/>
        </w:rPr>
      </w:pPr>
    </w:p>
    <w:p w14:paraId="7D82D672" w14:textId="77777777" w:rsidR="00BE3BDD" w:rsidRPr="00BE3BDD" w:rsidRDefault="00BE3BDD" w:rsidP="00BE3BDD">
      <w:pPr>
        <w:rPr>
          <w:rFonts w:ascii="Times New Roman" w:hAnsi="Times New Roman" w:cs="Times New Roman"/>
          <w:lang w:val="sl-SI"/>
        </w:rPr>
      </w:pPr>
      <w:r w:rsidRPr="00BE3BDD">
        <w:rPr>
          <w:rFonts w:ascii="Times New Roman" w:hAnsi="Times New Roman" w:cs="Times New Roman"/>
          <w:lang w:val="sl-SI"/>
        </w:rPr>
        <w:t xml:space="preserve">Priporočeni odmerki zdravila </w:t>
      </w:r>
      <w:r>
        <w:rPr>
          <w:rFonts w:ascii="Times New Roman" w:hAnsi="Times New Roman" w:cs="Times New Roman" w:hint="eastAsia"/>
          <w:lang w:val="sl-SI" w:eastAsia="ko-KR"/>
        </w:rPr>
        <w:t>Y</w:t>
      </w:r>
      <w:r>
        <w:rPr>
          <w:rFonts w:ascii="Times New Roman" w:hAnsi="Times New Roman" w:cs="Times New Roman"/>
          <w:lang w:val="sl-SI" w:eastAsia="ko-KR"/>
        </w:rPr>
        <w:t>uflyma</w:t>
      </w:r>
      <w:r w:rsidRPr="00BE3BDD">
        <w:rPr>
          <w:rFonts w:ascii="Times New Roman" w:hAnsi="Times New Roman" w:cs="Times New Roman"/>
          <w:lang w:val="sl-SI"/>
        </w:rPr>
        <w:t xml:space="preserve"> za vsako odobreno uporabo so prikazani v naslednji tabeli.</w:t>
      </w:r>
    </w:p>
    <w:p w14:paraId="285C0721" w14:textId="6AB68FB0" w:rsidR="00840AAB" w:rsidRDefault="00BE3BDD" w:rsidP="00BE3BDD">
      <w:pPr>
        <w:pStyle w:val="a3"/>
        <w:rPr>
          <w:lang w:val="sl-SI"/>
        </w:rPr>
      </w:pPr>
      <w:r w:rsidRPr="00BE3BDD">
        <w:rPr>
          <w:lang w:val="sl-SI"/>
        </w:rPr>
        <w:t xml:space="preserve">Zdravnik vam lahko predpiše drugo jakost zdravila </w:t>
      </w:r>
      <w:r>
        <w:rPr>
          <w:rFonts w:hint="eastAsia"/>
          <w:lang w:val="sl-SI" w:eastAsia="ko-KR"/>
        </w:rPr>
        <w:t>Y</w:t>
      </w:r>
      <w:r>
        <w:rPr>
          <w:lang w:val="sl-SI" w:eastAsia="ko-KR"/>
        </w:rPr>
        <w:t>uflyma</w:t>
      </w:r>
      <w:r w:rsidRPr="00BE3BDD">
        <w:rPr>
          <w:lang w:val="sl-SI"/>
        </w:rPr>
        <w:t>, če boste potrebovali drugačen odmerek.</w:t>
      </w:r>
    </w:p>
    <w:p w14:paraId="6D8A3B2D" w14:textId="2572F2F2" w:rsidR="00840AAB" w:rsidRDefault="00840AAB" w:rsidP="00840AAB">
      <w:pPr>
        <w:rPr>
          <w:rFonts w:ascii="Times New Roman" w:hAnsi="Times New Roman" w:cs="Times New Roman"/>
          <w:lang w:val="sl-SI"/>
        </w:rPr>
      </w:pPr>
    </w:p>
    <w:p w14:paraId="6B0D2468" w14:textId="77777777" w:rsidR="00840AAB" w:rsidRDefault="00840AAB" w:rsidP="00840AAB">
      <w:pPr>
        <w:spacing w:before="7" w:line="90" w:lineRule="exact"/>
        <w:rPr>
          <w:sz w:val="9"/>
          <w:szCs w:val="9"/>
          <w:lang w:val="sl-SI"/>
        </w:rPr>
      </w:pPr>
    </w:p>
    <w:tbl>
      <w:tblPr>
        <w:tblStyle w:val="TableNormal1"/>
        <w:tblW w:w="0" w:type="auto"/>
        <w:tblInd w:w="98" w:type="dxa"/>
        <w:tblLayout w:type="fixed"/>
        <w:tblLook w:val="01E0" w:firstRow="1" w:lastRow="1" w:firstColumn="1" w:lastColumn="1" w:noHBand="0" w:noVBand="0"/>
      </w:tblPr>
      <w:tblGrid>
        <w:gridCol w:w="2731"/>
        <w:gridCol w:w="3261"/>
        <w:gridCol w:w="3296"/>
      </w:tblGrid>
      <w:tr w:rsidR="00840AAB" w14:paraId="3C275874" w14:textId="77777777" w:rsidTr="00646E14">
        <w:trPr>
          <w:trHeight w:val="20"/>
        </w:trPr>
        <w:tc>
          <w:tcPr>
            <w:tcW w:w="9288" w:type="dxa"/>
            <w:gridSpan w:val="3"/>
            <w:tcBorders>
              <w:top w:val="single" w:sz="5" w:space="0" w:color="000000"/>
              <w:left w:val="single" w:sz="5" w:space="0" w:color="000000"/>
              <w:bottom w:val="single" w:sz="5" w:space="0" w:color="000000"/>
              <w:right w:val="single" w:sz="5" w:space="0" w:color="000000"/>
            </w:tcBorders>
          </w:tcPr>
          <w:p w14:paraId="4D75D2DD" w14:textId="6CA666E1" w:rsidR="00840AAB" w:rsidRDefault="00840AAB" w:rsidP="0030421B">
            <w:pPr>
              <w:pStyle w:val="TableParagraph"/>
              <w:spacing w:line="251"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Revmatoidni artritis</w:t>
            </w:r>
          </w:p>
        </w:tc>
      </w:tr>
      <w:tr w:rsidR="00840AAB" w14:paraId="3B0D8EC0" w14:textId="77777777" w:rsidTr="002B7ECD">
        <w:trPr>
          <w:trHeight w:val="20"/>
        </w:trPr>
        <w:tc>
          <w:tcPr>
            <w:tcW w:w="2731" w:type="dxa"/>
            <w:tcBorders>
              <w:top w:val="single" w:sz="5" w:space="0" w:color="000000"/>
              <w:left w:val="single" w:sz="5" w:space="0" w:color="000000"/>
              <w:bottom w:val="single" w:sz="5" w:space="0" w:color="000000"/>
              <w:right w:val="single" w:sz="5" w:space="0" w:color="000000"/>
            </w:tcBorders>
          </w:tcPr>
          <w:p w14:paraId="4C7930C2"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261" w:type="dxa"/>
            <w:tcBorders>
              <w:top w:val="single" w:sz="5" w:space="0" w:color="000000"/>
              <w:left w:val="single" w:sz="5" w:space="0" w:color="000000"/>
              <w:bottom w:val="single" w:sz="5" w:space="0" w:color="000000"/>
              <w:right w:val="single" w:sz="5" w:space="0" w:color="000000"/>
            </w:tcBorders>
          </w:tcPr>
          <w:p w14:paraId="60505B6A"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05CFE2A7" w14:textId="77777777" w:rsidR="00840AAB" w:rsidRDefault="00840AAB" w:rsidP="00646E14">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296" w:type="dxa"/>
            <w:tcBorders>
              <w:top w:val="single" w:sz="5" w:space="0" w:color="000000"/>
              <w:left w:val="single" w:sz="5" w:space="0" w:color="000000"/>
              <w:bottom w:val="single" w:sz="5" w:space="0" w:color="000000"/>
              <w:right w:val="single" w:sz="5" w:space="0" w:color="000000"/>
            </w:tcBorders>
          </w:tcPr>
          <w:p w14:paraId="1336DEC9"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840AAB" w:rsidRPr="00652F18" w14:paraId="695F5469" w14:textId="77777777" w:rsidTr="002B7ECD">
        <w:trPr>
          <w:trHeight w:val="20"/>
        </w:trPr>
        <w:tc>
          <w:tcPr>
            <w:tcW w:w="2731" w:type="dxa"/>
            <w:tcBorders>
              <w:top w:val="single" w:sz="5" w:space="0" w:color="000000"/>
              <w:left w:val="single" w:sz="5" w:space="0" w:color="000000"/>
              <w:bottom w:val="single" w:sz="5" w:space="0" w:color="000000"/>
              <w:right w:val="single" w:sz="5" w:space="0" w:color="000000"/>
            </w:tcBorders>
          </w:tcPr>
          <w:p w14:paraId="122A2B67" w14:textId="7777777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Odrasli</w:t>
            </w:r>
          </w:p>
        </w:tc>
        <w:tc>
          <w:tcPr>
            <w:tcW w:w="3261" w:type="dxa"/>
            <w:tcBorders>
              <w:top w:val="single" w:sz="5" w:space="0" w:color="000000"/>
              <w:left w:val="single" w:sz="5" w:space="0" w:color="000000"/>
              <w:bottom w:val="single" w:sz="5" w:space="0" w:color="000000"/>
              <w:right w:val="single" w:sz="5" w:space="0" w:color="000000"/>
            </w:tcBorders>
          </w:tcPr>
          <w:p w14:paraId="76CFC51D" w14:textId="7777777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40 mg vsak drugi teden</w:t>
            </w:r>
          </w:p>
        </w:tc>
        <w:tc>
          <w:tcPr>
            <w:tcW w:w="3296" w:type="dxa"/>
            <w:tcBorders>
              <w:top w:val="single" w:sz="5" w:space="0" w:color="000000"/>
              <w:left w:val="single" w:sz="5" w:space="0" w:color="000000"/>
              <w:bottom w:val="single" w:sz="5" w:space="0" w:color="000000"/>
              <w:right w:val="single" w:sz="5" w:space="0" w:color="000000"/>
            </w:tcBorders>
          </w:tcPr>
          <w:p w14:paraId="1BC9DA4E" w14:textId="25EE692B"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Pri revmatoidnem artritisu se uporaba metotreksata med uporabo zdravila Yuflyma nadaljuje. Če vaš zdravnik ugotovi, da metotreksat ni primeren, lahko </w:t>
            </w:r>
            <w:r w:rsidR="0042635D" w:rsidRPr="0042635D">
              <w:rPr>
                <w:rFonts w:ascii="Times New Roman" w:eastAsia="Times New Roman" w:hAnsi="Times New Roman" w:cs="Times New Roman"/>
                <w:spacing w:val="-1"/>
                <w:lang w:val="sl-SI"/>
              </w:rPr>
              <w:t xml:space="preserve">dobivate samo </w:t>
            </w:r>
            <w:r>
              <w:rPr>
                <w:rFonts w:ascii="Times New Roman" w:eastAsia="Times New Roman" w:hAnsi="Times New Roman" w:cs="Times New Roman"/>
                <w:spacing w:val="-1"/>
                <w:lang w:val="sl-SI"/>
              </w:rPr>
              <w:t>zdravilo Yuflyma.</w:t>
            </w:r>
          </w:p>
          <w:p w14:paraId="29C8A40D" w14:textId="77777777" w:rsidR="00840AAB" w:rsidRDefault="00840AAB" w:rsidP="00646E14">
            <w:pPr>
              <w:pStyle w:val="TableParagraph"/>
              <w:spacing w:before="13" w:line="240" w:lineRule="exact"/>
              <w:rPr>
                <w:sz w:val="24"/>
                <w:szCs w:val="24"/>
                <w:lang w:val="sl-SI"/>
              </w:rPr>
            </w:pPr>
          </w:p>
          <w:p w14:paraId="114A45AA" w14:textId="77777777" w:rsidR="00840AAB" w:rsidRDefault="00840AAB" w:rsidP="00646E14">
            <w:pPr>
              <w:pStyle w:val="TableParagraph"/>
              <w:ind w:left="102" w:right="127"/>
              <w:rPr>
                <w:rFonts w:ascii="Times New Roman" w:eastAsia="Times New Roman" w:hAnsi="Times New Roman" w:cs="Times New Roman"/>
                <w:lang w:val="sl-SI"/>
              </w:rPr>
            </w:pPr>
            <w:r>
              <w:rPr>
                <w:rFonts w:ascii="Times New Roman" w:eastAsia="Times New Roman" w:hAnsi="Times New Roman" w:cs="Times New Roman"/>
                <w:spacing w:val="-1"/>
                <w:lang w:val="sl-SI"/>
              </w:rPr>
              <w:t>Če imate revmatoidni artritis in hkrati z zdravilom Yuflyma ne dobivate metotreksata, vam bo zdravnik morda predpisal zdravilo Yuflyma 40 mg vsak teden ali 80 mg vsak drugi teden.</w:t>
            </w:r>
          </w:p>
        </w:tc>
      </w:tr>
    </w:tbl>
    <w:p w14:paraId="07699F85" w14:textId="77777777" w:rsidR="00840AAB" w:rsidRDefault="00840AAB" w:rsidP="00840AAB">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2731"/>
        <w:gridCol w:w="3261"/>
        <w:gridCol w:w="3296"/>
      </w:tblGrid>
      <w:tr w:rsidR="00840AAB" w14:paraId="39DB0153" w14:textId="77777777" w:rsidTr="00646E14">
        <w:tc>
          <w:tcPr>
            <w:tcW w:w="9288" w:type="dxa"/>
            <w:gridSpan w:val="3"/>
            <w:tcBorders>
              <w:top w:val="single" w:sz="5" w:space="0" w:color="000000"/>
              <w:left w:val="single" w:sz="5" w:space="0" w:color="000000"/>
              <w:bottom w:val="single" w:sz="5" w:space="0" w:color="000000"/>
              <w:right w:val="single" w:sz="5" w:space="0" w:color="000000"/>
            </w:tcBorders>
          </w:tcPr>
          <w:p w14:paraId="7A195B93" w14:textId="77777777" w:rsidR="00840AAB" w:rsidRDefault="00840AAB" w:rsidP="00646E14">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Luskavica (psoriaza) v plakih</w:t>
            </w:r>
          </w:p>
        </w:tc>
      </w:tr>
      <w:tr w:rsidR="00840AAB" w14:paraId="3F525471" w14:textId="77777777" w:rsidTr="00CE0F3E">
        <w:trPr>
          <w:trHeight w:val="663"/>
        </w:trPr>
        <w:tc>
          <w:tcPr>
            <w:tcW w:w="2731" w:type="dxa"/>
            <w:tcBorders>
              <w:top w:val="single" w:sz="5" w:space="0" w:color="000000"/>
              <w:left w:val="single" w:sz="5" w:space="0" w:color="000000"/>
              <w:bottom w:val="single" w:sz="5" w:space="0" w:color="000000"/>
              <w:right w:val="single" w:sz="5" w:space="0" w:color="000000"/>
            </w:tcBorders>
          </w:tcPr>
          <w:p w14:paraId="21CEAEC9"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261" w:type="dxa"/>
            <w:tcBorders>
              <w:top w:val="single" w:sz="5" w:space="0" w:color="000000"/>
              <w:left w:val="single" w:sz="5" w:space="0" w:color="000000"/>
              <w:bottom w:val="single" w:sz="5" w:space="0" w:color="000000"/>
              <w:right w:val="single" w:sz="5" w:space="0" w:color="000000"/>
            </w:tcBorders>
          </w:tcPr>
          <w:p w14:paraId="11142280"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4C7C34EF" w14:textId="77777777" w:rsidR="00840AAB" w:rsidRDefault="00840AAB" w:rsidP="00646E14">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296" w:type="dxa"/>
            <w:tcBorders>
              <w:top w:val="single" w:sz="5" w:space="0" w:color="000000"/>
              <w:left w:val="single" w:sz="5" w:space="0" w:color="000000"/>
              <w:bottom w:val="single" w:sz="5" w:space="0" w:color="000000"/>
              <w:right w:val="single" w:sz="5" w:space="0" w:color="000000"/>
            </w:tcBorders>
          </w:tcPr>
          <w:p w14:paraId="540783A6"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840AAB" w:rsidRPr="00652F18" w14:paraId="43F37524" w14:textId="77777777" w:rsidTr="00CE0F3E">
        <w:trPr>
          <w:trHeight w:val="1421"/>
        </w:trPr>
        <w:tc>
          <w:tcPr>
            <w:tcW w:w="2731" w:type="dxa"/>
            <w:tcBorders>
              <w:top w:val="single" w:sz="5" w:space="0" w:color="000000"/>
              <w:left w:val="single" w:sz="5" w:space="0" w:color="000000"/>
              <w:bottom w:val="single" w:sz="5" w:space="0" w:color="000000"/>
              <w:right w:val="single" w:sz="5" w:space="0" w:color="000000"/>
            </w:tcBorders>
          </w:tcPr>
          <w:p w14:paraId="547E446C" w14:textId="7777777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Odrasli</w:t>
            </w:r>
          </w:p>
        </w:tc>
        <w:tc>
          <w:tcPr>
            <w:tcW w:w="3261" w:type="dxa"/>
            <w:tcBorders>
              <w:top w:val="single" w:sz="5" w:space="0" w:color="000000"/>
              <w:left w:val="single" w:sz="5" w:space="0" w:color="000000"/>
              <w:bottom w:val="single" w:sz="5" w:space="0" w:color="000000"/>
              <w:right w:val="single" w:sz="5" w:space="0" w:color="000000"/>
            </w:tcBorders>
          </w:tcPr>
          <w:p w14:paraId="0B13C71E" w14:textId="0F5DDAF1" w:rsidR="00840AAB" w:rsidRDefault="00840AAB" w:rsidP="00646E14">
            <w:pPr>
              <w:pStyle w:val="TableParagraph"/>
              <w:spacing w:before="1" w:line="239" w:lineRule="auto"/>
              <w:ind w:left="102" w:right="51"/>
              <w:rPr>
                <w:rFonts w:ascii="Times New Roman" w:eastAsia="Times New Roman" w:hAnsi="Times New Roman" w:cs="Times New Roman"/>
                <w:lang w:val="sl-SI"/>
              </w:rPr>
            </w:pPr>
            <w:r>
              <w:rPr>
                <w:rFonts w:ascii="Times New Roman" w:eastAsia="Times New Roman" w:hAnsi="Times New Roman" w:cs="Times New Roman"/>
                <w:spacing w:val="-1"/>
                <w:lang w:val="sl-SI"/>
              </w:rPr>
              <w:t>Prvi odmerek 80 mg (</w:t>
            </w:r>
            <w:r w:rsidR="00965F06" w:rsidRPr="00965F06">
              <w:rPr>
                <w:rFonts w:ascii="Times New Roman" w:eastAsia="Times New Roman" w:hAnsi="Times New Roman" w:cs="Times New Roman"/>
                <w:spacing w:val="-1"/>
                <w:lang w:val="sl-SI"/>
              </w:rPr>
              <w:t>ene 80 mg injekcije</w:t>
            </w:r>
            <w:r>
              <w:rPr>
                <w:rFonts w:ascii="Times New Roman" w:eastAsia="Times New Roman" w:hAnsi="Times New Roman" w:cs="Times New Roman"/>
                <w:spacing w:val="-1"/>
                <w:lang w:val="sl-SI"/>
              </w:rPr>
              <w:t xml:space="preserve"> v enem dnevu), nato pa 40 mg vsak drugi teden, z začetkom en teden po začetnem odmerku.</w:t>
            </w:r>
          </w:p>
        </w:tc>
        <w:tc>
          <w:tcPr>
            <w:tcW w:w="3296" w:type="dxa"/>
            <w:tcBorders>
              <w:top w:val="single" w:sz="5" w:space="0" w:color="000000"/>
              <w:left w:val="single" w:sz="5" w:space="0" w:color="000000"/>
              <w:bottom w:val="single" w:sz="5" w:space="0" w:color="000000"/>
              <w:right w:val="single" w:sz="5" w:space="0" w:color="000000"/>
            </w:tcBorders>
          </w:tcPr>
          <w:p w14:paraId="10CA823F" w14:textId="77777777" w:rsidR="00840AAB" w:rsidRDefault="00840AAB" w:rsidP="00646E14">
            <w:pPr>
              <w:pStyle w:val="TableParagraph"/>
              <w:spacing w:before="1" w:line="239" w:lineRule="auto"/>
              <w:ind w:left="102" w:right="193"/>
              <w:rPr>
                <w:rFonts w:ascii="Times New Roman" w:eastAsia="Times New Roman" w:hAnsi="Times New Roman" w:cs="Times New Roman"/>
                <w:lang w:val="sl-SI"/>
              </w:rPr>
            </w:pPr>
            <w:r>
              <w:rPr>
                <w:rFonts w:ascii="Times New Roman" w:eastAsia="Times New Roman" w:hAnsi="Times New Roman" w:cs="Times New Roman"/>
                <w:spacing w:val="-1"/>
                <w:lang w:val="sl-SI"/>
              </w:rPr>
              <w:t>Če imate neustrezen odziv, lahko zdravnik poveča odmerek na 40 mg vsak teden ali 80 mg vsak drugi teden.</w:t>
            </w:r>
          </w:p>
        </w:tc>
      </w:tr>
    </w:tbl>
    <w:p w14:paraId="59844E7C" w14:textId="77777777" w:rsidR="00840AAB" w:rsidRDefault="00840AAB" w:rsidP="00840AAB">
      <w:pPr>
        <w:spacing w:before="7" w:line="90" w:lineRule="exact"/>
        <w:rPr>
          <w:sz w:val="9"/>
          <w:szCs w:val="9"/>
          <w:lang w:val="sl-SI"/>
        </w:rPr>
      </w:pPr>
    </w:p>
    <w:p w14:paraId="43C3CE07" w14:textId="77777777" w:rsidR="00840AAB" w:rsidRDefault="00840AAB" w:rsidP="00840AAB">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2731"/>
        <w:gridCol w:w="3261"/>
        <w:gridCol w:w="3296"/>
      </w:tblGrid>
      <w:tr w:rsidR="00840AAB" w14:paraId="74D130C3" w14:textId="77777777" w:rsidTr="00646E14">
        <w:tc>
          <w:tcPr>
            <w:tcW w:w="9288" w:type="dxa"/>
            <w:gridSpan w:val="3"/>
            <w:tcBorders>
              <w:top w:val="single" w:sz="5" w:space="0" w:color="000000"/>
              <w:left w:val="single" w:sz="5" w:space="0" w:color="000000"/>
              <w:bottom w:val="single" w:sz="5" w:space="0" w:color="000000"/>
              <w:right w:val="single" w:sz="5" w:space="0" w:color="000000"/>
            </w:tcBorders>
          </w:tcPr>
          <w:p w14:paraId="49C3BA5C" w14:textId="77777777" w:rsidR="00840AAB" w:rsidRDefault="00840AAB" w:rsidP="00646E14">
            <w:pPr>
              <w:pStyle w:val="TableParagraph"/>
              <w:spacing w:line="251"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Hidradenitis suppurativa</w:t>
            </w:r>
          </w:p>
        </w:tc>
      </w:tr>
      <w:tr w:rsidR="00840AAB" w14:paraId="0C49190B" w14:textId="77777777" w:rsidTr="002B7ECD">
        <w:tc>
          <w:tcPr>
            <w:tcW w:w="2731" w:type="dxa"/>
            <w:tcBorders>
              <w:top w:val="single" w:sz="5" w:space="0" w:color="000000"/>
              <w:left w:val="single" w:sz="5" w:space="0" w:color="000000"/>
              <w:bottom w:val="single" w:sz="5" w:space="0" w:color="000000"/>
              <w:right w:val="single" w:sz="5" w:space="0" w:color="000000"/>
            </w:tcBorders>
          </w:tcPr>
          <w:p w14:paraId="1848A4C6"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261" w:type="dxa"/>
            <w:tcBorders>
              <w:top w:val="single" w:sz="5" w:space="0" w:color="000000"/>
              <w:left w:val="single" w:sz="5" w:space="0" w:color="000000"/>
              <w:bottom w:val="single" w:sz="5" w:space="0" w:color="000000"/>
              <w:right w:val="single" w:sz="5" w:space="0" w:color="000000"/>
            </w:tcBorders>
          </w:tcPr>
          <w:p w14:paraId="35E60431" w14:textId="77777777" w:rsidR="00840AAB" w:rsidRDefault="00840AAB" w:rsidP="00646E14">
            <w:pPr>
              <w:pStyle w:val="TableParagraph"/>
              <w:spacing w:before="1"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 vzeti?</w:t>
            </w:r>
          </w:p>
        </w:tc>
        <w:tc>
          <w:tcPr>
            <w:tcW w:w="3296" w:type="dxa"/>
            <w:tcBorders>
              <w:top w:val="single" w:sz="5" w:space="0" w:color="000000"/>
              <w:left w:val="single" w:sz="5" w:space="0" w:color="000000"/>
              <w:bottom w:val="single" w:sz="5" w:space="0" w:color="000000"/>
              <w:right w:val="single" w:sz="5" w:space="0" w:color="000000"/>
            </w:tcBorders>
          </w:tcPr>
          <w:p w14:paraId="543B917C"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840AAB" w:rsidRPr="00652F18" w14:paraId="33E7F59B" w14:textId="77777777" w:rsidTr="002B7ECD">
        <w:tc>
          <w:tcPr>
            <w:tcW w:w="2731" w:type="dxa"/>
            <w:tcBorders>
              <w:top w:val="single" w:sz="5" w:space="0" w:color="000000"/>
              <w:left w:val="single" w:sz="5" w:space="0" w:color="000000"/>
              <w:bottom w:val="single" w:sz="5" w:space="0" w:color="000000"/>
              <w:right w:val="single" w:sz="5" w:space="0" w:color="000000"/>
            </w:tcBorders>
          </w:tcPr>
          <w:p w14:paraId="6B526A0C" w14:textId="77777777" w:rsidR="00840AAB" w:rsidRDefault="00840AAB" w:rsidP="00646E14">
            <w:pPr>
              <w:pStyle w:val="TableParagraph"/>
              <w:spacing w:line="248"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Odrasli</w:t>
            </w:r>
          </w:p>
        </w:tc>
        <w:tc>
          <w:tcPr>
            <w:tcW w:w="3261" w:type="dxa"/>
            <w:tcBorders>
              <w:top w:val="single" w:sz="5" w:space="0" w:color="000000"/>
              <w:left w:val="single" w:sz="5" w:space="0" w:color="000000"/>
              <w:bottom w:val="single" w:sz="5" w:space="0" w:color="000000"/>
              <w:right w:val="single" w:sz="5" w:space="0" w:color="000000"/>
            </w:tcBorders>
          </w:tcPr>
          <w:p w14:paraId="53BB5142" w14:textId="6B46D21B" w:rsidR="00840AAB" w:rsidRDefault="00840AAB" w:rsidP="00646E14">
            <w:pPr>
              <w:pStyle w:val="TableParagraph"/>
              <w:spacing w:line="248"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Prvi 160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odmerek (</w:t>
            </w:r>
            <w:r w:rsidR="00965F06" w:rsidRPr="00965F06">
              <w:rPr>
                <w:rFonts w:ascii="Times New Roman" w:eastAsia="Times New Roman" w:hAnsi="Times New Roman" w:cs="Times New Roman"/>
                <w:spacing w:val="-1"/>
                <w:lang w:val="sl-SI"/>
              </w:rPr>
              <w:t xml:space="preserve">dve 80 mg injekcij </w:t>
            </w:r>
            <w:r>
              <w:rPr>
                <w:rFonts w:ascii="Times New Roman" w:eastAsia="Times New Roman" w:hAnsi="Times New Roman" w:cs="Times New Roman"/>
                <w:spacing w:val="-1"/>
                <w:lang w:val="sl-SI"/>
              </w:rPr>
              <w:t xml:space="preserve">v enem dnevu ali </w:t>
            </w:r>
            <w:r w:rsidR="003F27D3" w:rsidRPr="003F27D3">
              <w:rPr>
                <w:rFonts w:ascii="Times New Roman" w:eastAsia="Times New Roman" w:hAnsi="Times New Roman" w:cs="Times New Roman"/>
                <w:spacing w:val="-1"/>
                <w:lang w:val="sl-SI"/>
              </w:rPr>
              <w:t xml:space="preserve">ene 80 mg injekcije </w:t>
            </w:r>
            <w:r>
              <w:rPr>
                <w:rFonts w:ascii="Times New Roman" w:eastAsia="Times New Roman" w:hAnsi="Times New Roman" w:cs="Times New Roman"/>
                <w:spacing w:val="-1"/>
                <w:lang w:val="sl-SI"/>
              </w:rPr>
              <w:t>na dan</w:t>
            </w:r>
            <w:r w:rsidR="0042635D">
              <w:rPr>
                <w:rFonts w:ascii="Times New Roman" w:eastAsia="Times New Roman" w:hAnsi="Times New Roman" w:cs="Times New Roman"/>
                <w:spacing w:val="-1"/>
                <w:lang w:val="sl-SI"/>
              </w:rPr>
              <w:t>,</w:t>
            </w:r>
            <w:r>
              <w:rPr>
                <w:rFonts w:ascii="Times New Roman" w:eastAsia="Times New Roman" w:hAnsi="Times New Roman" w:cs="Times New Roman"/>
                <w:spacing w:val="-1"/>
                <w:lang w:val="sl-SI"/>
              </w:rPr>
              <w:t xml:space="preserve"> dva zaporedna dneva), ki mu sledi odmerek 80 mg (</w:t>
            </w:r>
            <w:r w:rsidR="003F27D3" w:rsidRPr="003F27D3">
              <w:rPr>
                <w:rFonts w:ascii="Times New Roman" w:eastAsia="Times New Roman" w:hAnsi="Times New Roman" w:cs="Times New Roman"/>
                <w:spacing w:val="-1"/>
                <w:lang w:val="sl-SI"/>
              </w:rPr>
              <w:t xml:space="preserve">ene 80 mg injekcije </w:t>
            </w:r>
            <w:r>
              <w:rPr>
                <w:rFonts w:ascii="Times New Roman" w:eastAsia="Times New Roman" w:hAnsi="Times New Roman" w:cs="Times New Roman"/>
                <w:spacing w:val="-1"/>
                <w:lang w:val="sl-SI"/>
              </w:rPr>
              <w:t>v enem dnevu) dva tedna kasneje. Po dveh dodatnih tednih nadaljujte z odmerkom 40 mg vsak teden ali 80 mg vsak drugi teden, kot vam je predpisal</w:t>
            </w:r>
          </w:p>
          <w:p w14:paraId="54293767" w14:textId="77777777" w:rsidR="00840AAB" w:rsidRDefault="00840AAB" w:rsidP="00646E14">
            <w:pPr>
              <w:pStyle w:val="TableParagraph"/>
              <w:spacing w:line="252"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zdravnik.</w:t>
            </w:r>
          </w:p>
        </w:tc>
        <w:tc>
          <w:tcPr>
            <w:tcW w:w="3296" w:type="dxa"/>
            <w:tcBorders>
              <w:top w:val="single" w:sz="5" w:space="0" w:color="000000"/>
              <w:left w:val="single" w:sz="5" w:space="0" w:color="000000"/>
              <w:bottom w:val="single" w:sz="5" w:space="0" w:color="000000"/>
              <w:right w:val="single" w:sz="5" w:space="0" w:color="000000"/>
            </w:tcBorders>
          </w:tcPr>
          <w:p w14:paraId="4C3F4FDF" w14:textId="16F740F5" w:rsidR="00840AAB" w:rsidRDefault="00840AAB" w:rsidP="00646E14">
            <w:pPr>
              <w:pStyle w:val="TableParagraph"/>
              <w:spacing w:before="3" w:line="252" w:lineRule="exact"/>
              <w:ind w:left="102"/>
              <w:rPr>
                <w:rFonts w:ascii="Times New Roman" w:eastAsia="Times New Roman" w:hAnsi="Times New Roman" w:cs="Times New Roman"/>
                <w:lang w:val="sl-SI"/>
              </w:rPr>
            </w:pPr>
            <w:r>
              <w:rPr>
                <w:rFonts w:ascii="Times New Roman" w:eastAsia="Times New Roman" w:hAnsi="Times New Roman" w:cs="Times New Roman"/>
                <w:spacing w:val="-4"/>
                <w:lang w:val="sl-SI"/>
              </w:rPr>
              <w:t>Priporoč</w:t>
            </w:r>
            <w:r w:rsidR="0042635D">
              <w:rPr>
                <w:rFonts w:ascii="Times New Roman" w:eastAsia="Times New Roman" w:hAnsi="Times New Roman" w:cs="Times New Roman"/>
                <w:spacing w:val="-4"/>
                <w:lang w:val="sl-SI"/>
              </w:rPr>
              <w:t>eno</w:t>
            </w:r>
            <w:r>
              <w:rPr>
                <w:rFonts w:ascii="Times New Roman" w:eastAsia="Times New Roman" w:hAnsi="Times New Roman" w:cs="Times New Roman"/>
                <w:spacing w:val="-4"/>
                <w:lang w:val="sl-SI"/>
              </w:rPr>
              <w:t xml:space="preserve"> je, da </w:t>
            </w:r>
            <w:r>
              <w:rPr>
                <w:rFonts w:ascii="Times New Roman" w:eastAsia="Times New Roman" w:hAnsi="Times New Roman" w:cs="Times New Roman"/>
                <w:spacing w:val="-1"/>
                <w:lang w:val="sl-SI"/>
              </w:rPr>
              <w:t>na prizadetih področjih vsak dan uporabite antiseptično čistilno sredstvo.</w:t>
            </w:r>
          </w:p>
        </w:tc>
      </w:tr>
      <w:tr w:rsidR="00840AAB" w:rsidRPr="00652F18" w14:paraId="3C9D8499" w14:textId="77777777" w:rsidTr="00CE0F3E">
        <w:trPr>
          <w:trHeight w:val="2328"/>
        </w:trPr>
        <w:tc>
          <w:tcPr>
            <w:tcW w:w="2731" w:type="dxa"/>
            <w:tcBorders>
              <w:top w:val="single" w:sz="5" w:space="0" w:color="000000"/>
              <w:left w:val="single" w:sz="5" w:space="0" w:color="000000"/>
              <w:bottom w:val="single" w:sz="5" w:space="0" w:color="000000"/>
              <w:right w:val="single" w:sz="5" w:space="0" w:color="000000"/>
            </w:tcBorders>
          </w:tcPr>
          <w:p w14:paraId="1A57B052" w14:textId="2683C741" w:rsidR="00840AAB" w:rsidRDefault="00840AAB" w:rsidP="00D45531">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Mladostniki, stari od 12 do 17. let</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s telesno maso 30 kg ali več</w:t>
            </w:r>
            <w:r w:rsidR="004E161B">
              <w:rPr>
                <w:rFonts w:ascii="Times New Roman" w:eastAsia="Times New Roman" w:hAnsi="Times New Roman" w:cs="Times New Roman"/>
                <w:spacing w:val="-1"/>
                <w:lang w:val="sl-SI"/>
              </w:rPr>
              <w:t xml:space="preserve"> </w:t>
            </w:r>
          </w:p>
        </w:tc>
        <w:tc>
          <w:tcPr>
            <w:tcW w:w="3261" w:type="dxa"/>
            <w:tcBorders>
              <w:top w:val="single" w:sz="5" w:space="0" w:color="000000"/>
              <w:left w:val="single" w:sz="5" w:space="0" w:color="000000"/>
              <w:bottom w:val="single" w:sz="5" w:space="0" w:color="000000"/>
              <w:right w:val="single" w:sz="5" w:space="0" w:color="000000"/>
            </w:tcBorders>
          </w:tcPr>
          <w:p w14:paraId="3113FCC7" w14:textId="3BF2E301" w:rsidR="00840AAB" w:rsidRDefault="00840AAB" w:rsidP="00646E14">
            <w:pPr>
              <w:pStyle w:val="TableParagraph"/>
              <w:spacing w:before="1"/>
              <w:ind w:left="102" w:right="51"/>
              <w:rPr>
                <w:rFonts w:ascii="Times New Roman" w:eastAsia="Times New Roman" w:hAnsi="Times New Roman" w:cs="Times New Roman"/>
                <w:lang w:val="sl-SI"/>
              </w:rPr>
            </w:pPr>
            <w:r>
              <w:rPr>
                <w:rFonts w:ascii="Times New Roman" w:eastAsia="Times New Roman" w:hAnsi="Times New Roman" w:cs="Times New Roman"/>
                <w:spacing w:val="-1"/>
                <w:lang w:val="sl-SI"/>
              </w:rPr>
              <w:t>Prvi odmerek 80 mg (</w:t>
            </w:r>
            <w:r w:rsidR="003F27D3" w:rsidRPr="003F27D3">
              <w:rPr>
                <w:rFonts w:ascii="Times New Roman" w:eastAsia="Times New Roman" w:hAnsi="Times New Roman" w:cs="Times New Roman"/>
                <w:spacing w:val="-1"/>
                <w:lang w:val="sl-SI"/>
              </w:rPr>
              <w:t xml:space="preserve">ene 80 mg injekcije </w:t>
            </w:r>
            <w:r>
              <w:rPr>
                <w:rFonts w:ascii="Times New Roman" w:eastAsia="Times New Roman" w:hAnsi="Times New Roman" w:cs="Times New Roman"/>
                <w:spacing w:val="-1"/>
                <w:lang w:val="sl-SI"/>
              </w:rPr>
              <w:t>v enem dnevu), čemur sledi 40 mg vsak drugi teden, z začetkom en teden po začetnem odmerku.</w:t>
            </w:r>
          </w:p>
        </w:tc>
        <w:tc>
          <w:tcPr>
            <w:tcW w:w="3296" w:type="dxa"/>
            <w:tcBorders>
              <w:top w:val="single" w:sz="5" w:space="0" w:color="000000"/>
              <w:left w:val="single" w:sz="5" w:space="0" w:color="000000"/>
              <w:bottom w:val="single" w:sz="5" w:space="0" w:color="000000"/>
              <w:right w:val="single" w:sz="5" w:space="0" w:color="000000"/>
            </w:tcBorders>
          </w:tcPr>
          <w:p w14:paraId="66D5209A" w14:textId="7777777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Če imate neustrezen </w:t>
            </w:r>
            <w:r>
              <w:rPr>
                <w:rFonts w:ascii="Times New Roman" w:eastAsia="Times New Roman" w:hAnsi="Times New Roman" w:cs="Times New Roman"/>
                <w:lang w:val="sl-SI"/>
              </w:rPr>
              <w:t xml:space="preserve">odziv na zdravilo Yuflyma 40 mg vsak drugi teden, lahko zdravnik poveča odmerek na 40 mg vsak teden ali 80 mg vsak </w:t>
            </w:r>
          </w:p>
          <w:p w14:paraId="1950AAA2" w14:textId="77777777" w:rsidR="00840AAB" w:rsidRDefault="00840AAB" w:rsidP="00646E14">
            <w:pPr>
              <w:pStyle w:val="TableParagraph"/>
              <w:spacing w:line="252"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drugi teden.</w:t>
            </w:r>
          </w:p>
          <w:p w14:paraId="46AED7E7" w14:textId="77777777" w:rsidR="00840AAB" w:rsidRDefault="00840AAB" w:rsidP="00646E14">
            <w:pPr>
              <w:pStyle w:val="TableParagraph"/>
              <w:spacing w:before="1"/>
              <w:ind w:left="102" w:right="223"/>
              <w:jc w:val="both"/>
              <w:rPr>
                <w:rFonts w:ascii="Times New Roman" w:eastAsia="Times New Roman" w:hAnsi="Times New Roman" w:cs="Times New Roman"/>
                <w:lang w:val="sl-SI"/>
              </w:rPr>
            </w:pPr>
            <w:r>
              <w:rPr>
                <w:rFonts w:ascii="Times New Roman" w:eastAsia="Times New Roman" w:hAnsi="Times New Roman" w:cs="Times New Roman"/>
                <w:spacing w:val="-4"/>
                <w:lang w:val="sl-SI"/>
              </w:rPr>
              <w:t>Priporočljivo je, da na prizadetih predelih vsak dan uporabite antiseptično čistilno sredstvo.</w:t>
            </w:r>
          </w:p>
        </w:tc>
      </w:tr>
    </w:tbl>
    <w:p w14:paraId="01F4A698" w14:textId="77777777" w:rsidR="00840AAB" w:rsidRDefault="00840AAB" w:rsidP="00840AAB">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2731"/>
        <w:gridCol w:w="3261"/>
        <w:gridCol w:w="3296"/>
      </w:tblGrid>
      <w:tr w:rsidR="00840AAB" w14:paraId="3E777312" w14:textId="77777777" w:rsidTr="00646E14">
        <w:tc>
          <w:tcPr>
            <w:tcW w:w="9288" w:type="dxa"/>
            <w:gridSpan w:val="3"/>
            <w:tcBorders>
              <w:top w:val="single" w:sz="5" w:space="0" w:color="000000"/>
              <w:left w:val="single" w:sz="5" w:space="0" w:color="000000"/>
              <w:bottom w:val="single" w:sz="5" w:space="0" w:color="000000"/>
              <w:right w:val="single" w:sz="5" w:space="0" w:color="000000"/>
            </w:tcBorders>
          </w:tcPr>
          <w:p w14:paraId="21A7D3DC" w14:textId="77777777" w:rsidR="00840AAB" w:rsidRDefault="00840AAB" w:rsidP="00646E14">
            <w:pPr>
              <w:pStyle w:val="TableParagraph"/>
              <w:spacing w:line="251"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Crohnova bolezen</w:t>
            </w:r>
          </w:p>
        </w:tc>
      </w:tr>
      <w:tr w:rsidR="00840AAB" w14:paraId="7018991A" w14:textId="77777777" w:rsidTr="002B7ECD">
        <w:tc>
          <w:tcPr>
            <w:tcW w:w="2731" w:type="dxa"/>
            <w:tcBorders>
              <w:top w:val="single" w:sz="5" w:space="0" w:color="000000"/>
              <w:left w:val="single" w:sz="5" w:space="0" w:color="000000"/>
              <w:bottom w:val="single" w:sz="5" w:space="0" w:color="000000"/>
              <w:right w:val="single" w:sz="5" w:space="0" w:color="000000"/>
            </w:tcBorders>
          </w:tcPr>
          <w:p w14:paraId="07864359"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261" w:type="dxa"/>
            <w:tcBorders>
              <w:top w:val="single" w:sz="5" w:space="0" w:color="000000"/>
              <w:left w:val="single" w:sz="5" w:space="0" w:color="000000"/>
              <w:bottom w:val="single" w:sz="5" w:space="0" w:color="000000"/>
              <w:right w:val="single" w:sz="5" w:space="0" w:color="000000"/>
            </w:tcBorders>
          </w:tcPr>
          <w:p w14:paraId="44D25D96" w14:textId="77777777" w:rsidR="00840AAB" w:rsidRDefault="00840AAB" w:rsidP="00646E14">
            <w:pPr>
              <w:pStyle w:val="TableParagraph"/>
              <w:spacing w:before="1"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 vzeti?</w:t>
            </w:r>
          </w:p>
        </w:tc>
        <w:tc>
          <w:tcPr>
            <w:tcW w:w="3296" w:type="dxa"/>
            <w:tcBorders>
              <w:top w:val="single" w:sz="5" w:space="0" w:color="000000"/>
              <w:left w:val="single" w:sz="5" w:space="0" w:color="000000"/>
              <w:bottom w:val="single" w:sz="5" w:space="0" w:color="000000"/>
              <w:right w:val="single" w:sz="5" w:space="0" w:color="000000"/>
            </w:tcBorders>
          </w:tcPr>
          <w:p w14:paraId="555D1C6E"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840AAB" w:rsidRPr="00652F18" w14:paraId="6A948C89" w14:textId="77777777" w:rsidTr="002B7ECD">
        <w:tc>
          <w:tcPr>
            <w:tcW w:w="2731" w:type="dxa"/>
            <w:tcBorders>
              <w:top w:val="single" w:sz="5" w:space="0" w:color="000000"/>
              <w:left w:val="single" w:sz="5" w:space="0" w:color="000000"/>
              <w:bottom w:val="single" w:sz="5" w:space="0" w:color="000000"/>
              <w:right w:val="single" w:sz="5" w:space="0" w:color="000000"/>
            </w:tcBorders>
          </w:tcPr>
          <w:p w14:paraId="7AB65EEC" w14:textId="77777777" w:rsidR="00840AAB" w:rsidRDefault="00840AAB" w:rsidP="00646E14">
            <w:pPr>
              <w:pStyle w:val="TableParagraph"/>
              <w:spacing w:before="3" w:line="252" w:lineRule="exact"/>
              <w:ind w:left="102"/>
              <w:rPr>
                <w:rFonts w:ascii="Times New Roman" w:eastAsia="Times New Roman" w:hAnsi="Times New Roman" w:cs="Times New Roman"/>
                <w:lang w:val="sl-SI"/>
              </w:rPr>
            </w:pPr>
            <w:r>
              <w:rPr>
                <w:rFonts w:ascii="Times New Roman" w:eastAsia="Times New Roman" w:hAnsi="Times New Roman" w:cs="Times New Roman"/>
                <w:lang w:val="sl-SI"/>
              </w:rPr>
              <w:lastRenderedPageBreak/>
              <w:t xml:space="preserve">Otroci, mladostniki in odrasli </w:t>
            </w:r>
            <w:r>
              <w:rPr>
                <w:rFonts w:ascii="Times New Roman" w:eastAsia="Times New Roman" w:hAnsi="Times New Roman" w:cs="Times New Roman"/>
                <w:spacing w:val="-1"/>
                <w:lang w:val="sl-SI"/>
              </w:rPr>
              <w:t>od starosti 6 let s telesno maso 40 kg ali več</w:t>
            </w:r>
          </w:p>
        </w:tc>
        <w:tc>
          <w:tcPr>
            <w:tcW w:w="3261" w:type="dxa"/>
            <w:tcBorders>
              <w:top w:val="single" w:sz="5" w:space="0" w:color="000000"/>
              <w:left w:val="single" w:sz="5" w:space="0" w:color="000000"/>
              <w:bottom w:val="single" w:sz="5" w:space="0" w:color="000000"/>
              <w:right w:val="single" w:sz="5" w:space="0" w:color="000000"/>
            </w:tcBorders>
          </w:tcPr>
          <w:p w14:paraId="416473E7" w14:textId="183C1841"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Prvi odmerek 80 mg (</w:t>
            </w:r>
            <w:r w:rsidR="003F27D3" w:rsidRPr="003F27D3">
              <w:rPr>
                <w:rFonts w:ascii="Times New Roman" w:eastAsia="Times New Roman" w:hAnsi="Times New Roman" w:cs="Times New Roman"/>
                <w:spacing w:val="-1"/>
                <w:lang w:val="sl-SI"/>
              </w:rPr>
              <w:t xml:space="preserve">ene 80 mg injekcije </w:t>
            </w:r>
            <w:r>
              <w:rPr>
                <w:rFonts w:ascii="Times New Roman" w:eastAsia="Times New Roman" w:hAnsi="Times New Roman" w:cs="Times New Roman"/>
                <w:spacing w:val="-1"/>
                <w:lang w:val="sl-SI"/>
              </w:rPr>
              <w:t>v enem dnevu), ki mu sledi 40 mg dva tedna kasneje.</w:t>
            </w:r>
          </w:p>
          <w:p w14:paraId="45BF3B9C" w14:textId="77777777" w:rsidR="00840AAB" w:rsidRDefault="00840AAB" w:rsidP="00646E14">
            <w:pPr>
              <w:pStyle w:val="TableParagraph"/>
              <w:spacing w:before="11" w:line="240" w:lineRule="exact"/>
              <w:rPr>
                <w:sz w:val="24"/>
                <w:szCs w:val="24"/>
                <w:lang w:val="sl-SI"/>
              </w:rPr>
            </w:pPr>
          </w:p>
          <w:p w14:paraId="545EAF94" w14:textId="4A760C76" w:rsidR="00840AAB" w:rsidRDefault="00840AAB" w:rsidP="00646E14">
            <w:pPr>
              <w:pStyle w:val="TableParagraph"/>
              <w:ind w:left="102" w:right="76"/>
              <w:rPr>
                <w:rFonts w:ascii="Times New Roman" w:eastAsia="Times New Roman" w:hAnsi="Times New Roman" w:cs="Times New Roman"/>
                <w:lang w:val="sl-SI"/>
              </w:rPr>
            </w:pPr>
            <w:r>
              <w:rPr>
                <w:rFonts w:ascii="Times New Roman" w:eastAsia="Times New Roman" w:hAnsi="Times New Roman" w:cs="Times New Roman"/>
                <w:spacing w:val="-1"/>
                <w:lang w:val="sl-SI"/>
              </w:rPr>
              <w:t>Če je potreben hitrejši odziv, lahko zdravnik predpiše prvi odmerek 160 mg (</w:t>
            </w:r>
            <w:r w:rsidR="003F27D3" w:rsidRPr="003F27D3">
              <w:rPr>
                <w:rFonts w:ascii="Times New Roman" w:eastAsia="Times New Roman" w:hAnsi="Times New Roman" w:cs="Times New Roman"/>
                <w:spacing w:val="-1"/>
                <w:lang w:val="sl-SI"/>
              </w:rPr>
              <w:t xml:space="preserve">dve 80 mg injekcij </w:t>
            </w:r>
            <w:r>
              <w:rPr>
                <w:rFonts w:ascii="Times New Roman" w:eastAsia="Times New Roman" w:hAnsi="Times New Roman" w:cs="Times New Roman"/>
                <w:spacing w:val="-1"/>
                <w:lang w:val="sl-SI"/>
              </w:rPr>
              <w:t xml:space="preserve">v enem dnevu ali </w:t>
            </w:r>
            <w:r w:rsidR="003F27D3" w:rsidRPr="003F27D3">
              <w:rPr>
                <w:rFonts w:ascii="Times New Roman" w:eastAsia="Times New Roman" w:hAnsi="Times New Roman" w:cs="Times New Roman"/>
                <w:spacing w:val="-1"/>
                <w:lang w:val="sl-SI"/>
              </w:rPr>
              <w:t xml:space="preserve">ene 80 mg injekcije </w:t>
            </w:r>
            <w:r>
              <w:rPr>
                <w:rFonts w:ascii="Times New Roman" w:eastAsia="Times New Roman" w:hAnsi="Times New Roman" w:cs="Times New Roman"/>
                <w:spacing w:val="-1"/>
                <w:lang w:val="sl-SI"/>
              </w:rPr>
              <w:t>na dan v dveh zaporednih dneh), čemur sledi 80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w:t>
            </w:r>
            <w:r w:rsidR="003F27D3" w:rsidRPr="003F27D3">
              <w:rPr>
                <w:rFonts w:ascii="Times New Roman" w:eastAsia="Times New Roman" w:hAnsi="Times New Roman" w:cs="Times New Roman"/>
                <w:spacing w:val="-1"/>
                <w:lang w:val="sl-SI"/>
              </w:rPr>
              <w:t xml:space="preserve">ene 80 mg injekcije </w:t>
            </w:r>
            <w:r>
              <w:rPr>
                <w:rFonts w:ascii="Times New Roman" w:eastAsia="Times New Roman" w:hAnsi="Times New Roman" w:cs="Times New Roman"/>
                <w:spacing w:val="-1"/>
                <w:lang w:val="sl-SI"/>
              </w:rPr>
              <w:t>v enem dnevu) dva tedna kasneje.</w:t>
            </w:r>
          </w:p>
          <w:p w14:paraId="4F82ADC9" w14:textId="77777777" w:rsidR="00840AAB" w:rsidRDefault="00840AAB" w:rsidP="00646E14">
            <w:pPr>
              <w:pStyle w:val="TableParagraph"/>
              <w:spacing w:before="17" w:line="240" w:lineRule="exact"/>
              <w:rPr>
                <w:sz w:val="24"/>
                <w:szCs w:val="24"/>
                <w:lang w:val="sl-SI"/>
              </w:rPr>
            </w:pPr>
          </w:p>
          <w:p w14:paraId="6351DCDF" w14:textId="77777777" w:rsidR="00840AAB" w:rsidRDefault="00840AAB" w:rsidP="00646E14">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Zatem je običajni odmerek 40 mg vsak drugi teden.</w:t>
            </w:r>
          </w:p>
        </w:tc>
        <w:tc>
          <w:tcPr>
            <w:tcW w:w="3296" w:type="dxa"/>
            <w:tcBorders>
              <w:top w:val="single" w:sz="5" w:space="0" w:color="000000"/>
              <w:left w:val="single" w:sz="5" w:space="0" w:color="000000"/>
              <w:bottom w:val="single" w:sz="5" w:space="0" w:color="000000"/>
              <w:right w:val="single" w:sz="5" w:space="0" w:color="000000"/>
            </w:tcBorders>
          </w:tcPr>
          <w:p w14:paraId="56934395" w14:textId="77777777" w:rsidR="00840AAB" w:rsidRDefault="00840AAB" w:rsidP="00646E14">
            <w:pPr>
              <w:pStyle w:val="TableParagraph"/>
              <w:spacing w:before="3" w:line="252" w:lineRule="exact"/>
              <w:ind w:left="102" w:right="55"/>
              <w:rPr>
                <w:rFonts w:ascii="Times New Roman" w:eastAsia="Times New Roman" w:hAnsi="Times New Roman" w:cs="Times New Roman"/>
                <w:lang w:val="sl-SI"/>
              </w:rPr>
            </w:pPr>
            <w:r>
              <w:rPr>
                <w:rFonts w:ascii="Times New Roman" w:eastAsia="Times New Roman" w:hAnsi="Times New Roman" w:cs="Times New Roman"/>
                <w:spacing w:val="-1"/>
                <w:lang w:val="sl-SI"/>
              </w:rPr>
              <w:t>Zdravnik vam lahko odmerek poveča na 40 mg vsak teden ali 80 mg vsak drugi teden.</w:t>
            </w:r>
          </w:p>
        </w:tc>
      </w:tr>
      <w:tr w:rsidR="00CE0F3E" w:rsidRPr="00652F18" w14:paraId="6F457152" w14:textId="77777777" w:rsidTr="002B7ECD">
        <w:tc>
          <w:tcPr>
            <w:tcW w:w="2731" w:type="dxa"/>
            <w:tcBorders>
              <w:top w:val="single" w:sz="5" w:space="0" w:color="000000"/>
              <w:left w:val="single" w:sz="5" w:space="0" w:color="000000"/>
              <w:bottom w:val="single" w:sz="5" w:space="0" w:color="000000"/>
              <w:right w:val="single" w:sz="5" w:space="0" w:color="000000"/>
            </w:tcBorders>
          </w:tcPr>
          <w:p w14:paraId="7A2DABC4" w14:textId="18A966F2" w:rsidR="00CE0F3E" w:rsidRDefault="00CE0F3E" w:rsidP="00CE0F3E">
            <w:pPr>
              <w:pStyle w:val="TableParagraph"/>
              <w:spacing w:before="3" w:line="252" w:lineRule="exact"/>
              <w:ind w:left="102"/>
              <w:rPr>
                <w:rFonts w:ascii="Times New Roman" w:eastAsia="Times New Roman" w:hAnsi="Times New Roman" w:cs="Times New Roman"/>
                <w:lang w:val="sl-SI"/>
              </w:rPr>
            </w:pPr>
            <w:r w:rsidRPr="00CE0F3E">
              <w:rPr>
                <w:rFonts w:ascii="Times New Roman" w:eastAsia="Times New Roman" w:hAnsi="Times New Roman" w:cs="Times New Roman"/>
                <w:lang w:val="sl-SI"/>
              </w:rPr>
              <w:t>Otroci in mladostniki, stari od</w:t>
            </w:r>
            <w:r>
              <w:rPr>
                <w:rFonts w:ascii="Times New Roman" w:eastAsia="Times New Roman" w:hAnsi="Times New Roman" w:cs="Times New Roman"/>
                <w:lang w:val="sl-SI"/>
              </w:rPr>
              <w:t xml:space="preserve"> </w:t>
            </w:r>
            <w:r w:rsidRPr="00CE0F3E">
              <w:rPr>
                <w:rFonts w:ascii="Times New Roman" w:eastAsia="Times New Roman" w:hAnsi="Times New Roman" w:cs="Times New Roman"/>
                <w:lang w:val="sl-SI"/>
              </w:rPr>
              <w:t>6 do 17 let, ki tehtajo manj kot</w:t>
            </w:r>
            <w:r>
              <w:rPr>
                <w:rFonts w:ascii="Times New Roman" w:eastAsia="Times New Roman" w:hAnsi="Times New Roman" w:cs="Times New Roman"/>
                <w:lang w:val="sl-SI"/>
              </w:rPr>
              <w:t xml:space="preserve"> </w:t>
            </w:r>
            <w:r w:rsidRPr="00CE0F3E">
              <w:rPr>
                <w:rFonts w:ascii="Times New Roman" w:eastAsia="Times New Roman" w:hAnsi="Times New Roman" w:cs="Times New Roman"/>
                <w:lang w:val="sl-SI"/>
              </w:rPr>
              <w:t>40 kg</w:t>
            </w:r>
          </w:p>
        </w:tc>
        <w:tc>
          <w:tcPr>
            <w:tcW w:w="3261" w:type="dxa"/>
            <w:tcBorders>
              <w:top w:val="single" w:sz="5" w:space="0" w:color="000000"/>
              <w:left w:val="single" w:sz="5" w:space="0" w:color="000000"/>
              <w:bottom w:val="single" w:sz="5" w:space="0" w:color="000000"/>
              <w:right w:val="single" w:sz="5" w:space="0" w:color="000000"/>
            </w:tcBorders>
          </w:tcPr>
          <w:p w14:paraId="7834BD18" w14:textId="77777777" w:rsidR="008F6B8C" w:rsidRDefault="00CE0F3E" w:rsidP="00BE3BDD">
            <w:pPr>
              <w:pStyle w:val="TableParagraph"/>
              <w:spacing w:line="246" w:lineRule="exact"/>
              <w:ind w:left="102" w:right="57"/>
              <w:rPr>
                <w:rFonts w:ascii="Times New Roman" w:eastAsia="Times New Roman" w:hAnsi="Times New Roman" w:cs="Times New Roman"/>
                <w:spacing w:val="-1"/>
                <w:lang w:val="sl-SI"/>
              </w:rPr>
            </w:pPr>
            <w:r w:rsidRPr="00CE0F3E">
              <w:rPr>
                <w:rFonts w:ascii="Times New Roman" w:eastAsia="Times New Roman" w:hAnsi="Times New Roman" w:cs="Times New Roman"/>
                <w:spacing w:val="-1"/>
                <w:lang w:val="sl-SI"/>
              </w:rPr>
              <w:t>Prvi odmerek je 40 mg, čemur</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sledi 20 mg dva tedna kasneje.</w:t>
            </w:r>
            <w:r>
              <w:rPr>
                <w:rFonts w:ascii="Times New Roman" w:eastAsia="Times New Roman" w:hAnsi="Times New Roman" w:cs="Times New Roman"/>
                <w:spacing w:val="-1"/>
                <w:lang w:val="sl-SI"/>
              </w:rPr>
              <w:t xml:space="preserve"> </w:t>
            </w:r>
          </w:p>
          <w:p w14:paraId="61495E72" w14:textId="77777777" w:rsidR="008F6B8C" w:rsidRDefault="008F6B8C" w:rsidP="00BE3BDD">
            <w:pPr>
              <w:pStyle w:val="TableParagraph"/>
              <w:spacing w:line="246" w:lineRule="exact"/>
              <w:ind w:left="102" w:right="57"/>
              <w:rPr>
                <w:rFonts w:ascii="Times New Roman" w:eastAsia="Times New Roman" w:hAnsi="Times New Roman" w:cs="Times New Roman"/>
                <w:spacing w:val="-1"/>
                <w:lang w:val="sl-SI"/>
              </w:rPr>
            </w:pPr>
          </w:p>
          <w:p w14:paraId="296E3C4B" w14:textId="67F5F1C7" w:rsidR="00CE0F3E" w:rsidRDefault="00CE0F3E" w:rsidP="00BE3BDD">
            <w:pPr>
              <w:pStyle w:val="TableParagraph"/>
              <w:spacing w:line="246" w:lineRule="exact"/>
              <w:ind w:left="102" w:right="57"/>
              <w:rPr>
                <w:sz w:val="24"/>
                <w:szCs w:val="24"/>
                <w:lang w:val="sl-SI"/>
              </w:rPr>
            </w:pPr>
            <w:r w:rsidRPr="00CE0F3E">
              <w:rPr>
                <w:rFonts w:ascii="Times New Roman" w:eastAsia="Times New Roman" w:hAnsi="Times New Roman" w:cs="Times New Roman"/>
                <w:spacing w:val="-1"/>
                <w:lang w:val="sl-SI"/>
              </w:rPr>
              <w:t>Če je potreben hitrejši odziv,</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lahko zdravnik predpiše začetni</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odmerek 80 mg (eno 80 mg</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injekcijo), čemur sledi 40 mg</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dva tedna kasneje.</w:t>
            </w:r>
            <w:r w:rsidRPr="00CE0F3E">
              <w:rPr>
                <w:rFonts w:ascii="Times New Roman" w:eastAsia="Times New Roman" w:hAnsi="Times New Roman" w:cs="Times New Roman"/>
                <w:spacing w:val="-1"/>
                <w:lang w:val="sl-SI"/>
              </w:rPr>
              <w:cr/>
            </w:r>
          </w:p>
          <w:p w14:paraId="45238A05" w14:textId="437A71CD" w:rsidR="00CE0F3E" w:rsidRDefault="00CE0F3E" w:rsidP="00CE0F3E">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Zatem je običajni odmerek 20 mg vsak drugi teden.</w:t>
            </w:r>
          </w:p>
        </w:tc>
        <w:tc>
          <w:tcPr>
            <w:tcW w:w="3296" w:type="dxa"/>
            <w:tcBorders>
              <w:top w:val="single" w:sz="5" w:space="0" w:color="000000"/>
              <w:left w:val="single" w:sz="5" w:space="0" w:color="000000"/>
              <w:bottom w:val="single" w:sz="5" w:space="0" w:color="000000"/>
              <w:right w:val="single" w:sz="5" w:space="0" w:color="000000"/>
            </w:tcBorders>
          </w:tcPr>
          <w:p w14:paraId="7F72B98E" w14:textId="64499EAC" w:rsidR="00CE0F3E" w:rsidRDefault="00CE0F3E" w:rsidP="00CE0F3E">
            <w:pPr>
              <w:pStyle w:val="TableParagraph"/>
              <w:spacing w:before="3" w:line="252" w:lineRule="exact"/>
              <w:ind w:left="102" w:right="55"/>
              <w:rPr>
                <w:rFonts w:ascii="Times New Roman" w:eastAsia="Times New Roman" w:hAnsi="Times New Roman" w:cs="Times New Roman"/>
                <w:spacing w:val="-1"/>
                <w:lang w:val="sl-SI"/>
              </w:rPr>
            </w:pPr>
            <w:r w:rsidRPr="00CE0F3E">
              <w:rPr>
                <w:rFonts w:ascii="Times New Roman" w:eastAsia="Times New Roman" w:hAnsi="Times New Roman" w:cs="Times New Roman"/>
                <w:spacing w:val="-1"/>
                <w:lang w:val="sl-SI"/>
              </w:rPr>
              <w:t>Vaš zdravnik vam lahko</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poveča pogostnost odmerjanja</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na 20 mg vsak teden.</w:t>
            </w:r>
          </w:p>
        </w:tc>
      </w:tr>
    </w:tbl>
    <w:p w14:paraId="5FE042B4" w14:textId="77777777" w:rsidR="00840AAB" w:rsidRDefault="00840AAB" w:rsidP="00840AAB">
      <w:pPr>
        <w:spacing w:before="7" w:line="90" w:lineRule="exact"/>
        <w:rPr>
          <w:sz w:val="9"/>
          <w:szCs w:val="9"/>
          <w:lang w:val="sl-SI"/>
        </w:rPr>
      </w:pPr>
    </w:p>
    <w:p w14:paraId="396BD28D" w14:textId="77777777" w:rsidR="00840AAB" w:rsidRDefault="00840AAB" w:rsidP="00840AAB">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2731"/>
        <w:gridCol w:w="3261"/>
        <w:gridCol w:w="3296"/>
      </w:tblGrid>
      <w:tr w:rsidR="00840AAB" w14:paraId="5D899D6F" w14:textId="77777777" w:rsidTr="00646E14">
        <w:trPr>
          <w:trHeight w:val="20"/>
        </w:trPr>
        <w:tc>
          <w:tcPr>
            <w:tcW w:w="9288" w:type="dxa"/>
            <w:gridSpan w:val="3"/>
            <w:tcBorders>
              <w:top w:val="single" w:sz="5" w:space="0" w:color="000000"/>
              <w:left w:val="single" w:sz="5" w:space="0" w:color="000000"/>
              <w:bottom w:val="single" w:sz="5" w:space="0" w:color="000000"/>
              <w:right w:val="single" w:sz="5" w:space="0" w:color="000000"/>
            </w:tcBorders>
          </w:tcPr>
          <w:p w14:paraId="787938EC" w14:textId="77777777" w:rsidR="00840AAB" w:rsidRDefault="00840AAB" w:rsidP="00646E14">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Ulcerozni kolitis</w:t>
            </w:r>
          </w:p>
        </w:tc>
      </w:tr>
      <w:tr w:rsidR="00840AAB" w14:paraId="35F62DC9" w14:textId="77777777" w:rsidTr="002B7ECD">
        <w:trPr>
          <w:trHeight w:val="20"/>
        </w:trPr>
        <w:tc>
          <w:tcPr>
            <w:tcW w:w="2731" w:type="dxa"/>
            <w:tcBorders>
              <w:top w:val="single" w:sz="5" w:space="0" w:color="000000"/>
              <w:left w:val="single" w:sz="5" w:space="0" w:color="000000"/>
              <w:bottom w:val="single" w:sz="5" w:space="0" w:color="000000"/>
              <w:right w:val="single" w:sz="5" w:space="0" w:color="000000"/>
            </w:tcBorders>
          </w:tcPr>
          <w:p w14:paraId="03699427"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261" w:type="dxa"/>
            <w:tcBorders>
              <w:top w:val="single" w:sz="5" w:space="0" w:color="000000"/>
              <w:left w:val="single" w:sz="5" w:space="0" w:color="000000"/>
              <w:bottom w:val="single" w:sz="5" w:space="0" w:color="000000"/>
              <w:right w:val="single" w:sz="5" w:space="0" w:color="000000"/>
            </w:tcBorders>
          </w:tcPr>
          <w:p w14:paraId="04655412"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3E56D6FC" w14:textId="77777777" w:rsidR="00840AAB" w:rsidRDefault="00840AAB" w:rsidP="00646E14">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296" w:type="dxa"/>
            <w:tcBorders>
              <w:top w:val="single" w:sz="5" w:space="0" w:color="000000"/>
              <w:left w:val="single" w:sz="5" w:space="0" w:color="000000"/>
              <w:bottom w:val="single" w:sz="5" w:space="0" w:color="000000"/>
              <w:right w:val="single" w:sz="5" w:space="0" w:color="000000"/>
            </w:tcBorders>
          </w:tcPr>
          <w:p w14:paraId="24824DFA"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840AAB" w:rsidRPr="00652F18" w14:paraId="235F504B" w14:textId="77777777" w:rsidTr="002B7ECD">
        <w:trPr>
          <w:trHeight w:val="20"/>
        </w:trPr>
        <w:tc>
          <w:tcPr>
            <w:tcW w:w="2731" w:type="dxa"/>
            <w:tcBorders>
              <w:top w:val="single" w:sz="5" w:space="0" w:color="000000"/>
              <w:left w:val="single" w:sz="5" w:space="0" w:color="000000"/>
              <w:bottom w:val="single" w:sz="5" w:space="0" w:color="000000"/>
              <w:right w:val="single" w:sz="5" w:space="0" w:color="000000"/>
            </w:tcBorders>
          </w:tcPr>
          <w:p w14:paraId="40475A2D" w14:textId="7777777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Odrasli</w:t>
            </w:r>
          </w:p>
        </w:tc>
        <w:tc>
          <w:tcPr>
            <w:tcW w:w="3261" w:type="dxa"/>
            <w:tcBorders>
              <w:top w:val="single" w:sz="5" w:space="0" w:color="000000"/>
              <w:left w:val="single" w:sz="5" w:space="0" w:color="000000"/>
              <w:bottom w:val="single" w:sz="5" w:space="0" w:color="000000"/>
              <w:right w:val="single" w:sz="5" w:space="0" w:color="000000"/>
            </w:tcBorders>
          </w:tcPr>
          <w:p w14:paraId="0C5B483E" w14:textId="2DC8F5DE"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Prvi 160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odmerek (</w:t>
            </w:r>
            <w:r w:rsidR="003F27D3" w:rsidRPr="003F27D3">
              <w:rPr>
                <w:rFonts w:ascii="Times New Roman" w:eastAsia="Times New Roman" w:hAnsi="Times New Roman" w:cs="Times New Roman"/>
                <w:spacing w:val="-1"/>
                <w:lang w:val="sl-SI"/>
              </w:rPr>
              <w:t xml:space="preserve">dveh 80 mg injekcij </w:t>
            </w:r>
            <w:r>
              <w:rPr>
                <w:rFonts w:ascii="Times New Roman" w:eastAsia="Times New Roman" w:hAnsi="Times New Roman" w:cs="Times New Roman"/>
                <w:spacing w:val="-1"/>
                <w:lang w:val="sl-SI"/>
              </w:rPr>
              <w:t xml:space="preserve">v enem dnevu ali </w:t>
            </w:r>
            <w:r w:rsidR="003F27D3" w:rsidRPr="003F27D3">
              <w:rPr>
                <w:rFonts w:ascii="Times New Roman" w:eastAsia="Times New Roman" w:hAnsi="Times New Roman" w:cs="Times New Roman"/>
                <w:spacing w:val="-1"/>
                <w:lang w:val="sl-SI"/>
              </w:rPr>
              <w:t>ene 80 mg injekcije</w:t>
            </w:r>
            <w:r>
              <w:rPr>
                <w:rFonts w:ascii="Times New Roman" w:eastAsia="Times New Roman" w:hAnsi="Times New Roman" w:cs="Times New Roman"/>
                <w:spacing w:val="-1"/>
                <w:lang w:val="sl-SI"/>
              </w:rPr>
              <w:t xml:space="preserve"> na dan v dveh zaporednih dneh), čemur sledi 80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w:t>
            </w:r>
            <w:r w:rsidR="003F27D3" w:rsidRPr="003F27D3">
              <w:rPr>
                <w:rFonts w:ascii="Times New Roman" w:eastAsia="Times New Roman" w:hAnsi="Times New Roman" w:cs="Times New Roman"/>
                <w:spacing w:val="-1"/>
                <w:lang w:val="sl-SI"/>
              </w:rPr>
              <w:t xml:space="preserve">ene 80 mg injekcije </w:t>
            </w:r>
            <w:r>
              <w:rPr>
                <w:rFonts w:ascii="Times New Roman" w:eastAsia="Times New Roman" w:hAnsi="Times New Roman" w:cs="Times New Roman"/>
                <w:spacing w:val="-1"/>
                <w:lang w:val="sl-SI"/>
              </w:rPr>
              <w:t>v enem dnevu) dva tedna kasneje.</w:t>
            </w:r>
          </w:p>
          <w:p w14:paraId="24EF2879" w14:textId="77777777" w:rsidR="00840AAB" w:rsidRDefault="00840AAB" w:rsidP="00646E14">
            <w:pPr>
              <w:pStyle w:val="TableParagraph"/>
              <w:spacing w:before="17" w:line="240" w:lineRule="exact"/>
              <w:rPr>
                <w:sz w:val="24"/>
                <w:szCs w:val="24"/>
                <w:lang w:val="sl-SI"/>
              </w:rPr>
            </w:pPr>
          </w:p>
          <w:p w14:paraId="05F07B68" w14:textId="118D07D0" w:rsidR="00840AAB" w:rsidRDefault="00BD6E8B" w:rsidP="00646E14">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Nato</w:t>
            </w:r>
            <w:r w:rsidR="00840AAB">
              <w:rPr>
                <w:rFonts w:ascii="Times New Roman" w:eastAsia="Times New Roman" w:hAnsi="Times New Roman" w:cs="Times New Roman"/>
                <w:spacing w:val="-1"/>
                <w:lang w:val="sl-SI"/>
              </w:rPr>
              <w:t xml:space="preserve"> je običajni odmerek 40 mg vsak drugi teden.</w:t>
            </w:r>
          </w:p>
        </w:tc>
        <w:tc>
          <w:tcPr>
            <w:tcW w:w="3296" w:type="dxa"/>
            <w:tcBorders>
              <w:top w:val="single" w:sz="5" w:space="0" w:color="000000"/>
              <w:left w:val="single" w:sz="5" w:space="0" w:color="000000"/>
              <w:bottom w:val="single" w:sz="5" w:space="0" w:color="000000"/>
              <w:right w:val="single" w:sz="5" w:space="0" w:color="000000"/>
            </w:tcBorders>
          </w:tcPr>
          <w:p w14:paraId="75BB0943" w14:textId="7777777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Zdravnik vam poveča odmerek na 40 mg vsak teden ali 80 mg vsak drugi teden.</w:t>
            </w:r>
          </w:p>
        </w:tc>
      </w:tr>
      <w:tr w:rsidR="00840AAB" w:rsidRPr="00652F18" w14:paraId="3F2F8145" w14:textId="77777777" w:rsidTr="002B7ECD">
        <w:trPr>
          <w:trHeight w:val="20"/>
        </w:trPr>
        <w:tc>
          <w:tcPr>
            <w:tcW w:w="2731" w:type="dxa"/>
            <w:tcBorders>
              <w:top w:val="single" w:sz="5" w:space="0" w:color="000000"/>
              <w:left w:val="single" w:sz="5" w:space="0" w:color="000000"/>
              <w:bottom w:val="single" w:sz="5" w:space="0" w:color="000000"/>
              <w:right w:val="single" w:sz="5" w:space="0" w:color="000000"/>
            </w:tcBorders>
          </w:tcPr>
          <w:p w14:paraId="1A9817F4" w14:textId="77777777" w:rsidR="00840AAB" w:rsidRPr="009D62D5" w:rsidRDefault="00840AAB" w:rsidP="00646E14">
            <w:pPr>
              <w:pStyle w:val="TableParagraph"/>
              <w:spacing w:line="246" w:lineRule="exact"/>
              <w:ind w:left="102" w:right="57"/>
              <w:rPr>
                <w:rFonts w:ascii="Times New Roman" w:eastAsia="Times New Roman" w:hAnsi="Times New Roman" w:cs="Times New Roman"/>
                <w:spacing w:val="-1"/>
                <w:lang w:val="sl-SI"/>
              </w:rPr>
            </w:pPr>
            <w:r w:rsidRPr="009D62D5">
              <w:rPr>
                <w:rFonts w:ascii="Times New Roman" w:hAnsi="Times New Roman" w:cs="Times New Roman"/>
                <w:lang w:val="sl-SI"/>
              </w:rPr>
              <w:t>Otroci in mladostniki, starejši od 6 leta starosti, ki tehtajo manj kot 40 kg</w:t>
            </w:r>
          </w:p>
        </w:tc>
        <w:tc>
          <w:tcPr>
            <w:tcW w:w="3261" w:type="dxa"/>
            <w:tcBorders>
              <w:top w:val="single" w:sz="5" w:space="0" w:color="000000"/>
              <w:left w:val="single" w:sz="5" w:space="0" w:color="000000"/>
              <w:bottom w:val="single" w:sz="5" w:space="0" w:color="000000"/>
              <w:right w:val="single" w:sz="5" w:space="0" w:color="000000"/>
            </w:tcBorders>
          </w:tcPr>
          <w:p w14:paraId="57DBA2C9" w14:textId="476A3674" w:rsidR="00840AAB" w:rsidRPr="009D62D5" w:rsidRDefault="00840AAB" w:rsidP="00646E14">
            <w:pPr>
              <w:numPr>
                <w:ilvl w:val="12"/>
                <w:numId w:val="0"/>
              </w:numPr>
              <w:rPr>
                <w:rFonts w:ascii="Times New Roman" w:hAnsi="Times New Roman" w:cs="Times New Roman"/>
                <w:lang w:val="sl-SI"/>
              </w:rPr>
            </w:pPr>
            <w:r w:rsidRPr="009D62D5">
              <w:rPr>
                <w:rFonts w:ascii="Times New Roman" w:hAnsi="Times New Roman" w:cs="Times New Roman"/>
                <w:lang w:val="sl-SI"/>
              </w:rPr>
              <w:t>Prvi odmerek je 80 mg (</w:t>
            </w:r>
            <w:r w:rsidR="003F27D3" w:rsidRPr="003F27D3">
              <w:rPr>
                <w:rFonts w:ascii="Times New Roman" w:hAnsi="Times New Roman" w:cs="Times New Roman"/>
                <w:lang w:val="sl-SI"/>
              </w:rPr>
              <w:t xml:space="preserve">ene 80 mg injekcije </w:t>
            </w:r>
            <w:r w:rsidRPr="009D62D5">
              <w:rPr>
                <w:rFonts w:ascii="Times New Roman" w:hAnsi="Times New Roman" w:cs="Times New Roman"/>
                <w:lang w:val="sl-SI"/>
              </w:rPr>
              <w:t>v enem dnevu), čemur sledi 40 mg (ena 40 mg injekcija) dva tedna pozneje.</w:t>
            </w:r>
          </w:p>
          <w:p w14:paraId="2000ED3C" w14:textId="77777777" w:rsidR="00840AAB" w:rsidRPr="009D62D5" w:rsidRDefault="00840AAB" w:rsidP="00646E14">
            <w:pPr>
              <w:numPr>
                <w:ilvl w:val="12"/>
                <w:numId w:val="0"/>
              </w:numPr>
              <w:rPr>
                <w:rFonts w:ascii="Times New Roman" w:hAnsi="Times New Roman" w:cs="Times New Roman"/>
                <w:lang w:val="sl-SI"/>
              </w:rPr>
            </w:pPr>
          </w:p>
          <w:p w14:paraId="5E99E612" w14:textId="6A7178F2" w:rsidR="00840AAB" w:rsidRPr="009D62D5" w:rsidRDefault="0042635D" w:rsidP="004E161B">
            <w:pPr>
              <w:pStyle w:val="TableParagraph"/>
              <w:spacing w:line="246" w:lineRule="exact"/>
              <w:ind w:right="57"/>
              <w:rPr>
                <w:rFonts w:ascii="Times New Roman" w:eastAsia="Times New Roman" w:hAnsi="Times New Roman" w:cs="Times New Roman"/>
                <w:spacing w:val="-1"/>
                <w:lang w:val="sl-SI"/>
              </w:rPr>
            </w:pPr>
            <w:r>
              <w:rPr>
                <w:rFonts w:ascii="Times New Roman" w:hAnsi="Times New Roman" w:cs="Times New Roman"/>
                <w:lang w:val="sl-SI"/>
              </w:rPr>
              <w:t>Nato</w:t>
            </w:r>
            <w:r w:rsidR="00840AAB" w:rsidRPr="009D62D5">
              <w:rPr>
                <w:rFonts w:ascii="Times New Roman" w:hAnsi="Times New Roman" w:cs="Times New Roman"/>
                <w:lang w:val="sl-SI"/>
              </w:rPr>
              <w:t xml:space="preserve"> je običajni odmerek 40 mg vsak drugi teden.</w:t>
            </w:r>
          </w:p>
        </w:tc>
        <w:tc>
          <w:tcPr>
            <w:tcW w:w="3296" w:type="dxa"/>
            <w:tcBorders>
              <w:top w:val="single" w:sz="5" w:space="0" w:color="000000"/>
              <w:left w:val="single" w:sz="5" w:space="0" w:color="000000"/>
              <w:bottom w:val="single" w:sz="5" w:space="0" w:color="000000"/>
              <w:right w:val="single" w:sz="5" w:space="0" w:color="000000"/>
            </w:tcBorders>
          </w:tcPr>
          <w:p w14:paraId="511C211F" w14:textId="77777777" w:rsidR="00840AAB" w:rsidRPr="009D62D5" w:rsidRDefault="00840AAB" w:rsidP="00646E14">
            <w:pPr>
              <w:pStyle w:val="TableParagraph"/>
              <w:spacing w:line="246" w:lineRule="exact"/>
              <w:ind w:left="102" w:right="57"/>
              <w:rPr>
                <w:rFonts w:ascii="Times New Roman" w:eastAsia="Times New Roman" w:hAnsi="Times New Roman" w:cs="Times New Roman"/>
                <w:spacing w:val="-1"/>
                <w:lang w:val="sl-SI"/>
              </w:rPr>
            </w:pPr>
            <w:r w:rsidRPr="009D62D5">
              <w:rPr>
                <w:rFonts w:ascii="Times New Roman" w:hAnsi="Times New Roman" w:cs="Times New Roman"/>
                <w:lang w:val="sl-SI"/>
              </w:rPr>
              <w:t xml:space="preserve">Tudi po dopolnjenem 18. letu starosti še naprej jemljite zdravilo </w:t>
            </w:r>
            <w:r>
              <w:rPr>
                <w:rFonts w:ascii="Times New Roman" w:hAnsi="Times New Roman" w:cs="Times New Roman"/>
                <w:lang w:val="sl-SI"/>
              </w:rPr>
              <w:t>Yuflyma</w:t>
            </w:r>
            <w:r w:rsidRPr="009D62D5">
              <w:rPr>
                <w:rFonts w:ascii="Times New Roman" w:hAnsi="Times New Roman" w:cs="Times New Roman"/>
                <w:lang w:val="sl-SI"/>
              </w:rPr>
              <w:t xml:space="preserve"> v svojem običajnem odmerku.</w:t>
            </w:r>
          </w:p>
        </w:tc>
      </w:tr>
      <w:tr w:rsidR="00840AAB" w:rsidRPr="00652F18" w14:paraId="4A651171" w14:textId="77777777" w:rsidTr="002B7ECD">
        <w:trPr>
          <w:trHeight w:val="20"/>
        </w:trPr>
        <w:tc>
          <w:tcPr>
            <w:tcW w:w="2731" w:type="dxa"/>
            <w:tcBorders>
              <w:top w:val="single" w:sz="5" w:space="0" w:color="000000"/>
              <w:left w:val="single" w:sz="5" w:space="0" w:color="000000"/>
              <w:bottom w:val="single" w:sz="5" w:space="0" w:color="000000"/>
              <w:right w:val="single" w:sz="5" w:space="0" w:color="000000"/>
            </w:tcBorders>
          </w:tcPr>
          <w:p w14:paraId="1C7F1A32" w14:textId="77777777" w:rsidR="00840AAB" w:rsidRPr="009D62D5" w:rsidRDefault="00840AAB" w:rsidP="00646E14">
            <w:pPr>
              <w:pStyle w:val="TableParagraph"/>
              <w:spacing w:line="246" w:lineRule="exact"/>
              <w:ind w:left="102" w:right="57"/>
              <w:rPr>
                <w:rFonts w:ascii="Times New Roman" w:eastAsia="Times New Roman" w:hAnsi="Times New Roman" w:cs="Times New Roman"/>
                <w:spacing w:val="-1"/>
                <w:lang w:val="sl-SI"/>
              </w:rPr>
            </w:pPr>
            <w:r w:rsidRPr="009D62D5">
              <w:rPr>
                <w:rFonts w:ascii="Times New Roman" w:hAnsi="Times New Roman" w:cs="Times New Roman"/>
                <w:lang w:val="sl-SI"/>
              </w:rPr>
              <w:t>Otroci in mladostniki, starejši od 6 letod 6 leta starosti, ki tehtajo 40 kg ali več</w:t>
            </w:r>
          </w:p>
        </w:tc>
        <w:tc>
          <w:tcPr>
            <w:tcW w:w="3261" w:type="dxa"/>
            <w:tcBorders>
              <w:top w:val="single" w:sz="5" w:space="0" w:color="000000"/>
              <w:left w:val="single" w:sz="5" w:space="0" w:color="000000"/>
              <w:bottom w:val="single" w:sz="5" w:space="0" w:color="000000"/>
              <w:right w:val="single" w:sz="5" w:space="0" w:color="000000"/>
            </w:tcBorders>
          </w:tcPr>
          <w:p w14:paraId="531CB9BE" w14:textId="2532D11A" w:rsidR="00840AAB" w:rsidRPr="009D62D5" w:rsidRDefault="00840AAB" w:rsidP="00646E14">
            <w:pPr>
              <w:numPr>
                <w:ilvl w:val="12"/>
                <w:numId w:val="0"/>
              </w:numPr>
              <w:rPr>
                <w:rFonts w:ascii="Times New Roman" w:hAnsi="Times New Roman" w:cs="Times New Roman"/>
                <w:lang w:val="sl-SI"/>
              </w:rPr>
            </w:pPr>
            <w:r w:rsidRPr="009D62D5">
              <w:rPr>
                <w:rFonts w:ascii="Times New Roman" w:hAnsi="Times New Roman" w:cs="Times New Roman"/>
                <w:lang w:val="sl-SI"/>
              </w:rPr>
              <w:t>Prvi odmerek je 160 mg (</w:t>
            </w:r>
            <w:r w:rsidR="003F27D3" w:rsidRPr="003F27D3">
              <w:rPr>
                <w:rFonts w:ascii="Times New Roman" w:hAnsi="Times New Roman" w:cs="Times New Roman"/>
                <w:lang w:val="sl-SI"/>
              </w:rPr>
              <w:t xml:space="preserve">dveh 80 mg injekcij </w:t>
            </w:r>
            <w:r w:rsidRPr="009D62D5">
              <w:rPr>
                <w:rFonts w:ascii="Times New Roman" w:hAnsi="Times New Roman" w:cs="Times New Roman"/>
                <w:lang w:val="sl-SI"/>
              </w:rPr>
              <w:t xml:space="preserve">v enem dnevu ali </w:t>
            </w:r>
            <w:r w:rsidR="003F27D3" w:rsidRPr="003F27D3">
              <w:rPr>
                <w:rFonts w:ascii="Times New Roman" w:hAnsi="Times New Roman" w:cs="Times New Roman"/>
                <w:lang w:val="sl-SI"/>
              </w:rPr>
              <w:t xml:space="preserve">ene 80 mg injekcije </w:t>
            </w:r>
            <w:r w:rsidRPr="009D62D5">
              <w:rPr>
                <w:rFonts w:ascii="Times New Roman" w:hAnsi="Times New Roman" w:cs="Times New Roman"/>
                <w:lang w:val="sl-SI"/>
              </w:rPr>
              <w:t>na dan dva zaporedna dneva), čemur sledi 80 mg (</w:t>
            </w:r>
            <w:r w:rsidR="003F27D3" w:rsidRPr="003F27D3">
              <w:rPr>
                <w:rFonts w:ascii="Times New Roman" w:hAnsi="Times New Roman" w:cs="Times New Roman"/>
                <w:lang w:val="sl-SI"/>
              </w:rPr>
              <w:t xml:space="preserve">ene 80 mg injekcije </w:t>
            </w:r>
            <w:r w:rsidRPr="009D62D5">
              <w:rPr>
                <w:rFonts w:ascii="Times New Roman" w:hAnsi="Times New Roman" w:cs="Times New Roman"/>
                <w:lang w:val="sl-SI"/>
              </w:rPr>
              <w:t>v enem dnevu) dva tedna pozneje.</w:t>
            </w:r>
          </w:p>
          <w:p w14:paraId="100E961A" w14:textId="77777777" w:rsidR="00840AAB" w:rsidRPr="009D62D5" w:rsidRDefault="00840AAB" w:rsidP="00646E14">
            <w:pPr>
              <w:numPr>
                <w:ilvl w:val="12"/>
                <w:numId w:val="0"/>
              </w:numPr>
              <w:rPr>
                <w:rFonts w:ascii="Times New Roman" w:hAnsi="Times New Roman" w:cs="Times New Roman"/>
                <w:lang w:val="sl-SI"/>
              </w:rPr>
            </w:pPr>
          </w:p>
          <w:p w14:paraId="1AA12263" w14:textId="1E39D992" w:rsidR="00840AAB" w:rsidRPr="009D62D5" w:rsidRDefault="00840AAB" w:rsidP="00646E14">
            <w:pPr>
              <w:pStyle w:val="TableParagraph"/>
              <w:spacing w:line="246" w:lineRule="exact"/>
              <w:ind w:right="57"/>
              <w:rPr>
                <w:rFonts w:ascii="Times New Roman" w:eastAsia="Times New Roman" w:hAnsi="Times New Roman" w:cs="Times New Roman"/>
                <w:spacing w:val="-1"/>
                <w:lang w:val="sl-SI"/>
              </w:rPr>
            </w:pPr>
            <w:r w:rsidRPr="009D62D5">
              <w:rPr>
                <w:rFonts w:ascii="Times New Roman" w:hAnsi="Times New Roman" w:cs="Times New Roman"/>
                <w:lang w:val="sl-SI"/>
              </w:rPr>
              <w:t>Nato je običajni odmerek 80 mg vsak drugi teden.</w:t>
            </w:r>
          </w:p>
        </w:tc>
        <w:tc>
          <w:tcPr>
            <w:tcW w:w="3296" w:type="dxa"/>
            <w:tcBorders>
              <w:top w:val="single" w:sz="5" w:space="0" w:color="000000"/>
              <w:left w:val="single" w:sz="5" w:space="0" w:color="000000"/>
              <w:bottom w:val="single" w:sz="5" w:space="0" w:color="000000"/>
              <w:right w:val="single" w:sz="5" w:space="0" w:color="000000"/>
            </w:tcBorders>
          </w:tcPr>
          <w:p w14:paraId="32B0F99F" w14:textId="77777777" w:rsidR="00840AAB" w:rsidRPr="009D62D5" w:rsidRDefault="00840AAB" w:rsidP="00646E14">
            <w:pPr>
              <w:pStyle w:val="TableParagraph"/>
              <w:spacing w:line="246" w:lineRule="exact"/>
              <w:ind w:left="102" w:right="57"/>
              <w:rPr>
                <w:rFonts w:ascii="Times New Roman" w:eastAsia="Times New Roman" w:hAnsi="Times New Roman" w:cs="Times New Roman"/>
                <w:spacing w:val="-1"/>
                <w:lang w:val="sl-SI"/>
              </w:rPr>
            </w:pPr>
            <w:r w:rsidRPr="009D62D5">
              <w:rPr>
                <w:rFonts w:ascii="Times New Roman" w:hAnsi="Times New Roman" w:cs="Times New Roman"/>
                <w:lang w:val="sl-SI"/>
              </w:rPr>
              <w:t xml:space="preserve">Tudi po dopolnjenem 18. letu starosti še naprej jemljite zdravilo </w:t>
            </w:r>
            <w:r>
              <w:rPr>
                <w:rFonts w:ascii="Times New Roman" w:hAnsi="Times New Roman" w:cs="Times New Roman"/>
                <w:lang w:val="sl-SI"/>
              </w:rPr>
              <w:t>Yuflyma</w:t>
            </w:r>
            <w:r w:rsidRPr="009D62D5">
              <w:rPr>
                <w:rFonts w:ascii="Times New Roman" w:hAnsi="Times New Roman" w:cs="Times New Roman"/>
                <w:lang w:val="sl-SI"/>
              </w:rPr>
              <w:t xml:space="preserve"> v svojem običajnem odmerku.</w:t>
            </w:r>
          </w:p>
        </w:tc>
      </w:tr>
    </w:tbl>
    <w:p w14:paraId="225AFD3C" w14:textId="77777777" w:rsidR="00840AAB" w:rsidRDefault="00840AAB" w:rsidP="00840AAB">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2731"/>
        <w:gridCol w:w="3261"/>
        <w:gridCol w:w="3296"/>
      </w:tblGrid>
      <w:tr w:rsidR="00840AAB" w14:paraId="16D97A2D" w14:textId="77777777" w:rsidTr="00646E14">
        <w:trPr>
          <w:trHeight w:val="20"/>
        </w:trPr>
        <w:tc>
          <w:tcPr>
            <w:tcW w:w="9288" w:type="dxa"/>
            <w:gridSpan w:val="3"/>
            <w:tcBorders>
              <w:top w:val="single" w:sz="5" w:space="0" w:color="000000"/>
              <w:left w:val="single" w:sz="5" w:space="0" w:color="000000"/>
              <w:bottom w:val="single" w:sz="5" w:space="0" w:color="000000"/>
              <w:right w:val="single" w:sz="5" w:space="0" w:color="000000"/>
            </w:tcBorders>
          </w:tcPr>
          <w:p w14:paraId="17B1B0D4" w14:textId="77777777" w:rsidR="00840AAB" w:rsidRDefault="00840AAB" w:rsidP="00646E14">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Neinfekcijski uveitis</w:t>
            </w:r>
          </w:p>
        </w:tc>
      </w:tr>
      <w:tr w:rsidR="00840AAB" w14:paraId="6F47E792" w14:textId="77777777" w:rsidTr="002B7ECD">
        <w:trPr>
          <w:trHeight w:val="20"/>
        </w:trPr>
        <w:tc>
          <w:tcPr>
            <w:tcW w:w="2731" w:type="dxa"/>
            <w:tcBorders>
              <w:top w:val="single" w:sz="5" w:space="0" w:color="000000"/>
              <w:left w:val="single" w:sz="5" w:space="0" w:color="000000"/>
              <w:bottom w:val="single" w:sz="5" w:space="0" w:color="000000"/>
              <w:right w:val="single" w:sz="5" w:space="0" w:color="000000"/>
            </w:tcBorders>
          </w:tcPr>
          <w:p w14:paraId="3030DCED"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261" w:type="dxa"/>
            <w:tcBorders>
              <w:top w:val="single" w:sz="5" w:space="0" w:color="000000"/>
              <w:left w:val="single" w:sz="5" w:space="0" w:color="000000"/>
              <w:bottom w:val="single" w:sz="5" w:space="0" w:color="000000"/>
              <w:right w:val="single" w:sz="5" w:space="0" w:color="000000"/>
            </w:tcBorders>
          </w:tcPr>
          <w:p w14:paraId="5D983C00"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3442A5EA" w14:textId="77777777" w:rsidR="00840AAB" w:rsidRDefault="00840AAB" w:rsidP="00646E14">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296" w:type="dxa"/>
            <w:tcBorders>
              <w:top w:val="single" w:sz="5" w:space="0" w:color="000000"/>
              <w:left w:val="single" w:sz="5" w:space="0" w:color="000000"/>
              <w:bottom w:val="single" w:sz="5" w:space="0" w:color="000000"/>
              <w:right w:val="single" w:sz="5" w:space="0" w:color="000000"/>
            </w:tcBorders>
          </w:tcPr>
          <w:p w14:paraId="7BE3DAA5"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840AAB" w:rsidRPr="00652F18" w14:paraId="0EA226C2" w14:textId="77777777" w:rsidTr="002B7ECD">
        <w:trPr>
          <w:trHeight w:val="20"/>
        </w:trPr>
        <w:tc>
          <w:tcPr>
            <w:tcW w:w="2731" w:type="dxa"/>
            <w:tcBorders>
              <w:top w:val="single" w:sz="5" w:space="0" w:color="000000"/>
              <w:left w:val="single" w:sz="5" w:space="0" w:color="000000"/>
              <w:bottom w:val="single" w:sz="5" w:space="0" w:color="000000"/>
              <w:right w:val="single" w:sz="5" w:space="0" w:color="000000"/>
            </w:tcBorders>
          </w:tcPr>
          <w:p w14:paraId="348BC127" w14:textId="7777777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Odrasli</w:t>
            </w:r>
          </w:p>
        </w:tc>
        <w:tc>
          <w:tcPr>
            <w:tcW w:w="3261" w:type="dxa"/>
            <w:tcBorders>
              <w:top w:val="single" w:sz="5" w:space="0" w:color="000000"/>
              <w:left w:val="single" w:sz="5" w:space="0" w:color="000000"/>
              <w:bottom w:val="single" w:sz="5" w:space="0" w:color="000000"/>
              <w:right w:val="single" w:sz="5" w:space="0" w:color="000000"/>
            </w:tcBorders>
          </w:tcPr>
          <w:p w14:paraId="24F1579C" w14:textId="27F77088" w:rsidR="00840AAB" w:rsidRDefault="00840AAB" w:rsidP="00646E14">
            <w:pPr>
              <w:pStyle w:val="TableParagraph"/>
              <w:spacing w:before="1" w:line="254" w:lineRule="exact"/>
              <w:ind w:left="102" w:right="51"/>
              <w:rPr>
                <w:rFonts w:ascii="Times New Roman" w:eastAsia="Times New Roman" w:hAnsi="Times New Roman" w:cs="Times New Roman"/>
                <w:lang w:val="sl-SI"/>
              </w:rPr>
            </w:pPr>
            <w:r>
              <w:rPr>
                <w:rFonts w:ascii="Times New Roman" w:eastAsia="Times New Roman" w:hAnsi="Times New Roman" w:cs="Times New Roman"/>
                <w:spacing w:val="-1"/>
                <w:lang w:val="sl-SI"/>
              </w:rPr>
              <w:t>Prvi odmerek 80 mg (</w:t>
            </w:r>
            <w:r w:rsidR="003F27D3" w:rsidRPr="003F27D3">
              <w:rPr>
                <w:rFonts w:ascii="Times New Roman" w:eastAsia="Times New Roman" w:hAnsi="Times New Roman" w:cs="Times New Roman"/>
                <w:spacing w:val="-1"/>
                <w:lang w:val="sl-SI"/>
              </w:rPr>
              <w:t xml:space="preserve">ene 80 mg injekcije </w:t>
            </w:r>
            <w:r>
              <w:rPr>
                <w:rFonts w:ascii="Times New Roman" w:eastAsia="Times New Roman" w:hAnsi="Times New Roman" w:cs="Times New Roman"/>
                <w:spacing w:val="-1"/>
                <w:lang w:val="sl-SI"/>
              </w:rPr>
              <w:t>v enem dnevu), ki mu sledi 40 mg vsak drugi teden, z začetkom en teden po začetnem</w:t>
            </w:r>
          </w:p>
          <w:p w14:paraId="59BAB4D7" w14:textId="77777777" w:rsidR="00840AAB" w:rsidRDefault="00840AAB" w:rsidP="00646E14">
            <w:pPr>
              <w:pStyle w:val="TableParagraph"/>
              <w:spacing w:before="1"/>
              <w:ind w:left="102" w:right="57"/>
              <w:rPr>
                <w:rFonts w:ascii="Times New Roman" w:eastAsia="Times New Roman" w:hAnsi="Times New Roman" w:cs="Times New Roman"/>
                <w:lang w:val="sl-SI"/>
              </w:rPr>
            </w:pPr>
            <w:r>
              <w:rPr>
                <w:rFonts w:ascii="Times New Roman" w:eastAsia="Times New Roman" w:hAnsi="Times New Roman" w:cs="Times New Roman"/>
                <w:lang w:val="sl-SI"/>
              </w:rPr>
              <w:t>odmerku.</w:t>
            </w:r>
          </w:p>
        </w:tc>
        <w:tc>
          <w:tcPr>
            <w:tcW w:w="3296" w:type="dxa"/>
            <w:tcBorders>
              <w:top w:val="single" w:sz="5" w:space="0" w:color="000000"/>
              <w:left w:val="single" w:sz="5" w:space="0" w:color="000000"/>
              <w:bottom w:val="single" w:sz="5" w:space="0" w:color="000000"/>
              <w:right w:val="single" w:sz="5" w:space="0" w:color="000000"/>
            </w:tcBorders>
          </w:tcPr>
          <w:p w14:paraId="6AB88CA5" w14:textId="7777777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Kortikosteroidi ali druga zdravila, ki vplivajo na imunski sistem, se lahko še nadalje uporabljajo ob uporabi zdravila Yuflyma.</w:t>
            </w:r>
          </w:p>
          <w:p w14:paraId="44F88F66" w14:textId="77777777" w:rsidR="00840AAB" w:rsidRDefault="00840AAB" w:rsidP="00646E14">
            <w:pPr>
              <w:pStyle w:val="TableParagraph"/>
              <w:spacing w:before="1"/>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Zdravilo Yuflyma se lahko daje tudi samostojno.</w:t>
            </w:r>
          </w:p>
        </w:tc>
      </w:tr>
      <w:tr w:rsidR="00840AAB" w:rsidRPr="00652F18" w14:paraId="769207E3" w14:textId="77777777" w:rsidTr="00BE3BDD">
        <w:trPr>
          <w:trHeight w:val="1905"/>
        </w:trPr>
        <w:tc>
          <w:tcPr>
            <w:tcW w:w="2731" w:type="dxa"/>
            <w:tcBorders>
              <w:top w:val="single" w:sz="5" w:space="0" w:color="000000"/>
              <w:left w:val="single" w:sz="5" w:space="0" w:color="000000"/>
              <w:bottom w:val="single" w:sz="5" w:space="0" w:color="000000"/>
              <w:right w:val="single" w:sz="5" w:space="0" w:color="000000"/>
            </w:tcBorders>
          </w:tcPr>
          <w:p w14:paraId="37FFE013" w14:textId="3ADD515D" w:rsidR="00840AAB" w:rsidRDefault="00840AAB" w:rsidP="00BE3BDD">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Otroci in mladostniki, starejši od</w:t>
            </w:r>
            <w:r w:rsidR="00CE0F3E">
              <w:rPr>
                <w:rFonts w:ascii="Times New Roman" w:eastAsia="Times New Roman" w:hAnsi="Times New Roman" w:cs="Times New Roman"/>
                <w:spacing w:val="-1"/>
                <w:lang w:val="sl-SI"/>
              </w:rPr>
              <w:t xml:space="preserve"> </w:t>
            </w:r>
            <w:r>
              <w:rPr>
                <w:rFonts w:ascii="Times New Roman" w:eastAsia="Times New Roman" w:hAnsi="Times New Roman" w:cs="Times New Roman"/>
                <w:lang w:val="sl-SI"/>
              </w:rPr>
              <w:t>2 let, s telesno maso vsaj 30 kg</w:t>
            </w:r>
          </w:p>
        </w:tc>
        <w:tc>
          <w:tcPr>
            <w:tcW w:w="3261" w:type="dxa"/>
            <w:tcBorders>
              <w:top w:val="single" w:sz="5" w:space="0" w:color="000000"/>
              <w:left w:val="single" w:sz="5" w:space="0" w:color="000000"/>
              <w:bottom w:val="single" w:sz="5" w:space="0" w:color="000000"/>
              <w:right w:val="single" w:sz="5" w:space="0" w:color="000000"/>
            </w:tcBorders>
          </w:tcPr>
          <w:p w14:paraId="6E440ED8" w14:textId="78B33218" w:rsidR="00840AAB" w:rsidRDefault="008F6B8C"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lang w:val="sl-SI"/>
              </w:rPr>
              <w:t>20 </w:t>
            </w:r>
            <w:r w:rsidR="00840AAB">
              <w:rPr>
                <w:rFonts w:ascii="Times New Roman" w:eastAsia="Times New Roman" w:hAnsi="Times New Roman" w:cs="Times New Roman"/>
                <w:lang w:val="sl-SI"/>
              </w:rPr>
              <w:t>mg vsak drugi teden</w:t>
            </w:r>
          </w:p>
        </w:tc>
        <w:tc>
          <w:tcPr>
            <w:tcW w:w="3296" w:type="dxa"/>
            <w:tcBorders>
              <w:top w:val="single" w:sz="5" w:space="0" w:color="000000"/>
              <w:left w:val="single" w:sz="5" w:space="0" w:color="000000"/>
              <w:bottom w:val="single" w:sz="5" w:space="0" w:color="000000"/>
              <w:right w:val="single" w:sz="5" w:space="0" w:color="000000"/>
            </w:tcBorders>
          </w:tcPr>
          <w:p w14:paraId="43FA5B6C" w14:textId="4391FE6F"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Zdravnik lahko predpiše začetni odmerek </w:t>
            </w:r>
            <w:r w:rsidR="008F6B8C">
              <w:rPr>
                <w:rFonts w:ascii="Times New Roman" w:eastAsia="Times New Roman" w:hAnsi="Times New Roman" w:cs="Times New Roman"/>
                <w:spacing w:val="-1"/>
                <w:lang w:val="sl-SI"/>
              </w:rPr>
              <w:t>4</w:t>
            </w:r>
            <w:r>
              <w:rPr>
                <w:rFonts w:ascii="Times New Roman" w:eastAsia="Times New Roman" w:hAnsi="Times New Roman" w:cs="Times New Roman"/>
                <w:spacing w:val="-1"/>
                <w:lang w:val="sl-SI"/>
              </w:rPr>
              <w:t xml:space="preserve">0 mg, ki se ga lahko uporabi en teden pred začetkom zdravljenja z običajnim odmerkom </w:t>
            </w:r>
            <w:r w:rsidR="008F6B8C">
              <w:rPr>
                <w:rFonts w:ascii="Times New Roman" w:eastAsia="Times New Roman" w:hAnsi="Times New Roman" w:cs="Times New Roman"/>
                <w:lang w:val="sl-SI"/>
              </w:rPr>
              <w:t>2</w:t>
            </w:r>
            <w:r>
              <w:rPr>
                <w:rFonts w:ascii="Times New Roman" w:eastAsia="Times New Roman" w:hAnsi="Times New Roman" w:cs="Times New Roman"/>
                <w:lang w:val="sl-SI"/>
              </w:rPr>
              <w:t>0 mg vsak drugi teden</w:t>
            </w:r>
            <w:r w:rsidR="008F6B8C">
              <w:rPr>
                <w:rFonts w:ascii="Times New Roman" w:eastAsia="Times New Roman" w:hAnsi="Times New Roman" w:cs="Times New Roman"/>
                <w:lang w:val="sl-SI"/>
              </w:rPr>
              <w:t>.</w:t>
            </w:r>
            <w:r>
              <w:rPr>
                <w:rFonts w:ascii="Times New Roman" w:eastAsia="Times New Roman" w:hAnsi="Times New Roman" w:cs="Times New Roman"/>
                <w:lang w:val="sl-SI"/>
              </w:rPr>
              <w:t xml:space="preserve"> Zdravilo Yuflyma se priporoča za uporabo v kombinaciji z metotreksatom.</w:t>
            </w:r>
          </w:p>
        </w:tc>
      </w:tr>
      <w:tr w:rsidR="00CE0F3E" w:rsidRPr="00652F18" w14:paraId="0E4DB3E0" w14:textId="77777777" w:rsidTr="002B7ECD">
        <w:trPr>
          <w:trHeight w:val="20"/>
        </w:trPr>
        <w:tc>
          <w:tcPr>
            <w:tcW w:w="2731" w:type="dxa"/>
            <w:tcBorders>
              <w:top w:val="single" w:sz="5" w:space="0" w:color="000000"/>
              <w:left w:val="single" w:sz="5" w:space="0" w:color="000000"/>
              <w:bottom w:val="single" w:sz="5" w:space="0" w:color="000000"/>
              <w:right w:val="single" w:sz="5" w:space="0" w:color="000000"/>
            </w:tcBorders>
          </w:tcPr>
          <w:p w14:paraId="4429AADF" w14:textId="0A3689E8" w:rsidR="00CE0F3E" w:rsidRDefault="00CE0F3E" w:rsidP="00CE0F3E">
            <w:pPr>
              <w:pStyle w:val="TableParagraph"/>
              <w:spacing w:line="246" w:lineRule="exact"/>
              <w:ind w:left="102" w:right="57"/>
              <w:rPr>
                <w:rFonts w:ascii="Times New Roman" w:eastAsia="Times New Roman" w:hAnsi="Times New Roman" w:cs="Times New Roman"/>
                <w:spacing w:val="-1"/>
                <w:lang w:val="sl-SI"/>
              </w:rPr>
            </w:pPr>
            <w:r w:rsidRPr="00CE0F3E">
              <w:rPr>
                <w:rFonts w:ascii="Times New Roman" w:eastAsia="Times New Roman" w:hAnsi="Times New Roman" w:cs="Times New Roman"/>
                <w:spacing w:val="-1"/>
                <w:lang w:val="sl-SI"/>
              </w:rPr>
              <w:t>Otroci in mladostniki, starejši</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od 2 let, ki tehtajo 30 kg ali več</w:t>
            </w:r>
          </w:p>
        </w:tc>
        <w:tc>
          <w:tcPr>
            <w:tcW w:w="3261" w:type="dxa"/>
            <w:tcBorders>
              <w:top w:val="single" w:sz="5" w:space="0" w:color="000000"/>
              <w:left w:val="single" w:sz="5" w:space="0" w:color="000000"/>
              <w:bottom w:val="single" w:sz="5" w:space="0" w:color="000000"/>
              <w:right w:val="single" w:sz="5" w:space="0" w:color="000000"/>
            </w:tcBorders>
          </w:tcPr>
          <w:p w14:paraId="0D8CF685" w14:textId="30EA6DE1" w:rsidR="00CE0F3E" w:rsidRDefault="00CE0F3E" w:rsidP="00CE0F3E">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lang w:val="sl-SI"/>
              </w:rPr>
              <w:t>40 mg vsak drugi teden</w:t>
            </w:r>
          </w:p>
        </w:tc>
        <w:tc>
          <w:tcPr>
            <w:tcW w:w="3296" w:type="dxa"/>
            <w:tcBorders>
              <w:top w:val="single" w:sz="5" w:space="0" w:color="000000"/>
              <w:left w:val="single" w:sz="5" w:space="0" w:color="000000"/>
              <w:bottom w:val="single" w:sz="5" w:space="0" w:color="000000"/>
              <w:right w:val="single" w:sz="5" w:space="0" w:color="000000"/>
            </w:tcBorders>
          </w:tcPr>
          <w:p w14:paraId="73DA070F" w14:textId="119885DD" w:rsidR="00CE0F3E" w:rsidRDefault="00CE0F3E" w:rsidP="00CE0F3E">
            <w:pPr>
              <w:pStyle w:val="TableParagraph"/>
              <w:spacing w:line="246" w:lineRule="exact"/>
              <w:ind w:left="102" w:right="57"/>
              <w:rPr>
                <w:rFonts w:ascii="Times New Roman" w:eastAsia="Times New Roman" w:hAnsi="Times New Roman" w:cs="Times New Roman"/>
                <w:spacing w:val="-1"/>
                <w:lang w:val="sl-SI"/>
              </w:rPr>
            </w:pPr>
            <w:r w:rsidRPr="00CE0F3E">
              <w:rPr>
                <w:rFonts w:ascii="Times New Roman" w:eastAsia="Times New Roman" w:hAnsi="Times New Roman" w:cs="Times New Roman"/>
                <w:spacing w:val="-1"/>
                <w:lang w:val="sl-SI"/>
              </w:rPr>
              <w:t>Zdravnik lahko predpiše</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začetni odmerek 80 mg, ki ga</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otrok prejme en teden pred</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začetkom zdravljenja z</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običajnim odmerkom 40 mg</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vsak drugi teden. Priporočljiva</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 xml:space="preserve">je uporaba zdravila </w:t>
            </w:r>
            <w:r>
              <w:rPr>
                <w:rFonts w:ascii="Times New Roman" w:eastAsia="Times New Roman" w:hAnsi="Times New Roman" w:cs="Times New Roman"/>
                <w:spacing w:val="-1"/>
                <w:lang w:val="sl-SI"/>
              </w:rPr>
              <w:t>Yuflyma</w:t>
            </w:r>
            <w:r w:rsidRPr="00CE0F3E">
              <w:rPr>
                <w:rFonts w:ascii="Times New Roman" w:eastAsia="Times New Roman" w:hAnsi="Times New Roman" w:cs="Times New Roman"/>
                <w:spacing w:val="-1"/>
                <w:lang w:val="sl-SI"/>
              </w:rPr>
              <w:t xml:space="preserve"> v</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kombinaciji z metotreksatom</w:t>
            </w:r>
            <w:r>
              <w:rPr>
                <w:rFonts w:ascii="Times New Roman" w:eastAsia="Times New Roman" w:hAnsi="Times New Roman" w:cs="Times New Roman"/>
                <w:spacing w:val="-1"/>
                <w:lang w:val="sl-SI"/>
              </w:rPr>
              <w:t>.</w:t>
            </w:r>
          </w:p>
        </w:tc>
      </w:tr>
    </w:tbl>
    <w:p w14:paraId="5B457E82" w14:textId="77777777" w:rsidR="00840AAB" w:rsidRDefault="00840AAB" w:rsidP="00840AAB">
      <w:pPr>
        <w:pStyle w:val="a3"/>
        <w:rPr>
          <w:lang w:val="sl-SI"/>
        </w:rPr>
      </w:pPr>
    </w:p>
    <w:p w14:paraId="14132290" w14:textId="77777777" w:rsidR="00840AAB" w:rsidRDefault="00840AAB" w:rsidP="00840AAB">
      <w:pPr>
        <w:pStyle w:val="a3"/>
        <w:rPr>
          <w:b/>
          <w:lang w:val="sl-SI"/>
        </w:rPr>
      </w:pPr>
      <w:r>
        <w:rPr>
          <w:rFonts w:eastAsia="Times New Roman"/>
          <w:b/>
          <w:bCs/>
          <w:lang w:val="sl-SI"/>
        </w:rPr>
        <w:t>Postopek in pot uporabe zdravila</w:t>
      </w:r>
    </w:p>
    <w:p w14:paraId="3D219FEA" w14:textId="77777777" w:rsidR="00840AAB" w:rsidRDefault="00840AAB" w:rsidP="00840AAB">
      <w:pPr>
        <w:spacing w:before="9" w:line="240" w:lineRule="exact"/>
        <w:rPr>
          <w:sz w:val="24"/>
          <w:szCs w:val="24"/>
          <w:lang w:val="sl-SI"/>
        </w:rPr>
      </w:pPr>
    </w:p>
    <w:p w14:paraId="4E00B74A" w14:textId="77777777" w:rsidR="00840AAB" w:rsidRDefault="00840AAB" w:rsidP="00840AAB">
      <w:pPr>
        <w:pStyle w:val="a3"/>
        <w:rPr>
          <w:lang w:val="sl-SI"/>
        </w:rPr>
      </w:pPr>
      <w:r>
        <w:rPr>
          <w:rFonts w:eastAsia="Times New Roman"/>
          <w:lang w:val="sl-SI"/>
        </w:rPr>
        <w:t>Zdravilo Yuflyma se injicira pod kožo (s subkutano injekcijo).</w:t>
      </w:r>
    </w:p>
    <w:p w14:paraId="0C845F36" w14:textId="77777777" w:rsidR="00840AAB" w:rsidRDefault="00840AAB" w:rsidP="00840AAB">
      <w:pPr>
        <w:spacing w:before="18" w:line="240" w:lineRule="exact"/>
        <w:rPr>
          <w:sz w:val="24"/>
          <w:szCs w:val="24"/>
          <w:lang w:val="sl-SI"/>
        </w:rPr>
      </w:pPr>
    </w:p>
    <w:p w14:paraId="4D455F7A" w14:textId="62FD64B7" w:rsidR="00840AAB" w:rsidRDefault="00840AAB" w:rsidP="00840AAB">
      <w:pPr>
        <w:pStyle w:val="a3"/>
        <w:rPr>
          <w:b/>
          <w:lang w:val="sl-SI"/>
        </w:rPr>
      </w:pPr>
      <w:r>
        <w:rPr>
          <w:rFonts w:eastAsia="Times New Roman"/>
          <w:b/>
          <w:bCs/>
          <w:lang w:val="sl-SI"/>
        </w:rPr>
        <w:t>Podrobna navodila o tem injiciranju zdravila Yuflyma so navedena v poglavju 7 „</w:t>
      </w:r>
      <w:r w:rsidRPr="00366D10">
        <w:rPr>
          <w:lang w:val="sl-SI"/>
        </w:rPr>
        <w:t xml:space="preserve"> </w:t>
      </w:r>
      <w:r w:rsidRPr="007F6B22">
        <w:rPr>
          <w:rFonts w:eastAsia="Times New Roman"/>
          <w:b/>
          <w:bCs/>
          <w:lang w:val="sl-SI"/>
        </w:rPr>
        <w:t>Navodila za uporabo</w:t>
      </w:r>
      <w:r>
        <w:rPr>
          <w:rFonts w:eastAsia="Times New Roman"/>
          <w:b/>
          <w:bCs/>
          <w:lang w:val="sl-SI"/>
        </w:rPr>
        <w:t>“.</w:t>
      </w:r>
    </w:p>
    <w:p w14:paraId="796CA262" w14:textId="77777777" w:rsidR="00840AAB" w:rsidRDefault="00840AAB" w:rsidP="00840AAB">
      <w:pPr>
        <w:pStyle w:val="a3"/>
        <w:rPr>
          <w:b/>
          <w:lang w:val="sl-SI"/>
        </w:rPr>
      </w:pPr>
    </w:p>
    <w:p w14:paraId="579E8C5A" w14:textId="77777777" w:rsidR="00840AAB" w:rsidRDefault="00840AAB" w:rsidP="00840AAB">
      <w:pPr>
        <w:pStyle w:val="a3"/>
        <w:rPr>
          <w:b/>
          <w:lang w:val="sl-SI"/>
        </w:rPr>
      </w:pPr>
      <w:r>
        <w:rPr>
          <w:rFonts w:eastAsia="Times New Roman"/>
          <w:b/>
          <w:bCs/>
          <w:lang w:val="sl-SI"/>
        </w:rPr>
        <w:t>Če ste uporabili večji odmerek zdravila Yuflyma, kot bi smeli</w:t>
      </w:r>
    </w:p>
    <w:p w14:paraId="787B312F" w14:textId="77777777" w:rsidR="00840AAB" w:rsidRDefault="00840AAB" w:rsidP="00840AAB">
      <w:pPr>
        <w:pStyle w:val="a3"/>
        <w:rPr>
          <w:lang w:val="sl-SI"/>
        </w:rPr>
      </w:pPr>
    </w:p>
    <w:p w14:paraId="291AC5C5" w14:textId="73CC7625" w:rsidR="00840AAB" w:rsidRDefault="00840AAB" w:rsidP="00840AAB">
      <w:pPr>
        <w:pStyle w:val="a3"/>
        <w:rPr>
          <w:lang w:val="sl-SI"/>
        </w:rPr>
      </w:pPr>
      <w:r>
        <w:rPr>
          <w:rFonts w:eastAsia="Times New Roman"/>
          <w:lang w:val="sl-SI"/>
        </w:rPr>
        <w:t xml:space="preserve">Če pomotoma injicirate zdravilo Yuflyma pogosteje, kot vam je naročil zdravnik ali farmacevt, se morate posvetovati z </w:t>
      </w:r>
      <w:r w:rsidR="0042635D">
        <w:rPr>
          <w:rFonts w:eastAsia="Times New Roman"/>
          <w:lang w:val="sl-SI"/>
        </w:rPr>
        <w:t>zdravnikom</w:t>
      </w:r>
      <w:r>
        <w:rPr>
          <w:rFonts w:eastAsia="Times New Roman"/>
          <w:lang w:val="sl-SI"/>
        </w:rPr>
        <w:t xml:space="preserve"> ali farmacevtom in mu povedati, da ste uporabili večji odmerek. Vedno vzemite s seboj zunanjo ovojnino zdravila, tudi če je prazna.</w:t>
      </w:r>
    </w:p>
    <w:p w14:paraId="0321ED6A" w14:textId="1A348774" w:rsidR="00840AAB" w:rsidRDefault="00840AAB" w:rsidP="00840AAB">
      <w:pPr>
        <w:spacing w:before="18" w:line="240" w:lineRule="exact"/>
        <w:rPr>
          <w:b/>
          <w:sz w:val="24"/>
          <w:szCs w:val="24"/>
          <w:lang w:val="sl-SI"/>
        </w:rPr>
      </w:pPr>
    </w:p>
    <w:p w14:paraId="479D9CA0" w14:textId="039716DB" w:rsidR="00840AAB" w:rsidRDefault="00840AAB" w:rsidP="00840AAB">
      <w:pPr>
        <w:pStyle w:val="a3"/>
        <w:rPr>
          <w:b/>
          <w:lang w:val="sl-SI"/>
        </w:rPr>
      </w:pPr>
      <w:r>
        <w:rPr>
          <w:rFonts w:eastAsia="Times New Roman"/>
          <w:b/>
          <w:bCs/>
          <w:lang w:val="sl-SI"/>
        </w:rPr>
        <w:t>Če ste pozabili uporabiti zdravilo Yuflyma</w:t>
      </w:r>
    </w:p>
    <w:p w14:paraId="048E8AE9" w14:textId="56547300" w:rsidR="00840AAB" w:rsidRDefault="00840AAB" w:rsidP="00840AAB">
      <w:pPr>
        <w:spacing w:before="9" w:line="240" w:lineRule="exact"/>
        <w:rPr>
          <w:sz w:val="24"/>
          <w:szCs w:val="24"/>
          <w:lang w:val="sl-SI"/>
        </w:rPr>
      </w:pPr>
    </w:p>
    <w:p w14:paraId="6B73BC85" w14:textId="36D2C763" w:rsidR="00840AAB" w:rsidRDefault="00840AAB" w:rsidP="00840AAB">
      <w:pPr>
        <w:pStyle w:val="a3"/>
        <w:rPr>
          <w:lang w:val="sl-SI"/>
        </w:rPr>
      </w:pPr>
      <w:r>
        <w:rPr>
          <w:rFonts w:eastAsia="Times New Roman"/>
          <w:lang w:val="sl-SI"/>
        </w:rPr>
        <w:t>Če si pozabite dati injekcijo, si morate naslednji odmerek zdravila Yuflyma injicirati, čim se spomnite. Nato uporabite naslednji odmerek, kot bi ga uporabili po prvotnem urniku injiciranja, če ne bi pozabili odmerka.</w:t>
      </w:r>
    </w:p>
    <w:p w14:paraId="52143D24" w14:textId="4F37EA8B" w:rsidR="00840AAB" w:rsidRDefault="00840AAB" w:rsidP="00840AAB">
      <w:pPr>
        <w:spacing w:before="18" w:line="240" w:lineRule="exact"/>
        <w:rPr>
          <w:sz w:val="24"/>
          <w:szCs w:val="24"/>
          <w:lang w:val="sl-SI"/>
        </w:rPr>
      </w:pPr>
    </w:p>
    <w:p w14:paraId="6D7A6D9C" w14:textId="08F4CC59" w:rsidR="00840AAB" w:rsidRDefault="00840AAB" w:rsidP="00840AAB">
      <w:pPr>
        <w:pStyle w:val="a3"/>
        <w:rPr>
          <w:b/>
          <w:lang w:val="sl-SI"/>
        </w:rPr>
      </w:pPr>
      <w:r>
        <w:rPr>
          <w:rFonts w:eastAsia="Times New Roman"/>
          <w:b/>
          <w:bCs/>
          <w:lang w:val="sl-SI"/>
        </w:rPr>
        <w:t>Če ste prenehali uporabljati zdravilo Yuflyma</w:t>
      </w:r>
    </w:p>
    <w:p w14:paraId="0CCBEA38" w14:textId="325015A0" w:rsidR="00840AAB" w:rsidRDefault="00840AAB" w:rsidP="00840AAB">
      <w:pPr>
        <w:spacing w:before="6" w:line="240" w:lineRule="exact"/>
        <w:rPr>
          <w:sz w:val="24"/>
          <w:szCs w:val="24"/>
          <w:lang w:val="sl-SI"/>
        </w:rPr>
      </w:pPr>
    </w:p>
    <w:p w14:paraId="05E5133B" w14:textId="048104D9" w:rsidR="00840AAB" w:rsidRDefault="00840AAB" w:rsidP="00840AAB">
      <w:pPr>
        <w:pStyle w:val="a3"/>
        <w:rPr>
          <w:lang w:val="sl-SI"/>
        </w:rPr>
      </w:pPr>
      <w:r>
        <w:rPr>
          <w:rFonts w:eastAsia="Times New Roman"/>
          <w:lang w:val="sl-SI"/>
        </w:rPr>
        <w:t>O odločitvi, da bi prenehali uporabljati zdravilo Yuflyma, se morate posvetovati s svojim zdravnikom. Vaši simptomi se lahko po prekinitvi uporabe zdravila Yuflyma povrnejo.</w:t>
      </w:r>
    </w:p>
    <w:p w14:paraId="401F6A58" w14:textId="77777777" w:rsidR="00840AAB" w:rsidRDefault="00840AAB" w:rsidP="00840AAB">
      <w:pPr>
        <w:spacing w:before="12" w:line="240" w:lineRule="exact"/>
        <w:rPr>
          <w:sz w:val="24"/>
          <w:szCs w:val="24"/>
          <w:lang w:val="sl-SI"/>
        </w:rPr>
      </w:pPr>
    </w:p>
    <w:p w14:paraId="103F7662" w14:textId="77777777" w:rsidR="00840AAB" w:rsidRDefault="00840AAB" w:rsidP="00840AAB">
      <w:pPr>
        <w:pStyle w:val="a3"/>
        <w:rPr>
          <w:lang w:val="sl-SI"/>
        </w:rPr>
      </w:pPr>
      <w:r>
        <w:rPr>
          <w:rFonts w:eastAsia="Times New Roman"/>
          <w:lang w:val="sl-SI"/>
        </w:rPr>
        <w:t>Če imate dodatna vprašanja o uporabi zdravila, se posvetujte z zdravnikom ali farmacevtom.</w:t>
      </w:r>
    </w:p>
    <w:p w14:paraId="6DAD3ADB" w14:textId="77777777" w:rsidR="00840AAB" w:rsidRDefault="00840AAB" w:rsidP="00840AAB">
      <w:pPr>
        <w:spacing w:line="110" w:lineRule="exact"/>
        <w:rPr>
          <w:sz w:val="11"/>
          <w:szCs w:val="11"/>
          <w:lang w:val="sl-SI"/>
        </w:rPr>
      </w:pPr>
    </w:p>
    <w:p w14:paraId="29B7D8AC" w14:textId="77777777" w:rsidR="00840AAB" w:rsidRDefault="00840AAB" w:rsidP="00840AAB">
      <w:pPr>
        <w:spacing w:line="200" w:lineRule="exact"/>
        <w:rPr>
          <w:sz w:val="20"/>
          <w:szCs w:val="20"/>
          <w:lang w:val="sl-SI"/>
        </w:rPr>
      </w:pPr>
    </w:p>
    <w:p w14:paraId="0D0014BB" w14:textId="77777777" w:rsidR="00840AAB" w:rsidRDefault="00840AAB" w:rsidP="0030421B">
      <w:pPr>
        <w:pStyle w:val="a4"/>
        <w:numPr>
          <w:ilvl w:val="0"/>
          <w:numId w:val="127"/>
        </w:numPr>
        <w:spacing w:before="18" w:line="240" w:lineRule="exact"/>
        <w:ind w:left="357" w:hanging="357"/>
        <w:rPr>
          <w:rFonts w:ascii="Times New Roman" w:hAnsi="Times New Roman" w:cs="Times New Roman"/>
          <w:b/>
          <w:lang w:val="sl-SI"/>
        </w:rPr>
      </w:pPr>
      <w:r>
        <w:rPr>
          <w:rFonts w:ascii="Times New Roman" w:eastAsia="Times New Roman" w:hAnsi="Times New Roman" w:cs="Times New Roman"/>
          <w:b/>
          <w:bCs/>
          <w:lang w:val="sl-SI"/>
        </w:rPr>
        <w:t>Možni neželeni učinki</w:t>
      </w:r>
    </w:p>
    <w:p w14:paraId="57280008" w14:textId="77777777" w:rsidR="00840AAB" w:rsidRDefault="00840AAB" w:rsidP="00840AAB">
      <w:pPr>
        <w:spacing w:before="12" w:line="240" w:lineRule="exact"/>
        <w:rPr>
          <w:sz w:val="24"/>
          <w:szCs w:val="24"/>
          <w:lang w:val="sl-SI"/>
        </w:rPr>
      </w:pPr>
    </w:p>
    <w:p w14:paraId="3496124A" w14:textId="77777777" w:rsidR="00840AAB" w:rsidRDefault="00840AAB" w:rsidP="00840AAB">
      <w:pPr>
        <w:pStyle w:val="a3"/>
        <w:rPr>
          <w:lang w:val="sl-SI"/>
        </w:rPr>
      </w:pPr>
      <w:r>
        <w:rPr>
          <w:rFonts w:eastAsia="Times New Roman"/>
          <w:lang w:val="sl-SI"/>
        </w:rPr>
        <w:t xml:space="preserve">Kot vsa zdravila ima lahko tudi to zdravilo neželene učinke, ki pa se ne pojavijo pri vseh bolnikih. Večina neželenih učinkov je blagih do zmernih. Vendar pa so lahko nekateri resni in zahtevajo zdravljenje. Neželeni </w:t>
      </w:r>
      <w:r>
        <w:rPr>
          <w:rFonts w:eastAsia="Times New Roman"/>
          <w:lang w:val="sl-SI"/>
        </w:rPr>
        <w:lastRenderedPageBreak/>
        <w:t>učinki se lahko pojavijo vsaj še 4 mesece po zadnji injekciji zdravila Yuflyma.</w:t>
      </w:r>
    </w:p>
    <w:p w14:paraId="7C48837C" w14:textId="77777777" w:rsidR="00840AAB" w:rsidRDefault="00840AAB" w:rsidP="00840AAB">
      <w:pPr>
        <w:spacing w:before="15" w:line="240" w:lineRule="exact"/>
        <w:rPr>
          <w:sz w:val="24"/>
          <w:szCs w:val="24"/>
          <w:lang w:val="sl-SI"/>
        </w:rPr>
      </w:pPr>
    </w:p>
    <w:p w14:paraId="04E92DC0" w14:textId="77777777" w:rsidR="00840AAB" w:rsidRDefault="00840AAB" w:rsidP="00840AAB">
      <w:pPr>
        <w:pStyle w:val="a3"/>
        <w:rPr>
          <w:b/>
          <w:lang w:val="sl-SI"/>
        </w:rPr>
      </w:pPr>
      <w:r>
        <w:rPr>
          <w:rFonts w:eastAsia="Times New Roman"/>
          <w:b/>
          <w:bCs/>
          <w:lang w:val="sl-SI"/>
        </w:rPr>
        <w:t>Zdravniku takoj povejte, če opazite kaj od naslednjega:</w:t>
      </w:r>
    </w:p>
    <w:p w14:paraId="008CE26A" w14:textId="77777777" w:rsidR="00840AAB" w:rsidRDefault="00840AAB" w:rsidP="00840AAB">
      <w:pPr>
        <w:spacing w:before="10" w:line="240" w:lineRule="exact"/>
        <w:rPr>
          <w:sz w:val="24"/>
          <w:szCs w:val="24"/>
          <w:lang w:val="sl-SI"/>
        </w:rPr>
      </w:pPr>
    </w:p>
    <w:p w14:paraId="37D6B0CF" w14:textId="77777777" w:rsidR="00840AAB" w:rsidRDefault="00840AAB" w:rsidP="00840AAB">
      <w:pPr>
        <w:pStyle w:val="a3"/>
        <w:numPr>
          <w:ilvl w:val="0"/>
          <w:numId w:val="16"/>
        </w:numPr>
        <w:ind w:left="660" w:hanging="660"/>
        <w:rPr>
          <w:lang w:val="sl-SI"/>
        </w:rPr>
      </w:pPr>
      <w:r>
        <w:rPr>
          <w:rFonts w:eastAsia="Times New Roman"/>
          <w:lang w:val="sl-SI"/>
        </w:rPr>
        <w:t>hud izpuščaj, koprivnico ali druge znake alergijske reakcije;</w:t>
      </w:r>
    </w:p>
    <w:p w14:paraId="4249C6CC" w14:textId="77777777" w:rsidR="00840AAB" w:rsidRDefault="00840AAB" w:rsidP="00840AAB">
      <w:pPr>
        <w:pStyle w:val="a3"/>
        <w:numPr>
          <w:ilvl w:val="0"/>
          <w:numId w:val="16"/>
        </w:numPr>
        <w:ind w:left="660" w:hanging="660"/>
        <w:rPr>
          <w:lang w:val="sl-SI"/>
        </w:rPr>
      </w:pPr>
      <w:r>
        <w:rPr>
          <w:rFonts w:eastAsia="Times New Roman"/>
          <w:lang w:val="sl-SI"/>
        </w:rPr>
        <w:t>oteklost obraza, dlani in stopal;</w:t>
      </w:r>
    </w:p>
    <w:p w14:paraId="235C5DFF" w14:textId="77777777" w:rsidR="00840AAB" w:rsidRDefault="00840AAB" w:rsidP="00840AAB">
      <w:pPr>
        <w:pStyle w:val="a3"/>
        <w:numPr>
          <w:ilvl w:val="0"/>
          <w:numId w:val="16"/>
        </w:numPr>
        <w:ind w:left="660" w:hanging="660"/>
        <w:rPr>
          <w:lang w:val="sl-SI"/>
        </w:rPr>
      </w:pPr>
      <w:r>
        <w:rPr>
          <w:rFonts w:eastAsia="Times New Roman"/>
          <w:lang w:val="sl-SI"/>
        </w:rPr>
        <w:t>težave pri dihanju, požiranju;</w:t>
      </w:r>
    </w:p>
    <w:p w14:paraId="298EC9F8" w14:textId="77777777" w:rsidR="00840AAB" w:rsidRDefault="00840AAB" w:rsidP="00840AAB">
      <w:pPr>
        <w:pStyle w:val="a3"/>
        <w:numPr>
          <w:ilvl w:val="0"/>
          <w:numId w:val="16"/>
        </w:numPr>
        <w:ind w:left="660" w:hanging="660"/>
        <w:rPr>
          <w:lang w:val="sl-SI"/>
        </w:rPr>
      </w:pPr>
      <w:r>
        <w:rPr>
          <w:rFonts w:eastAsia="Times New Roman"/>
          <w:lang w:val="sl-SI"/>
        </w:rPr>
        <w:t>težko dihanje ob naporu ali med ležanjem ali otekanje stopal.</w:t>
      </w:r>
    </w:p>
    <w:p w14:paraId="65E6E9C3" w14:textId="77777777" w:rsidR="00840AAB" w:rsidRDefault="00840AAB" w:rsidP="00840AAB">
      <w:pPr>
        <w:spacing w:before="15" w:line="240" w:lineRule="exact"/>
        <w:rPr>
          <w:sz w:val="24"/>
          <w:szCs w:val="24"/>
          <w:lang w:val="sl-SI"/>
        </w:rPr>
      </w:pPr>
    </w:p>
    <w:p w14:paraId="66A2C04B" w14:textId="77777777" w:rsidR="00840AAB" w:rsidRDefault="00840AAB" w:rsidP="00840AAB">
      <w:pPr>
        <w:pStyle w:val="a3"/>
        <w:rPr>
          <w:b/>
          <w:lang w:val="sl-SI"/>
        </w:rPr>
      </w:pPr>
      <w:r>
        <w:rPr>
          <w:rFonts w:eastAsia="Times New Roman"/>
          <w:b/>
          <w:bCs/>
          <w:lang w:val="sl-SI"/>
        </w:rPr>
        <w:t>Zdravniku čim prej povejte, če opazite kaj od naslednjega:</w:t>
      </w:r>
    </w:p>
    <w:p w14:paraId="0CB7F104" w14:textId="77777777" w:rsidR="00840AAB" w:rsidRDefault="00840AAB" w:rsidP="00840AAB">
      <w:pPr>
        <w:spacing w:before="10" w:line="240" w:lineRule="exact"/>
        <w:rPr>
          <w:sz w:val="24"/>
          <w:szCs w:val="24"/>
          <w:lang w:val="sl-SI"/>
        </w:rPr>
      </w:pPr>
    </w:p>
    <w:p w14:paraId="07A5CBEC" w14:textId="77777777" w:rsidR="00840AAB" w:rsidRDefault="00840AAB" w:rsidP="00840AAB">
      <w:pPr>
        <w:pStyle w:val="a3"/>
        <w:numPr>
          <w:ilvl w:val="0"/>
          <w:numId w:val="16"/>
        </w:numPr>
        <w:ind w:left="660" w:hanging="660"/>
        <w:rPr>
          <w:lang w:val="sl-SI"/>
        </w:rPr>
      </w:pPr>
      <w:r>
        <w:rPr>
          <w:rFonts w:eastAsia="Times New Roman"/>
          <w:lang w:val="sl-SI"/>
        </w:rPr>
        <w:t>znake okužbe, npr. zvišano telesno temperaturo, splošno slabo počutje, rane, težave z zobmi, pekoč občutek med uriniranjem;</w:t>
      </w:r>
    </w:p>
    <w:p w14:paraId="7E8CC950" w14:textId="77777777" w:rsidR="00840AAB" w:rsidRDefault="00840AAB" w:rsidP="00840AAB">
      <w:pPr>
        <w:pStyle w:val="a3"/>
        <w:numPr>
          <w:ilvl w:val="0"/>
          <w:numId w:val="16"/>
        </w:numPr>
        <w:ind w:left="660" w:hanging="660"/>
        <w:rPr>
          <w:lang w:val="sl-SI"/>
        </w:rPr>
      </w:pPr>
      <w:r>
        <w:rPr>
          <w:rFonts w:eastAsia="Times New Roman"/>
          <w:lang w:val="sl-SI"/>
        </w:rPr>
        <w:t>občutek šibkosti ali utrujenosti;</w:t>
      </w:r>
    </w:p>
    <w:p w14:paraId="7A14052F" w14:textId="77777777" w:rsidR="00840AAB" w:rsidRDefault="00840AAB" w:rsidP="00840AAB">
      <w:pPr>
        <w:pStyle w:val="a3"/>
        <w:numPr>
          <w:ilvl w:val="0"/>
          <w:numId w:val="16"/>
        </w:numPr>
        <w:ind w:left="660" w:hanging="660"/>
        <w:rPr>
          <w:lang w:val="sl-SI"/>
        </w:rPr>
      </w:pPr>
      <w:r>
        <w:rPr>
          <w:rFonts w:eastAsia="Times New Roman"/>
          <w:lang w:val="sl-SI"/>
        </w:rPr>
        <w:t>kašelj;</w:t>
      </w:r>
    </w:p>
    <w:p w14:paraId="6D17D77B" w14:textId="77777777" w:rsidR="00840AAB" w:rsidRDefault="00840AAB" w:rsidP="00840AAB">
      <w:pPr>
        <w:pStyle w:val="a3"/>
        <w:numPr>
          <w:ilvl w:val="0"/>
          <w:numId w:val="16"/>
        </w:numPr>
        <w:ind w:left="660" w:hanging="660"/>
        <w:rPr>
          <w:lang w:val="sl-SI"/>
        </w:rPr>
      </w:pPr>
      <w:r>
        <w:rPr>
          <w:rFonts w:eastAsia="Times New Roman"/>
          <w:lang w:val="sl-SI"/>
        </w:rPr>
        <w:t>mravljinčenje;</w:t>
      </w:r>
    </w:p>
    <w:p w14:paraId="46B269D1" w14:textId="77777777" w:rsidR="00840AAB" w:rsidRDefault="00840AAB" w:rsidP="00840AAB">
      <w:pPr>
        <w:pStyle w:val="a3"/>
        <w:numPr>
          <w:ilvl w:val="0"/>
          <w:numId w:val="16"/>
        </w:numPr>
        <w:ind w:left="660" w:hanging="660"/>
        <w:rPr>
          <w:lang w:val="sl-SI"/>
        </w:rPr>
      </w:pPr>
      <w:r>
        <w:rPr>
          <w:rFonts w:eastAsia="Times New Roman"/>
          <w:lang w:val="sl-SI"/>
        </w:rPr>
        <w:t>omrtvelost;</w:t>
      </w:r>
    </w:p>
    <w:p w14:paraId="45925290" w14:textId="77777777" w:rsidR="00840AAB" w:rsidRDefault="00840AAB" w:rsidP="00840AAB">
      <w:pPr>
        <w:pStyle w:val="a3"/>
        <w:numPr>
          <w:ilvl w:val="0"/>
          <w:numId w:val="16"/>
        </w:numPr>
        <w:ind w:left="660" w:hanging="660"/>
        <w:rPr>
          <w:lang w:val="sl-SI"/>
        </w:rPr>
      </w:pPr>
      <w:r>
        <w:rPr>
          <w:rFonts w:eastAsia="Times New Roman"/>
          <w:lang w:val="sl-SI"/>
        </w:rPr>
        <w:t>dvojni vid;</w:t>
      </w:r>
    </w:p>
    <w:p w14:paraId="19763DC6" w14:textId="77777777" w:rsidR="00840AAB" w:rsidRDefault="00840AAB" w:rsidP="00840AAB">
      <w:pPr>
        <w:pStyle w:val="a3"/>
        <w:numPr>
          <w:ilvl w:val="0"/>
          <w:numId w:val="16"/>
        </w:numPr>
        <w:ind w:left="660" w:hanging="660"/>
        <w:rPr>
          <w:lang w:val="sl-SI"/>
        </w:rPr>
      </w:pPr>
      <w:r>
        <w:rPr>
          <w:rFonts w:eastAsia="Times New Roman"/>
          <w:lang w:val="sl-SI"/>
        </w:rPr>
        <w:t>šibkost rok ali nog;</w:t>
      </w:r>
    </w:p>
    <w:p w14:paraId="682C9823" w14:textId="77777777" w:rsidR="00840AAB" w:rsidRDefault="00840AAB" w:rsidP="00840AAB">
      <w:pPr>
        <w:pStyle w:val="a3"/>
        <w:numPr>
          <w:ilvl w:val="0"/>
          <w:numId w:val="16"/>
        </w:numPr>
        <w:ind w:left="660" w:hanging="660"/>
        <w:rPr>
          <w:lang w:val="sl-SI"/>
        </w:rPr>
      </w:pPr>
      <w:r>
        <w:rPr>
          <w:rFonts w:eastAsia="Times New Roman"/>
          <w:lang w:val="sl-SI"/>
        </w:rPr>
        <w:t>bulo ali odprto rano, ki se ne zaceli;</w:t>
      </w:r>
    </w:p>
    <w:p w14:paraId="11D5744C" w14:textId="77777777" w:rsidR="00840AAB" w:rsidRDefault="00840AAB" w:rsidP="00840AAB">
      <w:pPr>
        <w:pStyle w:val="a3"/>
        <w:numPr>
          <w:ilvl w:val="0"/>
          <w:numId w:val="16"/>
        </w:numPr>
        <w:ind w:left="660" w:hanging="660"/>
        <w:rPr>
          <w:lang w:val="sl-SI"/>
        </w:rPr>
      </w:pPr>
      <w:r>
        <w:rPr>
          <w:rFonts w:eastAsia="Times New Roman"/>
          <w:lang w:val="sl-SI"/>
        </w:rPr>
        <w:t>znake in simptome, ki nakazujejo bolezni krvi, npr. dolgotrajno zvišana telesna temperatura, modrice, krvavitve, bledica.</w:t>
      </w:r>
    </w:p>
    <w:p w14:paraId="44DB4B92" w14:textId="77777777" w:rsidR="00840AAB" w:rsidRDefault="00840AAB" w:rsidP="00840AAB">
      <w:pPr>
        <w:pStyle w:val="a3"/>
        <w:numPr>
          <w:ilvl w:val="0"/>
          <w:numId w:val="0"/>
        </w:numPr>
        <w:ind w:left="660"/>
        <w:rPr>
          <w:lang w:val="sl-SI"/>
        </w:rPr>
      </w:pPr>
    </w:p>
    <w:p w14:paraId="2BEEF037" w14:textId="77777777" w:rsidR="00840AAB" w:rsidRDefault="00840AAB" w:rsidP="00840AAB">
      <w:pPr>
        <w:pStyle w:val="a3"/>
        <w:rPr>
          <w:lang w:val="sl-SI"/>
        </w:rPr>
      </w:pPr>
      <w:r>
        <w:rPr>
          <w:rFonts w:eastAsia="Times New Roman"/>
          <w:lang w:val="sl-SI"/>
        </w:rPr>
        <w:t>Zgoraj opisani simptomi so lahko znaki spodaj navedenih neželenih učinkov, ki so jih opazili med uporabo zdravila Yuflyma.</w:t>
      </w:r>
    </w:p>
    <w:p w14:paraId="08822F19" w14:textId="77777777" w:rsidR="00840AAB" w:rsidRDefault="00840AAB" w:rsidP="00840AAB">
      <w:pPr>
        <w:spacing w:before="10" w:line="240" w:lineRule="exact"/>
        <w:rPr>
          <w:sz w:val="24"/>
          <w:szCs w:val="24"/>
          <w:lang w:val="sl-SI"/>
        </w:rPr>
      </w:pPr>
    </w:p>
    <w:p w14:paraId="05557FA4" w14:textId="77777777" w:rsidR="00840AAB" w:rsidRDefault="00840AAB" w:rsidP="00840AAB">
      <w:pPr>
        <w:pStyle w:val="a3"/>
        <w:rPr>
          <w:lang w:val="sl-SI"/>
        </w:rPr>
      </w:pPr>
      <w:r>
        <w:rPr>
          <w:rFonts w:eastAsia="Times New Roman"/>
          <w:b/>
          <w:bCs/>
          <w:lang w:val="sl-SI"/>
        </w:rPr>
        <w:t xml:space="preserve">Zelo pogosti </w:t>
      </w:r>
      <w:r>
        <w:rPr>
          <w:rFonts w:eastAsia="Times New Roman"/>
          <w:lang w:val="sl-SI"/>
        </w:rPr>
        <w:t>(pojavijo se lahko pri več kot 1 od 10 bolnikov)</w:t>
      </w:r>
    </w:p>
    <w:p w14:paraId="3C0E7AD7" w14:textId="77777777" w:rsidR="00840AAB" w:rsidRDefault="00840AAB" w:rsidP="00840AAB">
      <w:pPr>
        <w:spacing w:before="14" w:line="240" w:lineRule="exact"/>
        <w:rPr>
          <w:sz w:val="24"/>
          <w:szCs w:val="24"/>
          <w:lang w:val="sl-SI"/>
        </w:rPr>
      </w:pPr>
    </w:p>
    <w:p w14:paraId="128B4FCB" w14:textId="77777777" w:rsidR="00840AAB" w:rsidRDefault="00840AAB" w:rsidP="00840AAB">
      <w:pPr>
        <w:pStyle w:val="a3"/>
        <w:numPr>
          <w:ilvl w:val="0"/>
          <w:numId w:val="16"/>
        </w:numPr>
        <w:ind w:left="660" w:hanging="660"/>
        <w:rPr>
          <w:lang w:val="sl-SI"/>
        </w:rPr>
      </w:pPr>
      <w:r>
        <w:rPr>
          <w:rFonts w:eastAsia="Times New Roman"/>
          <w:lang w:val="sl-SI"/>
        </w:rPr>
        <w:t>reakcije na mestu injiciranja (vključno z bolečino, otekanjem, pordelostjo ali srbenjem);</w:t>
      </w:r>
    </w:p>
    <w:p w14:paraId="0580CF61" w14:textId="77777777" w:rsidR="00840AAB" w:rsidRDefault="00840AAB" w:rsidP="00840AAB">
      <w:pPr>
        <w:pStyle w:val="a3"/>
        <w:numPr>
          <w:ilvl w:val="0"/>
          <w:numId w:val="16"/>
        </w:numPr>
        <w:ind w:left="660" w:hanging="660"/>
        <w:rPr>
          <w:lang w:val="sl-SI"/>
        </w:rPr>
      </w:pPr>
      <w:r>
        <w:rPr>
          <w:rFonts w:eastAsia="Times New Roman"/>
          <w:lang w:val="sl-SI"/>
        </w:rPr>
        <w:t>okužbe dihal (vključno s prehladom, izcedkom iz nosu, okužbo sinusov, pljučnico);</w:t>
      </w:r>
    </w:p>
    <w:p w14:paraId="39A06B4B" w14:textId="77777777" w:rsidR="00840AAB" w:rsidRDefault="00840AAB" w:rsidP="00840AAB">
      <w:pPr>
        <w:pStyle w:val="a3"/>
        <w:numPr>
          <w:ilvl w:val="0"/>
          <w:numId w:val="16"/>
        </w:numPr>
        <w:ind w:left="660" w:hanging="660"/>
        <w:rPr>
          <w:lang w:val="sl-SI"/>
        </w:rPr>
      </w:pPr>
      <w:r>
        <w:rPr>
          <w:rFonts w:eastAsia="Times New Roman"/>
          <w:lang w:val="sl-SI"/>
        </w:rPr>
        <w:t>glavobol;</w:t>
      </w:r>
    </w:p>
    <w:p w14:paraId="5A40F8C8" w14:textId="77777777" w:rsidR="00840AAB" w:rsidRDefault="00840AAB" w:rsidP="00840AAB">
      <w:pPr>
        <w:pStyle w:val="a3"/>
        <w:numPr>
          <w:ilvl w:val="0"/>
          <w:numId w:val="16"/>
        </w:numPr>
        <w:ind w:left="660" w:hanging="660"/>
        <w:rPr>
          <w:lang w:val="sl-SI"/>
        </w:rPr>
      </w:pPr>
      <w:r>
        <w:rPr>
          <w:rFonts w:eastAsia="Times New Roman"/>
          <w:lang w:val="sl-SI"/>
        </w:rPr>
        <w:t>bolečine v trebuhu;</w:t>
      </w:r>
    </w:p>
    <w:p w14:paraId="0994F703" w14:textId="77777777" w:rsidR="00840AAB" w:rsidRDefault="00840AAB" w:rsidP="00840AAB">
      <w:pPr>
        <w:pStyle w:val="a3"/>
        <w:numPr>
          <w:ilvl w:val="0"/>
          <w:numId w:val="16"/>
        </w:numPr>
        <w:ind w:left="660" w:hanging="660"/>
        <w:rPr>
          <w:lang w:val="sl-SI"/>
        </w:rPr>
      </w:pPr>
      <w:r>
        <w:rPr>
          <w:rFonts w:eastAsia="Times New Roman"/>
          <w:lang w:val="sl-SI"/>
        </w:rPr>
        <w:t>siljenje na bruhanje in bruhanje;</w:t>
      </w:r>
    </w:p>
    <w:p w14:paraId="32D4E636" w14:textId="77777777" w:rsidR="00840AAB" w:rsidRDefault="00840AAB" w:rsidP="00840AAB">
      <w:pPr>
        <w:pStyle w:val="a3"/>
        <w:numPr>
          <w:ilvl w:val="0"/>
          <w:numId w:val="16"/>
        </w:numPr>
        <w:ind w:left="660" w:hanging="660"/>
        <w:rPr>
          <w:lang w:val="sl-SI"/>
        </w:rPr>
      </w:pPr>
      <w:r>
        <w:rPr>
          <w:rFonts w:eastAsia="Times New Roman"/>
          <w:lang w:val="sl-SI"/>
        </w:rPr>
        <w:t>izpuščaj;</w:t>
      </w:r>
    </w:p>
    <w:p w14:paraId="2C908155" w14:textId="77777777" w:rsidR="00840AAB" w:rsidRDefault="00840AAB" w:rsidP="00840AAB">
      <w:pPr>
        <w:pStyle w:val="a3"/>
        <w:numPr>
          <w:ilvl w:val="0"/>
          <w:numId w:val="16"/>
        </w:numPr>
        <w:ind w:left="660" w:hanging="660"/>
        <w:rPr>
          <w:lang w:val="sl-SI"/>
        </w:rPr>
      </w:pPr>
      <w:r>
        <w:rPr>
          <w:rFonts w:eastAsia="Times New Roman"/>
          <w:lang w:val="sl-SI"/>
        </w:rPr>
        <w:t>mišičnoskeletne bolečine.</w:t>
      </w:r>
    </w:p>
    <w:p w14:paraId="3EBE59F1" w14:textId="77777777" w:rsidR="00840AAB" w:rsidRDefault="00840AAB" w:rsidP="00840AAB">
      <w:pPr>
        <w:spacing w:before="9" w:line="220" w:lineRule="exact"/>
        <w:rPr>
          <w:lang w:val="sl-SI"/>
        </w:rPr>
      </w:pPr>
    </w:p>
    <w:p w14:paraId="278D5801" w14:textId="77777777" w:rsidR="00840AAB" w:rsidRDefault="00840AAB" w:rsidP="00840AAB">
      <w:pPr>
        <w:pStyle w:val="a3"/>
        <w:rPr>
          <w:lang w:val="sl-SI"/>
        </w:rPr>
      </w:pPr>
      <w:r>
        <w:rPr>
          <w:rFonts w:eastAsia="Times New Roman"/>
          <w:b/>
          <w:bCs/>
          <w:lang w:val="sl-SI"/>
        </w:rPr>
        <w:t xml:space="preserve">Pogosti </w:t>
      </w:r>
      <w:r>
        <w:rPr>
          <w:rFonts w:eastAsia="Times New Roman"/>
          <w:lang w:val="sl-SI"/>
        </w:rPr>
        <w:t>(pojavijo se lahko pri največ 1 od 10 bolnikov)</w:t>
      </w:r>
    </w:p>
    <w:p w14:paraId="7475F5F4" w14:textId="77777777" w:rsidR="00840AAB" w:rsidRDefault="00840AAB" w:rsidP="00840AAB">
      <w:pPr>
        <w:spacing w:before="14" w:line="240" w:lineRule="exact"/>
        <w:rPr>
          <w:sz w:val="24"/>
          <w:szCs w:val="24"/>
          <w:lang w:val="sl-SI"/>
        </w:rPr>
      </w:pPr>
    </w:p>
    <w:p w14:paraId="6C697871" w14:textId="77777777" w:rsidR="00840AAB" w:rsidRDefault="00840AAB" w:rsidP="00840AAB">
      <w:pPr>
        <w:pStyle w:val="a3"/>
        <w:numPr>
          <w:ilvl w:val="0"/>
          <w:numId w:val="16"/>
        </w:numPr>
        <w:ind w:left="660" w:hanging="660"/>
        <w:rPr>
          <w:lang w:val="sl-SI"/>
        </w:rPr>
      </w:pPr>
      <w:r>
        <w:rPr>
          <w:rFonts w:eastAsia="Times New Roman"/>
          <w:lang w:val="sl-SI"/>
        </w:rPr>
        <w:t>resne okužbe (vključno z zastrupitvijo krvi in gripo);</w:t>
      </w:r>
    </w:p>
    <w:p w14:paraId="253E68FC" w14:textId="77777777" w:rsidR="00840AAB" w:rsidRDefault="00840AAB" w:rsidP="00840AAB">
      <w:pPr>
        <w:pStyle w:val="a3"/>
        <w:numPr>
          <w:ilvl w:val="0"/>
          <w:numId w:val="16"/>
        </w:numPr>
        <w:ind w:left="660" w:hanging="660"/>
        <w:rPr>
          <w:lang w:val="sl-SI"/>
        </w:rPr>
      </w:pPr>
      <w:r>
        <w:rPr>
          <w:rFonts w:eastAsia="Times New Roman"/>
          <w:lang w:val="sl-SI"/>
        </w:rPr>
        <w:t>črevesne okužbe (vključno z gastroenteritisom);</w:t>
      </w:r>
    </w:p>
    <w:p w14:paraId="664E4E9B" w14:textId="77777777" w:rsidR="00840AAB" w:rsidRDefault="00840AAB" w:rsidP="00840AAB">
      <w:pPr>
        <w:pStyle w:val="a3"/>
        <w:numPr>
          <w:ilvl w:val="0"/>
          <w:numId w:val="16"/>
        </w:numPr>
        <w:ind w:left="660" w:hanging="660"/>
        <w:rPr>
          <w:lang w:val="sl-SI"/>
        </w:rPr>
      </w:pPr>
      <w:r>
        <w:rPr>
          <w:rFonts w:eastAsia="Times New Roman"/>
          <w:lang w:val="sl-SI"/>
        </w:rPr>
        <w:t>okužbe kože (vključno s celulitisom in pasovcem);</w:t>
      </w:r>
    </w:p>
    <w:p w14:paraId="652A7FF3" w14:textId="77777777" w:rsidR="00840AAB" w:rsidRDefault="00840AAB" w:rsidP="00840AAB">
      <w:pPr>
        <w:pStyle w:val="a3"/>
        <w:numPr>
          <w:ilvl w:val="0"/>
          <w:numId w:val="16"/>
        </w:numPr>
        <w:ind w:left="660" w:hanging="660"/>
        <w:rPr>
          <w:lang w:val="sl-SI"/>
        </w:rPr>
      </w:pPr>
      <w:r>
        <w:rPr>
          <w:rFonts w:eastAsia="Times New Roman"/>
          <w:lang w:val="sl-SI"/>
        </w:rPr>
        <w:t>okužbe ušesa;</w:t>
      </w:r>
    </w:p>
    <w:p w14:paraId="2A7B7FD8" w14:textId="77777777" w:rsidR="00840AAB" w:rsidRDefault="00840AAB" w:rsidP="00840AAB">
      <w:pPr>
        <w:pStyle w:val="a3"/>
        <w:numPr>
          <w:ilvl w:val="0"/>
          <w:numId w:val="16"/>
        </w:numPr>
        <w:ind w:left="660" w:hanging="660"/>
        <w:rPr>
          <w:lang w:val="sl-SI"/>
        </w:rPr>
      </w:pPr>
      <w:r>
        <w:rPr>
          <w:rFonts w:eastAsia="Times New Roman"/>
          <w:lang w:val="sl-SI"/>
        </w:rPr>
        <w:t>okužbe ustne votline (vključno z okužbami zob in herpesom);</w:t>
      </w:r>
    </w:p>
    <w:p w14:paraId="5EE450E4" w14:textId="77777777" w:rsidR="00840AAB" w:rsidRDefault="00840AAB" w:rsidP="00840AAB">
      <w:pPr>
        <w:pStyle w:val="a3"/>
        <w:numPr>
          <w:ilvl w:val="0"/>
          <w:numId w:val="16"/>
        </w:numPr>
        <w:ind w:left="660" w:hanging="660"/>
        <w:rPr>
          <w:lang w:val="sl-SI"/>
        </w:rPr>
      </w:pPr>
      <w:r>
        <w:rPr>
          <w:rFonts w:eastAsia="Times New Roman"/>
          <w:lang w:val="sl-SI"/>
        </w:rPr>
        <w:t>okužbe rodil;</w:t>
      </w:r>
    </w:p>
    <w:p w14:paraId="78002958" w14:textId="77777777" w:rsidR="00840AAB" w:rsidRDefault="00840AAB" w:rsidP="00840AAB">
      <w:pPr>
        <w:pStyle w:val="a3"/>
        <w:numPr>
          <w:ilvl w:val="0"/>
          <w:numId w:val="16"/>
        </w:numPr>
        <w:ind w:left="660" w:hanging="660"/>
        <w:rPr>
          <w:lang w:val="sl-SI"/>
        </w:rPr>
      </w:pPr>
      <w:r>
        <w:rPr>
          <w:rFonts w:eastAsia="Times New Roman"/>
          <w:lang w:val="sl-SI"/>
        </w:rPr>
        <w:t>okužbe sečil;</w:t>
      </w:r>
    </w:p>
    <w:p w14:paraId="393F121A" w14:textId="77777777" w:rsidR="00840AAB" w:rsidRDefault="00840AAB" w:rsidP="00840AAB">
      <w:pPr>
        <w:pStyle w:val="a3"/>
        <w:numPr>
          <w:ilvl w:val="0"/>
          <w:numId w:val="16"/>
        </w:numPr>
        <w:ind w:left="660" w:hanging="660"/>
        <w:rPr>
          <w:lang w:val="sl-SI"/>
        </w:rPr>
      </w:pPr>
      <w:r>
        <w:rPr>
          <w:rFonts w:eastAsia="Times New Roman"/>
          <w:lang w:val="sl-SI"/>
        </w:rPr>
        <w:t>glivične okužbe;</w:t>
      </w:r>
    </w:p>
    <w:p w14:paraId="43A6301C" w14:textId="77777777" w:rsidR="00840AAB" w:rsidRDefault="00840AAB" w:rsidP="00840AAB">
      <w:pPr>
        <w:pStyle w:val="a3"/>
        <w:numPr>
          <w:ilvl w:val="0"/>
          <w:numId w:val="16"/>
        </w:numPr>
        <w:ind w:left="660" w:hanging="660"/>
        <w:rPr>
          <w:lang w:val="sl-SI"/>
        </w:rPr>
      </w:pPr>
      <w:r>
        <w:rPr>
          <w:rFonts w:eastAsia="Times New Roman"/>
          <w:lang w:val="sl-SI"/>
        </w:rPr>
        <w:t>okužbe sklepov;</w:t>
      </w:r>
    </w:p>
    <w:p w14:paraId="599072A5" w14:textId="77777777" w:rsidR="00840AAB" w:rsidRDefault="00840AAB" w:rsidP="00840AAB">
      <w:pPr>
        <w:pStyle w:val="a3"/>
        <w:numPr>
          <w:ilvl w:val="0"/>
          <w:numId w:val="16"/>
        </w:numPr>
        <w:ind w:left="660" w:hanging="660"/>
        <w:rPr>
          <w:lang w:val="sl-SI"/>
        </w:rPr>
      </w:pPr>
      <w:r>
        <w:rPr>
          <w:rFonts w:eastAsia="Times New Roman"/>
          <w:lang w:val="sl-SI"/>
        </w:rPr>
        <w:t>benigni tumorji;</w:t>
      </w:r>
    </w:p>
    <w:p w14:paraId="158B00EE" w14:textId="77777777" w:rsidR="00840AAB" w:rsidRDefault="00840AAB" w:rsidP="00840AAB">
      <w:pPr>
        <w:pStyle w:val="a3"/>
        <w:numPr>
          <w:ilvl w:val="0"/>
          <w:numId w:val="16"/>
        </w:numPr>
        <w:ind w:left="660" w:hanging="660"/>
        <w:rPr>
          <w:lang w:val="sl-SI"/>
        </w:rPr>
      </w:pPr>
      <w:r>
        <w:rPr>
          <w:rFonts w:eastAsia="Times New Roman"/>
          <w:lang w:val="sl-SI"/>
        </w:rPr>
        <w:t>kožni rak;</w:t>
      </w:r>
    </w:p>
    <w:p w14:paraId="10AF6DE6" w14:textId="77777777" w:rsidR="00840AAB" w:rsidRDefault="00840AAB" w:rsidP="00840AAB">
      <w:pPr>
        <w:pStyle w:val="a3"/>
        <w:numPr>
          <w:ilvl w:val="0"/>
          <w:numId w:val="16"/>
        </w:numPr>
        <w:ind w:left="660" w:hanging="660"/>
        <w:rPr>
          <w:lang w:val="sl-SI"/>
        </w:rPr>
      </w:pPr>
      <w:r>
        <w:rPr>
          <w:rFonts w:eastAsia="Times New Roman"/>
          <w:lang w:val="sl-SI"/>
        </w:rPr>
        <w:t>alergijske reakcije (vključno s sezonskimi alergijami);</w:t>
      </w:r>
    </w:p>
    <w:p w14:paraId="3517D650" w14:textId="77777777" w:rsidR="00840AAB" w:rsidRDefault="00840AAB" w:rsidP="00840AAB">
      <w:pPr>
        <w:pStyle w:val="a3"/>
        <w:numPr>
          <w:ilvl w:val="0"/>
          <w:numId w:val="16"/>
        </w:numPr>
        <w:ind w:left="660" w:hanging="660"/>
        <w:rPr>
          <w:lang w:val="sl-SI"/>
        </w:rPr>
      </w:pPr>
      <w:r>
        <w:rPr>
          <w:rFonts w:eastAsia="Times New Roman"/>
          <w:lang w:val="sl-SI"/>
        </w:rPr>
        <w:t>dehidracija;</w:t>
      </w:r>
    </w:p>
    <w:p w14:paraId="6E859905" w14:textId="77777777" w:rsidR="00840AAB" w:rsidRDefault="00840AAB" w:rsidP="00840AAB">
      <w:pPr>
        <w:pStyle w:val="a3"/>
        <w:numPr>
          <w:ilvl w:val="0"/>
          <w:numId w:val="16"/>
        </w:numPr>
        <w:ind w:left="660" w:hanging="660"/>
        <w:rPr>
          <w:lang w:val="sl-SI"/>
        </w:rPr>
      </w:pPr>
      <w:r>
        <w:rPr>
          <w:rFonts w:eastAsia="Times New Roman"/>
          <w:lang w:val="sl-SI"/>
        </w:rPr>
        <w:t>spremenljivo razpoloženje (vključno z depresijo);</w:t>
      </w:r>
    </w:p>
    <w:p w14:paraId="164C4C7B" w14:textId="77777777" w:rsidR="00840AAB" w:rsidRDefault="00840AAB" w:rsidP="00840AAB">
      <w:pPr>
        <w:pStyle w:val="a3"/>
        <w:numPr>
          <w:ilvl w:val="0"/>
          <w:numId w:val="16"/>
        </w:numPr>
        <w:ind w:left="660" w:hanging="660"/>
        <w:rPr>
          <w:lang w:val="sl-SI"/>
        </w:rPr>
      </w:pPr>
      <w:r>
        <w:rPr>
          <w:rFonts w:eastAsia="Times New Roman"/>
          <w:lang w:val="sl-SI"/>
        </w:rPr>
        <w:lastRenderedPageBreak/>
        <w:t>anksioznost;</w:t>
      </w:r>
    </w:p>
    <w:p w14:paraId="081EC14F" w14:textId="77777777" w:rsidR="00840AAB" w:rsidRDefault="00840AAB" w:rsidP="00840AAB">
      <w:pPr>
        <w:pStyle w:val="a3"/>
        <w:numPr>
          <w:ilvl w:val="0"/>
          <w:numId w:val="16"/>
        </w:numPr>
        <w:ind w:left="660" w:hanging="660"/>
        <w:rPr>
          <w:lang w:val="sl-SI"/>
        </w:rPr>
      </w:pPr>
      <w:r>
        <w:rPr>
          <w:rFonts w:eastAsia="Times New Roman"/>
          <w:lang w:val="sl-SI"/>
        </w:rPr>
        <w:t>težave s spanjem;</w:t>
      </w:r>
    </w:p>
    <w:p w14:paraId="1EEAB723" w14:textId="77777777" w:rsidR="00840AAB" w:rsidRDefault="00840AAB" w:rsidP="00840AAB">
      <w:pPr>
        <w:pStyle w:val="a3"/>
        <w:numPr>
          <w:ilvl w:val="0"/>
          <w:numId w:val="16"/>
        </w:numPr>
        <w:ind w:left="660" w:hanging="660"/>
        <w:rPr>
          <w:lang w:val="sl-SI"/>
        </w:rPr>
      </w:pPr>
      <w:r>
        <w:rPr>
          <w:rFonts w:eastAsia="Times New Roman"/>
          <w:lang w:val="sl-SI"/>
        </w:rPr>
        <w:t>motnje v občutenju kot so ščemenje, zbadanje ali omrtvelost;</w:t>
      </w:r>
    </w:p>
    <w:p w14:paraId="2D807F79" w14:textId="77777777" w:rsidR="00840AAB" w:rsidRDefault="00840AAB" w:rsidP="00840AAB">
      <w:pPr>
        <w:pStyle w:val="a3"/>
        <w:numPr>
          <w:ilvl w:val="0"/>
          <w:numId w:val="16"/>
        </w:numPr>
        <w:ind w:left="660" w:hanging="660"/>
        <w:rPr>
          <w:lang w:val="sl-SI"/>
        </w:rPr>
      </w:pPr>
      <w:r>
        <w:rPr>
          <w:rFonts w:eastAsia="Times New Roman"/>
          <w:lang w:val="sl-SI"/>
        </w:rPr>
        <w:t>migrena;</w:t>
      </w:r>
    </w:p>
    <w:p w14:paraId="35A722EB" w14:textId="05DD514C" w:rsidR="00840AAB" w:rsidRDefault="00840AAB" w:rsidP="00840AAB">
      <w:pPr>
        <w:pStyle w:val="a3"/>
        <w:numPr>
          <w:ilvl w:val="0"/>
          <w:numId w:val="16"/>
        </w:numPr>
        <w:ind w:left="660" w:hanging="660"/>
        <w:rPr>
          <w:lang w:val="sl-SI"/>
        </w:rPr>
      </w:pPr>
      <w:r>
        <w:rPr>
          <w:rFonts w:eastAsia="Times New Roman"/>
          <w:lang w:val="sl-SI"/>
        </w:rPr>
        <w:t>stisnenje živčnih korenin (vključno z bolečino v spodnjem delu hrbta in nogah);</w:t>
      </w:r>
    </w:p>
    <w:p w14:paraId="67F362AB" w14:textId="77777777" w:rsidR="00840AAB" w:rsidRDefault="00840AAB" w:rsidP="00840AAB">
      <w:pPr>
        <w:pStyle w:val="a3"/>
        <w:numPr>
          <w:ilvl w:val="0"/>
          <w:numId w:val="16"/>
        </w:numPr>
        <w:ind w:left="660" w:hanging="660"/>
        <w:rPr>
          <w:lang w:val="sl-SI"/>
        </w:rPr>
      </w:pPr>
      <w:r>
        <w:rPr>
          <w:rFonts w:eastAsia="Times New Roman"/>
          <w:lang w:val="sl-SI"/>
        </w:rPr>
        <w:t>motnje vida;</w:t>
      </w:r>
    </w:p>
    <w:p w14:paraId="7F1D1707" w14:textId="77777777" w:rsidR="00840AAB" w:rsidRDefault="00840AAB" w:rsidP="00840AAB">
      <w:pPr>
        <w:pStyle w:val="a3"/>
        <w:numPr>
          <w:ilvl w:val="0"/>
          <w:numId w:val="16"/>
        </w:numPr>
        <w:ind w:left="660" w:hanging="660"/>
        <w:rPr>
          <w:lang w:val="sl-SI"/>
        </w:rPr>
      </w:pPr>
      <w:r>
        <w:rPr>
          <w:rFonts w:eastAsia="Times New Roman"/>
          <w:lang w:val="sl-SI"/>
        </w:rPr>
        <w:t>vnetje oči;</w:t>
      </w:r>
    </w:p>
    <w:p w14:paraId="1A0970BD" w14:textId="77777777" w:rsidR="00840AAB" w:rsidRDefault="00840AAB" w:rsidP="00840AAB">
      <w:pPr>
        <w:pStyle w:val="a3"/>
        <w:numPr>
          <w:ilvl w:val="0"/>
          <w:numId w:val="16"/>
        </w:numPr>
        <w:ind w:left="660" w:hanging="660"/>
        <w:rPr>
          <w:lang w:val="sl-SI"/>
        </w:rPr>
      </w:pPr>
      <w:r>
        <w:rPr>
          <w:rFonts w:eastAsia="Times New Roman"/>
          <w:lang w:val="sl-SI"/>
        </w:rPr>
        <w:t>vnetje očesnih vek in otekanje oči;</w:t>
      </w:r>
    </w:p>
    <w:p w14:paraId="7736CC9D" w14:textId="77777777" w:rsidR="00840AAB" w:rsidRDefault="00840AAB" w:rsidP="00840AAB">
      <w:pPr>
        <w:pStyle w:val="a3"/>
        <w:numPr>
          <w:ilvl w:val="0"/>
          <w:numId w:val="16"/>
        </w:numPr>
        <w:ind w:left="660" w:hanging="660"/>
        <w:rPr>
          <w:lang w:val="sl-SI"/>
        </w:rPr>
      </w:pPr>
      <w:r>
        <w:rPr>
          <w:rFonts w:eastAsia="Times New Roman"/>
          <w:lang w:val="sl-SI"/>
        </w:rPr>
        <w:t>vrtoglavica (občutek omotice ali vrtenja);</w:t>
      </w:r>
    </w:p>
    <w:p w14:paraId="0C548798" w14:textId="77777777" w:rsidR="00840AAB" w:rsidRDefault="00840AAB" w:rsidP="00840AAB">
      <w:pPr>
        <w:pStyle w:val="a3"/>
        <w:numPr>
          <w:ilvl w:val="0"/>
          <w:numId w:val="16"/>
        </w:numPr>
        <w:ind w:left="660" w:hanging="660"/>
        <w:rPr>
          <w:lang w:val="sl-SI"/>
        </w:rPr>
      </w:pPr>
      <w:r>
        <w:rPr>
          <w:rFonts w:eastAsia="Times New Roman"/>
          <w:lang w:val="sl-SI"/>
        </w:rPr>
        <w:t>občutek hitrega bitja srca;</w:t>
      </w:r>
    </w:p>
    <w:p w14:paraId="21E27CB5" w14:textId="77777777" w:rsidR="00840AAB" w:rsidRDefault="00840AAB" w:rsidP="00840AAB">
      <w:pPr>
        <w:pStyle w:val="a3"/>
        <w:numPr>
          <w:ilvl w:val="0"/>
          <w:numId w:val="16"/>
        </w:numPr>
        <w:ind w:left="660" w:hanging="660"/>
        <w:rPr>
          <w:lang w:val="sl-SI"/>
        </w:rPr>
      </w:pPr>
      <w:r>
        <w:rPr>
          <w:rFonts w:eastAsia="Times New Roman"/>
          <w:lang w:val="sl-SI"/>
        </w:rPr>
        <w:t>visok krvni tlak;</w:t>
      </w:r>
    </w:p>
    <w:p w14:paraId="08D6DEDC" w14:textId="77777777" w:rsidR="00840AAB" w:rsidRDefault="00840AAB" w:rsidP="00840AAB">
      <w:pPr>
        <w:pStyle w:val="a3"/>
        <w:numPr>
          <w:ilvl w:val="0"/>
          <w:numId w:val="16"/>
        </w:numPr>
        <w:ind w:left="660" w:hanging="660"/>
        <w:rPr>
          <w:lang w:val="sl-SI"/>
        </w:rPr>
      </w:pPr>
      <w:r>
        <w:rPr>
          <w:rFonts w:eastAsia="Times New Roman"/>
          <w:lang w:val="sl-SI"/>
        </w:rPr>
        <w:t>zardevanje;</w:t>
      </w:r>
    </w:p>
    <w:p w14:paraId="36304CC1" w14:textId="77777777" w:rsidR="00840AAB" w:rsidRDefault="00840AAB" w:rsidP="00840AAB">
      <w:pPr>
        <w:pStyle w:val="a3"/>
        <w:numPr>
          <w:ilvl w:val="0"/>
          <w:numId w:val="16"/>
        </w:numPr>
        <w:ind w:left="660" w:hanging="660"/>
        <w:rPr>
          <w:lang w:val="sl-SI"/>
        </w:rPr>
      </w:pPr>
      <w:r>
        <w:rPr>
          <w:rFonts w:eastAsia="Times New Roman"/>
          <w:lang w:val="sl-SI"/>
        </w:rPr>
        <w:t>hematom (nabiranje krvi zunaj krvnih žil);</w:t>
      </w:r>
    </w:p>
    <w:p w14:paraId="75FD4FBE" w14:textId="77777777" w:rsidR="00840AAB" w:rsidRDefault="00840AAB" w:rsidP="00840AAB">
      <w:pPr>
        <w:pStyle w:val="a3"/>
        <w:numPr>
          <w:ilvl w:val="0"/>
          <w:numId w:val="16"/>
        </w:numPr>
        <w:ind w:left="660" w:hanging="660"/>
        <w:rPr>
          <w:lang w:val="sl-SI"/>
        </w:rPr>
      </w:pPr>
      <w:r>
        <w:rPr>
          <w:rFonts w:eastAsia="Times New Roman"/>
          <w:lang w:val="sl-SI"/>
        </w:rPr>
        <w:t>kašelj;</w:t>
      </w:r>
    </w:p>
    <w:p w14:paraId="11E91EBE" w14:textId="77777777" w:rsidR="00840AAB" w:rsidRDefault="00840AAB" w:rsidP="00840AAB">
      <w:pPr>
        <w:pStyle w:val="a3"/>
        <w:numPr>
          <w:ilvl w:val="0"/>
          <w:numId w:val="16"/>
        </w:numPr>
        <w:ind w:left="660" w:hanging="660"/>
        <w:rPr>
          <w:lang w:val="sl-SI"/>
        </w:rPr>
      </w:pPr>
      <w:r>
        <w:rPr>
          <w:rFonts w:eastAsia="Times New Roman"/>
          <w:lang w:val="sl-SI"/>
        </w:rPr>
        <w:t>astma;</w:t>
      </w:r>
    </w:p>
    <w:p w14:paraId="374D1619" w14:textId="77777777" w:rsidR="00840AAB" w:rsidRDefault="00840AAB" w:rsidP="00840AAB">
      <w:pPr>
        <w:pStyle w:val="a3"/>
        <w:numPr>
          <w:ilvl w:val="0"/>
          <w:numId w:val="16"/>
        </w:numPr>
        <w:ind w:left="660" w:hanging="660"/>
        <w:rPr>
          <w:lang w:val="sl-SI"/>
        </w:rPr>
      </w:pPr>
      <w:r>
        <w:rPr>
          <w:rFonts w:eastAsia="Times New Roman"/>
          <w:lang w:val="sl-SI"/>
        </w:rPr>
        <w:t>kratka sapa;</w:t>
      </w:r>
    </w:p>
    <w:p w14:paraId="235583F7" w14:textId="77777777" w:rsidR="00840AAB" w:rsidRDefault="00840AAB" w:rsidP="00840AAB">
      <w:pPr>
        <w:pStyle w:val="a3"/>
        <w:numPr>
          <w:ilvl w:val="0"/>
          <w:numId w:val="16"/>
        </w:numPr>
        <w:ind w:left="660" w:hanging="660"/>
        <w:rPr>
          <w:lang w:val="sl-SI"/>
        </w:rPr>
      </w:pPr>
      <w:r>
        <w:rPr>
          <w:rFonts w:eastAsia="Times New Roman"/>
          <w:lang w:val="sl-SI"/>
        </w:rPr>
        <w:t>krvavitev v prebavilih;</w:t>
      </w:r>
    </w:p>
    <w:p w14:paraId="22B46E21" w14:textId="77777777" w:rsidR="00840AAB" w:rsidRDefault="00840AAB" w:rsidP="00840AAB">
      <w:pPr>
        <w:pStyle w:val="a3"/>
        <w:numPr>
          <w:ilvl w:val="0"/>
          <w:numId w:val="16"/>
        </w:numPr>
        <w:ind w:left="660" w:hanging="660"/>
        <w:rPr>
          <w:lang w:val="sl-SI"/>
        </w:rPr>
      </w:pPr>
      <w:r>
        <w:rPr>
          <w:rFonts w:eastAsia="Times New Roman"/>
          <w:lang w:val="sl-SI"/>
        </w:rPr>
        <w:t>dispepsija (prebavne motnje, napihnjenost, zgaga);</w:t>
      </w:r>
    </w:p>
    <w:p w14:paraId="7EF1A1D4" w14:textId="77777777" w:rsidR="00840AAB" w:rsidRDefault="00840AAB" w:rsidP="00840AAB">
      <w:pPr>
        <w:pStyle w:val="a3"/>
        <w:numPr>
          <w:ilvl w:val="0"/>
          <w:numId w:val="16"/>
        </w:numPr>
        <w:ind w:left="660" w:hanging="660"/>
        <w:rPr>
          <w:lang w:val="sl-SI"/>
        </w:rPr>
      </w:pPr>
      <w:r>
        <w:rPr>
          <w:rFonts w:eastAsia="Times New Roman"/>
          <w:lang w:val="sl-SI"/>
        </w:rPr>
        <w:t>bolezen refluksa kisline;</w:t>
      </w:r>
    </w:p>
    <w:p w14:paraId="16DA4AEA" w14:textId="77777777" w:rsidR="00840AAB" w:rsidRDefault="00840AAB" w:rsidP="00840AAB">
      <w:pPr>
        <w:pStyle w:val="a3"/>
        <w:numPr>
          <w:ilvl w:val="0"/>
          <w:numId w:val="16"/>
        </w:numPr>
        <w:ind w:left="660" w:hanging="660"/>
        <w:rPr>
          <w:lang w:val="sl-SI"/>
        </w:rPr>
      </w:pPr>
      <w:r>
        <w:rPr>
          <w:rFonts w:eastAsia="Times New Roman"/>
          <w:lang w:val="sl-SI"/>
        </w:rPr>
        <w:t>Sjögrenov sindrom (vključno s suhimi očmi in suhimi usti);</w:t>
      </w:r>
    </w:p>
    <w:p w14:paraId="4F78A117" w14:textId="77777777" w:rsidR="00840AAB" w:rsidRDefault="00840AAB" w:rsidP="00840AAB">
      <w:pPr>
        <w:pStyle w:val="a3"/>
        <w:numPr>
          <w:ilvl w:val="0"/>
          <w:numId w:val="16"/>
        </w:numPr>
        <w:ind w:left="660" w:hanging="660"/>
        <w:rPr>
          <w:lang w:val="sl-SI"/>
        </w:rPr>
      </w:pPr>
      <w:r>
        <w:rPr>
          <w:rFonts w:eastAsia="Times New Roman"/>
          <w:lang w:val="sl-SI"/>
        </w:rPr>
        <w:t>srbenje;</w:t>
      </w:r>
    </w:p>
    <w:p w14:paraId="61C8BE07" w14:textId="77777777" w:rsidR="00840AAB" w:rsidRDefault="00840AAB" w:rsidP="00840AAB">
      <w:pPr>
        <w:pStyle w:val="a3"/>
        <w:numPr>
          <w:ilvl w:val="0"/>
          <w:numId w:val="16"/>
        </w:numPr>
        <w:ind w:left="660" w:hanging="660"/>
        <w:rPr>
          <w:rFonts w:eastAsia="Times New Roman"/>
          <w:spacing w:val="-1"/>
          <w:lang w:val="sl-SI"/>
        </w:rPr>
      </w:pPr>
      <w:r>
        <w:rPr>
          <w:rFonts w:eastAsia="Times New Roman"/>
          <w:lang w:val="sl-SI"/>
        </w:rPr>
        <w:t>srbeč izpuščaj;</w:t>
      </w:r>
    </w:p>
    <w:p w14:paraId="6D2F081A" w14:textId="77777777" w:rsidR="00840AAB" w:rsidRDefault="00840AAB" w:rsidP="00840AAB">
      <w:pPr>
        <w:pStyle w:val="a3"/>
        <w:numPr>
          <w:ilvl w:val="0"/>
          <w:numId w:val="16"/>
        </w:numPr>
        <w:ind w:left="660" w:hanging="660"/>
        <w:rPr>
          <w:lang w:val="sl-SI"/>
        </w:rPr>
      </w:pPr>
      <w:r>
        <w:rPr>
          <w:rFonts w:eastAsia="Times New Roman"/>
          <w:lang w:val="sl-SI"/>
        </w:rPr>
        <w:t>modrice;</w:t>
      </w:r>
    </w:p>
    <w:p w14:paraId="4056CD6C" w14:textId="77777777" w:rsidR="00840AAB" w:rsidRDefault="00840AAB" w:rsidP="00840AAB">
      <w:pPr>
        <w:pStyle w:val="a3"/>
        <w:numPr>
          <w:ilvl w:val="0"/>
          <w:numId w:val="16"/>
        </w:numPr>
        <w:ind w:left="660" w:hanging="660"/>
        <w:rPr>
          <w:lang w:val="sl-SI"/>
        </w:rPr>
      </w:pPr>
      <w:r>
        <w:rPr>
          <w:rFonts w:eastAsia="Times New Roman"/>
          <w:lang w:val="sl-SI"/>
        </w:rPr>
        <w:t>vnetje kože (npr. ekcem);</w:t>
      </w:r>
    </w:p>
    <w:p w14:paraId="5D138B5D" w14:textId="77777777" w:rsidR="00840AAB" w:rsidRDefault="00840AAB" w:rsidP="00840AAB">
      <w:pPr>
        <w:pStyle w:val="a3"/>
        <w:numPr>
          <w:ilvl w:val="0"/>
          <w:numId w:val="16"/>
        </w:numPr>
        <w:ind w:left="660" w:hanging="660"/>
        <w:rPr>
          <w:lang w:val="sl-SI"/>
        </w:rPr>
      </w:pPr>
      <w:r>
        <w:rPr>
          <w:rFonts w:eastAsia="Times New Roman"/>
          <w:lang w:val="sl-SI"/>
        </w:rPr>
        <w:t>lomljivost nohtov na rokah in nogah;</w:t>
      </w:r>
    </w:p>
    <w:p w14:paraId="51D65489" w14:textId="77777777" w:rsidR="00840AAB" w:rsidRDefault="00840AAB" w:rsidP="00840AAB">
      <w:pPr>
        <w:pStyle w:val="a3"/>
        <w:numPr>
          <w:ilvl w:val="0"/>
          <w:numId w:val="16"/>
        </w:numPr>
        <w:ind w:left="660" w:hanging="660"/>
        <w:rPr>
          <w:lang w:val="sl-SI"/>
        </w:rPr>
      </w:pPr>
      <w:r>
        <w:rPr>
          <w:rFonts w:eastAsia="Times New Roman"/>
          <w:lang w:val="sl-SI"/>
        </w:rPr>
        <w:t>povečano potenje;</w:t>
      </w:r>
    </w:p>
    <w:p w14:paraId="2675FF3C" w14:textId="77777777" w:rsidR="00840AAB" w:rsidRDefault="00840AAB" w:rsidP="00840AAB">
      <w:pPr>
        <w:pStyle w:val="a3"/>
        <w:numPr>
          <w:ilvl w:val="0"/>
          <w:numId w:val="16"/>
        </w:numPr>
        <w:ind w:left="660" w:hanging="660"/>
        <w:rPr>
          <w:lang w:val="sl-SI"/>
        </w:rPr>
      </w:pPr>
      <w:r>
        <w:rPr>
          <w:rFonts w:eastAsia="Times New Roman"/>
          <w:lang w:val="sl-SI"/>
        </w:rPr>
        <w:t>izpadanje las;</w:t>
      </w:r>
    </w:p>
    <w:p w14:paraId="17CD771E" w14:textId="61B0FE68" w:rsidR="00840AAB" w:rsidRDefault="00840AAB" w:rsidP="00840AAB">
      <w:pPr>
        <w:pStyle w:val="a3"/>
        <w:numPr>
          <w:ilvl w:val="0"/>
          <w:numId w:val="16"/>
        </w:numPr>
        <w:ind w:left="660" w:hanging="660"/>
        <w:rPr>
          <w:lang w:val="sl-SI"/>
        </w:rPr>
      </w:pPr>
      <w:r>
        <w:rPr>
          <w:rFonts w:eastAsia="Times New Roman"/>
          <w:lang w:val="sl-SI"/>
        </w:rPr>
        <w:t>pojav ali poslabšanje psoriaze;</w:t>
      </w:r>
    </w:p>
    <w:p w14:paraId="405F76F7" w14:textId="77777777" w:rsidR="00840AAB" w:rsidRDefault="00840AAB" w:rsidP="00840AAB">
      <w:pPr>
        <w:pStyle w:val="a3"/>
        <w:numPr>
          <w:ilvl w:val="0"/>
          <w:numId w:val="16"/>
        </w:numPr>
        <w:ind w:left="660" w:hanging="660"/>
        <w:rPr>
          <w:lang w:val="sl-SI"/>
        </w:rPr>
      </w:pPr>
      <w:r>
        <w:rPr>
          <w:rFonts w:eastAsia="Times New Roman"/>
          <w:lang w:val="sl-SI"/>
        </w:rPr>
        <w:t>mišični krči;</w:t>
      </w:r>
    </w:p>
    <w:p w14:paraId="2963BCFF" w14:textId="77777777" w:rsidR="00840AAB" w:rsidRDefault="00840AAB" w:rsidP="00840AAB">
      <w:pPr>
        <w:pStyle w:val="a3"/>
        <w:numPr>
          <w:ilvl w:val="0"/>
          <w:numId w:val="16"/>
        </w:numPr>
        <w:ind w:left="660" w:hanging="660"/>
        <w:rPr>
          <w:lang w:val="sl-SI"/>
        </w:rPr>
      </w:pPr>
      <w:r>
        <w:rPr>
          <w:rFonts w:eastAsia="Times New Roman"/>
          <w:lang w:val="sl-SI"/>
        </w:rPr>
        <w:t>kri v urinu;</w:t>
      </w:r>
    </w:p>
    <w:p w14:paraId="72563F40" w14:textId="77777777" w:rsidR="00840AAB" w:rsidRDefault="00840AAB" w:rsidP="00840AAB">
      <w:pPr>
        <w:pStyle w:val="a3"/>
        <w:numPr>
          <w:ilvl w:val="0"/>
          <w:numId w:val="16"/>
        </w:numPr>
        <w:ind w:left="660" w:hanging="660"/>
        <w:rPr>
          <w:lang w:val="sl-SI"/>
        </w:rPr>
      </w:pPr>
      <w:r>
        <w:rPr>
          <w:rFonts w:eastAsia="Times New Roman"/>
          <w:lang w:val="sl-SI"/>
        </w:rPr>
        <w:t>težave z ledvicami;</w:t>
      </w:r>
    </w:p>
    <w:p w14:paraId="71C5786D" w14:textId="77777777" w:rsidR="00840AAB" w:rsidRDefault="00840AAB" w:rsidP="00840AAB">
      <w:pPr>
        <w:pStyle w:val="a3"/>
        <w:numPr>
          <w:ilvl w:val="0"/>
          <w:numId w:val="16"/>
        </w:numPr>
        <w:ind w:left="660" w:hanging="660"/>
        <w:rPr>
          <w:lang w:val="sl-SI"/>
        </w:rPr>
      </w:pPr>
      <w:r>
        <w:rPr>
          <w:rFonts w:eastAsia="Times New Roman"/>
          <w:lang w:val="sl-SI"/>
        </w:rPr>
        <w:t>bolečina v prsnem košu;</w:t>
      </w:r>
    </w:p>
    <w:p w14:paraId="3FA9E94E" w14:textId="77777777" w:rsidR="00840AAB" w:rsidRDefault="00840AAB" w:rsidP="00840AAB">
      <w:pPr>
        <w:pStyle w:val="a3"/>
        <w:numPr>
          <w:ilvl w:val="0"/>
          <w:numId w:val="16"/>
        </w:numPr>
        <w:ind w:left="660" w:hanging="660"/>
        <w:rPr>
          <w:lang w:val="sl-SI"/>
        </w:rPr>
      </w:pPr>
      <w:r>
        <w:rPr>
          <w:rFonts w:eastAsia="Times New Roman"/>
          <w:lang w:val="sl-SI"/>
        </w:rPr>
        <w:t>edem (otekanje);</w:t>
      </w:r>
    </w:p>
    <w:p w14:paraId="74682AFA" w14:textId="77777777" w:rsidR="00840AAB" w:rsidRDefault="00840AAB" w:rsidP="00840AAB">
      <w:pPr>
        <w:pStyle w:val="a3"/>
        <w:numPr>
          <w:ilvl w:val="0"/>
          <w:numId w:val="16"/>
        </w:numPr>
        <w:ind w:left="660" w:hanging="660"/>
        <w:rPr>
          <w:lang w:val="sl-SI"/>
        </w:rPr>
      </w:pPr>
      <w:r>
        <w:rPr>
          <w:rFonts w:eastAsia="Times New Roman"/>
          <w:lang w:val="sl-SI"/>
        </w:rPr>
        <w:t>zvišana telesna temperatura;</w:t>
      </w:r>
    </w:p>
    <w:p w14:paraId="5B45AA43" w14:textId="77777777" w:rsidR="00840AAB" w:rsidRDefault="00840AAB" w:rsidP="00840AAB">
      <w:pPr>
        <w:pStyle w:val="a3"/>
        <w:numPr>
          <w:ilvl w:val="0"/>
          <w:numId w:val="16"/>
        </w:numPr>
        <w:ind w:left="660" w:hanging="660"/>
        <w:rPr>
          <w:lang w:val="sl-SI"/>
        </w:rPr>
      </w:pPr>
      <w:r>
        <w:rPr>
          <w:rFonts w:eastAsia="Times New Roman"/>
          <w:lang w:val="sl-SI"/>
        </w:rPr>
        <w:t>zmanjšanje števila krvnih ploščic, kar poveča tveganje za krvavitev ali podplutbe;</w:t>
      </w:r>
    </w:p>
    <w:p w14:paraId="1AA1A67B" w14:textId="77777777" w:rsidR="00840AAB" w:rsidRDefault="00840AAB" w:rsidP="00840AAB">
      <w:pPr>
        <w:pStyle w:val="a3"/>
        <w:numPr>
          <w:ilvl w:val="0"/>
          <w:numId w:val="16"/>
        </w:numPr>
        <w:ind w:left="660" w:hanging="660"/>
        <w:rPr>
          <w:lang w:val="sl-SI"/>
        </w:rPr>
      </w:pPr>
      <w:r>
        <w:rPr>
          <w:rFonts w:eastAsia="Times New Roman"/>
          <w:lang w:val="sl-SI"/>
        </w:rPr>
        <w:t>slabše celjenje.</w:t>
      </w:r>
    </w:p>
    <w:p w14:paraId="467C83DE" w14:textId="77777777" w:rsidR="00840AAB" w:rsidRDefault="00840AAB" w:rsidP="00840AAB">
      <w:pPr>
        <w:spacing w:before="10" w:line="240" w:lineRule="exact"/>
        <w:rPr>
          <w:sz w:val="24"/>
          <w:szCs w:val="24"/>
          <w:lang w:val="sl-SI"/>
        </w:rPr>
      </w:pPr>
    </w:p>
    <w:p w14:paraId="31DBA48E" w14:textId="77777777" w:rsidR="00840AAB" w:rsidRDefault="00840AAB" w:rsidP="00840AAB">
      <w:pPr>
        <w:rPr>
          <w:rFonts w:ascii="Times New Roman" w:eastAsia="Times New Roman" w:hAnsi="Times New Roman" w:cs="Times New Roman"/>
          <w:lang w:val="sl-SI"/>
        </w:rPr>
      </w:pPr>
      <w:r>
        <w:rPr>
          <w:rFonts w:ascii="Times New Roman" w:eastAsia="Times New Roman" w:hAnsi="Times New Roman" w:cs="Times New Roman"/>
          <w:b/>
          <w:bCs/>
          <w:spacing w:val="-1"/>
          <w:lang w:val="sl-SI"/>
        </w:rPr>
        <w:t xml:space="preserve">Občasni </w:t>
      </w:r>
      <w:r>
        <w:rPr>
          <w:rFonts w:ascii="Times New Roman" w:eastAsia="Times New Roman" w:hAnsi="Times New Roman" w:cs="Times New Roman"/>
          <w:spacing w:val="-1"/>
          <w:lang w:val="sl-SI"/>
        </w:rPr>
        <w:t>(pojavijo se lahko pri največ 1 od 100 bolnikov)</w:t>
      </w:r>
    </w:p>
    <w:p w14:paraId="5244AB4F" w14:textId="77777777" w:rsidR="00840AAB" w:rsidRDefault="00840AAB" w:rsidP="00840AAB">
      <w:pPr>
        <w:spacing w:before="14" w:line="260" w:lineRule="exact"/>
        <w:rPr>
          <w:sz w:val="26"/>
          <w:szCs w:val="26"/>
          <w:lang w:val="sl-SI"/>
        </w:rPr>
      </w:pPr>
    </w:p>
    <w:p w14:paraId="2F6CD9BB" w14:textId="77777777" w:rsidR="00840AAB" w:rsidRDefault="00840AAB" w:rsidP="00840AAB">
      <w:pPr>
        <w:pStyle w:val="a3"/>
        <w:numPr>
          <w:ilvl w:val="0"/>
          <w:numId w:val="16"/>
        </w:numPr>
        <w:ind w:left="660" w:hanging="660"/>
        <w:rPr>
          <w:lang w:val="sl-SI"/>
        </w:rPr>
      </w:pPr>
      <w:r>
        <w:rPr>
          <w:rFonts w:eastAsia="Times New Roman"/>
          <w:lang w:val="sl-SI"/>
        </w:rPr>
        <w:t>oportunistične okužbe (ki vključujejo tuberkulozo in druge okužbe, ki se pojavijo ob slabši odpornosti proti bolezni);</w:t>
      </w:r>
    </w:p>
    <w:p w14:paraId="7DE9A136" w14:textId="77777777" w:rsidR="00840AAB" w:rsidRDefault="00840AAB" w:rsidP="00840AAB">
      <w:pPr>
        <w:pStyle w:val="a3"/>
        <w:numPr>
          <w:ilvl w:val="0"/>
          <w:numId w:val="16"/>
        </w:numPr>
        <w:ind w:left="660" w:hanging="660"/>
        <w:rPr>
          <w:lang w:val="sl-SI"/>
        </w:rPr>
      </w:pPr>
      <w:r>
        <w:rPr>
          <w:rFonts w:eastAsia="Times New Roman"/>
          <w:lang w:val="sl-SI"/>
        </w:rPr>
        <w:t>nevrološke okužbe (vključno s virusnim meningitisom);</w:t>
      </w:r>
    </w:p>
    <w:p w14:paraId="06DAA35C" w14:textId="77777777" w:rsidR="00840AAB" w:rsidRDefault="00840AAB" w:rsidP="00840AAB">
      <w:pPr>
        <w:pStyle w:val="a3"/>
        <w:numPr>
          <w:ilvl w:val="0"/>
          <w:numId w:val="16"/>
        </w:numPr>
        <w:ind w:left="660" w:hanging="660"/>
        <w:rPr>
          <w:lang w:val="sl-SI"/>
        </w:rPr>
      </w:pPr>
      <w:r>
        <w:rPr>
          <w:rFonts w:eastAsia="Times New Roman"/>
          <w:lang w:val="sl-SI"/>
        </w:rPr>
        <w:t>okužbe oči;</w:t>
      </w:r>
    </w:p>
    <w:p w14:paraId="0CB9B4F3" w14:textId="77777777" w:rsidR="00840AAB" w:rsidRDefault="00840AAB" w:rsidP="00840AAB">
      <w:pPr>
        <w:pStyle w:val="a3"/>
        <w:numPr>
          <w:ilvl w:val="0"/>
          <w:numId w:val="16"/>
        </w:numPr>
        <w:ind w:left="660" w:hanging="660"/>
        <w:rPr>
          <w:lang w:val="sl-SI"/>
        </w:rPr>
      </w:pPr>
      <w:r>
        <w:rPr>
          <w:rFonts w:eastAsia="Times New Roman"/>
          <w:lang w:val="sl-SI"/>
        </w:rPr>
        <w:t>bakterijske okužbe;</w:t>
      </w:r>
    </w:p>
    <w:p w14:paraId="4B5F8E6A" w14:textId="77777777" w:rsidR="00840AAB" w:rsidRDefault="00840AAB" w:rsidP="00840AAB">
      <w:pPr>
        <w:pStyle w:val="a3"/>
        <w:numPr>
          <w:ilvl w:val="0"/>
          <w:numId w:val="16"/>
        </w:numPr>
        <w:ind w:left="660" w:hanging="660"/>
        <w:rPr>
          <w:lang w:val="sl-SI"/>
        </w:rPr>
      </w:pPr>
      <w:r>
        <w:rPr>
          <w:rFonts w:eastAsia="Times New Roman"/>
          <w:lang w:val="sl-SI"/>
        </w:rPr>
        <w:t>divertikulitis (vnetje in okužba debelega črevesa);</w:t>
      </w:r>
    </w:p>
    <w:p w14:paraId="2BE764EE" w14:textId="77777777" w:rsidR="00840AAB" w:rsidRDefault="00840AAB" w:rsidP="00840AAB">
      <w:pPr>
        <w:pStyle w:val="a3"/>
        <w:numPr>
          <w:ilvl w:val="0"/>
          <w:numId w:val="16"/>
        </w:numPr>
        <w:ind w:left="660" w:hanging="660"/>
        <w:rPr>
          <w:lang w:val="sl-SI"/>
        </w:rPr>
      </w:pPr>
      <w:r>
        <w:rPr>
          <w:rFonts w:eastAsia="Times New Roman"/>
          <w:lang w:val="sl-SI"/>
        </w:rPr>
        <w:t>rak;</w:t>
      </w:r>
    </w:p>
    <w:p w14:paraId="6717D1EE" w14:textId="77777777" w:rsidR="00840AAB" w:rsidRDefault="00840AAB" w:rsidP="00840AAB">
      <w:pPr>
        <w:pStyle w:val="a3"/>
        <w:numPr>
          <w:ilvl w:val="0"/>
          <w:numId w:val="16"/>
        </w:numPr>
        <w:ind w:left="660" w:hanging="660"/>
        <w:rPr>
          <w:lang w:val="sl-SI"/>
        </w:rPr>
      </w:pPr>
      <w:r>
        <w:rPr>
          <w:rFonts w:eastAsia="Times New Roman"/>
          <w:lang w:val="sl-SI"/>
        </w:rPr>
        <w:t>rak, ki zajame limfni sistem;</w:t>
      </w:r>
    </w:p>
    <w:p w14:paraId="17DD7EA4" w14:textId="77777777" w:rsidR="00840AAB" w:rsidRDefault="00840AAB" w:rsidP="00840AAB">
      <w:pPr>
        <w:pStyle w:val="a3"/>
        <w:numPr>
          <w:ilvl w:val="0"/>
          <w:numId w:val="16"/>
        </w:numPr>
        <w:ind w:left="660" w:hanging="660"/>
        <w:rPr>
          <w:lang w:val="sl-SI"/>
        </w:rPr>
      </w:pPr>
      <w:r>
        <w:rPr>
          <w:rFonts w:eastAsia="Times New Roman"/>
          <w:lang w:val="sl-SI"/>
        </w:rPr>
        <w:t>melanom;</w:t>
      </w:r>
    </w:p>
    <w:p w14:paraId="275011A0" w14:textId="77777777" w:rsidR="00840AAB" w:rsidRDefault="00840AAB" w:rsidP="00840AAB">
      <w:pPr>
        <w:pStyle w:val="a3"/>
        <w:numPr>
          <w:ilvl w:val="0"/>
          <w:numId w:val="16"/>
        </w:numPr>
        <w:ind w:left="660" w:hanging="660"/>
        <w:rPr>
          <w:lang w:val="sl-SI"/>
        </w:rPr>
      </w:pPr>
      <w:r>
        <w:rPr>
          <w:rFonts w:eastAsia="Times New Roman"/>
          <w:lang w:val="sl-SI"/>
        </w:rPr>
        <w:t>imunske bolezni, ki lahko prizadenejo pljuča, kožo in bezgavke (najpogosteje kot sarkoidoza);</w:t>
      </w:r>
    </w:p>
    <w:p w14:paraId="45C0FBDE" w14:textId="77777777" w:rsidR="00840AAB" w:rsidRDefault="00840AAB" w:rsidP="00840AAB">
      <w:pPr>
        <w:pStyle w:val="a3"/>
        <w:numPr>
          <w:ilvl w:val="0"/>
          <w:numId w:val="16"/>
        </w:numPr>
        <w:ind w:left="660" w:hanging="660"/>
        <w:rPr>
          <w:lang w:val="sl-SI"/>
        </w:rPr>
      </w:pPr>
      <w:r>
        <w:rPr>
          <w:rFonts w:eastAsia="Times New Roman"/>
          <w:lang w:val="sl-SI"/>
        </w:rPr>
        <w:t>vaskulitis (vnetje krvnih žil);</w:t>
      </w:r>
    </w:p>
    <w:p w14:paraId="178B5E33" w14:textId="77777777" w:rsidR="00840AAB" w:rsidRDefault="00840AAB" w:rsidP="00840AAB">
      <w:pPr>
        <w:pStyle w:val="a3"/>
        <w:numPr>
          <w:ilvl w:val="0"/>
          <w:numId w:val="16"/>
        </w:numPr>
        <w:ind w:left="660" w:hanging="660"/>
        <w:rPr>
          <w:lang w:val="sl-SI"/>
        </w:rPr>
      </w:pPr>
      <w:r>
        <w:rPr>
          <w:rFonts w:eastAsia="Times New Roman"/>
          <w:lang w:val="sl-SI"/>
        </w:rPr>
        <w:t>tremor (tresenje);</w:t>
      </w:r>
    </w:p>
    <w:p w14:paraId="58A9893E" w14:textId="77777777" w:rsidR="00840AAB" w:rsidRDefault="00840AAB" w:rsidP="00840AAB">
      <w:pPr>
        <w:pStyle w:val="a3"/>
        <w:numPr>
          <w:ilvl w:val="0"/>
          <w:numId w:val="16"/>
        </w:numPr>
        <w:ind w:left="660" w:hanging="660"/>
        <w:rPr>
          <w:lang w:val="sl-SI"/>
        </w:rPr>
      </w:pPr>
      <w:r>
        <w:rPr>
          <w:rFonts w:eastAsia="Times New Roman"/>
          <w:lang w:val="sl-SI"/>
        </w:rPr>
        <w:lastRenderedPageBreak/>
        <w:t>nevropatija (bolezen živcev);</w:t>
      </w:r>
    </w:p>
    <w:p w14:paraId="7B02EAA2" w14:textId="77777777" w:rsidR="00840AAB" w:rsidRDefault="00840AAB" w:rsidP="00840AAB">
      <w:pPr>
        <w:pStyle w:val="a3"/>
        <w:numPr>
          <w:ilvl w:val="0"/>
          <w:numId w:val="16"/>
        </w:numPr>
        <w:ind w:left="660" w:hanging="660"/>
        <w:rPr>
          <w:lang w:val="sl-SI"/>
        </w:rPr>
      </w:pPr>
      <w:r>
        <w:rPr>
          <w:rFonts w:eastAsia="Times New Roman"/>
          <w:lang w:val="sl-SI"/>
        </w:rPr>
        <w:t>možganska kap;</w:t>
      </w:r>
    </w:p>
    <w:p w14:paraId="39F04442" w14:textId="77777777" w:rsidR="00840AAB" w:rsidRDefault="00840AAB" w:rsidP="00840AAB">
      <w:pPr>
        <w:pStyle w:val="a3"/>
        <w:numPr>
          <w:ilvl w:val="0"/>
          <w:numId w:val="16"/>
        </w:numPr>
        <w:ind w:left="660" w:hanging="660"/>
        <w:rPr>
          <w:lang w:val="sl-SI"/>
        </w:rPr>
      </w:pPr>
      <w:r>
        <w:rPr>
          <w:rFonts w:eastAsia="Times New Roman"/>
          <w:lang w:val="sl-SI"/>
        </w:rPr>
        <w:t>izguba sluha, šumenje v ušesih;</w:t>
      </w:r>
    </w:p>
    <w:p w14:paraId="5177781C" w14:textId="77777777" w:rsidR="00840AAB" w:rsidRDefault="00840AAB" w:rsidP="00840AAB">
      <w:pPr>
        <w:pStyle w:val="a3"/>
        <w:numPr>
          <w:ilvl w:val="0"/>
          <w:numId w:val="16"/>
        </w:numPr>
        <w:ind w:left="660" w:hanging="660"/>
        <w:rPr>
          <w:lang w:val="sl-SI"/>
        </w:rPr>
      </w:pPr>
      <w:r>
        <w:rPr>
          <w:rFonts w:eastAsia="Times New Roman"/>
          <w:lang w:val="sl-SI"/>
        </w:rPr>
        <w:t>občutek neenakomernega bitja srca kot je preskakovanje utripov;</w:t>
      </w:r>
    </w:p>
    <w:p w14:paraId="6F47A5BB" w14:textId="77777777" w:rsidR="00840AAB" w:rsidRDefault="00840AAB" w:rsidP="00840AAB">
      <w:pPr>
        <w:pStyle w:val="a3"/>
        <w:numPr>
          <w:ilvl w:val="0"/>
          <w:numId w:val="16"/>
        </w:numPr>
        <w:ind w:left="660" w:hanging="660"/>
        <w:rPr>
          <w:lang w:val="sl-SI"/>
        </w:rPr>
      </w:pPr>
      <w:r>
        <w:rPr>
          <w:rFonts w:eastAsia="Times New Roman"/>
          <w:lang w:val="sl-SI"/>
        </w:rPr>
        <w:t>težave s srcem, ki lahko povzročijo kratko sapo ali otekanje gležnjev;</w:t>
      </w:r>
    </w:p>
    <w:p w14:paraId="2AADF5CA" w14:textId="77777777" w:rsidR="00840AAB" w:rsidRDefault="00840AAB" w:rsidP="00840AAB">
      <w:pPr>
        <w:pStyle w:val="a3"/>
        <w:numPr>
          <w:ilvl w:val="0"/>
          <w:numId w:val="16"/>
        </w:numPr>
        <w:ind w:left="660" w:hanging="660"/>
        <w:rPr>
          <w:lang w:val="sl-SI"/>
        </w:rPr>
      </w:pPr>
      <w:r>
        <w:rPr>
          <w:rFonts w:eastAsia="Times New Roman"/>
          <w:lang w:val="sl-SI"/>
        </w:rPr>
        <w:t>srčni napad;</w:t>
      </w:r>
    </w:p>
    <w:p w14:paraId="6EBB0DC9" w14:textId="77777777" w:rsidR="00840AAB" w:rsidRDefault="00840AAB" w:rsidP="00840AAB">
      <w:pPr>
        <w:pStyle w:val="a3"/>
        <w:numPr>
          <w:ilvl w:val="0"/>
          <w:numId w:val="16"/>
        </w:numPr>
        <w:ind w:left="660" w:hanging="660"/>
        <w:rPr>
          <w:lang w:val="sl-SI"/>
        </w:rPr>
      </w:pPr>
      <w:r>
        <w:rPr>
          <w:rFonts w:eastAsia="Times New Roman"/>
          <w:lang w:val="sl-SI"/>
        </w:rPr>
        <w:t>razširitev v steni večje arterije, vnetje in krvni strdek v veni, zamašitev žile;</w:t>
      </w:r>
    </w:p>
    <w:p w14:paraId="190CDC32" w14:textId="77777777" w:rsidR="00840AAB" w:rsidRDefault="00840AAB" w:rsidP="00840AAB">
      <w:pPr>
        <w:pStyle w:val="a3"/>
        <w:numPr>
          <w:ilvl w:val="0"/>
          <w:numId w:val="16"/>
        </w:numPr>
        <w:ind w:left="660" w:hanging="660"/>
        <w:rPr>
          <w:lang w:val="sl-SI"/>
        </w:rPr>
      </w:pPr>
      <w:r>
        <w:rPr>
          <w:rFonts w:eastAsia="Times New Roman"/>
          <w:lang w:val="sl-SI"/>
        </w:rPr>
        <w:t>pljučne bolezni, ki povzročajo kratko sapo (vključno z vnetjem);</w:t>
      </w:r>
    </w:p>
    <w:p w14:paraId="1D682D87" w14:textId="77777777" w:rsidR="00840AAB" w:rsidRDefault="00840AAB" w:rsidP="00840AAB">
      <w:pPr>
        <w:pStyle w:val="a3"/>
        <w:numPr>
          <w:ilvl w:val="0"/>
          <w:numId w:val="16"/>
        </w:numPr>
        <w:ind w:left="660" w:hanging="660"/>
        <w:rPr>
          <w:lang w:val="sl-SI"/>
        </w:rPr>
      </w:pPr>
      <w:r>
        <w:rPr>
          <w:rFonts w:eastAsia="Times New Roman"/>
          <w:lang w:val="sl-SI"/>
        </w:rPr>
        <w:t>pljučna embolija (zamašitev arterije v pljučih);</w:t>
      </w:r>
    </w:p>
    <w:p w14:paraId="40A752D5" w14:textId="77777777" w:rsidR="00840AAB" w:rsidRDefault="00840AAB" w:rsidP="00840AAB">
      <w:pPr>
        <w:pStyle w:val="a3"/>
        <w:numPr>
          <w:ilvl w:val="0"/>
          <w:numId w:val="16"/>
        </w:numPr>
        <w:ind w:left="660" w:hanging="660"/>
        <w:rPr>
          <w:lang w:val="sl-SI"/>
        </w:rPr>
      </w:pPr>
      <w:r>
        <w:rPr>
          <w:rFonts w:eastAsia="Times New Roman"/>
          <w:lang w:val="sl-SI"/>
        </w:rPr>
        <w:t>plevralni izliv (nenormalno kopičenje tekočine v plevralnem prostoru);</w:t>
      </w:r>
    </w:p>
    <w:p w14:paraId="6E219775" w14:textId="77777777" w:rsidR="00840AAB" w:rsidRDefault="00840AAB" w:rsidP="00840AAB">
      <w:pPr>
        <w:pStyle w:val="a3"/>
        <w:numPr>
          <w:ilvl w:val="0"/>
          <w:numId w:val="16"/>
        </w:numPr>
        <w:ind w:left="660" w:hanging="660"/>
        <w:rPr>
          <w:lang w:val="sl-SI"/>
        </w:rPr>
      </w:pPr>
      <w:r>
        <w:rPr>
          <w:rFonts w:eastAsia="Times New Roman"/>
          <w:lang w:val="sl-SI"/>
        </w:rPr>
        <w:t>vnetje trebušne slinavke, ki povzroča hude bolečine v trebuhu in hrbtu;</w:t>
      </w:r>
    </w:p>
    <w:p w14:paraId="19BC5ACB" w14:textId="77777777" w:rsidR="00840AAB" w:rsidRDefault="00840AAB" w:rsidP="00840AAB">
      <w:pPr>
        <w:pStyle w:val="a3"/>
        <w:numPr>
          <w:ilvl w:val="0"/>
          <w:numId w:val="16"/>
        </w:numPr>
        <w:ind w:left="660" w:hanging="660"/>
        <w:rPr>
          <w:lang w:val="sl-SI"/>
        </w:rPr>
      </w:pPr>
      <w:r>
        <w:rPr>
          <w:rFonts w:eastAsia="Times New Roman"/>
          <w:lang w:val="sl-SI"/>
        </w:rPr>
        <w:t>težave s požiranjem;</w:t>
      </w:r>
    </w:p>
    <w:p w14:paraId="69F3D7D0" w14:textId="77777777" w:rsidR="00840AAB" w:rsidRDefault="00840AAB" w:rsidP="00840AAB">
      <w:pPr>
        <w:pStyle w:val="a3"/>
        <w:numPr>
          <w:ilvl w:val="0"/>
          <w:numId w:val="16"/>
        </w:numPr>
        <w:ind w:left="660" w:hanging="660"/>
        <w:rPr>
          <w:lang w:val="sl-SI"/>
        </w:rPr>
      </w:pPr>
      <w:r>
        <w:rPr>
          <w:rFonts w:eastAsia="Times New Roman"/>
          <w:lang w:val="sl-SI"/>
        </w:rPr>
        <w:t>edem obraza (otekanje obraza);</w:t>
      </w:r>
    </w:p>
    <w:p w14:paraId="4AAB3DFF" w14:textId="77777777" w:rsidR="00840AAB" w:rsidRDefault="00840AAB" w:rsidP="00840AAB">
      <w:pPr>
        <w:pStyle w:val="a3"/>
        <w:numPr>
          <w:ilvl w:val="0"/>
          <w:numId w:val="16"/>
        </w:numPr>
        <w:ind w:left="660" w:hanging="660"/>
        <w:rPr>
          <w:lang w:val="sl-SI"/>
        </w:rPr>
      </w:pPr>
      <w:r>
        <w:rPr>
          <w:rFonts w:eastAsia="Times New Roman"/>
          <w:lang w:val="sl-SI"/>
        </w:rPr>
        <w:t>vnetje žolčnika, žolčni kamni;</w:t>
      </w:r>
    </w:p>
    <w:p w14:paraId="26764E02" w14:textId="77777777" w:rsidR="00840AAB" w:rsidRDefault="00840AAB" w:rsidP="00840AAB">
      <w:pPr>
        <w:pStyle w:val="a3"/>
        <w:numPr>
          <w:ilvl w:val="0"/>
          <w:numId w:val="16"/>
        </w:numPr>
        <w:ind w:left="660" w:hanging="660"/>
        <w:rPr>
          <w:lang w:val="sl-SI"/>
        </w:rPr>
      </w:pPr>
      <w:r>
        <w:rPr>
          <w:rFonts w:eastAsia="Times New Roman"/>
          <w:lang w:val="sl-SI"/>
        </w:rPr>
        <w:t>zamaščena jetra;</w:t>
      </w:r>
    </w:p>
    <w:p w14:paraId="239B6B8F" w14:textId="77777777" w:rsidR="00840AAB" w:rsidRDefault="00840AAB" w:rsidP="00840AAB">
      <w:pPr>
        <w:pStyle w:val="a3"/>
        <w:numPr>
          <w:ilvl w:val="0"/>
          <w:numId w:val="16"/>
        </w:numPr>
        <w:ind w:left="660" w:hanging="660"/>
        <w:rPr>
          <w:lang w:val="sl-SI"/>
        </w:rPr>
      </w:pPr>
      <w:r>
        <w:rPr>
          <w:rFonts w:eastAsia="Times New Roman"/>
          <w:lang w:val="sl-SI"/>
        </w:rPr>
        <w:t>nočno potenje;</w:t>
      </w:r>
    </w:p>
    <w:p w14:paraId="1C7A15B5" w14:textId="77777777" w:rsidR="00840AAB" w:rsidRDefault="00840AAB" w:rsidP="00840AAB">
      <w:pPr>
        <w:pStyle w:val="a3"/>
        <w:numPr>
          <w:ilvl w:val="0"/>
          <w:numId w:val="16"/>
        </w:numPr>
        <w:ind w:left="660" w:hanging="660"/>
        <w:rPr>
          <w:lang w:val="sl-SI"/>
        </w:rPr>
      </w:pPr>
      <w:r>
        <w:rPr>
          <w:rFonts w:eastAsia="Times New Roman"/>
          <w:lang w:val="sl-SI"/>
        </w:rPr>
        <w:t>brazgotinjenje;</w:t>
      </w:r>
    </w:p>
    <w:p w14:paraId="129F828B" w14:textId="77777777" w:rsidR="00840AAB" w:rsidRDefault="00840AAB" w:rsidP="00840AAB">
      <w:pPr>
        <w:pStyle w:val="a3"/>
        <w:numPr>
          <w:ilvl w:val="0"/>
          <w:numId w:val="16"/>
        </w:numPr>
        <w:ind w:left="660" w:hanging="660"/>
        <w:rPr>
          <w:lang w:val="sl-SI"/>
        </w:rPr>
      </w:pPr>
      <w:r>
        <w:rPr>
          <w:rFonts w:eastAsia="Times New Roman"/>
          <w:lang w:val="sl-SI"/>
        </w:rPr>
        <w:t>neobičajen razpad mišic;</w:t>
      </w:r>
    </w:p>
    <w:p w14:paraId="0C5FD468" w14:textId="77777777" w:rsidR="00840AAB" w:rsidRDefault="00840AAB" w:rsidP="00840AAB">
      <w:pPr>
        <w:pStyle w:val="a3"/>
        <w:numPr>
          <w:ilvl w:val="0"/>
          <w:numId w:val="16"/>
        </w:numPr>
        <w:ind w:left="660" w:hanging="660"/>
        <w:rPr>
          <w:rFonts w:eastAsia="Times New Roman"/>
          <w:spacing w:val="-1"/>
          <w:lang w:val="sl-SI"/>
        </w:rPr>
      </w:pPr>
      <w:r>
        <w:rPr>
          <w:rFonts w:eastAsia="Times New Roman"/>
          <w:lang w:val="sl-SI"/>
        </w:rPr>
        <w:t>sistemski eritematozni lupus (vključno z vnetjem kože, srca, pljuč, sklepov in drugih organskih sistemov);</w:t>
      </w:r>
    </w:p>
    <w:p w14:paraId="53645F50" w14:textId="77777777" w:rsidR="00840AAB" w:rsidRDefault="00840AAB" w:rsidP="00840AAB">
      <w:pPr>
        <w:pStyle w:val="a3"/>
        <w:numPr>
          <w:ilvl w:val="0"/>
          <w:numId w:val="16"/>
        </w:numPr>
        <w:ind w:left="660" w:hanging="660"/>
        <w:rPr>
          <w:lang w:val="sl-SI"/>
        </w:rPr>
      </w:pPr>
      <w:r>
        <w:rPr>
          <w:rFonts w:eastAsia="Times New Roman"/>
          <w:lang w:val="sl-SI"/>
        </w:rPr>
        <w:t>motnje spanja;</w:t>
      </w:r>
    </w:p>
    <w:p w14:paraId="4CA96F7B" w14:textId="77777777" w:rsidR="00840AAB" w:rsidRDefault="00840AAB" w:rsidP="00840AAB">
      <w:pPr>
        <w:pStyle w:val="a3"/>
        <w:numPr>
          <w:ilvl w:val="0"/>
          <w:numId w:val="16"/>
        </w:numPr>
        <w:ind w:left="660" w:hanging="660"/>
        <w:rPr>
          <w:lang w:val="sl-SI"/>
        </w:rPr>
      </w:pPr>
      <w:r>
        <w:rPr>
          <w:rFonts w:eastAsia="Times New Roman"/>
          <w:lang w:val="sl-SI"/>
        </w:rPr>
        <w:t>impotenca;</w:t>
      </w:r>
    </w:p>
    <w:p w14:paraId="1B269F59" w14:textId="77777777" w:rsidR="00840AAB" w:rsidRDefault="00840AAB" w:rsidP="00840AAB">
      <w:pPr>
        <w:pStyle w:val="a3"/>
        <w:numPr>
          <w:ilvl w:val="0"/>
          <w:numId w:val="16"/>
        </w:numPr>
        <w:ind w:left="660" w:hanging="660"/>
        <w:rPr>
          <w:lang w:val="sl-SI"/>
        </w:rPr>
      </w:pPr>
      <w:r>
        <w:rPr>
          <w:rFonts w:eastAsia="Times New Roman"/>
          <w:lang w:val="sl-SI"/>
        </w:rPr>
        <w:t>vnetja.</w:t>
      </w:r>
    </w:p>
    <w:p w14:paraId="33BBCEC2" w14:textId="77777777" w:rsidR="00840AAB" w:rsidRDefault="00840AAB" w:rsidP="00840AAB">
      <w:pPr>
        <w:spacing w:before="13" w:line="240" w:lineRule="exact"/>
        <w:rPr>
          <w:sz w:val="24"/>
          <w:szCs w:val="24"/>
          <w:lang w:val="sl-SI"/>
        </w:rPr>
      </w:pPr>
    </w:p>
    <w:p w14:paraId="46F7AF82" w14:textId="77777777" w:rsidR="00840AAB" w:rsidRDefault="00840AAB" w:rsidP="00840AAB">
      <w:pPr>
        <w:pStyle w:val="a3"/>
        <w:rPr>
          <w:lang w:val="sl-SI"/>
        </w:rPr>
      </w:pPr>
      <w:r>
        <w:rPr>
          <w:rFonts w:eastAsia="Times New Roman"/>
          <w:b/>
          <w:bCs/>
          <w:lang w:val="sl-SI"/>
        </w:rPr>
        <w:t xml:space="preserve">Redki </w:t>
      </w:r>
      <w:r>
        <w:rPr>
          <w:rFonts w:eastAsia="Times New Roman"/>
          <w:lang w:val="sl-SI"/>
        </w:rPr>
        <w:t>(pojavijo se lahko pri največ 1 od 1.000 bolnikov)</w:t>
      </w:r>
    </w:p>
    <w:p w14:paraId="2714EF8F" w14:textId="77777777" w:rsidR="00840AAB" w:rsidRDefault="00840AAB" w:rsidP="00840AAB">
      <w:pPr>
        <w:spacing w:before="12" w:line="240" w:lineRule="exact"/>
        <w:rPr>
          <w:sz w:val="24"/>
          <w:szCs w:val="24"/>
          <w:lang w:val="sl-SI"/>
        </w:rPr>
      </w:pPr>
    </w:p>
    <w:p w14:paraId="693718EA" w14:textId="77777777" w:rsidR="00840AAB" w:rsidRDefault="00840AAB" w:rsidP="00840AAB">
      <w:pPr>
        <w:pStyle w:val="a3"/>
        <w:numPr>
          <w:ilvl w:val="0"/>
          <w:numId w:val="16"/>
        </w:numPr>
        <w:ind w:left="660" w:hanging="660"/>
        <w:rPr>
          <w:lang w:val="sl-SI"/>
        </w:rPr>
      </w:pPr>
      <w:r>
        <w:rPr>
          <w:rFonts w:eastAsia="Times New Roman"/>
          <w:lang w:val="sl-SI"/>
        </w:rPr>
        <w:t>levkemija (rak, ki prizadene kri in kostni mozeg);</w:t>
      </w:r>
    </w:p>
    <w:p w14:paraId="01C3AC4B" w14:textId="77777777" w:rsidR="00840AAB" w:rsidRDefault="00840AAB" w:rsidP="00840AAB">
      <w:pPr>
        <w:pStyle w:val="a3"/>
        <w:numPr>
          <w:ilvl w:val="0"/>
          <w:numId w:val="16"/>
        </w:numPr>
        <w:ind w:left="660" w:hanging="660"/>
        <w:rPr>
          <w:lang w:val="sl-SI"/>
        </w:rPr>
      </w:pPr>
      <w:r>
        <w:rPr>
          <w:rFonts w:eastAsia="Times New Roman"/>
          <w:lang w:val="sl-SI"/>
        </w:rPr>
        <w:t>huda alergijska reakcija s šokom;</w:t>
      </w:r>
    </w:p>
    <w:p w14:paraId="4AB56035" w14:textId="77777777" w:rsidR="00840AAB" w:rsidRDefault="00840AAB" w:rsidP="00840AAB">
      <w:pPr>
        <w:pStyle w:val="a3"/>
        <w:numPr>
          <w:ilvl w:val="0"/>
          <w:numId w:val="16"/>
        </w:numPr>
        <w:ind w:left="660" w:hanging="660"/>
        <w:rPr>
          <w:lang w:val="sl-SI"/>
        </w:rPr>
      </w:pPr>
      <w:r>
        <w:rPr>
          <w:rFonts w:eastAsia="Times New Roman"/>
          <w:lang w:val="sl-SI"/>
        </w:rPr>
        <w:t>multipla skleroza;</w:t>
      </w:r>
    </w:p>
    <w:p w14:paraId="2B38BC7B" w14:textId="77777777" w:rsidR="00840AAB" w:rsidRDefault="00840AAB" w:rsidP="00840AAB">
      <w:pPr>
        <w:pStyle w:val="a3"/>
        <w:numPr>
          <w:ilvl w:val="0"/>
          <w:numId w:val="16"/>
        </w:numPr>
        <w:ind w:left="660" w:hanging="660"/>
        <w:rPr>
          <w:lang w:val="sl-SI"/>
        </w:rPr>
      </w:pPr>
      <w:r>
        <w:rPr>
          <w:rFonts w:eastAsia="Times New Roman"/>
          <w:lang w:val="sl-SI"/>
        </w:rPr>
        <w:t>bolezni živčevja (kot je vnetje očesnega živca in sindrom Guillain-Barré, ki lahko povzroči šibkost mišic, nenormalna občutenja, mravljinčenje v rokah in zgornjem delu telesa);</w:t>
      </w:r>
    </w:p>
    <w:p w14:paraId="3AA38264" w14:textId="77777777" w:rsidR="00840AAB" w:rsidRDefault="00840AAB" w:rsidP="00840AAB">
      <w:pPr>
        <w:pStyle w:val="a3"/>
        <w:numPr>
          <w:ilvl w:val="0"/>
          <w:numId w:val="16"/>
        </w:numPr>
        <w:ind w:left="660" w:hanging="660"/>
        <w:rPr>
          <w:lang w:val="sl-SI"/>
        </w:rPr>
      </w:pPr>
      <w:r>
        <w:rPr>
          <w:rFonts w:eastAsia="Times New Roman"/>
          <w:lang w:val="sl-SI"/>
        </w:rPr>
        <w:t>srce preneha črpati kri;</w:t>
      </w:r>
    </w:p>
    <w:p w14:paraId="2DCE09A6" w14:textId="77777777" w:rsidR="00840AAB" w:rsidRDefault="00840AAB" w:rsidP="00840AAB">
      <w:pPr>
        <w:pStyle w:val="a3"/>
        <w:numPr>
          <w:ilvl w:val="0"/>
          <w:numId w:val="16"/>
        </w:numPr>
        <w:ind w:left="660" w:hanging="660"/>
        <w:rPr>
          <w:lang w:val="sl-SI"/>
        </w:rPr>
      </w:pPr>
      <w:r>
        <w:rPr>
          <w:rFonts w:eastAsia="Times New Roman"/>
          <w:lang w:val="sl-SI"/>
        </w:rPr>
        <w:t>pljučna fibroza (brazgotinjenje pljuč);</w:t>
      </w:r>
    </w:p>
    <w:p w14:paraId="5454FE8B" w14:textId="77777777" w:rsidR="00840AAB" w:rsidRDefault="00840AAB" w:rsidP="00840AAB">
      <w:pPr>
        <w:pStyle w:val="a3"/>
        <w:numPr>
          <w:ilvl w:val="0"/>
          <w:numId w:val="16"/>
        </w:numPr>
        <w:ind w:left="660" w:hanging="660"/>
        <w:rPr>
          <w:lang w:val="sl-SI"/>
        </w:rPr>
      </w:pPr>
      <w:r>
        <w:rPr>
          <w:rFonts w:eastAsia="Times New Roman"/>
          <w:lang w:val="sl-SI"/>
        </w:rPr>
        <w:t>perforacija črevesja (luknja v črevesju);</w:t>
      </w:r>
    </w:p>
    <w:p w14:paraId="5BB60126" w14:textId="77777777" w:rsidR="00840AAB" w:rsidRDefault="00840AAB" w:rsidP="00840AAB">
      <w:pPr>
        <w:pStyle w:val="a3"/>
        <w:numPr>
          <w:ilvl w:val="0"/>
          <w:numId w:val="16"/>
        </w:numPr>
        <w:ind w:left="660" w:hanging="660"/>
        <w:rPr>
          <w:lang w:val="sl-SI"/>
        </w:rPr>
      </w:pPr>
      <w:r>
        <w:rPr>
          <w:rFonts w:eastAsia="Times New Roman"/>
          <w:lang w:val="sl-SI"/>
        </w:rPr>
        <w:t>hepatitis;</w:t>
      </w:r>
    </w:p>
    <w:p w14:paraId="7056E2CC" w14:textId="77777777" w:rsidR="00840AAB" w:rsidRDefault="00840AAB" w:rsidP="00840AAB">
      <w:pPr>
        <w:pStyle w:val="a3"/>
        <w:numPr>
          <w:ilvl w:val="0"/>
          <w:numId w:val="16"/>
        </w:numPr>
        <w:ind w:left="660" w:hanging="660"/>
        <w:rPr>
          <w:lang w:val="sl-SI"/>
        </w:rPr>
      </w:pPr>
      <w:r>
        <w:rPr>
          <w:rFonts w:eastAsia="Times New Roman"/>
          <w:lang w:val="sl-SI"/>
        </w:rPr>
        <w:t>ponovna aktivacija hepatitisa B;</w:t>
      </w:r>
    </w:p>
    <w:p w14:paraId="50479DB3" w14:textId="77777777" w:rsidR="00840AAB" w:rsidRDefault="00840AAB" w:rsidP="00840AAB">
      <w:pPr>
        <w:pStyle w:val="a3"/>
        <w:numPr>
          <w:ilvl w:val="0"/>
          <w:numId w:val="16"/>
        </w:numPr>
        <w:ind w:left="660" w:hanging="660"/>
        <w:rPr>
          <w:lang w:val="sl-SI"/>
        </w:rPr>
      </w:pPr>
      <w:r>
        <w:rPr>
          <w:rFonts w:eastAsia="Times New Roman"/>
          <w:lang w:val="sl-SI"/>
        </w:rPr>
        <w:t>avtoimunski hepatitis (vnetje jeter, ki ga povzroči lastni imunski sistem);</w:t>
      </w:r>
    </w:p>
    <w:p w14:paraId="6679C3F3" w14:textId="77777777" w:rsidR="00840AAB" w:rsidRDefault="00840AAB" w:rsidP="00840AAB">
      <w:pPr>
        <w:pStyle w:val="a3"/>
        <w:numPr>
          <w:ilvl w:val="0"/>
          <w:numId w:val="16"/>
        </w:numPr>
        <w:ind w:left="660" w:hanging="660"/>
        <w:rPr>
          <w:lang w:val="sl-SI"/>
        </w:rPr>
      </w:pPr>
      <w:r>
        <w:rPr>
          <w:rFonts w:eastAsia="Times New Roman"/>
          <w:lang w:val="sl-SI"/>
        </w:rPr>
        <w:t>kožni vaskulitis (vnetje krvnih žil v koži);</w:t>
      </w:r>
    </w:p>
    <w:p w14:paraId="685F3F01" w14:textId="77777777" w:rsidR="00840AAB" w:rsidRDefault="00840AAB" w:rsidP="00840AAB">
      <w:pPr>
        <w:pStyle w:val="a3"/>
        <w:numPr>
          <w:ilvl w:val="0"/>
          <w:numId w:val="16"/>
        </w:numPr>
        <w:ind w:left="660" w:hanging="660"/>
        <w:rPr>
          <w:lang w:val="sl-SI"/>
        </w:rPr>
      </w:pPr>
      <w:r>
        <w:rPr>
          <w:rFonts w:eastAsia="Times New Roman"/>
          <w:lang w:val="sl-SI"/>
        </w:rPr>
        <w:t>Stevens-Johnsonov sindrom (zgodnji znaki vključujejo slabo počutje, povišano telesno temperaturo, glavobol in izpuščaj);</w:t>
      </w:r>
    </w:p>
    <w:p w14:paraId="290101A0" w14:textId="77777777" w:rsidR="00840AAB" w:rsidRDefault="00840AAB" w:rsidP="00840AAB">
      <w:pPr>
        <w:pStyle w:val="a3"/>
        <w:numPr>
          <w:ilvl w:val="0"/>
          <w:numId w:val="16"/>
        </w:numPr>
        <w:ind w:left="660" w:hanging="660"/>
        <w:rPr>
          <w:lang w:val="sl-SI"/>
        </w:rPr>
      </w:pPr>
      <w:r>
        <w:rPr>
          <w:rFonts w:eastAsia="Times New Roman"/>
          <w:lang w:val="sl-SI"/>
        </w:rPr>
        <w:t>edem obraza (otekanje obraza), ki je povezano z alergijskimi reakcijami;</w:t>
      </w:r>
    </w:p>
    <w:p w14:paraId="26A81F0F" w14:textId="77777777" w:rsidR="00840AAB" w:rsidRDefault="00840AAB" w:rsidP="00840AAB">
      <w:pPr>
        <w:pStyle w:val="a3"/>
        <w:numPr>
          <w:ilvl w:val="0"/>
          <w:numId w:val="16"/>
        </w:numPr>
        <w:ind w:left="660" w:hanging="660"/>
        <w:rPr>
          <w:lang w:val="sl-SI"/>
        </w:rPr>
      </w:pPr>
      <w:r>
        <w:rPr>
          <w:rFonts w:eastAsia="Times New Roman"/>
          <w:lang w:val="sl-SI"/>
        </w:rPr>
        <w:t>multiformni eritem (vnetni kožni izpuščaj);</w:t>
      </w:r>
    </w:p>
    <w:p w14:paraId="1ABC4450" w14:textId="77777777" w:rsidR="00840AAB" w:rsidRDefault="00840AAB" w:rsidP="00840AAB">
      <w:pPr>
        <w:pStyle w:val="a3"/>
        <w:numPr>
          <w:ilvl w:val="0"/>
          <w:numId w:val="16"/>
        </w:numPr>
        <w:ind w:left="660" w:hanging="660"/>
        <w:rPr>
          <w:lang w:val="sl-SI"/>
        </w:rPr>
      </w:pPr>
      <w:r>
        <w:rPr>
          <w:rFonts w:eastAsia="Times New Roman"/>
          <w:lang w:val="sl-SI"/>
        </w:rPr>
        <w:t>lupusu podoben sindrom;</w:t>
      </w:r>
    </w:p>
    <w:p w14:paraId="43957DF0" w14:textId="77777777" w:rsidR="00840AAB" w:rsidRDefault="00840AAB" w:rsidP="00840AAB">
      <w:pPr>
        <w:pStyle w:val="a3"/>
        <w:numPr>
          <w:ilvl w:val="0"/>
          <w:numId w:val="16"/>
        </w:numPr>
        <w:ind w:left="660" w:hanging="660"/>
        <w:rPr>
          <w:lang w:val="sl-SI"/>
        </w:rPr>
      </w:pPr>
      <w:r>
        <w:rPr>
          <w:rFonts w:eastAsia="Times New Roman"/>
          <w:lang w:val="sl-SI"/>
        </w:rPr>
        <w:t>angioedem (lokalizirano otekanje kože);</w:t>
      </w:r>
    </w:p>
    <w:p w14:paraId="590D47F6" w14:textId="77777777" w:rsidR="00840AAB" w:rsidRDefault="00840AAB" w:rsidP="00840AAB">
      <w:pPr>
        <w:pStyle w:val="a3"/>
        <w:numPr>
          <w:ilvl w:val="0"/>
          <w:numId w:val="16"/>
        </w:numPr>
        <w:ind w:left="660" w:hanging="660"/>
        <w:rPr>
          <w:lang w:val="sl-SI"/>
        </w:rPr>
      </w:pPr>
      <w:r>
        <w:rPr>
          <w:rFonts w:eastAsia="Times New Roman"/>
          <w:lang w:val="sl-SI"/>
        </w:rPr>
        <w:t>lihenoidna reakcija kože (srbeč rdeče-vijolični kožni izpuščaj).</w:t>
      </w:r>
    </w:p>
    <w:p w14:paraId="6D8E9828" w14:textId="77777777" w:rsidR="00840AAB" w:rsidRDefault="00840AAB" w:rsidP="00840AAB">
      <w:pPr>
        <w:spacing w:before="10" w:line="240" w:lineRule="exact"/>
        <w:rPr>
          <w:sz w:val="24"/>
          <w:szCs w:val="24"/>
          <w:lang w:val="sl-SI"/>
        </w:rPr>
      </w:pPr>
    </w:p>
    <w:p w14:paraId="12703709" w14:textId="5C4BC9B8" w:rsidR="00840AAB" w:rsidRDefault="00840AAB" w:rsidP="00840AAB">
      <w:pPr>
        <w:pStyle w:val="a3"/>
        <w:rPr>
          <w:lang w:val="sl-SI"/>
        </w:rPr>
      </w:pPr>
      <w:r>
        <w:rPr>
          <w:rFonts w:eastAsia="Times New Roman"/>
          <w:b/>
          <w:bCs/>
          <w:lang w:val="sl-SI"/>
        </w:rPr>
        <w:t>Neznana</w:t>
      </w:r>
      <w:r>
        <w:rPr>
          <w:rFonts w:eastAsia="Times New Roman"/>
          <w:lang w:val="sl-SI"/>
        </w:rPr>
        <w:t xml:space="preserve"> </w:t>
      </w:r>
      <w:r w:rsidR="006238AA" w:rsidRPr="007C415F">
        <w:rPr>
          <w:rFonts w:eastAsia="Times New Roman"/>
          <w:b/>
          <w:bCs/>
          <w:lang w:val="sl-SI"/>
        </w:rPr>
        <w:t>pogostnost</w:t>
      </w:r>
      <w:r w:rsidR="006238AA">
        <w:rPr>
          <w:rFonts w:eastAsia="Times New Roman"/>
          <w:lang w:val="sl-SI"/>
        </w:rPr>
        <w:t xml:space="preserve"> </w:t>
      </w:r>
      <w:r>
        <w:rPr>
          <w:rFonts w:eastAsia="Times New Roman"/>
          <w:lang w:val="sl-SI"/>
        </w:rPr>
        <w:t>(pogostnosti iz razpoložljivih podatkov ni mogoče oceniti)</w:t>
      </w:r>
    </w:p>
    <w:p w14:paraId="75FC1B86" w14:textId="77777777" w:rsidR="00840AAB" w:rsidRDefault="00840AAB" w:rsidP="00840AAB">
      <w:pPr>
        <w:spacing w:before="14" w:line="240" w:lineRule="exact"/>
        <w:rPr>
          <w:sz w:val="24"/>
          <w:szCs w:val="24"/>
          <w:lang w:val="sl-SI"/>
        </w:rPr>
      </w:pPr>
    </w:p>
    <w:p w14:paraId="63B8D9EA" w14:textId="77777777" w:rsidR="00840AAB" w:rsidRDefault="00840AAB" w:rsidP="00840AAB">
      <w:pPr>
        <w:pStyle w:val="a3"/>
        <w:numPr>
          <w:ilvl w:val="0"/>
          <w:numId w:val="16"/>
        </w:numPr>
        <w:ind w:left="660" w:hanging="660"/>
        <w:rPr>
          <w:lang w:val="sl-SI"/>
        </w:rPr>
      </w:pPr>
      <w:r>
        <w:rPr>
          <w:rFonts w:eastAsia="Times New Roman"/>
          <w:lang w:val="sl-SI"/>
        </w:rPr>
        <w:t>jetrnovranični limfom celic T (redka oblika krvnega raka, ki je pogosto smrtna);</w:t>
      </w:r>
    </w:p>
    <w:p w14:paraId="458CD820" w14:textId="77777777" w:rsidR="00840AAB" w:rsidRDefault="00840AAB" w:rsidP="00840AAB">
      <w:pPr>
        <w:pStyle w:val="a3"/>
        <w:numPr>
          <w:ilvl w:val="0"/>
          <w:numId w:val="16"/>
        </w:numPr>
        <w:ind w:left="660" w:hanging="660"/>
        <w:rPr>
          <w:lang w:val="sl-SI"/>
        </w:rPr>
      </w:pPr>
      <w:r>
        <w:rPr>
          <w:rFonts w:eastAsia="Times New Roman"/>
          <w:lang w:val="sl-SI"/>
        </w:rPr>
        <w:t>karcinom Merklovih celic (vrsta kožnega raka);</w:t>
      </w:r>
    </w:p>
    <w:p w14:paraId="474C0F9A" w14:textId="77777777" w:rsidR="00840AAB" w:rsidRDefault="00840AAB" w:rsidP="00840AAB">
      <w:pPr>
        <w:pStyle w:val="a3"/>
        <w:numPr>
          <w:ilvl w:val="0"/>
          <w:numId w:val="16"/>
        </w:numPr>
        <w:ind w:left="660" w:hanging="660"/>
        <w:rPr>
          <w:lang w:val="sl-SI"/>
        </w:rPr>
      </w:pPr>
      <w:r>
        <w:rPr>
          <w:rFonts w:eastAsia="Times New Roman"/>
          <w:lang w:val="sl-SI"/>
        </w:rPr>
        <w:t>Kaposijev sarkom, redek rak, povezan z okužbo s človeškim virusom herpesa 8. Kaposijev sarkom se najpogosteje pojavlja kot vijolične lezije na koži.</w:t>
      </w:r>
    </w:p>
    <w:p w14:paraId="4BFF67D4" w14:textId="77777777" w:rsidR="00840AAB" w:rsidRDefault="00840AAB" w:rsidP="00840AAB">
      <w:pPr>
        <w:pStyle w:val="a3"/>
        <w:numPr>
          <w:ilvl w:val="0"/>
          <w:numId w:val="16"/>
        </w:numPr>
        <w:ind w:left="660" w:hanging="660"/>
        <w:rPr>
          <w:lang w:val="sl-SI"/>
        </w:rPr>
      </w:pPr>
      <w:r>
        <w:rPr>
          <w:rFonts w:eastAsia="Times New Roman"/>
          <w:lang w:val="sl-SI"/>
        </w:rPr>
        <w:lastRenderedPageBreak/>
        <w:t>odpoved jeter;</w:t>
      </w:r>
    </w:p>
    <w:p w14:paraId="203F0489" w14:textId="77777777" w:rsidR="00840AAB" w:rsidRPr="00907360" w:rsidRDefault="00840AAB" w:rsidP="00840AAB">
      <w:pPr>
        <w:pStyle w:val="a3"/>
        <w:numPr>
          <w:ilvl w:val="0"/>
          <w:numId w:val="16"/>
        </w:numPr>
        <w:ind w:left="660" w:hanging="660"/>
        <w:rPr>
          <w:rFonts w:eastAsia="Times New Roman"/>
          <w:lang w:val="sl-SI"/>
        </w:rPr>
      </w:pPr>
      <w:r>
        <w:rPr>
          <w:rFonts w:eastAsia="Times New Roman"/>
          <w:lang w:val="sl-SI"/>
        </w:rPr>
        <w:t>poslabšanje stanja, imenovanega dermatomiozitis (pojavi se kot kožni izpuščaj, ki spremlja šibkost mišic);</w:t>
      </w:r>
    </w:p>
    <w:p w14:paraId="2C9DD16A" w14:textId="77777777" w:rsidR="00840AAB" w:rsidRPr="00DA5D63" w:rsidRDefault="00840AAB" w:rsidP="00840AAB">
      <w:pPr>
        <w:pStyle w:val="a3"/>
        <w:numPr>
          <w:ilvl w:val="0"/>
          <w:numId w:val="16"/>
        </w:numPr>
        <w:ind w:left="660" w:hanging="660"/>
        <w:rPr>
          <w:rFonts w:eastAsia="Times New Roman"/>
          <w:lang w:val="sl-SI"/>
        </w:rPr>
      </w:pPr>
      <w:r w:rsidRPr="00DA5D63">
        <w:rPr>
          <w:rFonts w:eastAsia="Times New Roman"/>
          <w:lang w:val="sl-SI"/>
        </w:rPr>
        <w:t>povečanje telesne mase (pri večini bolnikov je bilo povečanje telesne mase majhno)</w:t>
      </w:r>
    </w:p>
    <w:p w14:paraId="3D779A96" w14:textId="77777777" w:rsidR="00840AAB" w:rsidRDefault="00840AAB" w:rsidP="00840AAB">
      <w:pPr>
        <w:pStyle w:val="a3"/>
        <w:numPr>
          <w:ilvl w:val="0"/>
          <w:numId w:val="0"/>
        </w:numPr>
        <w:rPr>
          <w:lang w:val="sl-SI"/>
        </w:rPr>
      </w:pPr>
    </w:p>
    <w:p w14:paraId="3072467B" w14:textId="77777777" w:rsidR="00840AAB" w:rsidRDefault="00840AAB" w:rsidP="00840AAB">
      <w:pPr>
        <w:pStyle w:val="a3"/>
        <w:rPr>
          <w:lang w:val="sl-SI"/>
        </w:rPr>
      </w:pPr>
      <w:r>
        <w:rPr>
          <w:rFonts w:eastAsia="Times New Roman"/>
          <w:lang w:val="sl-SI"/>
        </w:rPr>
        <w:t>Nekateri neželeni učinki, ki so bili opaženi pri uporabi zdravila Yuflyma, nimajo simptomov in se jih lahko odkrije le pri krvnih testih. Med njimi so:</w:t>
      </w:r>
    </w:p>
    <w:p w14:paraId="2B06BC4B" w14:textId="77777777" w:rsidR="00840AAB" w:rsidRDefault="00840AAB" w:rsidP="00840AAB">
      <w:pPr>
        <w:pStyle w:val="a3"/>
        <w:rPr>
          <w:lang w:val="sl-SI"/>
        </w:rPr>
      </w:pPr>
    </w:p>
    <w:p w14:paraId="3C725A65" w14:textId="77777777" w:rsidR="00840AAB" w:rsidRDefault="00840AAB" w:rsidP="00840AAB">
      <w:pPr>
        <w:pStyle w:val="a3"/>
        <w:rPr>
          <w:rFonts w:eastAsia="Times New Roman"/>
          <w:lang w:val="sl-SI"/>
        </w:rPr>
      </w:pPr>
      <w:r>
        <w:rPr>
          <w:rFonts w:eastAsia="Times New Roman"/>
          <w:b/>
          <w:bCs/>
          <w:spacing w:val="-1"/>
          <w:lang w:val="sl-SI"/>
        </w:rPr>
        <w:t xml:space="preserve">Zelo pogosti </w:t>
      </w:r>
      <w:r>
        <w:rPr>
          <w:rFonts w:eastAsia="Times New Roman"/>
          <w:spacing w:val="-1"/>
          <w:lang w:val="sl-SI"/>
        </w:rPr>
        <w:t>(pojavijo se lahko pri več kot 1 od 10 bolnikov)</w:t>
      </w:r>
    </w:p>
    <w:p w14:paraId="0A02A3AB" w14:textId="77777777" w:rsidR="00840AAB" w:rsidRDefault="00840AAB" w:rsidP="00840AAB">
      <w:pPr>
        <w:pStyle w:val="a3"/>
        <w:rPr>
          <w:lang w:val="sl-SI"/>
        </w:rPr>
      </w:pPr>
    </w:p>
    <w:p w14:paraId="224D9BD5" w14:textId="77777777" w:rsidR="00840AAB" w:rsidRDefault="00840AAB" w:rsidP="00840AAB">
      <w:pPr>
        <w:pStyle w:val="a3"/>
        <w:numPr>
          <w:ilvl w:val="0"/>
          <w:numId w:val="16"/>
        </w:numPr>
        <w:ind w:left="660" w:hanging="660"/>
        <w:rPr>
          <w:lang w:val="sl-SI"/>
        </w:rPr>
      </w:pPr>
      <w:r>
        <w:rPr>
          <w:rFonts w:eastAsia="Times New Roman"/>
          <w:lang w:val="sl-SI"/>
        </w:rPr>
        <w:t>nizke krvne vrednosti belih krvnih celic;</w:t>
      </w:r>
    </w:p>
    <w:p w14:paraId="16600383" w14:textId="77777777" w:rsidR="00840AAB" w:rsidRDefault="00840AAB" w:rsidP="00840AAB">
      <w:pPr>
        <w:pStyle w:val="a3"/>
        <w:numPr>
          <w:ilvl w:val="0"/>
          <w:numId w:val="16"/>
        </w:numPr>
        <w:ind w:left="660" w:hanging="660"/>
        <w:rPr>
          <w:lang w:val="sl-SI"/>
        </w:rPr>
      </w:pPr>
      <w:r>
        <w:rPr>
          <w:rFonts w:eastAsia="Times New Roman"/>
          <w:lang w:val="sl-SI"/>
        </w:rPr>
        <w:t>nizke krvne vrednosti rdečih krvnih celic;</w:t>
      </w:r>
    </w:p>
    <w:p w14:paraId="7C7376DA" w14:textId="77777777" w:rsidR="00840AAB" w:rsidRDefault="00840AAB" w:rsidP="00840AAB">
      <w:pPr>
        <w:pStyle w:val="a3"/>
        <w:numPr>
          <w:ilvl w:val="0"/>
          <w:numId w:val="16"/>
        </w:numPr>
        <w:ind w:left="660" w:hanging="660"/>
        <w:rPr>
          <w:lang w:val="sl-SI"/>
        </w:rPr>
      </w:pPr>
      <w:r>
        <w:rPr>
          <w:rFonts w:eastAsia="Times New Roman"/>
          <w:lang w:val="sl-SI"/>
        </w:rPr>
        <w:t>zvečanje vrednosti lipidov v krvi;</w:t>
      </w:r>
    </w:p>
    <w:p w14:paraId="74A38739" w14:textId="77777777" w:rsidR="00840AAB" w:rsidRDefault="00840AAB" w:rsidP="00840AAB">
      <w:pPr>
        <w:pStyle w:val="a3"/>
        <w:numPr>
          <w:ilvl w:val="0"/>
          <w:numId w:val="16"/>
        </w:numPr>
        <w:ind w:left="660" w:hanging="660"/>
        <w:rPr>
          <w:lang w:val="sl-SI"/>
        </w:rPr>
      </w:pPr>
      <w:r>
        <w:rPr>
          <w:rFonts w:eastAsia="Times New Roman"/>
          <w:lang w:val="sl-SI"/>
        </w:rPr>
        <w:t>zvečanje vrednosti jetrnih encimov.</w:t>
      </w:r>
    </w:p>
    <w:p w14:paraId="408783A1" w14:textId="77777777" w:rsidR="00840AAB" w:rsidRDefault="00840AAB" w:rsidP="00840AAB">
      <w:pPr>
        <w:spacing w:before="10" w:line="240" w:lineRule="exact"/>
        <w:rPr>
          <w:sz w:val="24"/>
          <w:szCs w:val="24"/>
          <w:lang w:val="sl-SI"/>
        </w:rPr>
      </w:pPr>
    </w:p>
    <w:p w14:paraId="29D17CF3" w14:textId="77777777" w:rsidR="00840AAB" w:rsidRDefault="00840AAB" w:rsidP="00840AAB">
      <w:pPr>
        <w:pStyle w:val="a3"/>
        <w:rPr>
          <w:lang w:val="sl-SI"/>
        </w:rPr>
      </w:pPr>
      <w:r>
        <w:rPr>
          <w:rFonts w:eastAsia="Times New Roman"/>
          <w:b/>
          <w:bCs/>
          <w:lang w:val="sl-SI"/>
        </w:rPr>
        <w:t xml:space="preserve">Pogosti: </w:t>
      </w:r>
      <w:r>
        <w:rPr>
          <w:rFonts w:eastAsia="Times New Roman"/>
          <w:lang w:val="sl-SI"/>
        </w:rPr>
        <w:t>(pojavijo se lahko pri največ 1 od 10 bolnikov)</w:t>
      </w:r>
    </w:p>
    <w:p w14:paraId="64B3385D" w14:textId="77777777" w:rsidR="00840AAB" w:rsidRDefault="00840AAB" w:rsidP="00840AAB">
      <w:pPr>
        <w:spacing w:before="14" w:line="240" w:lineRule="exact"/>
        <w:rPr>
          <w:sz w:val="24"/>
          <w:szCs w:val="24"/>
          <w:lang w:val="sl-SI"/>
        </w:rPr>
      </w:pPr>
    </w:p>
    <w:p w14:paraId="4A862991" w14:textId="77777777" w:rsidR="00840AAB" w:rsidRDefault="00840AAB" w:rsidP="00840AAB">
      <w:pPr>
        <w:pStyle w:val="a3"/>
        <w:numPr>
          <w:ilvl w:val="0"/>
          <w:numId w:val="16"/>
        </w:numPr>
        <w:ind w:left="660" w:hanging="660"/>
        <w:rPr>
          <w:lang w:val="sl-SI"/>
        </w:rPr>
      </w:pPr>
      <w:r>
        <w:rPr>
          <w:rFonts w:eastAsia="Times New Roman"/>
          <w:lang w:val="sl-SI"/>
        </w:rPr>
        <w:t>visoke krvne vrednosti belih krvnih celic;</w:t>
      </w:r>
    </w:p>
    <w:p w14:paraId="17F57B17" w14:textId="77777777" w:rsidR="00840AAB" w:rsidRDefault="00840AAB" w:rsidP="00840AAB">
      <w:pPr>
        <w:pStyle w:val="a3"/>
        <w:numPr>
          <w:ilvl w:val="0"/>
          <w:numId w:val="16"/>
        </w:numPr>
        <w:ind w:left="660" w:hanging="660"/>
        <w:rPr>
          <w:lang w:val="sl-SI"/>
        </w:rPr>
      </w:pPr>
      <w:r>
        <w:rPr>
          <w:rFonts w:eastAsia="Times New Roman"/>
          <w:lang w:val="sl-SI"/>
        </w:rPr>
        <w:t>nizke krvne vrednosti krvnih ploščic;</w:t>
      </w:r>
    </w:p>
    <w:p w14:paraId="3F7FEBE9" w14:textId="77777777" w:rsidR="00840AAB" w:rsidRDefault="00840AAB" w:rsidP="00840AAB">
      <w:pPr>
        <w:pStyle w:val="a3"/>
        <w:numPr>
          <w:ilvl w:val="0"/>
          <w:numId w:val="16"/>
        </w:numPr>
        <w:ind w:left="660" w:hanging="660"/>
        <w:rPr>
          <w:lang w:val="sl-SI"/>
        </w:rPr>
      </w:pPr>
      <w:r>
        <w:rPr>
          <w:rFonts w:eastAsia="Times New Roman"/>
          <w:lang w:val="sl-SI"/>
        </w:rPr>
        <w:t>zvečanje vrednosti sečne kisline v krvi;</w:t>
      </w:r>
    </w:p>
    <w:p w14:paraId="298A1938" w14:textId="77777777" w:rsidR="00840AAB" w:rsidRDefault="00840AAB" w:rsidP="00840AAB">
      <w:pPr>
        <w:pStyle w:val="a3"/>
        <w:numPr>
          <w:ilvl w:val="0"/>
          <w:numId w:val="16"/>
        </w:numPr>
        <w:ind w:left="660" w:hanging="660"/>
        <w:rPr>
          <w:lang w:val="sl-SI"/>
        </w:rPr>
      </w:pPr>
      <w:r>
        <w:rPr>
          <w:rFonts w:eastAsia="Times New Roman"/>
          <w:lang w:val="sl-SI"/>
        </w:rPr>
        <w:t>nenormalne izmerjene vrednosti natrija v krvi;</w:t>
      </w:r>
    </w:p>
    <w:p w14:paraId="31F64F70" w14:textId="77777777" w:rsidR="00840AAB" w:rsidRDefault="00840AAB" w:rsidP="00840AAB">
      <w:pPr>
        <w:pStyle w:val="a3"/>
        <w:numPr>
          <w:ilvl w:val="0"/>
          <w:numId w:val="16"/>
        </w:numPr>
        <w:ind w:left="660" w:hanging="660"/>
        <w:rPr>
          <w:lang w:val="sl-SI"/>
        </w:rPr>
      </w:pPr>
      <w:r>
        <w:rPr>
          <w:rFonts w:eastAsia="Times New Roman"/>
          <w:lang w:val="sl-SI"/>
        </w:rPr>
        <w:t>nizke krvne vrednosti kalcija;</w:t>
      </w:r>
    </w:p>
    <w:p w14:paraId="51524A36" w14:textId="77777777" w:rsidR="00840AAB" w:rsidRDefault="00840AAB" w:rsidP="00840AAB">
      <w:pPr>
        <w:pStyle w:val="a3"/>
        <w:numPr>
          <w:ilvl w:val="0"/>
          <w:numId w:val="16"/>
        </w:numPr>
        <w:ind w:left="660" w:hanging="660"/>
        <w:rPr>
          <w:lang w:val="sl-SI"/>
        </w:rPr>
      </w:pPr>
      <w:r>
        <w:rPr>
          <w:rFonts w:eastAsia="Times New Roman"/>
          <w:lang w:val="sl-SI"/>
        </w:rPr>
        <w:t>nizke krvne vrednosti fosfata;</w:t>
      </w:r>
    </w:p>
    <w:p w14:paraId="5CF5E13E" w14:textId="77777777" w:rsidR="00840AAB" w:rsidRDefault="00840AAB" w:rsidP="00840AAB">
      <w:pPr>
        <w:pStyle w:val="a3"/>
        <w:numPr>
          <w:ilvl w:val="0"/>
          <w:numId w:val="16"/>
        </w:numPr>
        <w:ind w:left="660" w:hanging="660"/>
        <w:rPr>
          <w:lang w:val="sl-SI"/>
        </w:rPr>
      </w:pPr>
      <w:r>
        <w:rPr>
          <w:rFonts w:eastAsia="Times New Roman"/>
          <w:lang w:val="sl-SI"/>
        </w:rPr>
        <w:t>visok krvni sladkor;</w:t>
      </w:r>
    </w:p>
    <w:p w14:paraId="5FCEE961" w14:textId="77777777" w:rsidR="00840AAB" w:rsidRDefault="00840AAB" w:rsidP="00840AAB">
      <w:pPr>
        <w:pStyle w:val="a3"/>
        <w:numPr>
          <w:ilvl w:val="0"/>
          <w:numId w:val="16"/>
        </w:numPr>
        <w:ind w:left="660" w:hanging="660"/>
        <w:rPr>
          <w:lang w:val="sl-SI"/>
        </w:rPr>
      </w:pPr>
      <w:r>
        <w:rPr>
          <w:rFonts w:eastAsia="Times New Roman"/>
          <w:lang w:val="sl-SI"/>
        </w:rPr>
        <w:t>visoke krvne vrednosti laktat dehidrogenaze;</w:t>
      </w:r>
    </w:p>
    <w:p w14:paraId="1FDC109F" w14:textId="77777777" w:rsidR="00840AAB" w:rsidRDefault="00840AAB" w:rsidP="00840AAB">
      <w:pPr>
        <w:pStyle w:val="a3"/>
        <w:numPr>
          <w:ilvl w:val="0"/>
          <w:numId w:val="16"/>
        </w:numPr>
        <w:ind w:left="660" w:hanging="660"/>
        <w:rPr>
          <w:lang w:val="sl-SI"/>
        </w:rPr>
      </w:pPr>
      <w:r>
        <w:rPr>
          <w:rFonts w:eastAsia="Times New Roman"/>
          <w:lang w:val="sl-SI"/>
        </w:rPr>
        <w:t>prisotnost avtoprotiteles v krvi;</w:t>
      </w:r>
    </w:p>
    <w:p w14:paraId="58766A31" w14:textId="77777777" w:rsidR="00840AAB" w:rsidRDefault="00840AAB" w:rsidP="00840AAB">
      <w:pPr>
        <w:pStyle w:val="a3"/>
        <w:numPr>
          <w:ilvl w:val="0"/>
          <w:numId w:val="16"/>
        </w:numPr>
        <w:ind w:left="660" w:hanging="660"/>
        <w:rPr>
          <w:lang w:val="sl-SI"/>
        </w:rPr>
      </w:pPr>
      <w:r>
        <w:rPr>
          <w:rFonts w:eastAsia="Times New Roman"/>
          <w:lang w:val="sl-SI"/>
        </w:rPr>
        <w:t>nizke krvne vrednosti kalija.</w:t>
      </w:r>
    </w:p>
    <w:p w14:paraId="51D4D01D" w14:textId="77777777" w:rsidR="00840AAB" w:rsidRDefault="00840AAB" w:rsidP="00840AAB">
      <w:pPr>
        <w:spacing w:before="13" w:line="240" w:lineRule="exact"/>
        <w:rPr>
          <w:sz w:val="24"/>
          <w:szCs w:val="24"/>
          <w:lang w:val="sl-SI"/>
        </w:rPr>
      </w:pPr>
    </w:p>
    <w:p w14:paraId="6C40BB1B" w14:textId="77777777" w:rsidR="00840AAB" w:rsidRDefault="00840AAB" w:rsidP="00840AAB">
      <w:pPr>
        <w:rPr>
          <w:rFonts w:ascii="Times New Roman" w:eastAsia="Times New Roman" w:hAnsi="Times New Roman" w:cs="Times New Roman"/>
          <w:lang w:val="sl-SI"/>
        </w:rPr>
      </w:pPr>
      <w:r>
        <w:rPr>
          <w:rFonts w:ascii="Times New Roman" w:eastAsia="Times New Roman" w:hAnsi="Times New Roman" w:cs="Times New Roman"/>
          <w:b/>
          <w:bCs/>
          <w:spacing w:val="-1"/>
          <w:lang w:val="sl-SI"/>
        </w:rPr>
        <w:t xml:space="preserve">Občasni </w:t>
      </w:r>
      <w:r>
        <w:rPr>
          <w:rFonts w:ascii="Times New Roman" w:eastAsia="Times New Roman" w:hAnsi="Times New Roman" w:cs="Times New Roman"/>
          <w:spacing w:val="-1"/>
          <w:lang w:val="sl-SI"/>
        </w:rPr>
        <w:t>(pojavijo se lahko pri največ 1 od 100 bolnikov)</w:t>
      </w:r>
    </w:p>
    <w:p w14:paraId="0A56DB18" w14:textId="77777777" w:rsidR="00840AAB" w:rsidRDefault="00840AAB" w:rsidP="00840AAB">
      <w:pPr>
        <w:spacing w:before="12" w:line="240" w:lineRule="exact"/>
        <w:rPr>
          <w:sz w:val="24"/>
          <w:szCs w:val="24"/>
          <w:lang w:val="sl-SI"/>
        </w:rPr>
      </w:pPr>
    </w:p>
    <w:p w14:paraId="411FEAEE" w14:textId="77777777" w:rsidR="00840AAB" w:rsidRDefault="00840AAB" w:rsidP="00840AAB">
      <w:pPr>
        <w:pStyle w:val="a3"/>
        <w:numPr>
          <w:ilvl w:val="0"/>
          <w:numId w:val="16"/>
        </w:numPr>
        <w:ind w:left="660" w:hanging="660"/>
        <w:rPr>
          <w:lang w:val="sl-SI"/>
        </w:rPr>
      </w:pPr>
      <w:r>
        <w:rPr>
          <w:rFonts w:eastAsia="Times New Roman"/>
          <w:lang w:val="sl-SI"/>
        </w:rPr>
        <w:t>povišane vrednosti bilirubina (jetrne krvne preiskave).</w:t>
      </w:r>
    </w:p>
    <w:p w14:paraId="008483AF" w14:textId="77777777" w:rsidR="00840AAB" w:rsidRDefault="00840AAB" w:rsidP="00840AAB">
      <w:pPr>
        <w:spacing w:before="13" w:line="240" w:lineRule="exact"/>
        <w:rPr>
          <w:sz w:val="24"/>
          <w:szCs w:val="24"/>
          <w:lang w:val="sl-SI"/>
        </w:rPr>
      </w:pPr>
    </w:p>
    <w:p w14:paraId="76BC6E2B" w14:textId="77777777" w:rsidR="00840AAB" w:rsidRDefault="00840AAB" w:rsidP="00840AAB">
      <w:pPr>
        <w:pStyle w:val="a3"/>
        <w:rPr>
          <w:lang w:val="sl-SI"/>
        </w:rPr>
      </w:pPr>
      <w:r>
        <w:rPr>
          <w:rFonts w:eastAsia="Times New Roman"/>
          <w:b/>
          <w:bCs/>
          <w:lang w:val="sl-SI"/>
        </w:rPr>
        <w:t xml:space="preserve">Redki </w:t>
      </w:r>
      <w:r>
        <w:rPr>
          <w:rFonts w:eastAsia="Times New Roman"/>
          <w:lang w:val="sl-SI"/>
        </w:rPr>
        <w:t>(pojavijo se lahko pri največ 1 od 1.000 bolnikov)</w:t>
      </w:r>
    </w:p>
    <w:p w14:paraId="35DB5E29" w14:textId="77777777" w:rsidR="00840AAB" w:rsidRDefault="00840AAB" w:rsidP="00840AAB">
      <w:pPr>
        <w:spacing w:before="14" w:line="240" w:lineRule="exact"/>
        <w:rPr>
          <w:sz w:val="24"/>
          <w:szCs w:val="24"/>
          <w:lang w:val="sl-SI"/>
        </w:rPr>
      </w:pPr>
    </w:p>
    <w:p w14:paraId="3BB8178C" w14:textId="77777777" w:rsidR="00840AAB" w:rsidRDefault="00840AAB" w:rsidP="00840AAB">
      <w:pPr>
        <w:pStyle w:val="a3"/>
        <w:numPr>
          <w:ilvl w:val="0"/>
          <w:numId w:val="16"/>
        </w:numPr>
        <w:ind w:left="660" w:hanging="660"/>
        <w:rPr>
          <w:lang w:val="sl-SI"/>
        </w:rPr>
      </w:pPr>
      <w:r>
        <w:rPr>
          <w:rFonts w:eastAsia="Times New Roman"/>
          <w:lang w:val="sl-SI"/>
        </w:rPr>
        <w:t>nizke krvne vrednosti števila belih krvnih celic, rdečih krvnih celic in krvnih ploščic,</w:t>
      </w:r>
    </w:p>
    <w:p w14:paraId="206C28BB" w14:textId="77777777" w:rsidR="00840AAB" w:rsidRDefault="00840AAB" w:rsidP="00840AAB">
      <w:pPr>
        <w:spacing w:before="15" w:line="240" w:lineRule="exact"/>
        <w:rPr>
          <w:sz w:val="24"/>
          <w:szCs w:val="24"/>
          <w:lang w:val="sl-SI"/>
        </w:rPr>
      </w:pPr>
    </w:p>
    <w:p w14:paraId="706363B9" w14:textId="77777777" w:rsidR="00840AAB" w:rsidRDefault="00840AAB" w:rsidP="00840AAB">
      <w:pPr>
        <w:pStyle w:val="a3"/>
        <w:rPr>
          <w:b/>
          <w:lang w:val="sl-SI"/>
        </w:rPr>
      </w:pPr>
      <w:r>
        <w:rPr>
          <w:rFonts w:eastAsia="Times New Roman"/>
          <w:b/>
          <w:bCs/>
          <w:lang w:val="sl-SI"/>
        </w:rPr>
        <w:t>Poročanje o neželenih učinkih</w:t>
      </w:r>
    </w:p>
    <w:p w14:paraId="2FF5AF96" w14:textId="77777777" w:rsidR="00840AAB" w:rsidRDefault="00840AAB" w:rsidP="00840AAB">
      <w:pPr>
        <w:pStyle w:val="a3"/>
        <w:rPr>
          <w:sz w:val="10"/>
          <w:szCs w:val="10"/>
          <w:lang w:val="sl-SI"/>
        </w:rPr>
      </w:pPr>
    </w:p>
    <w:p w14:paraId="7F5DDF3C" w14:textId="77777777" w:rsidR="00840AAB" w:rsidRDefault="00840AAB" w:rsidP="00840AAB">
      <w:pPr>
        <w:pStyle w:val="a3"/>
        <w:rPr>
          <w:lang w:val="sl-SI"/>
        </w:rPr>
      </w:pPr>
      <w:r>
        <w:rPr>
          <w:rFonts w:eastAsia="Times New Roman"/>
          <w:lang w:val="sl-SI"/>
        </w:rPr>
        <w:t xml:space="preserve">Če opazite katerega koli izmed neželenih učinkov, se posvetujte z zdravnikom ali farmacevtom. </w:t>
      </w:r>
      <w:r>
        <w:rPr>
          <w:lang w:val="sl-SI"/>
        </w:rPr>
        <w:t xml:space="preserve">Posvetujte se tudi, če opazite neželene učinke, ki niso navedeni v tem navodilu. O neželenih učinkih lahko poročate tudi neposredno na </w:t>
      </w:r>
      <w:r w:rsidRPr="008E1817">
        <w:rPr>
          <w:highlight w:val="lightGray"/>
          <w:lang w:val="sl-SI"/>
        </w:rPr>
        <w:t xml:space="preserve">nacionalni center za poročanje, ki je naveden v </w:t>
      </w:r>
      <w:hyperlink r:id="rId99" w:history="1">
        <w:r w:rsidRPr="008E1817">
          <w:rPr>
            <w:rStyle w:val="Hiperpovezava1"/>
            <w:highlight w:val="lightGray"/>
            <w:lang w:val="sl-SI"/>
          </w:rPr>
          <w:t>Prilogi V</w:t>
        </w:r>
      </w:hyperlink>
      <w:r>
        <w:rPr>
          <w:rFonts w:eastAsia="Times New Roman"/>
          <w:lang w:val="sl-SI"/>
        </w:rPr>
        <w:t>. S tem, ko poročate o neželenih učinkih, lahko prispevate k zagotovitvi več informacij o varnosti tega zdravila.</w:t>
      </w:r>
    </w:p>
    <w:p w14:paraId="4F4A0784" w14:textId="77777777" w:rsidR="00840AAB" w:rsidRDefault="00840AAB" w:rsidP="00840AAB">
      <w:pPr>
        <w:spacing w:line="200" w:lineRule="exact"/>
        <w:rPr>
          <w:sz w:val="20"/>
          <w:szCs w:val="20"/>
          <w:lang w:val="sl-SI"/>
        </w:rPr>
      </w:pPr>
    </w:p>
    <w:p w14:paraId="660F4391" w14:textId="77777777" w:rsidR="00840AAB" w:rsidRDefault="00840AAB" w:rsidP="00840AAB">
      <w:pPr>
        <w:spacing w:line="200" w:lineRule="exact"/>
        <w:rPr>
          <w:sz w:val="20"/>
          <w:szCs w:val="20"/>
          <w:lang w:val="sl-SI"/>
        </w:rPr>
      </w:pPr>
    </w:p>
    <w:p w14:paraId="72A0121A" w14:textId="77777777" w:rsidR="00840AAB" w:rsidRDefault="00840AAB" w:rsidP="002B7ECD">
      <w:pPr>
        <w:pStyle w:val="a4"/>
        <w:numPr>
          <w:ilvl w:val="0"/>
          <w:numId w:val="127"/>
        </w:numPr>
        <w:spacing w:before="18" w:line="240" w:lineRule="exact"/>
        <w:rPr>
          <w:rFonts w:ascii="Times New Roman" w:hAnsi="Times New Roman" w:cs="Times New Roman"/>
          <w:b/>
          <w:lang w:val="sl-SI"/>
        </w:rPr>
      </w:pPr>
      <w:r>
        <w:rPr>
          <w:rFonts w:ascii="Times New Roman" w:eastAsia="Times New Roman" w:hAnsi="Times New Roman" w:cs="Times New Roman"/>
          <w:b/>
          <w:bCs/>
          <w:lang w:val="sl-SI"/>
        </w:rPr>
        <w:t>Shranjevanje zdravila Yuflyma</w:t>
      </w:r>
    </w:p>
    <w:p w14:paraId="01E35607" w14:textId="77777777" w:rsidR="00840AAB" w:rsidRDefault="00840AAB" w:rsidP="00840AAB">
      <w:pPr>
        <w:pStyle w:val="a3"/>
        <w:rPr>
          <w:lang w:val="sl-SI"/>
        </w:rPr>
      </w:pPr>
    </w:p>
    <w:p w14:paraId="0967F149" w14:textId="77777777" w:rsidR="00840AAB" w:rsidRDefault="00840AAB" w:rsidP="00840AAB">
      <w:pPr>
        <w:pStyle w:val="a3"/>
        <w:rPr>
          <w:lang w:val="sl-SI"/>
        </w:rPr>
      </w:pPr>
      <w:r>
        <w:rPr>
          <w:rFonts w:eastAsia="Times New Roman"/>
          <w:lang w:val="sl-SI"/>
        </w:rPr>
        <w:t>Zdravilo shranjujte nedosegljivo otrokom!</w:t>
      </w:r>
    </w:p>
    <w:p w14:paraId="73A02D79" w14:textId="77777777" w:rsidR="00840AAB" w:rsidRDefault="00840AAB" w:rsidP="00840AAB">
      <w:pPr>
        <w:pStyle w:val="a3"/>
        <w:rPr>
          <w:lang w:val="sl-SI"/>
        </w:rPr>
      </w:pPr>
    </w:p>
    <w:p w14:paraId="62FD7561" w14:textId="77777777" w:rsidR="00840AAB" w:rsidRDefault="00840AAB" w:rsidP="00840AAB">
      <w:pPr>
        <w:pStyle w:val="a3"/>
        <w:rPr>
          <w:lang w:val="sl-SI"/>
        </w:rPr>
      </w:pPr>
      <w:r>
        <w:rPr>
          <w:rFonts w:eastAsia="Times New Roman"/>
          <w:lang w:val="sl-SI"/>
        </w:rPr>
        <w:t>Tega zdravila ne smete uporabljati po datumu izteka roka uporabnosti, ki je naveden na nalepki/škatli poleg oznake EXP.</w:t>
      </w:r>
    </w:p>
    <w:p w14:paraId="308CF3AA" w14:textId="77777777" w:rsidR="00840AAB" w:rsidRDefault="00840AAB" w:rsidP="00840AAB">
      <w:pPr>
        <w:pStyle w:val="a3"/>
        <w:rPr>
          <w:lang w:val="sl-SI"/>
        </w:rPr>
      </w:pPr>
    </w:p>
    <w:p w14:paraId="2A6C8A0A" w14:textId="77777777" w:rsidR="00840AAB" w:rsidRDefault="00840AAB" w:rsidP="00840AAB">
      <w:pPr>
        <w:pStyle w:val="a3"/>
        <w:rPr>
          <w:lang w:val="sl-SI"/>
        </w:rPr>
      </w:pPr>
      <w:r>
        <w:rPr>
          <w:rFonts w:eastAsia="Times New Roman"/>
          <w:lang w:val="sl-SI"/>
        </w:rPr>
        <w:t>Shranjujte v hladilniku (2 °C–8 °C). Ne zamrzujte.</w:t>
      </w:r>
    </w:p>
    <w:p w14:paraId="20F86DD6" w14:textId="77777777" w:rsidR="00840AAB" w:rsidRDefault="00840AAB" w:rsidP="00840AAB">
      <w:pPr>
        <w:pStyle w:val="a3"/>
        <w:rPr>
          <w:lang w:val="sl-SI"/>
        </w:rPr>
      </w:pPr>
    </w:p>
    <w:p w14:paraId="759A7A2A" w14:textId="77777777" w:rsidR="00840AAB" w:rsidRDefault="00840AAB" w:rsidP="00840AAB">
      <w:pPr>
        <w:pStyle w:val="a3"/>
        <w:rPr>
          <w:lang w:val="sl-SI"/>
        </w:rPr>
      </w:pPr>
      <w:r>
        <w:rPr>
          <w:rFonts w:eastAsia="Times New Roman"/>
          <w:lang w:val="sl-SI"/>
        </w:rPr>
        <w:t xml:space="preserve">Napolnjeno injekcijsko brizgo </w:t>
      </w:r>
      <w:r>
        <w:rPr>
          <w:rFonts w:eastAsia="Times New Roman"/>
          <w:highlight w:val="lightGray"/>
          <w:lang w:val="sl-SI"/>
        </w:rPr>
        <w:t>s ščitnikom za iglo</w:t>
      </w:r>
      <w:r>
        <w:rPr>
          <w:rFonts w:eastAsia="Times New Roman"/>
          <w:lang w:val="sl-SI"/>
        </w:rPr>
        <w:t xml:space="preserve"> shranjujte v zunanji ovojnini za zagotovitev zaščite pred </w:t>
      </w:r>
      <w:r>
        <w:rPr>
          <w:rFonts w:eastAsia="Times New Roman"/>
          <w:lang w:val="sl-SI"/>
        </w:rPr>
        <w:lastRenderedPageBreak/>
        <w:t>svetlobo.</w:t>
      </w:r>
    </w:p>
    <w:p w14:paraId="424D8BC7" w14:textId="77777777" w:rsidR="00840AAB" w:rsidRDefault="00840AAB" w:rsidP="00840AAB">
      <w:pPr>
        <w:spacing w:before="13" w:line="240" w:lineRule="exact"/>
        <w:rPr>
          <w:sz w:val="24"/>
          <w:szCs w:val="24"/>
          <w:lang w:val="sl-SI"/>
        </w:rPr>
      </w:pPr>
    </w:p>
    <w:p w14:paraId="33F82823" w14:textId="77777777" w:rsidR="00840AAB" w:rsidRDefault="00840AAB" w:rsidP="00840AAB">
      <w:pPr>
        <w:pStyle w:val="a3"/>
        <w:rPr>
          <w:lang w:val="sl-SI"/>
        </w:rPr>
      </w:pPr>
      <w:r>
        <w:rPr>
          <w:rFonts w:eastAsia="Times New Roman"/>
          <w:lang w:val="sl-SI"/>
        </w:rPr>
        <w:t>Druga možnost shranjevanja:</w:t>
      </w:r>
    </w:p>
    <w:p w14:paraId="52288E32" w14:textId="77777777" w:rsidR="00840AAB" w:rsidRDefault="00840AAB" w:rsidP="00840AAB">
      <w:pPr>
        <w:spacing w:before="14" w:line="240" w:lineRule="exact"/>
        <w:rPr>
          <w:sz w:val="24"/>
          <w:szCs w:val="24"/>
          <w:lang w:val="sl-SI"/>
        </w:rPr>
      </w:pPr>
    </w:p>
    <w:p w14:paraId="78E3F8F1" w14:textId="1D5197A7" w:rsidR="00840AAB" w:rsidRDefault="00840AAB" w:rsidP="00840AAB">
      <w:pPr>
        <w:pStyle w:val="a3"/>
        <w:rPr>
          <w:lang w:val="sl-SI"/>
        </w:rPr>
      </w:pPr>
      <w:r>
        <w:rPr>
          <w:rFonts w:eastAsia="Times New Roman"/>
          <w:lang w:val="sl-SI"/>
        </w:rPr>
        <w:t xml:space="preserve">Če je treba (na primer kadar potujete), lahko posamezno napolnjeno injekcijsko brizgo zdravila Yuflyma </w:t>
      </w:r>
      <w:r>
        <w:rPr>
          <w:rFonts w:eastAsia="Times New Roman"/>
          <w:highlight w:val="lightGray"/>
          <w:lang w:val="sl-SI"/>
        </w:rPr>
        <w:t>s ščitnikom za iglo</w:t>
      </w:r>
      <w:r>
        <w:rPr>
          <w:rFonts w:eastAsia="Times New Roman"/>
          <w:lang w:val="sl-SI"/>
        </w:rPr>
        <w:t xml:space="preserve"> shranjujete pri sobni temperaturi (do 25 ºC) največ do </w:t>
      </w:r>
      <w:r w:rsidR="005D729C">
        <w:rPr>
          <w:rFonts w:eastAsia="Times New Roman"/>
          <w:lang w:val="sl-SI"/>
        </w:rPr>
        <w:t>31 </w:t>
      </w:r>
      <w:r>
        <w:rPr>
          <w:rFonts w:eastAsia="Times New Roman"/>
          <w:lang w:val="sl-SI"/>
        </w:rPr>
        <w:t xml:space="preserve">dni – zagotovite, da bo zaščitena pred svetlobo. Ko injekcijsko brizgo vzamete iz hladilnika za shranjevanje pri sobni temperaturi, jo morate </w:t>
      </w:r>
      <w:r>
        <w:rPr>
          <w:rFonts w:eastAsia="Times New Roman"/>
          <w:b/>
          <w:bCs/>
          <w:lang w:val="sl-SI"/>
        </w:rPr>
        <w:t xml:space="preserve">porabiti v </w:t>
      </w:r>
      <w:r w:rsidR="005D729C">
        <w:rPr>
          <w:rFonts w:eastAsia="Times New Roman"/>
          <w:b/>
          <w:bCs/>
          <w:lang w:val="sl-SI"/>
        </w:rPr>
        <w:t>31 </w:t>
      </w:r>
      <w:r>
        <w:rPr>
          <w:rFonts w:eastAsia="Times New Roman"/>
          <w:b/>
          <w:bCs/>
          <w:lang w:val="sl-SI"/>
        </w:rPr>
        <w:t>dneh ali zavreči</w:t>
      </w:r>
      <w:r>
        <w:rPr>
          <w:rFonts w:eastAsia="Times New Roman"/>
          <w:lang w:val="sl-SI"/>
        </w:rPr>
        <w:t>, tudi če jo vrnete v hladilnik.</w:t>
      </w:r>
    </w:p>
    <w:p w14:paraId="5CD21B27" w14:textId="77777777" w:rsidR="00840AAB" w:rsidRDefault="00840AAB" w:rsidP="00840AAB">
      <w:pPr>
        <w:spacing w:before="17" w:line="240" w:lineRule="exact"/>
        <w:rPr>
          <w:sz w:val="24"/>
          <w:szCs w:val="24"/>
          <w:lang w:val="sl-SI"/>
        </w:rPr>
      </w:pPr>
    </w:p>
    <w:p w14:paraId="03688CB3" w14:textId="77777777" w:rsidR="00840AAB" w:rsidRDefault="00840AAB" w:rsidP="00840AAB">
      <w:pPr>
        <w:pStyle w:val="a3"/>
        <w:rPr>
          <w:lang w:val="sl-SI"/>
        </w:rPr>
      </w:pPr>
      <w:r>
        <w:rPr>
          <w:rFonts w:eastAsia="Times New Roman"/>
          <w:lang w:val="sl-SI"/>
        </w:rPr>
        <w:t>Zapisati si morate datum, ko ste injekcijsko brizgo vzeli iz hladilnika in datum, po katerem jo morate zavreči.</w:t>
      </w:r>
    </w:p>
    <w:p w14:paraId="5CEA6739" w14:textId="77777777" w:rsidR="00840AAB" w:rsidRDefault="00840AAB" w:rsidP="00840AAB">
      <w:pPr>
        <w:spacing w:before="14" w:line="240" w:lineRule="exact"/>
        <w:rPr>
          <w:sz w:val="24"/>
          <w:szCs w:val="24"/>
          <w:lang w:val="sl-SI"/>
        </w:rPr>
      </w:pPr>
    </w:p>
    <w:p w14:paraId="2786D864" w14:textId="77777777" w:rsidR="00840AAB" w:rsidRDefault="00840AAB" w:rsidP="00840AAB">
      <w:pPr>
        <w:pStyle w:val="a3"/>
        <w:rPr>
          <w:lang w:val="sl-SI"/>
        </w:rPr>
      </w:pPr>
      <w:r>
        <w:rPr>
          <w:rFonts w:eastAsia="Times New Roman"/>
          <w:lang w:val="sl-SI"/>
        </w:rPr>
        <w:t>Zdravila ne smete odvreči v odpadne vode ali med gospodinjske odpadke. O načinu odstranjevanja zdravila, ki ga ne uporabljate več, se posvetujte z zdravnikom ali farmacevtom. Taki ukrepi pomagajo varovati okolje.</w:t>
      </w:r>
    </w:p>
    <w:p w14:paraId="7B283044" w14:textId="77777777" w:rsidR="00840AAB" w:rsidRDefault="00840AAB" w:rsidP="00840AAB">
      <w:pPr>
        <w:pStyle w:val="a4"/>
        <w:spacing w:before="18" w:line="240" w:lineRule="exact"/>
        <w:ind w:left="468"/>
        <w:rPr>
          <w:rFonts w:ascii="Times New Roman" w:hAnsi="Times New Roman" w:cs="Times New Roman"/>
          <w:b/>
          <w:lang w:val="sl-SI"/>
        </w:rPr>
      </w:pPr>
    </w:p>
    <w:p w14:paraId="4FD0ACE5" w14:textId="77777777" w:rsidR="00840AAB" w:rsidRDefault="00840AAB" w:rsidP="00840AAB">
      <w:pPr>
        <w:spacing w:before="18" w:line="240" w:lineRule="exact"/>
        <w:rPr>
          <w:rFonts w:ascii="Times New Roman" w:hAnsi="Times New Roman" w:cs="Times New Roman"/>
          <w:b/>
          <w:lang w:val="sl-SI"/>
        </w:rPr>
      </w:pPr>
    </w:p>
    <w:p w14:paraId="1385A157" w14:textId="77777777" w:rsidR="00840AAB" w:rsidRDefault="00840AAB" w:rsidP="002B7ECD">
      <w:pPr>
        <w:pStyle w:val="a4"/>
        <w:numPr>
          <w:ilvl w:val="0"/>
          <w:numId w:val="127"/>
        </w:numPr>
        <w:spacing w:before="18" w:line="240" w:lineRule="exact"/>
        <w:rPr>
          <w:rFonts w:ascii="Times New Roman" w:hAnsi="Times New Roman" w:cs="Times New Roman"/>
          <w:b/>
          <w:lang w:val="sl-SI"/>
        </w:rPr>
      </w:pPr>
      <w:r>
        <w:rPr>
          <w:rFonts w:ascii="Times New Roman" w:eastAsia="Times New Roman" w:hAnsi="Times New Roman" w:cs="Times New Roman"/>
          <w:b/>
          <w:bCs/>
          <w:lang w:val="sl-SI"/>
        </w:rPr>
        <w:t>Vsebina pakiranja in dodatne informacije</w:t>
      </w:r>
    </w:p>
    <w:p w14:paraId="088B3969" w14:textId="77777777" w:rsidR="00840AAB" w:rsidRDefault="00840AAB" w:rsidP="00840AAB">
      <w:pPr>
        <w:pStyle w:val="a4"/>
        <w:spacing w:before="18" w:line="240" w:lineRule="exact"/>
        <w:ind w:left="468"/>
        <w:rPr>
          <w:rFonts w:ascii="Times New Roman" w:hAnsi="Times New Roman" w:cs="Times New Roman"/>
          <w:b/>
          <w:lang w:val="sl-SI"/>
        </w:rPr>
      </w:pPr>
    </w:p>
    <w:p w14:paraId="60262A77" w14:textId="77777777" w:rsidR="00840AAB" w:rsidRDefault="00840AAB" w:rsidP="00840AAB">
      <w:pPr>
        <w:spacing w:before="18" w:line="240" w:lineRule="exact"/>
        <w:rPr>
          <w:rFonts w:ascii="Times New Roman" w:hAnsi="Times New Roman" w:cs="Times New Roman"/>
          <w:b/>
          <w:lang w:val="sl-SI"/>
        </w:rPr>
      </w:pPr>
      <w:r>
        <w:rPr>
          <w:rFonts w:ascii="Times New Roman" w:eastAsia="Times New Roman" w:hAnsi="Times New Roman" w:cs="Times New Roman"/>
          <w:b/>
          <w:bCs/>
          <w:lang w:val="sl-SI"/>
        </w:rPr>
        <w:t>Kaj vsebuje zdravilo Yuflyma</w:t>
      </w:r>
    </w:p>
    <w:p w14:paraId="3337EF59" w14:textId="77777777" w:rsidR="00840AAB" w:rsidRDefault="00840AAB" w:rsidP="00840AAB">
      <w:pPr>
        <w:spacing w:before="18" w:line="240" w:lineRule="exact"/>
        <w:rPr>
          <w:rFonts w:ascii="Times New Roman" w:hAnsi="Times New Roman" w:cs="Times New Roman"/>
          <w:b/>
          <w:lang w:val="sl-SI"/>
        </w:rPr>
      </w:pPr>
    </w:p>
    <w:p w14:paraId="03E5F430" w14:textId="77777777" w:rsidR="00840AAB" w:rsidRDefault="00840AAB" w:rsidP="00840AAB">
      <w:pPr>
        <w:pStyle w:val="a3"/>
        <w:rPr>
          <w:lang w:val="sl-SI"/>
        </w:rPr>
      </w:pPr>
      <w:r>
        <w:rPr>
          <w:rFonts w:eastAsia="Times New Roman"/>
          <w:lang w:val="sl-SI"/>
        </w:rPr>
        <w:t>Učinkovina je adalimumab.</w:t>
      </w:r>
    </w:p>
    <w:p w14:paraId="27D59A86" w14:textId="77777777" w:rsidR="00840AAB" w:rsidRDefault="00840AAB" w:rsidP="00840AAB">
      <w:pPr>
        <w:pStyle w:val="a3"/>
        <w:rPr>
          <w:lang w:val="sl-SI"/>
        </w:rPr>
      </w:pPr>
      <w:r>
        <w:rPr>
          <w:rFonts w:eastAsia="Times New Roman"/>
          <w:lang w:val="sl-SI"/>
        </w:rPr>
        <w:t>Druge sestavine zdravila so ocetna kislina, natrijev acetat trihidrat, glicin, polisorbat 80 in voda za injekcije.</w:t>
      </w:r>
    </w:p>
    <w:p w14:paraId="4895CC4A" w14:textId="77777777" w:rsidR="00840AAB" w:rsidRDefault="00840AAB" w:rsidP="00840AAB">
      <w:pPr>
        <w:pStyle w:val="a3"/>
        <w:rPr>
          <w:lang w:val="sl-SI"/>
        </w:rPr>
      </w:pPr>
    </w:p>
    <w:p w14:paraId="35CB02E8" w14:textId="77777777" w:rsidR="00840AAB" w:rsidRDefault="00840AAB" w:rsidP="00840AAB">
      <w:pPr>
        <w:pStyle w:val="a3"/>
        <w:rPr>
          <w:b/>
          <w:lang w:val="sl-SI"/>
        </w:rPr>
      </w:pPr>
      <w:r>
        <w:rPr>
          <w:rFonts w:eastAsia="Times New Roman"/>
          <w:b/>
          <w:bCs/>
          <w:lang w:val="sl-SI"/>
        </w:rPr>
        <w:t xml:space="preserve">Izgled zdravila Yuflyma napolnjena injekcijska brizga </w:t>
      </w:r>
      <w:r>
        <w:rPr>
          <w:rFonts w:eastAsia="Times New Roman"/>
          <w:b/>
          <w:bCs/>
          <w:highlight w:val="lightGray"/>
          <w:lang w:val="sl-SI"/>
        </w:rPr>
        <w:t>s ščitnikom za iglo</w:t>
      </w:r>
      <w:r>
        <w:rPr>
          <w:rFonts w:eastAsia="Times New Roman"/>
          <w:b/>
          <w:bCs/>
          <w:lang w:val="sl-SI"/>
        </w:rPr>
        <w:t xml:space="preserve"> in vsebina pakiranja</w:t>
      </w:r>
    </w:p>
    <w:p w14:paraId="483B57D2" w14:textId="77777777" w:rsidR="00840AAB" w:rsidRDefault="00840AAB" w:rsidP="00840AAB">
      <w:pPr>
        <w:spacing w:before="12" w:line="240" w:lineRule="exact"/>
        <w:rPr>
          <w:sz w:val="24"/>
          <w:szCs w:val="24"/>
          <w:lang w:val="sl-SI"/>
        </w:rPr>
      </w:pPr>
    </w:p>
    <w:p w14:paraId="27A4EF74" w14:textId="680F484C" w:rsidR="00840AAB" w:rsidRDefault="00840AAB" w:rsidP="00840AAB">
      <w:pPr>
        <w:pStyle w:val="a3"/>
        <w:rPr>
          <w:lang w:val="sl-SI"/>
        </w:rPr>
      </w:pPr>
      <w:r>
        <w:rPr>
          <w:rFonts w:eastAsia="Times New Roman"/>
          <w:lang w:val="sl-SI"/>
        </w:rPr>
        <w:t xml:space="preserve">Zdravilo Yuflyma </w:t>
      </w:r>
      <w:r w:rsidR="003F27D3">
        <w:rPr>
          <w:rFonts w:eastAsia="Times New Roman"/>
          <w:lang w:val="sl-SI"/>
        </w:rPr>
        <w:t>8</w:t>
      </w:r>
      <w:r>
        <w:rPr>
          <w:rFonts w:eastAsia="Times New Roman"/>
          <w:lang w:val="sl-SI"/>
        </w:rPr>
        <w:t xml:space="preserve">0 mg raztopina za injiciranje v napolnjeni injekcijski brizgi </w:t>
      </w:r>
      <w:r>
        <w:rPr>
          <w:rFonts w:eastAsia="Times New Roman"/>
          <w:highlight w:val="lightGray"/>
          <w:lang w:val="sl-SI"/>
        </w:rPr>
        <w:t>s ščitnikom za iglo</w:t>
      </w:r>
      <w:r>
        <w:rPr>
          <w:rFonts w:eastAsia="Times New Roman"/>
          <w:lang w:val="sl-SI"/>
        </w:rPr>
        <w:t xml:space="preserve"> je na voljo kot sterilna raztopina </w:t>
      </w:r>
      <w:r w:rsidR="003F27D3">
        <w:rPr>
          <w:rFonts w:eastAsia="Times New Roman"/>
          <w:lang w:val="sl-SI"/>
        </w:rPr>
        <w:t>8</w:t>
      </w:r>
      <w:r>
        <w:rPr>
          <w:rFonts w:eastAsia="Times New Roman"/>
          <w:lang w:val="sl-SI"/>
        </w:rPr>
        <w:t>0 mg adalimumaba, raztopljenega v 0,</w:t>
      </w:r>
      <w:r w:rsidR="003F27D3">
        <w:rPr>
          <w:rFonts w:eastAsia="Times New Roman"/>
          <w:lang w:val="sl-SI"/>
        </w:rPr>
        <w:t>8</w:t>
      </w:r>
      <w:r>
        <w:rPr>
          <w:rFonts w:eastAsia="Times New Roman"/>
          <w:lang w:val="sl-SI"/>
        </w:rPr>
        <w:t> ml raztopine.</w:t>
      </w:r>
    </w:p>
    <w:p w14:paraId="7D82F8A6" w14:textId="77777777" w:rsidR="00840AAB" w:rsidRDefault="00840AAB" w:rsidP="00840AAB">
      <w:pPr>
        <w:spacing w:before="11" w:line="240" w:lineRule="exact"/>
        <w:rPr>
          <w:sz w:val="24"/>
          <w:szCs w:val="24"/>
          <w:lang w:val="sl-SI"/>
        </w:rPr>
      </w:pPr>
    </w:p>
    <w:p w14:paraId="21918A08" w14:textId="69B335B4" w:rsidR="003F27D3" w:rsidRPr="003F27D3" w:rsidRDefault="003F27D3" w:rsidP="003F27D3">
      <w:pPr>
        <w:pStyle w:val="a3"/>
        <w:rPr>
          <w:rFonts w:eastAsia="Times New Roman"/>
          <w:lang w:val="sl-SI"/>
        </w:rPr>
      </w:pPr>
      <w:r w:rsidRPr="003F27D3">
        <w:rPr>
          <w:rFonts w:eastAsia="Times New Roman"/>
          <w:lang w:val="sl-SI"/>
        </w:rPr>
        <w:t>Zdravilo Yuflyma napolnjena brizga je steklena brizga, ki vsebuje raztopino adalimumaba. Pakiranje z 1 napolnjeno injekcijsko brizgo ima 2 alkoholn</w:t>
      </w:r>
      <w:r w:rsidR="00056890">
        <w:rPr>
          <w:rFonts w:eastAsia="Times New Roman"/>
          <w:lang w:val="sl-SI"/>
        </w:rPr>
        <w:t>i</w:t>
      </w:r>
      <w:r w:rsidRPr="003F27D3">
        <w:rPr>
          <w:rFonts w:eastAsia="Times New Roman"/>
          <w:lang w:val="sl-SI"/>
        </w:rPr>
        <w:t xml:space="preserve"> blazinic</w:t>
      </w:r>
      <w:r w:rsidR="00056890">
        <w:rPr>
          <w:rFonts w:eastAsia="Times New Roman"/>
          <w:lang w:val="sl-SI"/>
        </w:rPr>
        <w:t>i</w:t>
      </w:r>
      <w:r w:rsidRPr="003F27D3">
        <w:rPr>
          <w:rFonts w:eastAsia="Times New Roman"/>
          <w:lang w:val="sl-SI"/>
        </w:rPr>
        <w:t xml:space="preserve"> (1 rezervna).</w:t>
      </w:r>
    </w:p>
    <w:p w14:paraId="676928D3" w14:textId="77777777" w:rsidR="003F27D3" w:rsidRPr="003F27D3" w:rsidRDefault="003F27D3" w:rsidP="003F27D3">
      <w:pPr>
        <w:pStyle w:val="a3"/>
        <w:rPr>
          <w:rFonts w:eastAsia="Times New Roman"/>
          <w:lang w:val="sl-SI"/>
        </w:rPr>
      </w:pPr>
    </w:p>
    <w:p w14:paraId="737C4213" w14:textId="3B838CC6" w:rsidR="00840AAB" w:rsidRDefault="003F27D3" w:rsidP="003F27D3">
      <w:pPr>
        <w:pStyle w:val="a3"/>
        <w:rPr>
          <w:lang w:val="sl-SI"/>
        </w:rPr>
      </w:pPr>
      <w:r w:rsidRPr="0030421B">
        <w:rPr>
          <w:rFonts w:eastAsia="Times New Roman"/>
          <w:highlight w:val="lightGray"/>
          <w:lang w:val="sl-SI"/>
        </w:rPr>
        <w:t>Zdravilo Yuflyma napolnjena brizga je steklena brizga z varovalom za iglo, ki vsebuje raztopino adalimumaba. 1 napolnjena brizga z zaščitnim paketom za iglo ima 2 alkoholn</w:t>
      </w:r>
      <w:r w:rsidR="00056890">
        <w:rPr>
          <w:rFonts w:eastAsia="Times New Roman"/>
          <w:highlight w:val="lightGray"/>
          <w:lang w:val="sl-SI"/>
        </w:rPr>
        <w:t>i</w:t>
      </w:r>
      <w:r w:rsidRPr="0030421B">
        <w:rPr>
          <w:rFonts w:eastAsia="Times New Roman"/>
          <w:highlight w:val="lightGray"/>
          <w:lang w:val="sl-SI"/>
        </w:rPr>
        <w:t xml:space="preserve"> blazinic</w:t>
      </w:r>
      <w:r w:rsidR="00056890">
        <w:rPr>
          <w:rFonts w:eastAsia="Times New Roman"/>
          <w:highlight w:val="lightGray"/>
          <w:lang w:val="sl-SI"/>
        </w:rPr>
        <w:t>i</w:t>
      </w:r>
      <w:r w:rsidRPr="0030421B">
        <w:rPr>
          <w:rFonts w:eastAsia="Times New Roman"/>
          <w:highlight w:val="lightGray"/>
          <w:lang w:val="sl-SI"/>
        </w:rPr>
        <w:t xml:space="preserve"> (1 rezervna).</w:t>
      </w:r>
    </w:p>
    <w:p w14:paraId="700DA099" w14:textId="77777777" w:rsidR="00840AAB" w:rsidRDefault="00840AAB" w:rsidP="00840AAB">
      <w:pPr>
        <w:spacing w:before="13" w:line="240" w:lineRule="exact"/>
        <w:rPr>
          <w:sz w:val="24"/>
          <w:szCs w:val="24"/>
          <w:lang w:val="sl-SI"/>
        </w:rPr>
      </w:pPr>
    </w:p>
    <w:p w14:paraId="55D70757" w14:textId="0B5D2737" w:rsidR="00840AAB" w:rsidRDefault="00840AAB" w:rsidP="00840AAB">
      <w:pPr>
        <w:pStyle w:val="a3"/>
        <w:rPr>
          <w:lang w:val="sl-SI"/>
        </w:rPr>
      </w:pPr>
      <w:r>
        <w:rPr>
          <w:rFonts w:eastAsia="Times New Roman"/>
          <w:lang w:val="sl-SI"/>
        </w:rPr>
        <w:t xml:space="preserve">Zdravilo Yuflyma je na voljo kot napolnjena injekcijska brizga </w:t>
      </w:r>
      <w:r w:rsidR="00056890">
        <w:rPr>
          <w:rFonts w:eastAsia="Times New Roman"/>
          <w:lang w:val="sl-SI"/>
        </w:rPr>
        <w:t>i</w:t>
      </w:r>
      <w:r>
        <w:rPr>
          <w:rFonts w:eastAsia="Times New Roman"/>
          <w:lang w:val="sl-SI"/>
        </w:rPr>
        <w:t>n/ali napolnjen injekcijski peresnik.</w:t>
      </w:r>
    </w:p>
    <w:p w14:paraId="354174E4" w14:textId="77777777" w:rsidR="00840AAB" w:rsidRDefault="00840AAB" w:rsidP="00840AAB">
      <w:pPr>
        <w:spacing w:before="18" w:line="240" w:lineRule="exact"/>
        <w:rPr>
          <w:sz w:val="24"/>
          <w:szCs w:val="24"/>
          <w:lang w:val="sl-SI"/>
        </w:rPr>
      </w:pPr>
    </w:p>
    <w:p w14:paraId="2B2E11F7" w14:textId="77777777" w:rsidR="00840AAB" w:rsidRDefault="00840AAB" w:rsidP="00840AAB">
      <w:pPr>
        <w:pStyle w:val="a3"/>
        <w:rPr>
          <w:b/>
          <w:lang w:val="sl-SI"/>
        </w:rPr>
      </w:pPr>
      <w:r>
        <w:rPr>
          <w:rFonts w:eastAsia="Times New Roman"/>
          <w:b/>
          <w:bCs/>
          <w:lang w:val="sl-SI"/>
        </w:rPr>
        <w:t>Imetnik dovoljenja za promet z zdravilom</w:t>
      </w:r>
    </w:p>
    <w:p w14:paraId="217400FB" w14:textId="77777777" w:rsidR="00840AAB" w:rsidRDefault="00840AAB" w:rsidP="00840AAB">
      <w:pPr>
        <w:spacing w:before="12" w:line="240" w:lineRule="exact"/>
        <w:rPr>
          <w:sz w:val="24"/>
          <w:szCs w:val="24"/>
          <w:lang w:val="sl-SI"/>
        </w:rPr>
      </w:pPr>
    </w:p>
    <w:p w14:paraId="7A566543" w14:textId="77777777" w:rsidR="00840AAB" w:rsidRDefault="00840AAB" w:rsidP="00840AAB">
      <w:pPr>
        <w:pStyle w:val="a3"/>
        <w:rPr>
          <w:lang w:val="sl-SI"/>
        </w:rPr>
      </w:pPr>
      <w:r>
        <w:rPr>
          <w:lang w:val="sl-SI"/>
        </w:rPr>
        <w:t xml:space="preserve">Celltrion Healthcare Hungary Kft. </w:t>
      </w:r>
    </w:p>
    <w:p w14:paraId="5F77B180" w14:textId="77777777" w:rsidR="00840AAB" w:rsidRDefault="00840AAB" w:rsidP="00840AAB">
      <w:pPr>
        <w:pStyle w:val="a3"/>
        <w:rPr>
          <w:lang w:val="sl-SI"/>
        </w:rPr>
      </w:pPr>
      <w:r>
        <w:rPr>
          <w:lang w:val="sl-SI"/>
        </w:rPr>
        <w:t>1062 Budapest</w:t>
      </w:r>
    </w:p>
    <w:p w14:paraId="0DE16693" w14:textId="77777777" w:rsidR="00840AAB" w:rsidRDefault="00840AAB" w:rsidP="00840AAB">
      <w:pPr>
        <w:pStyle w:val="a3"/>
        <w:rPr>
          <w:lang w:val="sl-SI"/>
        </w:rPr>
      </w:pPr>
      <w:r>
        <w:rPr>
          <w:lang w:val="sl-SI"/>
        </w:rPr>
        <w:t>Váci út 1-3. WestEnd Office Building B torony</w:t>
      </w:r>
    </w:p>
    <w:p w14:paraId="1B28DE89" w14:textId="77777777" w:rsidR="00840AAB" w:rsidRDefault="00840AAB" w:rsidP="00840AAB">
      <w:pPr>
        <w:pStyle w:val="a3"/>
        <w:rPr>
          <w:lang w:val="sl-SI"/>
        </w:rPr>
      </w:pPr>
      <w:r>
        <w:rPr>
          <w:rFonts w:eastAsia="Times New Roman"/>
          <w:lang w:val="sl-SI"/>
        </w:rPr>
        <w:t>Madžarska</w:t>
      </w:r>
    </w:p>
    <w:p w14:paraId="09EDEC0A" w14:textId="77777777" w:rsidR="00840AAB" w:rsidRDefault="00840AAB" w:rsidP="00840AAB">
      <w:pPr>
        <w:spacing w:before="15" w:line="240" w:lineRule="exact"/>
        <w:rPr>
          <w:b/>
          <w:sz w:val="24"/>
          <w:szCs w:val="24"/>
          <w:lang w:val="sl-SI"/>
        </w:rPr>
      </w:pPr>
    </w:p>
    <w:p w14:paraId="0784ECF0" w14:textId="77777777" w:rsidR="00840AAB" w:rsidRDefault="00840AAB" w:rsidP="00840AAB">
      <w:pPr>
        <w:pStyle w:val="a3"/>
        <w:rPr>
          <w:b/>
          <w:lang w:val="sl-SI"/>
        </w:rPr>
      </w:pPr>
      <w:r>
        <w:rPr>
          <w:rFonts w:eastAsia="Times New Roman"/>
          <w:b/>
          <w:bCs/>
          <w:lang w:val="sl-SI"/>
        </w:rPr>
        <w:t>Proizvajalec</w:t>
      </w:r>
    </w:p>
    <w:p w14:paraId="11827A99" w14:textId="77777777" w:rsidR="00840AAB" w:rsidRDefault="00840AAB" w:rsidP="00840AAB">
      <w:pPr>
        <w:spacing w:before="12" w:line="240" w:lineRule="exact"/>
        <w:rPr>
          <w:b/>
          <w:sz w:val="24"/>
          <w:szCs w:val="24"/>
          <w:lang w:val="sl-SI"/>
        </w:rPr>
      </w:pPr>
    </w:p>
    <w:p w14:paraId="55A5F707" w14:textId="547D7BF1" w:rsidR="00840AAB" w:rsidRPr="001B02C1" w:rsidDel="001B02C1" w:rsidRDefault="00840AAB" w:rsidP="00840AAB">
      <w:pPr>
        <w:pStyle w:val="a3"/>
        <w:rPr>
          <w:del w:id="108" w:author="만든 이"/>
          <w:lang w:val="sl-SI"/>
        </w:rPr>
      </w:pPr>
      <w:del w:id="109" w:author="만든 이">
        <w:r w:rsidRPr="001B02C1" w:rsidDel="001B02C1">
          <w:rPr>
            <w:lang w:val="sl-SI"/>
          </w:rPr>
          <w:delText>Millmount Healthcare Ltd.</w:delText>
        </w:r>
      </w:del>
    </w:p>
    <w:p w14:paraId="5B02B144" w14:textId="004017DE" w:rsidR="00840AAB" w:rsidRPr="001B02C1" w:rsidDel="001B02C1" w:rsidRDefault="00840AAB" w:rsidP="00840AAB">
      <w:pPr>
        <w:pStyle w:val="a3"/>
        <w:rPr>
          <w:del w:id="110" w:author="만든 이"/>
          <w:lang w:val="sl-SI"/>
        </w:rPr>
      </w:pPr>
      <w:del w:id="111" w:author="만든 이">
        <w:r w:rsidRPr="001B02C1" w:rsidDel="001B02C1">
          <w:rPr>
            <w:lang w:val="sl-SI"/>
          </w:rPr>
          <w:delText>Block 7</w:delText>
        </w:r>
      </w:del>
    </w:p>
    <w:p w14:paraId="115762DC" w14:textId="775261C8" w:rsidR="00840AAB" w:rsidRPr="001B02C1" w:rsidDel="001B02C1" w:rsidRDefault="00840AAB" w:rsidP="00840AAB">
      <w:pPr>
        <w:pStyle w:val="a3"/>
        <w:rPr>
          <w:del w:id="112" w:author="만든 이"/>
          <w:lang w:val="sl-SI"/>
        </w:rPr>
      </w:pPr>
      <w:del w:id="113" w:author="만든 이">
        <w:r w:rsidRPr="001B02C1" w:rsidDel="001B02C1">
          <w:rPr>
            <w:lang w:val="sl-SI"/>
          </w:rPr>
          <w:delText xml:space="preserve">City North Business Campus </w:delText>
        </w:r>
      </w:del>
    </w:p>
    <w:p w14:paraId="60784DA3" w14:textId="3A10543D" w:rsidR="00840AAB" w:rsidRPr="001B02C1" w:rsidDel="001B02C1" w:rsidRDefault="00840AAB" w:rsidP="00840AAB">
      <w:pPr>
        <w:pStyle w:val="a3"/>
        <w:rPr>
          <w:del w:id="114" w:author="만든 이"/>
          <w:lang w:val="sl-SI"/>
        </w:rPr>
      </w:pPr>
      <w:del w:id="115" w:author="만든 이">
        <w:r w:rsidRPr="001B02C1" w:rsidDel="001B02C1">
          <w:rPr>
            <w:lang w:val="sl-SI"/>
          </w:rPr>
          <w:delText>Stamullen, Co. Meath K32 YD60</w:delText>
        </w:r>
      </w:del>
    </w:p>
    <w:p w14:paraId="02475D81" w14:textId="074363C9" w:rsidR="00840AAB" w:rsidRPr="001B02C1" w:rsidDel="001B02C1" w:rsidRDefault="00840AAB" w:rsidP="00840AAB">
      <w:pPr>
        <w:pStyle w:val="a3"/>
        <w:rPr>
          <w:del w:id="116" w:author="만든 이"/>
          <w:lang w:val="sl-SI"/>
        </w:rPr>
      </w:pPr>
      <w:del w:id="117" w:author="만든 이">
        <w:r w:rsidRPr="001B02C1" w:rsidDel="001B02C1">
          <w:rPr>
            <w:rFonts w:eastAsia="Times New Roman"/>
            <w:lang w:val="sl-SI"/>
          </w:rPr>
          <w:delText>Irska</w:delText>
        </w:r>
      </w:del>
    </w:p>
    <w:p w14:paraId="06DAD7F0" w14:textId="3F57DA34" w:rsidR="00840AAB" w:rsidRPr="001B02C1" w:rsidDel="001B02C1" w:rsidRDefault="00840AAB" w:rsidP="00840AAB">
      <w:pPr>
        <w:spacing w:before="14" w:line="240" w:lineRule="exact"/>
        <w:rPr>
          <w:del w:id="118" w:author="만든 이"/>
          <w:sz w:val="24"/>
          <w:szCs w:val="24"/>
          <w:lang w:val="sl-SI"/>
        </w:rPr>
      </w:pPr>
    </w:p>
    <w:p w14:paraId="515539F8" w14:textId="77777777" w:rsidR="002153A2" w:rsidRPr="001B02C1" w:rsidRDefault="002153A2" w:rsidP="002153A2">
      <w:pPr>
        <w:spacing w:before="10" w:line="240" w:lineRule="exact"/>
        <w:rPr>
          <w:moveTo w:id="119" w:author="만든 이" w16du:dateUtc="2025-09-09T06:34:00Z"/>
          <w:rFonts w:ascii="Times New Roman" w:eastAsia="Times New Roman" w:hAnsi="Times New Roman" w:cs="Times New Roman"/>
          <w:lang w:val="de-DE"/>
        </w:rPr>
      </w:pPr>
      <w:moveToRangeStart w:id="120" w:author="만든 이" w:name="move208324472"/>
      <w:moveTo w:id="121" w:author="만든 이" w16du:dateUtc="2025-09-09T06:34:00Z">
        <w:r w:rsidRPr="001B02C1">
          <w:rPr>
            <w:rFonts w:ascii="Times New Roman" w:eastAsia="Times New Roman" w:hAnsi="Times New Roman" w:cs="Times New Roman"/>
            <w:lang w:val="de-DE"/>
          </w:rPr>
          <w:t>Nuvisan France SARL</w:t>
        </w:r>
      </w:moveTo>
    </w:p>
    <w:p w14:paraId="4D9DB58F" w14:textId="77777777" w:rsidR="002153A2" w:rsidRPr="001B02C1" w:rsidRDefault="002153A2" w:rsidP="002153A2">
      <w:pPr>
        <w:spacing w:before="10" w:line="240" w:lineRule="exact"/>
        <w:rPr>
          <w:moveTo w:id="122" w:author="만든 이" w16du:dateUtc="2025-09-09T06:34:00Z"/>
          <w:rFonts w:ascii="Times New Roman" w:eastAsia="Times New Roman" w:hAnsi="Times New Roman" w:cs="Times New Roman"/>
          <w:lang w:val="de-DE"/>
        </w:rPr>
      </w:pPr>
      <w:moveTo w:id="123" w:author="만든 이" w16du:dateUtc="2025-09-09T06:34:00Z">
        <w:r w:rsidRPr="001B02C1">
          <w:rPr>
            <w:rFonts w:ascii="Times New Roman" w:eastAsia="Times New Roman" w:hAnsi="Times New Roman" w:cs="Times New Roman"/>
            <w:lang w:val="de-DE"/>
          </w:rPr>
          <w:t>2400, Route des Colles</w:t>
        </w:r>
      </w:moveTo>
    </w:p>
    <w:p w14:paraId="364B2051" w14:textId="77777777" w:rsidR="002153A2" w:rsidRPr="001B02C1" w:rsidRDefault="002153A2" w:rsidP="002153A2">
      <w:pPr>
        <w:spacing w:before="10" w:line="240" w:lineRule="exact"/>
        <w:rPr>
          <w:moveTo w:id="124" w:author="만든 이" w16du:dateUtc="2025-09-09T06:34:00Z"/>
          <w:rFonts w:ascii="Times New Roman" w:eastAsia="Times New Roman" w:hAnsi="Times New Roman" w:cs="Times New Roman"/>
          <w:lang w:val="de-DE"/>
        </w:rPr>
      </w:pPr>
      <w:moveTo w:id="125" w:author="만든 이" w16du:dateUtc="2025-09-09T06:34:00Z">
        <w:r w:rsidRPr="001B02C1">
          <w:rPr>
            <w:rFonts w:ascii="Times New Roman" w:eastAsia="Times New Roman" w:hAnsi="Times New Roman" w:cs="Times New Roman"/>
            <w:lang w:val="de-DE"/>
          </w:rPr>
          <w:t>06410, Biot</w:t>
        </w:r>
      </w:moveTo>
    </w:p>
    <w:p w14:paraId="7B239671" w14:textId="77777777" w:rsidR="002153A2" w:rsidRPr="001B02C1" w:rsidRDefault="002153A2" w:rsidP="002153A2">
      <w:pPr>
        <w:autoSpaceDE w:val="0"/>
        <w:autoSpaceDN w:val="0"/>
        <w:adjustRightInd w:val="0"/>
        <w:rPr>
          <w:moveTo w:id="126" w:author="만든 이" w16du:dateUtc="2025-09-09T06:34:00Z"/>
          <w:rFonts w:ascii="Times New Roman" w:eastAsia="Times New Roman" w:hAnsi="Times New Roman" w:cs="Times New Roman"/>
          <w:lang w:val="de-DE"/>
        </w:rPr>
      </w:pPr>
      <w:moveTo w:id="127" w:author="만든 이" w16du:dateUtc="2025-09-09T06:34:00Z">
        <w:r w:rsidRPr="001B02C1">
          <w:rPr>
            <w:rFonts w:ascii="Times New Roman" w:eastAsia="Times New Roman" w:hAnsi="Times New Roman" w:cs="Times New Roman"/>
            <w:lang w:val="de-DE"/>
          </w:rPr>
          <w:t>Francija</w:t>
        </w:r>
      </w:moveTo>
    </w:p>
    <w:p w14:paraId="1F4F7725" w14:textId="77777777" w:rsidR="002153A2" w:rsidRPr="001B02C1" w:rsidRDefault="002153A2" w:rsidP="002153A2">
      <w:pPr>
        <w:pStyle w:val="a3"/>
        <w:rPr>
          <w:moveTo w:id="128" w:author="만든 이" w16du:dateUtc="2025-09-09T06:34:00Z"/>
          <w:color w:val="000000"/>
          <w:lang w:val="de-CH"/>
        </w:rPr>
      </w:pPr>
    </w:p>
    <w:moveToRangeEnd w:id="120"/>
    <w:p w14:paraId="149ABCE7" w14:textId="77777777" w:rsidR="00840AAB" w:rsidRPr="001B02C1" w:rsidRDefault="00840AAB" w:rsidP="00840AAB">
      <w:pPr>
        <w:keepNext/>
        <w:spacing w:before="10" w:line="240" w:lineRule="exact"/>
        <w:rPr>
          <w:rFonts w:ascii="Times New Roman" w:eastAsia="Times New Roman" w:hAnsi="Times New Roman" w:cs="Times New Roman"/>
          <w:shd w:val="pct15" w:color="auto" w:fill="FFFFFF"/>
        </w:rPr>
      </w:pPr>
      <w:r w:rsidRPr="001B02C1">
        <w:rPr>
          <w:rFonts w:ascii="Times New Roman" w:eastAsia="Times New Roman" w:hAnsi="Times New Roman" w:cs="Times New Roman"/>
          <w:shd w:val="pct15" w:color="auto" w:fill="FFFFFF"/>
        </w:rPr>
        <w:lastRenderedPageBreak/>
        <w:t>Nuvisan GmbH</w:t>
      </w:r>
    </w:p>
    <w:p w14:paraId="0F4DA28F" w14:textId="0BDD8AF6" w:rsidR="00840AAB" w:rsidRPr="001B02C1" w:rsidRDefault="00840AAB" w:rsidP="00840AAB">
      <w:pPr>
        <w:keepNext/>
        <w:spacing w:before="10" w:line="240" w:lineRule="exact"/>
        <w:rPr>
          <w:rFonts w:ascii="Times New Roman" w:eastAsia="Times New Roman" w:hAnsi="Times New Roman" w:cs="Times New Roman"/>
          <w:shd w:val="pct15" w:color="auto" w:fill="FFFFFF"/>
          <w:lang w:val="de-CH"/>
        </w:rPr>
      </w:pPr>
      <w:r w:rsidRPr="001B02C1">
        <w:rPr>
          <w:rFonts w:ascii="Times New Roman" w:eastAsia="Times New Roman" w:hAnsi="Times New Roman" w:cs="Times New Roman"/>
          <w:shd w:val="pct15" w:color="auto" w:fill="FFFFFF"/>
          <w:lang w:val="de-CH"/>
        </w:rPr>
        <w:t>Wegenerstraße 13</w:t>
      </w:r>
    </w:p>
    <w:p w14:paraId="3061F877" w14:textId="2F8CF2B7" w:rsidR="00840AAB" w:rsidRPr="001B02C1" w:rsidRDefault="00840AAB" w:rsidP="00840AAB">
      <w:pPr>
        <w:keepNext/>
        <w:spacing w:before="10" w:line="240" w:lineRule="exact"/>
        <w:rPr>
          <w:rFonts w:ascii="Times New Roman" w:eastAsia="Times New Roman" w:hAnsi="Times New Roman" w:cs="Times New Roman"/>
          <w:shd w:val="pct15" w:color="auto" w:fill="FFFFFF"/>
          <w:lang w:val="de-CH"/>
        </w:rPr>
      </w:pPr>
      <w:r w:rsidRPr="001B02C1">
        <w:rPr>
          <w:rFonts w:ascii="Times New Roman" w:eastAsia="Times New Roman" w:hAnsi="Times New Roman" w:cs="Times New Roman"/>
          <w:shd w:val="pct15" w:color="auto" w:fill="FFFFFF"/>
          <w:lang w:val="de-CH"/>
        </w:rPr>
        <w:t>89231 Neu</w:t>
      </w:r>
      <w:r w:rsidR="00C26074" w:rsidRPr="001B02C1">
        <w:rPr>
          <w:rFonts w:ascii="Times New Roman" w:hAnsi="Times New Roman" w:cs="Times New Roman" w:hint="eastAsia"/>
          <w:shd w:val="pct15" w:color="auto" w:fill="FFFFFF"/>
          <w:lang w:val="de-CH" w:eastAsia="ko-KR"/>
        </w:rPr>
        <w:t>-</w:t>
      </w:r>
      <w:r w:rsidRPr="001B02C1">
        <w:rPr>
          <w:rFonts w:ascii="Times New Roman" w:eastAsia="Times New Roman" w:hAnsi="Times New Roman" w:cs="Times New Roman"/>
          <w:shd w:val="pct15" w:color="auto" w:fill="FFFFFF"/>
          <w:lang w:val="de-CH"/>
        </w:rPr>
        <w:t>Ulm</w:t>
      </w:r>
    </w:p>
    <w:p w14:paraId="3985CB61" w14:textId="77777777" w:rsidR="00840AAB" w:rsidRPr="001B02C1" w:rsidRDefault="00840AAB" w:rsidP="00840AAB">
      <w:pPr>
        <w:keepNext/>
        <w:spacing w:before="10" w:line="240" w:lineRule="exact"/>
        <w:rPr>
          <w:rFonts w:ascii="Times New Roman" w:eastAsia="Times New Roman" w:hAnsi="Times New Roman" w:cs="Times New Roman"/>
          <w:shd w:val="pct15" w:color="auto" w:fill="FFFFFF"/>
          <w:lang w:val="de-DE"/>
        </w:rPr>
      </w:pPr>
      <w:r w:rsidRPr="001B02C1">
        <w:rPr>
          <w:rFonts w:ascii="Times New Roman" w:eastAsia="Times New Roman" w:hAnsi="Times New Roman" w:cs="Times New Roman"/>
          <w:shd w:val="pct15" w:color="auto" w:fill="FFFFFF"/>
          <w:lang w:val="de-DE"/>
        </w:rPr>
        <w:t>Nemčija</w:t>
      </w:r>
    </w:p>
    <w:p w14:paraId="5CD817C6" w14:textId="77777777" w:rsidR="00840AAB" w:rsidRPr="001B02C1" w:rsidRDefault="00840AAB" w:rsidP="00840AAB">
      <w:pPr>
        <w:spacing w:before="10" w:line="240" w:lineRule="exact"/>
        <w:rPr>
          <w:rFonts w:ascii="Times New Roman" w:eastAsia="Times New Roman" w:hAnsi="Times New Roman" w:cs="Times New Roman"/>
          <w:shd w:val="pct15" w:color="auto" w:fill="FFFFFF"/>
          <w:lang w:val="de-DE"/>
        </w:rPr>
      </w:pPr>
    </w:p>
    <w:p w14:paraId="6914ECAE" w14:textId="1EBF9907" w:rsidR="00840AAB" w:rsidRPr="001B02C1" w:rsidDel="002153A2" w:rsidRDefault="00840AAB" w:rsidP="00840AAB">
      <w:pPr>
        <w:spacing w:before="10" w:line="240" w:lineRule="exact"/>
        <w:rPr>
          <w:moveFrom w:id="129" w:author="만든 이" w16du:dateUtc="2025-09-09T06:34:00Z"/>
          <w:rFonts w:ascii="Times New Roman" w:eastAsia="Times New Roman" w:hAnsi="Times New Roman" w:cs="Times New Roman"/>
          <w:shd w:val="pct15" w:color="auto" w:fill="FFFFFF"/>
          <w:lang w:val="de-DE"/>
        </w:rPr>
      </w:pPr>
      <w:moveFromRangeStart w:id="130" w:author="만든 이" w:name="move208324472"/>
      <w:moveFrom w:id="131" w:author="만든 이" w16du:dateUtc="2025-09-09T06:34:00Z">
        <w:r w:rsidRPr="001B02C1" w:rsidDel="002153A2">
          <w:rPr>
            <w:rFonts w:ascii="Times New Roman" w:eastAsia="Times New Roman" w:hAnsi="Times New Roman" w:cs="Times New Roman"/>
            <w:shd w:val="pct15" w:color="auto" w:fill="FFFFFF"/>
            <w:lang w:val="de-DE"/>
          </w:rPr>
          <w:t>Nuvisan France SARL</w:t>
        </w:r>
      </w:moveFrom>
    </w:p>
    <w:p w14:paraId="62C8C2AC" w14:textId="3C548B6F" w:rsidR="00840AAB" w:rsidRPr="001B02C1" w:rsidDel="002153A2" w:rsidRDefault="00840AAB" w:rsidP="00840AAB">
      <w:pPr>
        <w:spacing w:before="10" w:line="240" w:lineRule="exact"/>
        <w:rPr>
          <w:moveFrom w:id="132" w:author="만든 이" w16du:dateUtc="2025-09-09T06:34:00Z"/>
          <w:rFonts w:ascii="Times New Roman" w:eastAsia="Times New Roman" w:hAnsi="Times New Roman" w:cs="Times New Roman"/>
          <w:shd w:val="pct15" w:color="auto" w:fill="FFFFFF"/>
          <w:lang w:val="de-DE"/>
        </w:rPr>
      </w:pPr>
      <w:moveFrom w:id="133" w:author="만든 이" w16du:dateUtc="2025-09-09T06:34:00Z">
        <w:r w:rsidRPr="001B02C1" w:rsidDel="002153A2">
          <w:rPr>
            <w:rFonts w:ascii="Times New Roman" w:eastAsia="Times New Roman" w:hAnsi="Times New Roman" w:cs="Times New Roman"/>
            <w:shd w:val="pct15" w:color="auto" w:fill="FFFFFF"/>
            <w:lang w:val="de-DE"/>
          </w:rPr>
          <w:t>2400, Route des Colles</w:t>
        </w:r>
      </w:moveFrom>
    </w:p>
    <w:p w14:paraId="4AE13D2A" w14:textId="509669EF" w:rsidR="00840AAB" w:rsidRPr="001B02C1" w:rsidDel="002153A2" w:rsidRDefault="00840AAB" w:rsidP="00840AAB">
      <w:pPr>
        <w:spacing w:before="10" w:line="240" w:lineRule="exact"/>
        <w:rPr>
          <w:moveFrom w:id="134" w:author="만든 이" w16du:dateUtc="2025-09-09T06:34:00Z"/>
          <w:rFonts w:ascii="Times New Roman" w:eastAsia="Times New Roman" w:hAnsi="Times New Roman" w:cs="Times New Roman"/>
          <w:shd w:val="pct15" w:color="auto" w:fill="FFFFFF"/>
          <w:lang w:val="de-DE"/>
        </w:rPr>
      </w:pPr>
      <w:moveFrom w:id="135" w:author="만든 이" w16du:dateUtc="2025-09-09T06:34:00Z">
        <w:r w:rsidRPr="001B02C1" w:rsidDel="002153A2">
          <w:rPr>
            <w:rFonts w:ascii="Times New Roman" w:eastAsia="Times New Roman" w:hAnsi="Times New Roman" w:cs="Times New Roman"/>
            <w:shd w:val="pct15" w:color="auto" w:fill="FFFFFF"/>
            <w:lang w:val="de-DE"/>
          </w:rPr>
          <w:t>06410, Biot</w:t>
        </w:r>
      </w:moveFrom>
    </w:p>
    <w:p w14:paraId="3DF457B0" w14:textId="5D294461" w:rsidR="00840AAB" w:rsidRPr="001B02C1" w:rsidDel="002153A2" w:rsidRDefault="00840AAB" w:rsidP="00840AAB">
      <w:pPr>
        <w:autoSpaceDE w:val="0"/>
        <w:autoSpaceDN w:val="0"/>
        <w:adjustRightInd w:val="0"/>
        <w:rPr>
          <w:moveFrom w:id="136" w:author="만든 이" w16du:dateUtc="2025-09-09T06:34:00Z"/>
          <w:rFonts w:ascii="Times New Roman" w:eastAsia="Times New Roman" w:hAnsi="Times New Roman" w:cs="Times New Roman"/>
          <w:shd w:val="pct15" w:color="auto" w:fill="FFFFFF"/>
          <w:lang w:val="de-DE"/>
        </w:rPr>
      </w:pPr>
      <w:moveFrom w:id="137" w:author="만든 이" w16du:dateUtc="2025-09-09T06:34:00Z">
        <w:r w:rsidRPr="001B02C1" w:rsidDel="002153A2">
          <w:rPr>
            <w:rFonts w:ascii="Times New Roman" w:eastAsia="Times New Roman" w:hAnsi="Times New Roman" w:cs="Times New Roman"/>
            <w:shd w:val="pct15" w:color="auto" w:fill="FFFFFF"/>
            <w:lang w:val="de-DE"/>
          </w:rPr>
          <w:t>Francija</w:t>
        </w:r>
      </w:moveFrom>
    </w:p>
    <w:p w14:paraId="0A023ECA" w14:textId="13311462" w:rsidR="002F4B1E" w:rsidRPr="001B02C1" w:rsidDel="002153A2" w:rsidRDefault="002F4B1E" w:rsidP="002F4B1E">
      <w:pPr>
        <w:pStyle w:val="a3"/>
        <w:rPr>
          <w:moveFrom w:id="138" w:author="만든 이" w16du:dateUtc="2025-09-09T06:34:00Z"/>
          <w:color w:val="000000"/>
          <w:shd w:val="pct15" w:color="auto" w:fill="FFFFFF"/>
          <w:lang w:val="de-CH"/>
        </w:rPr>
      </w:pPr>
    </w:p>
    <w:moveFromRangeEnd w:id="130"/>
    <w:p w14:paraId="132F786B" w14:textId="77777777" w:rsidR="002F4B1E" w:rsidRPr="001B02C1" w:rsidRDefault="002F4B1E" w:rsidP="002F4B1E">
      <w:pPr>
        <w:pStyle w:val="a3"/>
        <w:rPr>
          <w:color w:val="000000"/>
          <w:shd w:val="pct15" w:color="auto" w:fill="FFFFFF"/>
          <w:lang w:val="de-DE"/>
        </w:rPr>
      </w:pPr>
      <w:r w:rsidRPr="001B02C1">
        <w:rPr>
          <w:color w:val="000000"/>
          <w:shd w:val="pct15" w:color="auto" w:fill="FFFFFF"/>
          <w:lang w:val="de-DE"/>
        </w:rPr>
        <w:t>Midas Pharma GmbH</w:t>
      </w:r>
    </w:p>
    <w:p w14:paraId="1F2B5AB8" w14:textId="62E02D25" w:rsidR="002F4B1E" w:rsidRPr="001B02C1" w:rsidRDefault="002F4B1E" w:rsidP="002F4B1E">
      <w:pPr>
        <w:pStyle w:val="a3"/>
        <w:rPr>
          <w:color w:val="000000"/>
          <w:shd w:val="pct15" w:color="auto" w:fill="FFFFFF"/>
          <w:lang w:val="de-DE"/>
        </w:rPr>
      </w:pPr>
      <w:r w:rsidRPr="001B02C1">
        <w:rPr>
          <w:color w:val="000000"/>
          <w:shd w:val="pct15" w:color="auto" w:fill="FFFFFF"/>
          <w:lang w:val="de-DE"/>
        </w:rPr>
        <w:t>Rheinstr. 49</w:t>
      </w:r>
    </w:p>
    <w:p w14:paraId="5D440102" w14:textId="33292413" w:rsidR="002F4B1E" w:rsidRPr="001B02C1" w:rsidRDefault="002F4B1E" w:rsidP="002F4B1E">
      <w:pPr>
        <w:pStyle w:val="a3"/>
        <w:rPr>
          <w:color w:val="000000"/>
          <w:shd w:val="pct15" w:color="auto" w:fill="FFFFFF"/>
          <w:lang w:val="de-DE"/>
        </w:rPr>
      </w:pPr>
      <w:r w:rsidRPr="001B02C1">
        <w:rPr>
          <w:color w:val="000000"/>
          <w:shd w:val="pct15" w:color="auto" w:fill="FFFFFF"/>
          <w:lang w:val="de-DE"/>
        </w:rPr>
        <w:t>55218 Ingelheim</w:t>
      </w:r>
    </w:p>
    <w:p w14:paraId="14E7A476" w14:textId="77777777" w:rsidR="002F4B1E" w:rsidRPr="001B02C1" w:rsidRDefault="002F4B1E" w:rsidP="002F4B1E">
      <w:pPr>
        <w:pStyle w:val="a3"/>
        <w:rPr>
          <w:color w:val="000000"/>
          <w:shd w:val="pct15" w:color="auto" w:fill="FFFFFF"/>
          <w:lang w:val="de-CH"/>
        </w:rPr>
      </w:pPr>
      <w:r w:rsidRPr="001B02C1">
        <w:rPr>
          <w:color w:val="000000"/>
          <w:shd w:val="pct15" w:color="auto" w:fill="FFFFFF"/>
          <w:lang w:val="de-CH"/>
        </w:rPr>
        <w:t>Nemčija</w:t>
      </w:r>
    </w:p>
    <w:p w14:paraId="159D0A94" w14:textId="77777777" w:rsidR="002F4B1E" w:rsidRPr="001B02C1" w:rsidRDefault="002F4B1E" w:rsidP="002F4B1E">
      <w:pPr>
        <w:pStyle w:val="a3"/>
        <w:rPr>
          <w:color w:val="000000"/>
          <w:shd w:val="pct15" w:color="auto" w:fill="FFFFFF"/>
          <w:lang w:val="de-DE"/>
        </w:rPr>
      </w:pPr>
    </w:p>
    <w:p w14:paraId="44AB7CB9" w14:textId="500CA64A" w:rsidR="002F4B1E" w:rsidRPr="001B02C1" w:rsidRDefault="002F4B1E" w:rsidP="002F4B1E">
      <w:pPr>
        <w:pStyle w:val="a3"/>
        <w:rPr>
          <w:color w:val="000000"/>
          <w:shd w:val="pct15" w:color="auto" w:fill="FFFFFF"/>
          <w:lang w:val="fr-FR"/>
        </w:rPr>
      </w:pPr>
      <w:r w:rsidRPr="001B02C1">
        <w:rPr>
          <w:color w:val="000000"/>
          <w:shd w:val="pct15" w:color="auto" w:fill="FFFFFF"/>
          <w:lang w:val="fr-FR"/>
        </w:rPr>
        <w:t>KYMOS S.L.</w:t>
      </w:r>
    </w:p>
    <w:p w14:paraId="01DC9E73" w14:textId="10544937" w:rsidR="002F4B1E" w:rsidRPr="001B02C1" w:rsidRDefault="002F4B1E" w:rsidP="002F4B1E">
      <w:pPr>
        <w:pStyle w:val="a3"/>
        <w:rPr>
          <w:color w:val="000000"/>
          <w:shd w:val="pct15" w:color="auto" w:fill="FFFFFF"/>
          <w:lang w:val="fr-FR"/>
        </w:rPr>
      </w:pPr>
      <w:r w:rsidRPr="001B02C1">
        <w:rPr>
          <w:color w:val="000000"/>
          <w:shd w:val="pct15" w:color="auto" w:fill="FFFFFF"/>
          <w:lang w:val="fr-FR"/>
        </w:rPr>
        <w:t>Ronda Can Fatjó, 7B.</w:t>
      </w:r>
    </w:p>
    <w:p w14:paraId="07B76212" w14:textId="03EB7664" w:rsidR="002F4B1E" w:rsidRPr="001B02C1" w:rsidRDefault="002F4B1E" w:rsidP="002F4B1E">
      <w:pPr>
        <w:pStyle w:val="a3"/>
        <w:rPr>
          <w:color w:val="000000"/>
          <w:shd w:val="pct15" w:color="auto" w:fill="FFFFFF"/>
          <w:lang w:val="fr-FR"/>
        </w:rPr>
      </w:pPr>
      <w:r w:rsidRPr="001B02C1">
        <w:rPr>
          <w:color w:val="000000"/>
          <w:shd w:val="pct15" w:color="auto" w:fill="FFFFFF"/>
          <w:lang w:val="fr-FR"/>
        </w:rPr>
        <w:t>08290 Cerdanyola del Vallès</w:t>
      </w:r>
    </w:p>
    <w:p w14:paraId="2139FA2D" w14:textId="61F80BE7" w:rsidR="002F4B1E" w:rsidRPr="001B02C1" w:rsidRDefault="002F4B1E" w:rsidP="002F4B1E">
      <w:pPr>
        <w:pStyle w:val="a3"/>
        <w:rPr>
          <w:color w:val="000000"/>
          <w:shd w:val="pct15" w:color="auto" w:fill="FFFFFF"/>
          <w:lang w:val="fr-FR"/>
        </w:rPr>
      </w:pPr>
      <w:r w:rsidRPr="001B02C1">
        <w:rPr>
          <w:color w:val="000000"/>
          <w:shd w:val="pct15" w:color="auto" w:fill="FFFFFF"/>
          <w:lang w:val="fr-FR"/>
        </w:rPr>
        <w:t>Barcelona</w:t>
      </w:r>
    </w:p>
    <w:p w14:paraId="483F4C35" w14:textId="77777777" w:rsidR="002F4B1E" w:rsidRPr="001B02C1" w:rsidRDefault="002F4B1E" w:rsidP="002F4B1E">
      <w:pPr>
        <w:pStyle w:val="a3"/>
        <w:rPr>
          <w:color w:val="000000"/>
          <w:shd w:val="pct15" w:color="auto" w:fill="FFFFFF"/>
          <w:lang w:val="fr-FR"/>
        </w:rPr>
      </w:pPr>
      <w:r w:rsidRPr="001B02C1">
        <w:rPr>
          <w:color w:val="000000"/>
          <w:shd w:val="pct15" w:color="auto" w:fill="FFFFFF"/>
          <w:lang w:val="fr-FR"/>
        </w:rPr>
        <w:t>Španija</w:t>
      </w:r>
    </w:p>
    <w:p w14:paraId="61D4D633" w14:textId="77777777" w:rsidR="00840AAB" w:rsidRPr="006869A5" w:rsidRDefault="00840AAB" w:rsidP="00840AAB">
      <w:pPr>
        <w:spacing w:before="14" w:line="240" w:lineRule="exact"/>
        <w:rPr>
          <w:sz w:val="24"/>
          <w:szCs w:val="24"/>
          <w:lang w:val="fr-FR"/>
        </w:rPr>
      </w:pPr>
    </w:p>
    <w:p w14:paraId="3D2A4582" w14:textId="77777777" w:rsidR="00840AAB" w:rsidRDefault="00840AAB" w:rsidP="00840AAB">
      <w:pPr>
        <w:pStyle w:val="a3"/>
        <w:rPr>
          <w:lang w:val="sl-SI"/>
        </w:rPr>
      </w:pPr>
      <w:r>
        <w:rPr>
          <w:rFonts w:eastAsia="Times New Roman"/>
          <w:lang w:val="sl-SI"/>
        </w:rPr>
        <w:t>Za vse morebitne nadaljnje informacije o tem zdravilu se lahko obrnete na predstavništvo imetnika dovoljenja za promet z zdravilom:</w:t>
      </w:r>
    </w:p>
    <w:p w14:paraId="19B9640C" w14:textId="77777777" w:rsidR="00840AAB" w:rsidRDefault="00840AAB" w:rsidP="00840AAB">
      <w:pPr>
        <w:numPr>
          <w:ilvl w:val="12"/>
          <w:numId w:val="0"/>
        </w:numPr>
        <w:ind w:right="-2"/>
        <w:rPr>
          <w:rFonts w:ascii="Times New Roman" w:hAnsi="Times New Roman" w:cs="Times New Roman"/>
          <w:b/>
          <w:noProof/>
          <w:lang w:val="sl-SI"/>
        </w:rPr>
      </w:pPr>
    </w:p>
    <w:tbl>
      <w:tblPr>
        <w:tblW w:w="5000" w:type="pct"/>
        <w:tblLook w:val="04A0" w:firstRow="1" w:lastRow="0" w:firstColumn="1" w:lastColumn="0" w:noHBand="0" w:noVBand="1"/>
      </w:tblPr>
      <w:tblGrid>
        <w:gridCol w:w="4800"/>
        <w:gridCol w:w="4800"/>
      </w:tblGrid>
      <w:tr w:rsidR="00840AAB" w14:paraId="13AB9677" w14:textId="77777777" w:rsidTr="00646E14">
        <w:tc>
          <w:tcPr>
            <w:tcW w:w="2500" w:type="pct"/>
            <w:hideMark/>
          </w:tcPr>
          <w:p w14:paraId="783FCF56" w14:textId="77777777" w:rsidR="00840AAB" w:rsidRDefault="00840AAB" w:rsidP="00646E14">
            <w:pPr>
              <w:rPr>
                <w:rFonts w:ascii="Times New Roman" w:hAnsi="Times New Roman" w:cs="Times New Roman"/>
                <w:b/>
                <w:noProof/>
                <w:lang w:val="sl-SI" w:eastAsia="fr-FR"/>
              </w:rPr>
            </w:pPr>
            <w:r>
              <w:rPr>
                <w:rFonts w:ascii="Times New Roman" w:eastAsia="맑은 고딕" w:hAnsi="Times New Roman" w:cs="Times New Roman"/>
                <w:b/>
                <w:noProof/>
                <w:lang w:val="sl-SI" w:eastAsia="fr-FR"/>
              </w:rPr>
              <w:t>België/Belgique/Belgien</w:t>
            </w:r>
          </w:p>
          <w:p w14:paraId="4302122C"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Belgium BVBA</w:t>
            </w:r>
          </w:p>
          <w:p w14:paraId="41800C9C" w14:textId="77777777" w:rsidR="00840AAB" w:rsidRDefault="00840AAB" w:rsidP="00646E14">
            <w:pPr>
              <w:rPr>
                <w:rFonts w:ascii="Times New Roman" w:eastAsia="맑은 고딕" w:hAnsi="Times New Roman" w:cs="Times New Roman"/>
                <w:noProof/>
                <w:lang w:val="sl-SI" w:eastAsia="ko-KR"/>
              </w:rPr>
            </w:pPr>
            <w:r>
              <w:rPr>
                <w:rFonts w:ascii="Times New Roman" w:eastAsia="맑은 고딕" w:hAnsi="Times New Roman" w:cs="Times New Roman"/>
                <w:noProof/>
                <w:lang w:val="sl-SI" w:eastAsia="fr-FR"/>
              </w:rPr>
              <w:t>Tél/Tel: + 32 1528 7418</w:t>
            </w:r>
          </w:p>
        </w:tc>
        <w:tc>
          <w:tcPr>
            <w:tcW w:w="2500" w:type="pct"/>
          </w:tcPr>
          <w:p w14:paraId="6870825A" w14:textId="77777777" w:rsidR="00840AAB" w:rsidRDefault="00840AAB" w:rsidP="00646E14">
            <w:pPr>
              <w:tabs>
                <w:tab w:val="left" w:pos="-720"/>
              </w:tabs>
              <w:suppressAutoHyphens/>
              <w:rPr>
                <w:rFonts w:ascii="Times New Roman" w:hAnsi="Times New Roman" w:cs="Times New Roman"/>
                <w:b/>
                <w:noProof/>
                <w:lang w:val="sl-SI" w:eastAsia="fr-FR"/>
              </w:rPr>
            </w:pPr>
            <w:r>
              <w:rPr>
                <w:rFonts w:ascii="Times New Roman" w:hAnsi="Times New Roman" w:cs="Times New Roman"/>
                <w:b/>
                <w:noProof/>
                <w:lang w:val="sl-SI" w:eastAsia="fr-FR"/>
              </w:rPr>
              <w:t>Lietuva</w:t>
            </w:r>
          </w:p>
          <w:p w14:paraId="3F45B40D"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70192C23"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10BF3D9E" w14:textId="77777777" w:rsidR="00840AAB" w:rsidRPr="0011416E" w:rsidRDefault="00840AAB" w:rsidP="00646E14">
            <w:pPr>
              <w:autoSpaceDE w:val="0"/>
              <w:autoSpaceDN w:val="0"/>
              <w:adjustRightInd w:val="0"/>
              <w:rPr>
                <w:rFonts w:ascii="Times New Roman" w:hAnsi="Times New Roman" w:cs="Times New Roman"/>
                <w:noProof/>
                <w:lang w:val="sl-SI" w:eastAsia="fr-FR"/>
              </w:rPr>
            </w:pPr>
          </w:p>
        </w:tc>
      </w:tr>
      <w:tr w:rsidR="00840AAB" w14:paraId="15184856" w14:textId="77777777" w:rsidTr="00646E14">
        <w:trPr>
          <w:trHeight w:val="619"/>
        </w:trPr>
        <w:tc>
          <w:tcPr>
            <w:tcW w:w="2500" w:type="pct"/>
          </w:tcPr>
          <w:p w14:paraId="38B81252" w14:textId="77777777" w:rsidR="00840AAB" w:rsidRDefault="00840AAB" w:rsidP="00646E14">
            <w:pPr>
              <w:rPr>
                <w:rFonts w:ascii="Times New Roman" w:eastAsia="맑은 고딕" w:hAnsi="Times New Roman" w:cs="Times New Roman"/>
                <w:b/>
                <w:noProof/>
                <w:lang w:val="sl-SI" w:eastAsia="fr-FR"/>
              </w:rPr>
            </w:pPr>
            <w:r>
              <w:rPr>
                <w:rFonts w:ascii="Times New Roman" w:hAnsi="Times New Roman" w:cs="Times New Roman"/>
                <w:b/>
                <w:bCs/>
                <w:lang w:val="sl-SI"/>
              </w:rPr>
              <w:t>България</w:t>
            </w:r>
          </w:p>
          <w:p w14:paraId="08A3AB62"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09F28F0B"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sidRPr="006E16B8">
              <w:rPr>
                <w:rFonts w:ascii="Times New Roman" w:eastAsia="맑은 고딕" w:hAnsi="Times New Roman" w:cs="Times New Roman"/>
                <w:noProof/>
                <w:lang w:val="sl-SI" w:eastAsia="fr-FR"/>
              </w:rPr>
              <w:t xml:space="preserve">Teл.: </w:t>
            </w:r>
            <w:r>
              <w:rPr>
                <w:rFonts w:ascii="Times New Roman" w:eastAsia="맑은 고딕" w:hAnsi="Times New Roman" w:cs="Times New Roman"/>
                <w:noProof/>
                <w:lang w:val="sl-SI" w:eastAsia="fr-FR"/>
              </w:rPr>
              <w:t>+36 1 231 0493</w:t>
            </w:r>
          </w:p>
          <w:p w14:paraId="39665491" w14:textId="77777777" w:rsidR="00840AAB" w:rsidRPr="0011416E" w:rsidRDefault="00840AAB" w:rsidP="00646E14">
            <w:pPr>
              <w:rPr>
                <w:rFonts w:ascii="Times New Roman" w:hAnsi="Times New Roman" w:cs="Times New Roman"/>
                <w:noProof/>
                <w:lang w:val="sl-SI" w:eastAsia="fr-FR"/>
              </w:rPr>
            </w:pPr>
          </w:p>
        </w:tc>
        <w:tc>
          <w:tcPr>
            <w:tcW w:w="2500" w:type="pct"/>
            <w:hideMark/>
          </w:tcPr>
          <w:p w14:paraId="25C701AA" w14:textId="77777777" w:rsidR="00840AAB" w:rsidRDefault="00840AAB" w:rsidP="00646E14">
            <w:pPr>
              <w:tabs>
                <w:tab w:val="left" w:pos="-720"/>
              </w:tabs>
              <w:suppressAutoHyphens/>
              <w:rPr>
                <w:rFonts w:ascii="Times New Roman" w:hAnsi="Times New Roman" w:cs="Times New Roman"/>
                <w:noProof/>
                <w:lang w:val="sl-SI" w:eastAsia="fr-FR"/>
              </w:rPr>
            </w:pPr>
            <w:r>
              <w:rPr>
                <w:rFonts w:ascii="Times New Roman" w:eastAsia="맑은 고딕" w:hAnsi="Times New Roman" w:cs="Times New Roman"/>
                <w:b/>
                <w:noProof/>
                <w:lang w:val="sl-SI" w:eastAsia="fr-FR"/>
              </w:rPr>
              <w:t>Luxembourg/Luxemburg</w:t>
            </w:r>
          </w:p>
          <w:p w14:paraId="5E979911" w14:textId="77777777" w:rsidR="00840AAB" w:rsidRDefault="00840AAB" w:rsidP="00646E14">
            <w:pPr>
              <w:tabs>
                <w:tab w:val="left" w:pos="-720"/>
              </w:tabs>
              <w:suppressAutoHyphens/>
              <w:rPr>
                <w:rFonts w:ascii="Times New Roman" w:eastAsia="맑은 고딕" w:hAnsi="Times New Roman" w:cs="Times New Roman"/>
                <w:iCs/>
                <w:noProof/>
                <w:lang w:val="sl-SI" w:eastAsia="fr-FR"/>
              </w:rPr>
            </w:pPr>
            <w:r>
              <w:rPr>
                <w:rFonts w:ascii="Times New Roman" w:eastAsia="맑은 고딕" w:hAnsi="Times New Roman" w:cs="Times New Roman"/>
                <w:iCs/>
                <w:noProof/>
                <w:lang w:val="sl-SI" w:eastAsia="fr-FR"/>
              </w:rPr>
              <w:t>Celltrion Healthcare Belgium BVBA</w:t>
            </w:r>
          </w:p>
          <w:p w14:paraId="78D817DC" w14:textId="77777777" w:rsidR="00840AAB" w:rsidRDefault="00840AAB" w:rsidP="00646E14">
            <w:pPr>
              <w:tabs>
                <w:tab w:val="left" w:pos="-720"/>
              </w:tabs>
              <w:suppressAutoHyphens/>
              <w:rPr>
                <w:rFonts w:ascii="Times New Roman" w:eastAsia="맑은 고딕" w:hAnsi="Times New Roman" w:cs="Times New Roman"/>
                <w:lang w:val="sl-SI" w:eastAsia="ko-KR"/>
              </w:rPr>
            </w:pPr>
            <w:r>
              <w:rPr>
                <w:rFonts w:ascii="Times New Roman" w:eastAsia="맑은 고딕" w:hAnsi="Times New Roman" w:cs="Times New Roman"/>
                <w:noProof/>
                <w:lang w:val="sl-SI" w:eastAsia="fr-FR"/>
              </w:rPr>
              <w:t xml:space="preserve">Tél/Tel: </w:t>
            </w:r>
            <w:r>
              <w:rPr>
                <w:rFonts w:ascii="Times New Roman" w:eastAsia="맑은 고딕" w:hAnsi="Times New Roman" w:cs="Times New Roman"/>
                <w:iCs/>
                <w:noProof/>
                <w:lang w:val="sl-SI" w:eastAsia="fr-FR"/>
              </w:rPr>
              <w:t>+ 32 1528 7418</w:t>
            </w:r>
          </w:p>
        </w:tc>
      </w:tr>
      <w:tr w:rsidR="00840AAB" w14:paraId="2BDA0F8C" w14:textId="77777777" w:rsidTr="00646E14">
        <w:tc>
          <w:tcPr>
            <w:tcW w:w="2500" w:type="pct"/>
            <w:hideMark/>
          </w:tcPr>
          <w:p w14:paraId="5F9BD6FE" w14:textId="77777777" w:rsidR="00840AAB" w:rsidRDefault="00840AAB" w:rsidP="00646E14">
            <w:pPr>
              <w:tabs>
                <w:tab w:val="left" w:pos="-720"/>
              </w:tabs>
              <w:suppressAutoHyphens/>
              <w:rPr>
                <w:rFonts w:ascii="Times New Roman" w:eastAsia="맑은 고딕" w:hAnsi="Times New Roman" w:cs="Times New Roman"/>
                <w:b/>
                <w:noProof/>
                <w:lang w:val="sl-SI" w:eastAsia="fr-FR"/>
              </w:rPr>
            </w:pPr>
            <w:r>
              <w:rPr>
                <w:rFonts w:ascii="Times New Roman" w:eastAsia="맑은 고딕" w:hAnsi="Times New Roman" w:cs="Times New Roman"/>
                <w:b/>
                <w:noProof/>
                <w:lang w:val="sl-SI" w:eastAsia="fr-FR"/>
              </w:rPr>
              <w:t>Česká republika</w:t>
            </w:r>
          </w:p>
          <w:p w14:paraId="7893C09C"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575127EB"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5F7536F7" w14:textId="77777777" w:rsidR="00840AAB" w:rsidRPr="0011416E" w:rsidRDefault="00840AAB" w:rsidP="00646E14">
            <w:pPr>
              <w:tabs>
                <w:tab w:val="left" w:pos="-720"/>
              </w:tabs>
              <w:suppressAutoHyphens/>
              <w:rPr>
                <w:rFonts w:ascii="Times New Roman" w:hAnsi="Times New Roman" w:cs="Times New Roman"/>
                <w:noProof/>
                <w:lang w:val="sl-SI" w:eastAsia="fr-FR"/>
              </w:rPr>
            </w:pPr>
          </w:p>
        </w:tc>
        <w:tc>
          <w:tcPr>
            <w:tcW w:w="2500" w:type="pct"/>
          </w:tcPr>
          <w:p w14:paraId="2ECA7E58" w14:textId="77777777" w:rsidR="00840AAB" w:rsidRDefault="00840AAB" w:rsidP="00646E14">
            <w:pPr>
              <w:rPr>
                <w:rFonts w:ascii="Times New Roman" w:eastAsia="맑은 고딕" w:hAnsi="Times New Roman" w:cs="Times New Roman"/>
                <w:b/>
                <w:noProof/>
                <w:lang w:val="sl-SI" w:eastAsia="fr-FR"/>
              </w:rPr>
            </w:pPr>
            <w:r>
              <w:rPr>
                <w:rFonts w:ascii="Times New Roman" w:hAnsi="Times New Roman" w:cs="Times New Roman"/>
                <w:b/>
                <w:noProof/>
                <w:lang w:val="sl-SI"/>
              </w:rPr>
              <w:t>Magyarország</w:t>
            </w:r>
          </w:p>
          <w:p w14:paraId="295DBCED"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0C25AA77"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1C094CF5" w14:textId="77777777" w:rsidR="00840AAB" w:rsidRPr="0011416E" w:rsidRDefault="00840AAB" w:rsidP="00646E14">
            <w:pPr>
              <w:rPr>
                <w:rFonts w:ascii="Times New Roman" w:eastAsia="맑은 고딕" w:hAnsi="Times New Roman" w:cs="Times New Roman"/>
                <w:noProof/>
                <w:lang w:val="sl-SI" w:eastAsia="ko-KR"/>
              </w:rPr>
            </w:pPr>
          </w:p>
        </w:tc>
      </w:tr>
      <w:tr w:rsidR="00840AAB" w14:paraId="2151FD10" w14:textId="77777777" w:rsidTr="00646E14">
        <w:tc>
          <w:tcPr>
            <w:tcW w:w="2500" w:type="pct"/>
            <w:hideMark/>
          </w:tcPr>
          <w:p w14:paraId="67933EB4" w14:textId="77777777" w:rsidR="00840AAB" w:rsidRDefault="00840AAB" w:rsidP="00646E14">
            <w:pPr>
              <w:tabs>
                <w:tab w:val="left" w:pos="-720"/>
              </w:tabs>
              <w:suppressAutoHyphens/>
              <w:rPr>
                <w:rFonts w:ascii="Times New Roman" w:hAnsi="Times New Roman" w:cs="Times New Roman"/>
                <w:b/>
                <w:bCs/>
                <w:i/>
                <w:iCs/>
                <w:noProof/>
                <w:lang w:val="sl-SI" w:eastAsia="fr-FR"/>
              </w:rPr>
            </w:pPr>
            <w:r>
              <w:rPr>
                <w:rFonts w:ascii="Times New Roman" w:hAnsi="Times New Roman" w:cs="Times New Roman"/>
                <w:b/>
                <w:noProof/>
                <w:lang w:val="sl-SI"/>
              </w:rPr>
              <w:t>Danmark</w:t>
            </w:r>
          </w:p>
          <w:p w14:paraId="16D97F39"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30F25C8A"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Tlf: +36 1 231 0493</w:t>
            </w:r>
          </w:p>
        </w:tc>
        <w:tc>
          <w:tcPr>
            <w:tcW w:w="2500" w:type="pct"/>
          </w:tcPr>
          <w:p w14:paraId="5CD4E1C3" w14:textId="77777777" w:rsidR="00840AAB" w:rsidRDefault="00840AAB" w:rsidP="00646E14">
            <w:pPr>
              <w:rPr>
                <w:rFonts w:ascii="Times New Roman" w:hAnsi="Times New Roman" w:cs="Times New Roman"/>
                <w:noProof/>
                <w:lang w:val="sl-SI" w:eastAsia="fr-FR"/>
              </w:rPr>
            </w:pPr>
            <w:r>
              <w:rPr>
                <w:rFonts w:ascii="Times New Roman" w:eastAsia="맑은 고딕" w:hAnsi="Times New Roman" w:cs="Times New Roman"/>
                <w:b/>
                <w:noProof/>
                <w:lang w:val="sl-SI" w:eastAsia="fr-FR"/>
              </w:rPr>
              <w:t>Malta</w:t>
            </w:r>
          </w:p>
          <w:p w14:paraId="6DE5E88D" w14:textId="42A8596A" w:rsidR="00840AAB" w:rsidRDefault="000518B8" w:rsidP="00646E14">
            <w:pPr>
              <w:tabs>
                <w:tab w:val="left" w:pos="-720"/>
              </w:tabs>
              <w:suppressAutoHyphens/>
              <w:rPr>
                <w:rFonts w:ascii="Times New Roman" w:eastAsia="맑은 고딕" w:hAnsi="Times New Roman" w:cs="Times New Roman"/>
                <w:noProof/>
                <w:lang w:val="sl-SI" w:eastAsia="fr-FR"/>
              </w:rPr>
            </w:pPr>
            <w:r w:rsidRPr="000518B8">
              <w:rPr>
                <w:rFonts w:ascii="Times New Roman" w:eastAsia="맑은 고딕" w:hAnsi="Times New Roman" w:cs="Times New Roman"/>
                <w:noProof/>
                <w:lang w:val="sl-SI" w:eastAsia="fr-FR"/>
              </w:rPr>
              <w:t>Mint Health Ltd.</w:t>
            </w:r>
          </w:p>
          <w:p w14:paraId="28176CF3" w14:textId="4F7B22BB" w:rsidR="00840AAB" w:rsidRDefault="00840AAB" w:rsidP="00646E14">
            <w:pPr>
              <w:rPr>
                <w:rFonts w:ascii="Times New Roman" w:eastAsia="맑은 고딕" w:hAnsi="Times New Roman" w:cs="Times New Roman"/>
                <w:noProof/>
                <w:lang w:val="sl-SI" w:eastAsia="ko-KR"/>
              </w:rPr>
            </w:pPr>
            <w:r>
              <w:rPr>
                <w:rFonts w:ascii="Times New Roman" w:eastAsia="맑은 고딕" w:hAnsi="Times New Roman" w:cs="Times New Roman"/>
                <w:noProof/>
                <w:lang w:val="sl-SI" w:eastAsia="fr-FR"/>
              </w:rPr>
              <w:t xml:space="preserve">Tel: +356 </w:t>
            </w:r>
            <w:r w:rsidR="000518B8" w:rsidRPr="000518B8">
              <w:rPr>
                <w:rFonts w:ascii="Times New Roman" w:eastAsia="맑은 고딕" w:hAnsi="Times New Roman" w:cs="Times New Roman"/>
                <w:noProof/>
                <w:lang w:val="sl-SI" w:eastAsia="fr-FR"/>
              </w:rPr>
              <w:t>2093 9800</w:t>
            </w:r>
          </w:p>
          <w:p w14:paraId="25BB6658" w14:textId="77777777" w:rsidR="00840AAB" w:rsidRDefault="00840AAB" w:rsidP="00646E14">
            <w:pPr>
              <w:rPr>
                <w:rFonts w:ascii="Times New Roman" w:eastAsia="맑은 고딕" w:hAnsi="Times New Roman" w:cs="Times New Roman"/>
                <w:noProof/>
                <w:lang w:val="sl-SI" w:eastAsia="ko-KR"/>
              </w:rPr>
            </w:pPr>
          </w:p>
        </w:tc>
      </w:tr>
      <w:tr w:rsidR="00840AAB" w14:paraId="27F7B708" w14:textId="77777777" w:rsidTr="00646E14">
        <w:tc>
          <w:tcPr>
            <w:tcW w:w="2500" w:type="pct"/>
            <w:hideMark/>
          </w:tcPr>
          <w:p w14:paraId="6166000A" w14:textId="77777777" w:rsidR="00840AAB" w:rsidRDefault="00840AAB" w:rsidP="00646E14">
            <w:pPr>
              <w:rPr>
                <w:rFonts w:ascii="Times New Roman" w:hAnsi="Times New Roman" w:cs="Times New Roman"/>
                <w:b/>
                <w:noProof/>
                <w:lang w:val="sl-SI" w:eastAsia="fr-FR"/>
              </w:rPr>
            </w:pPr>
            <w:r>
              <w:rPr>
                <w:rFonts w:ascii="Times New Roman" w:eastAsia="맑은 고딕" w:hAnsi="Times New Roman" w:cs="Times New Roman"/>
                <w:b/>
                <w:noProof/>
                <w:lang w:val="sl-SI" w:eastAsia="fr-FR"/>
              </w:rPr>
              <w:t>Deutschland</w:t>
            </w:r>
          </w:p>
          <w:p w14:paraId="2FCA95E1" w14:textId="77777777" w:rsidR="004F5C88" w:rsidRDefault="004F5C88" w:rsidP="004F5C88">
            <w:pPr>
              <w:rPr>
                <w:rFonts w:ascii="Times New Roman" w:hAnsi="Times New Roman" w:cs="Times New Roman"/>
                <w:noProof/>
                <w:lang w:eastAsia="ko-KR"/>
              </w:rPr>
            </w:pPr>
            <w:r>
              <w:rPr>
                <w:rFonts w:ascii="Times New Roman" w:hAnsi="Times New Roman" w:cs="Times New Roman"/>
                <w:noProof/>
                <w:lang w:eastAsia="ko-KR"/>
              </w:rPr>
              <w:t>Celltrion Healthcare Deutschland GmbH</w:t>
            </w:r>
          </w:p>
          <w:p w14:paraId="09E4A4B8" w14:textId="27F941FB" w:rsidR="004F5C88" w:rsidRDefault="004F5C88" w:rsidP="004F5C88">
            <w:pPr>
              <w:rPr>
                <w:rFonts w:ascii="Times New Roman" w:eastAsia="맑은 고딕" w:hAnsi="Times New Roman" w:cs="Times New Roman"/>
                <w:noProof/>
                <w:lang w:eastAsia="fr-FR"/>
              </w:rPr>
            </w:pPr>
            <w:r>
              <w:rPr>
                <w:rFonts w:ascii="Times New Roman" w:hAnsi="Times New Roman" w:cs="Times New Roman"/>
                <w:noProof/>
                <w:lang w:eastAsia="ko-KR"/>
              </w:rPr>
              <w:t>T</w:t>
            </w:r>
            <w:r w:rsidR="00A45780">
              <w:rPr>
                <w:rFonts w:ascii="Times New Roman" w:hAnsi="Times New Roman" w:cs="Times New Roman" w:hint="eastAsia"/>
                <w:noProof/>
                <w:lang w:eastAsia="ko-KR"/>
              </w:rPr>
              <w:t>e</w:t>
            </w:r>
            <w:r>
              <w:rPr>
                <w:rFonts w:ascii="Times New Roman" w:hAnsi="Times New Roman" w:cs="Times New Roman"/>
                <w:noProof/>
                <w:lang w:eastAsia="ko-KR"/>
              </w:rPr>
              <w:t>l.: +49 (0)</w:t>
            </w:r>
            <w:r w:rsidR="00BB6903">
              <w:rPr>
                <w:rFonts w:ascii="Times New Roman" w:hAnsi="Times New Roman" w:cs="Times New Roman"/>
                <w:noProof/>
                <w:lang w:eastAsia="ko-KR"/>
              </w:rPr>
              <w:t>30 346494150</w:t>
            </w:r>
          </w:p>
          <w:p w14:paraId="238FE15D" w14:textId="77777777" w:rsidR="004F5C88" w:rsidRDefault="004F5C88" w:rsidP="004F5C88">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infoDE@celltrionhc.com</w:t>
            </w:r>
          </w:p>
          <w:p w14:paraId="59929241" w14:textId="0433105F" w:rsidR="00840AAB" w:rsidRDefault="00840AAB" w:rsidP="00646E14">
            <w:pPr>
              <w:tabs>
                <w:tab w:val="left" w:pos="-720"/>
              </w:tabs>
              <w:suppressAutoHyphens/>
              <w:rPr>
                <w:rFonts w:ascii="Times New Roman" w:eastAsia="맑은 고딕" w:hAnsi="Times New Roman" w:cs="Times New Roman"/>
                <w:noProof/>
                <w:lang w:val="sl-SI" w:eastAsia="fr-FR"/>
              </w:rPr>
            </w:pPr>
          </w:p>
          <w:p w14:paraId="6701B0F6" w14:textId="77777777" w:rsidR="00840AAB" w:rsidRDefault="00840AAB" w:rsidP="00646E14">
            <w:pPr>
              <w:tabs>
                <w:tab w:val="left" w:pos="-720"/>
              </w:tabs>
              <w:suppressAutoHyphens/>
              <w:rPr>
                <w:rFonts w:ascii="Times New Roman" w:eastAsia="맑은 고딕" w:hAnsi="Times New Roman" w:cs="Times New Roman"/>
                <w:noProof/>
                <w:lang w:val="sl-SI" w:eastAsia="fr-FR"/>
              </w:rPr>
            </w:pPr>
          </w:p>
        </w:tc>
        <w:tc>
          <w:tcPr>
            <w:tcW w:w="2500" w:type="pct"/>
          </w:tcPr>
          <w:p w14:paraId="46EEB60B" w14:textId="77777777" w:rsidR="00840AAB" w:rsidRDefault="00840AAB" w:rsidP="00646E14">
            <w:pPr>
              <w:rPr>
                <w:rFonts w:ascii="Times New Roman" w:hAnsi="Times New Roman" w:cs="Times New Roman"/>
                <w:noProof/>
                <w:lang w:val="sl-SI" w:eastAsia="fr-FR"/>
              </w:rPr>
            </w:pPr>
            <w:r>
              <w:rPr>
                <w:rFonts w:ascii="Times New Roman" w:eastAsia="맑은 고딕" w:hAnsi="Times New Roman" w:cs="Times New Roman"/>
                <w:b/>
                <w:noProof/>
                <w:lang w:val="sl-SI" w:eastAsia="fr-FR"/>
              </w:rPr>
              <w:t>Nederland</w:t>
            </w:r>
          </w:p>
          <w:p w14:paraId="4ECA9452"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Netherlands B.V.</w:t>
            </w:r>
          </w:p>
          <w:p w14:paraId="4CA8DCD7"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+ 31 20 888 7300</w:t>
            </w:r>
          </w:p>
          <w:p w14:paraId="052CEFC9" w14:textId="77777777" w:rsidR="00840AAB" w:rsidRDefault="00840AAB" w:rsidP="00646E14">
            <w:pPr>
              <w:rPr>
                <w:rFonts w:ascii="Times New Roman" w:eastAsia="맑은 고딕" w:hAnsi="Times New Roman" w:cs="Times New Roman"/>
                <w:noProof/>
                <w:lang w:val="sl-SI" w:eastAsia="fr-FR"/>
              </w:rPr>
            </w:pPr>
          </w:p>
        </w:tc>
      </w:tr>
      <w:tr w:rsidR="00840AAB" w14:paraId="0C8F2A2D" w14:textId="77777777" w:rsidTr="00646E14">
        <w:tc>
          <w:tcPr>
            <w:tcW w:w="2500" w:type="pct"/>
            <w:hideMark/>
          </w:tcPr>
          <w:p w14:paraId="65356C8B" w14:textId="77777777" w:rsidR="00840AAB" w:rsidRDefault="00840AAB" w:rsidP="00646E14">
            <w:pPr>
              <w:tabs>
                <w:tab w:val="left" w:pos="-720"/>
                <w:tab w:val="left" w:pos="4536"/>
              </w:tabs>
              <w:suppressAutoHyphens/>
              <w:rPr>
                <w:rFonts w:ascii="Times New Roman" w:hAnsi="Times New Roman" w:cs="Times New Roman"/>
                <w:b/>
                <w:noProof/>
                <w:lang w:val="sl-SI" w:eastAsia="fr-FR"/>
              </w:rPr>
            </w:pPr>
            <w:r>
              <w:rPr>
                <w:rFonts w:ascii="Times New Roman" w:eastAsia="맑은 고딕" w:hAnsi="Times New Roman" w:cs="Times New Roman"/>
                <w:b/>
                <w:noProof/>
                <w:lang w:val="sl-SI" w:eastAsia="fr-FR"/>
              </w:rPr>
              <w:t>Eesti</w:t>
            </w:r>
          </w:p>
          <w:p w14:paraId="4D920B01"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76BCFE86"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4B7D60BA" w14:textId="77777777" w:rsidR="00840AAB" w:rsidRDefault="00840AAB" w:rsidP="00646E14">
            <w:pPr>
              <w:tabs>
                <w:tab w:val="left" w:pos="-720"/>
              </w:tabs>
              <w:suppressAutoHyphens/>
              <w:rPr>
                <w:rFonts w:ascii="Times New Roman" w:eastAsia="맑은 고딕" w:hAnsi="Times New Roman" w:cs="Times New Roman"/>
                <w:noProof/>
                <w:lang w:val="sl-SI" w:eastAsia="ko-KR"/>
              </w:rPr>
            </w:pPr>
          </w:p>
        </w:tc>
        <w:tc>
          <w:tcPr>
            <w:tcW w:w="2500" w:type="pct"/>
          </w:tcPr>
          <w:p w14:paraId="23F497C3" w14:textId="77777777" w:rsidR="00840AAB" w:rsidRDefault="00840AAB" w:rsidP="00646E14">
            <w:pPr>
              <w:tabs>
                <w:tab w:val="left" w:pos="-720"/>
              </w:tabs>
              <w:suppressAutoHyphens/>
              <w:rPr>
                <w:rFonts w:ascii="Times New Roman" w:hAnsi="Times New Roman" w:cs="Times New Roman"/>
                <w:noProof/>
                <w:lang w:val="sl-SI" w:eastAsia="fr-FR"/>
              </w:rPr>
            </w:pPr>
            <w:r>
              <w:rPr>
                <w:rFonts w:ascii="Times New Roman" w:eastAsia="맑은 고딕" w:hAnsi="Times New Roman" w:cs="Times New Roman"/>
                <w:b/>
                <w:noProof/>
                <w:lang w:val="sl-SI" w:eastAsia="fr-FR"/>
              </w:rPr>
              <w:t>Norge</w:t>
            </w:r>
          </w:p>
          <w:p w14:paraId="796EE5A9"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2E6D6BB9"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Tlf: +36 1 231 0493</w:t>
            </w:r>
          </w:p>
          <w:p w14:paraId="36CA5E44" w14:textId="77777777" w:rsidR="00840AAB" w:rsidRDefault="00840AAB" w:rsidP="00646E14">
            <w:pPr>
              <w:tabs>
                <w:tab w:val="left" w:pos="-720"/>
              </w:tabs>
              <w:suppressAutoHyphens/>
              <w:rPr>
                <w:rFonts w:ascii="Times New Roman" w:eastAsia="맑은 고딕" w:hAnsi="Times New Roman" w:cs="Times New Roman"/>
                <w:noProof/>
                <w:lang w:val="sl-SI" w:eastAsia="ko-KR"/>
              </w:rPr>
            </w:pPr>
          </w:p>
        </w:tc>
      </w:tr>
      <w:tr w:rsidR="00840AAB" w:rsidRPr="00AC7013" w14:paraId="5E19AC23" w14:textId="77777777" w:rsidTr="00646E14">
        <w:tc>
          <w:tcPr>
            <w:tcW w:w="2500" w:type="pct"/>
            <w:hideMark/>
          </w:tcPr>
          <w:p w14:paraId="6B51C129" w14:textId="77777777" w:rsidR="00840AAB" w:rsidRDefault="00840AAB" w:rsidP="00646E14">
            <w:pPr>
              <w:rPr>
                <w:rFonts w:ascii="Times New Roman" w:hAnsi="Times New Roman" w:cs="Times New Roman"/>
                <w:noProof/>
                <w:lang w:val="sl-SI" w:eastAsia="fr-FR"/>
              </w:rPr>
            </w:pPr>
            <w:r>
              <w:rPr>
                <w:rFonts w:ascii="Times New Roman" w:hAnsi="Times New Roman" w:cs="Times New Roman"/>
                <w:b/>
                <w:noProof/>
                <w:lang w:val="sl-SI"/>
              </w:rPr>
              <w:t>España</w:t>
            </w:r>
          </w:p>
          <w:p w14:paraId="3A6C204E"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Kern Pharma, S.L.</w:t>
            </w:r>
          </w:p>
          <w:p w14:paraId="61202514"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+34 93 700 2525</w:t>
            </w:r>
          </w:p>
          <w:p w14:paraId="293B5AD1" w14:textId="77777777" w:rsidR="00840AAB" w:rsidRDefault="00840AAB" w:rsidP="00646E14">
            <w:pPr>
              <w:rPr>
                <w:rFonts w:ascii="Times New Roman" w:hAnsi="Times New Roman" w:cs="Times New Roman"/>
                <w:b/>
                <w:noProof/>
                <w:lang w:val="sl-SI" w:eastAsia="fr-FR"/>
              </w:rPr>
            </w:pPr>
          </w:p>
        </w:tc>
        <w:tc>
          <w:tcPr>
            <w:tcW w:w="2500" w:type="pct"/>
          </w:tcPr>
          <w:p w14:paraId="6517C2A4" w14:textId="77777777" w:rsidR="00840AAB" w:rsidRDefault="00840AAB" w:rsidP="00646E14">
            <w:pPr>
              <w:rPr>
                <w:rFonts w:ascii="Times New Roman" w:hAnsi="Times New Roman" w:cs="Times New Roman"/>
                <w:noProof/>
                <w:lang w:val="sl-SI" w:eastAsia="fr-FR"/>
              </w:rPr>
            </w:pPr>
            <w:r>
              <w:rPr>
                <w:rFonts w:ascii="Times New Roman" w:hAnsi="Times New Roman" w:cs="Times New Roman"/>
                <w:b/>
                <w:noProof/>
                <w:lang w:val="sl-SI"/>
              </w:rPr>
              <w:t>Österreich</w:t>
            </w:r>
          </w:p>
          <w:p w14:paraId="5B92E8B1" w14:textId="77777777" w:rsidR="00840AAB" w:rsidRDefault="00840AAB" w:rsidP="00646E14">
            <w:pPr>
              <w:rPr>
                <w:rFonts w:ascii="Times New Roman" w:eastAsia="맑은 고딕" w:hAnsi="Times New Roman" w:cs="Times New Roman"/>
                <w:noProof/>
                <w:lang w:val="sl-SI" w:eastAsia="ko-KR"/>
              </w:rPr>
            </w:pPr>
            <w:r>
              <w:rPr>
                <w:rFonts w:ascii="Times New Roman" w:eastAsia="맑은 고딕" w:hAnsi="Times New Roman" w:cs="Times New Roman"/>
                <w:noProof/>
                <w:lang w:val="sl-SI" w:eastAsia="fr-FR"/>
              </w:rPr>
              <w:t>Astro-Pharma GmbH</w:t>
            </w:r>
          </w:p>
          <w:p w14:paraId="2DF5A359"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+43 1 97 99 860</w:t>
            </w:r>
          </w:p>
          <w:p w14:paraId="43884707" w14:textId="77777777" w:rsidR="00840AAB" w:rsidRDefault="00840AAB" w:rsidP="00646E14">
            <w:pPr>
              <w:tabs>
                <w:tab w:val="left" w:pos="-720"/>
              </w:tabs>
              <w:suppressAutoHyphens/>
              <w:rPr>
                <w:rFonts w:ascii="Times New Roman" w:hAnsi="Times New Roman" w:cs="Times New Roman"/>
                <w:noProof/>
                <w:lang w:val="sl-SI" w:eastAsia="fr-FR"/>
              </w:rPr>
            </w:pPr>
          </w:p>
        </w:tc>
      </w:tr>
      <w:tr w:rsidR="00840AAB" w14:paraId="10A360B7" w14:textId="77777777" w:rsidTr="00646E14">
        <w:tc>
          <w:tcPr>
            <w:tcW w:w="2500" w:type="pct"/>
          </w:tcPr>
          <w:p w14:paraId="19ED9754" w14:textId="77777777" w:rsidR="00840AAB" w:rsidRDefault="00840AAB" w:rsidP="001B02C1">
            <w:pPr>
              <w:rPr>
                <w:rFonts w:ascii="Times New Roman" w:hAnsi="Times New Roman" w:cs="Times New Roman"/>
                <w:b/>
                <w:noProof/>
                <w:lang w:val="sl-SI" w:eastAsia="fr-FR"/>
              </w:rPr>
            </w:pPr>
            <w:r>
              <w:rPr>
                <w:rFonts w:ascii="Times New Roman" w:hAnsi="Times New Roman" w:cs="Times New Roman"/>
                <w:b/>
                <w:noProof/>
                <w:lang w:val="sl-SI" w:eastAsia="fr-FR"/>
              </w:rPr>
              <w:t>Ελλάδα</w:t>
            </w:r>
          </w:p>
          <w:p w14:paraId="4AD33879" w14:textId="77777777" w:rsidR="00840AAB" w:rsidRDefault="00840AAB" w:rsidP="001B02C1">
            <w:pPr>
              <w:rPr>
                <w:rFonts w:ascii="Times New Roman" w:hAnsi="Times New Roman" w:cs="Times New Roman"/>
                <w:noProof/>
                <w:lang w:val="sl-SI" w:eastAsia="fr-FR"/>
              </w:rPr>
            </w:pPr>
            <w:r>
              <w:rPr>
                <w:rFonts w:ascii="Times New Roman" w:hAnsi="Times New Roman" w:cs="Times New Roman"/>
                <w:noProof/>
                <w:lang w:val="sl-SI" w:eastAsia="fr-FR"/>
              </w:rPr>
              <w:t>ΒΙΑΝΕΞ Α.Ε.</w:t>
            </w:r>
          </w:p>
          <w:p w14:paraId="242A5453" w14:textId="3607BC18" w:rsidR="00840AAB" w:rsidRDefault="00840AAB" w:rsidP="001B02C1">
            <w:pPr>
              <w:rPr>
                <w:rFonts w:ascii="Times New Roman" w:hAnsi="Times New Roman" w:cs="Times New Roman"/>
                <w:noProof/>
                <w:lang w:val="sl-SI" w:eastAsia="fr-FR"/>
              </w:rPr>
            </w:pPr>
            <w:r>
              <w:rPr>
                <w:rFonts w:ascii="Times New Roman" w:hAnsi="Times New Roman" w:cs="Times New Roman"/>
                <w:noProof/>
                <w:lang w:val="sl-SI" w:eastAsia="fr-FR"/>
              </w:rPr>
              <w:t>Τηλ: +30 210 8009111</w:t>
            </w:r>
          </w:p>
          <w:p w14:paraId="06F1A9E1" w14:textId="77777777" w:rsidR="00840AAB" w:rsidRDefault="00840AAB" w:rsidP="001B02C1">
            <w:pPr>
              <w:rPr>
                <w:rFonts w:ascii="Times New Roman" w:eastAsia="맑은 고딕" w:hAnsi="Times New Roman" w:cs="Times New Roman"/>
                <w:noProof/>
                <w:lang w:val="sl-SI" w:eastAsia="fr-FR"/>
              </w:rPr>
            </w:pPr>
          </w:p>
        </w:tc>
        <w:tc>
          <w:tcPr>
            <w:tcW w:w="2500" w:type="pct"/>
          </w:tcPr>
          <w:p w14:paraId="000ED949" w14:textId="77777777" w:rsidR="00840AAB" w:rsidRDefault="00840AAB" w:rsidP="001B02C1">
            <w:pPr>
              <w:rPr>
                <w:rFonts w:ascii="Times New Roman" w:eastAsia="맑은 고딕" w:hAnsi="Times New Roman" w:cs="Times New Roman"/>
                <w:b/>
                <w:noProof/>
                <w:lang w:val="sl-SI" w:eastAsia="fr-FR"/>
              </w:rPr>
            </w:pPr>
            <w:r>
              <w:rPr>
                <w:rFonts w:ascii="Times New Roman" w:eastAsia="맑은 고딕" w:hAnsi="Times New Roman" w:cs="Times New Roman"/>
                <w:b/>
                <w:noProof/>
                <w:lang w:val="sl-SI" w:eastAsia="fr-FR"/>
              </w:rPr>
              <w:t>Polska</w:t>
            </w:r>
          </w:p>
          <w:p w14:paraId="54B27001" w14:textId="77777777" w:rsidR="00840AAB" w:rsidRDefault="00840AAB" w:rsidP="001B02C1">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5C7FAFD4" w14:textId="77777777" w:rsidR="00840AAB" w:rsidRDefault="00840AAB" w:rsidP="001B02C1">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29893AD9" w14:textId="77777777" w:rsidR="00840AAB" w:rsidRDefault="00840AAB" w:rsidP="001B02C1">
            <w:pPr>
              <w:rPr>
                <w:rFonts w:ascii="Times New Roman" w:hAnsi="Times New Roman" w:cs="Times New Roman"/>
                <w:b/>
                <w:noProof/>
                <w:lang w:val="sl-SI"/>
              </w:rPr>
            </w:pPr>
          </w:p>
        </w:tc>
      </w:tr>
      <w:tr w:rsidR="00840AAB" w:rsidRPr="00652F18" w14:paraId="2AA1A79A" w14:textId="77777777" w:rsidTr="00646E14">
        <w:tc>
          <w:tcPr>
            <w:tcW w:w="2500" w:type="pct"/>
          </w:tcPr>
          <w:p w14:paraId="66C203B3" w14:textId="77777777" w:rsidR="00840AAB" w:rsidRDefault="00840AAB" w:rsidP="001B02C1">
            <w:pPr>
              <w:keepNext/>
              <w:keepLines/>
              <w:rPr>
                <w:rFonts w:ascii="Times New Roman" w:hAnsi="Times New Roman" w:cs="Times New Roman"/>
                <w:b/>
                <w:noProof/>
                <w:lang w:val="sl-SI" w:eastAsia="ko-KR"/>
              </w:rPr>
            </w:pPr>
            <w:r>
              <w:rPr>
                <w:rFonts w:ascii="Times New Roman" w:hAnsi="Times New Roman" w:cs="Times New Roman"/>
                <w:b/>
                <w:noProof/>
                <w:lang w:val="sl-SI" w:eastAsia="ko-KR"/>
              </w:rPr>
              <w:lastRenderedPageBreak/>
              <w:t>France</w:t>
            </w:r>
          </w:p>
          <w:p w14:paraId="3C14E536" w14:textId="41F03700" w:rsidR="00840AAB" w:rsidRDefault="000518B8" w:rsidP="001B02C1">
            <w:pPr>
              <w:keepNext/>
              <w:keepLines/>
              <w:rPr>
                <w:rFonts w:ascii="Times New Roman" w:hAnsi="Times New Roman" w:cs="Times New Roman"/>
                <w:noProof/>
                <w:lang w:val="sl-SI" w:eastAsia="ko-KR"/>
              </w:rPr>
            </w:pPr>
            <w:r w:rsidRPr="000518B8">
              <w:rPr>
                <w:rFonts w:ascii="Times New Roman" w:hAnsi="Times New Roman" w:cs="Times New Roman"/>
                <w:noProof/>
                <w:lang w:val="sl-SI" w:eastAsia="ko-KR"/>
              </w:rPr>
              <w:t>Celltrion Healthcare France SAS</w:t>
            </w:r>
          </w:p>
          <w:p w14:paraId="08AA13C6" w14:textId="77777777" w:rsidR="00840AAB" w:rsidRDefault="00840AAB" w:rsidP="001B02C1">
            <w:pPr>
              <w:keepNext/>
              <w:keepLines/>
              <w:rPr>
                <w:rFonts w:ascii="Times New Roman" w:eastAsia="맑은 고딕" w:hAnsi="Times New Roman" w:cs="Times New Roman"/>
                <w:noProof/>
                <w:lang w:val="sl-SI" w:eastAsia="ko-KR"/>
              </w:rPr>
            </w:pPr>
            <w:r>
              <w:rPr>
                <w:rFonts w:ascii="Times New Roman" w:hAnsi="Times New Roman" w:cs="Times New Roman"/>
                <w:noProof/>
                <w:lang w:val="sl-SI" w:eastAsia="ko-KR"/>
              </w:rPr>
              <w:t>T</w:t>
            </w:r>
            <w:r>
              <w:rPr>
                <w:rFonts w:ascii="Times New Roman" w:hAnsi="Times New Roman" w:cs="Times New Roman"/>
                <w:lang w:val="sl-SI"/>
              </w:rPr>
              <w:t>é</w:t>
            </w:r>
            <w:r>
              <w:rPr>
                <w:rFonts w:ascii="Times New Roman" w:hAnsi="Times New Roman" w:cs="Times New Roman"/>
                <w:noProof/>
                <w:lang w:val="sl-SI" w:eastAsia="ko-KR"/>
              </w:rPr>
              <w:t>l.: +33 (0)1 71 25 27 00</w:t>
            </w:r>
          </w:p>
          <w:p w14:paraId="7FC54D85" w14:textId="77777777" w:rsidR="00840AAB" w:rsidRDefault="00840AAB" w:rsidP="001B02C1">
            <w:pPr>
              <w:keepNext/>
              <w:keepLines/>
              <w:rPr>
                <w:rFonts w:ascii="Times New Roman" w:eastAsia="맑은 고딕" w:hAnsi="Times New Roman" w:cs="Times New Roman"/>
                <w:noProof/>
                <w:lang w:val="sl-SI" w:eastAsia="fr-FR"/>
              </w:rPr>
            </w:pPr>
          </w:p>
        </w:tc>
        <w:tc>
          <w:tcPr>
            <w:tcW w:w="2500" w:type="pct"/>
          </w:tcPr>
          <w:p w14:paraId="5C1E3ADE" w14:textId="77777777" w:rsidR="004D5EDF" w:rsidRPr="002F72A3" w:rsidRDefault="004D5EDF" w:rsidP="001B02C1">
            <w:pPr>
              <w:keepNext/>
              <w:keepLines/>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0EC537E9" w14:textId="4D11E250" w:rsidR="004D5EDF" w:rsidRDefault="004D5EDF" w:rsidP="001B02C1">
            <w:pPr>
              <w:keepNext/>
              <w:keepLines/>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3EFE9047" w14:textId="7AD47D72" w:rsidR="004D5EDF" w:rsidRPr="00323C29" w:rsidRDefault="004D5EDF" w:rsidP="001B02C1">
            <w:pPr>
              <w:keepNext/>
              <w:keepLines/>
              <w:rPr>
                <w:rFonts w:ascii="Times New Roman" w:eastAsia="맑은 고딕" w:hAnsi="Times New Roman" w:cs="Times New Roman"/>
                <w:noProof/>
                <w:lang w:val="fr-CA" w:eastAsia="fr-FR"/>
              </w:rPr>
            </w:pPr>
            <w:r w:rsidRPr="00323C29">
              <w:rPr>
                <w:rFonts w:ascii="Times New Roman" w:eastAsia="맑은 고딕" w:hAnsi="Times New Roman" w:cs="Times New Roman"/>
                <w:noProof/>
                <w:lang w:val="fr-CA" w:eastAsia="fr-FR"/>
              </w:rPr>
              <w:t>Tel: +351 21 936 8542</w:t>
            </w:r>
          </w:p>
          <w:p w14:paraId="74ACF78C" w14:textId="77777777" w:rsidR="00840AAB" w:rsidRDefault="00840AAB" w:rsidP="001B02C1">
            <w:pPr>
              <w:keepNext/>
              <w:keepLines/>
              <w:rPr>
                <w:rFonts w:ascii="Times New Roman" w:hAnsi="Times New Roman" w:cs="Times New Roman"/>
                <w:b/>
                <w:noProof/>
                <w:lang w:val="sl-SI"/>
              </w:rPr>
            </w:pPr>
          </w:p>
        </w:tc>
      </w:tr>
      <w:tr w:rsidR="00840AAB" w14:paraId="19E25E55" w14:textId="77777777" w:rsidTr="00646E14">
        <w:tc>
          <w:tcPr>
            <w:tcW w:w="2500" w:type="pct"/>
          </w:tcPr>
          <w:p w14:paraId="16A78E99" w14:textId="77777777" w:rsidR="00840AAB" w:rsidRDefault="00840AAB" w:rsidP="00646E14">
            <w:pPr>
              <w:rPr>
                <w:rFonts w:ascii="Times New Roman" w:hAnsi="Times New Roman" w:cs="Times New Roman"/>
                <w:b/>
                <w:noProof/>
                <w:lang w:val="sl-SI" w:eastAsia="ko-KR"/>
              </w:rPr>
            </w:pPr>
            <w:r>
              <w:rPr>
                <w:rFonts w:ascii="Times New Roman" w:hAnsi="Times New Roman" w:cs="Times New Roman"/>
                <w:b/>
                <w:noProof/>
                <w:lang w:val="sl-SI" w:eastAsia="ko-KR"/>
              </w:rPr>
              <w:t>Hrvatska</w:t>
            </w:r>
          </w:p>
          <w:p w14:paraId="35163A48" w14:textId="77777777" w:rsidR="00840AAB" w:rsidRDefault="00840AAB" w:rsidP="00646E14">
            <w:pPr>
              <w:rPr>
                <w:rFonts w:ascii="Times New Roman" w:hAnsi="Times New Roman" w:cs="Times New Roman"/>
                <w:noProof/>
                <w:lang w:val="sl-SI" w:eastAsia="ko-KR"/>
              </w:rPr>
            </w:pPr>
            <w:r>
              <w:rPr>
                <w:rFonts w:ascii="Times New Roman" w:hAnsi="Times New Roman" w:cs="Times New Roman"/>
                <w:noProof/>
                <w:lang w:val="sl-SI" w:eastAsia="ko-KR"/>
              </w:rPr>
              <w:t>Oktal Pharma d.o.o.</w:t>
            </w:r>
          </w:p>
          <w:p w14:paraId="30C6A690" w14:textId="77777777" w:rsidR="00840AAB" w:rsidRDefault="00840AAB" w:rsidP="00646E14">
            <w:pPr>
              <w:rPr>
                <w:rFonts w:ascii="Times New Roman" w:hAnsi="Times New Roman" w:cs="Times New Roman"/>
                <w:noProof/>
                <w:lang w:val="sl-SI" w:eastAsia="ko-KR"/>
              </w:rPr>
            </w:pPr>
            <w:r>
              <w:rPr>
                <w:rFonts w:ascii="Times New Roman" w:hAnsi="Times New Roman" w:cs="Times New Roman"/>
                <w:noProof/>
                <w:lang w:val="sl-SI" w:eastAsia="ko-KR"/>
              </w:rPr>
              <w:t>Tel: +385 1 6595 777</w:t>
            </w:r>
          </w:p>
          <w:p w14:paraId="4FF0A3F3" w14:textId="77777777" w:rsidR="00840AAB" w:rsidRDefault="00840AAB" w:rsidP="00646E14">
            <w:pPr>
              <w:rPr>
                <w:rFonts w:ascii="Times New Roman" w:eastAsia="맑은 고딕" w:hAnsi="Times New Roman" w:cs="Times New Roman"/>
                <w:noProof/>
                <w:lang w:val="sl-SI" w:eastAsia="fr-FR"/>
              </w:rPr>
            </w:pPr>
          </w:p>
        </w:tc>
        <w:tc>
          <w:tcPr>
            <w:tcW w:w="2500" w:type="pct"/>
          </w:tcPr>
          <w:p w14:paraId="5DCE7F9C" w14:textId="77777777" w:rsidR="00840AAB" w:rsidRDefault="00840AAB" w:rsidP="00646E14">
            <w:pPr>
              <w:tabs>
                <w:tab w:val="left" w:pos="-720"/>
              </w:tabs>
              <w:suppressAutoHyphens/>
              <w:rPr>
                <w:rFonts w:ascii="Times New Roman" w:eastAsia="맑은 고딕" w:hAnsi="Times New Roman" w:cs="Times New Roman"/>
                <w:b/>
                <w:noProof/>
                <w:lang w:val="sl-SI" w:eastAsia="fr-FR"/>
              </w:rPr>
            </w:pPr>
            <w:r>
              <w:rPr>
                <w:rFonts w:ascii="Times New Roman" w:hAnsi="Times New Roman" w:cs="Times New Roman"/>
                <w:b/>
                <w:noProof/>
                <w:lang w:val="sl-SI"/>
              </w:rPr>
              <w:t>România</w:t>
            </w:r>
          </w:p>
          <w:p w14:paraId="560277CF"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37BB2EDE"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2301DF5B" w14:textId="77777777" w:rsidR="00840AAB" w:rsidRDefault="00840AAB" w:rsidP="00646E14">
            <w:pPr>
              <w:rPr>
                <w:rFonts w:ascii="Times New Roman" w:hAnsi="Times New Roman" w:cs="Times New Roman"/>
                <w:b/>
                <w:noProof/>
                <w:lang w:val="sl-SI"/>
              </w:rPr>
            </w:pPr>
          </w:p>
        </w:tc>
      </w:tr>
      <w:tr w:rsidR="00840AAB" w14:paraId="2E6382FF" w14:textId="77777777" w:rsidTr="00646E14">
        <w:tc>
          <w:tcPr>
            <w:tcW w:w="2500" w:type="pct"/>
          </w:tcPr>
          <w:p w14:paraId="1C49A62B" w14:textId="77777777" w:rsidR="00840AAB" w:rsidRDefault="00840AAB" w:rsidP="00646E14">
            <w:pPr>
              <w:tabs>
                <w:tab w:val="left" w:pos="-720"/>
              </w:tabs>
              <w:suppressAutoHyphens/>
              <w:rPr>
                <w:rFonts w:ascii="Times New Roman" w:hAnsi="Times New Roman" w:cs="Times New Roman"/>
                <w:noProof/>
                <w:lang w:val="sl-SI" w:eastAsia="fr-FR"/>
              </w:rPr>
            </w:pPr>
            <w:r>
              <w:rPr>
                <w:rFonts w:ascii="Times New Roman" w:eastAsia="맑은 고딕" w:hAnsi="Times New Roman" w:cs="Times New Roman"/>
                <w:b/>
                <w:noProof/>
                <w:lang w:val="sl-SI" w:eastAsia="fr-FR"/>
              </w:rPr>
              <w:t>Ireland</w:t>
            </w:r>
          </w:p>
          <w:p w14:paraId="50787771"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Ireland Limited</w:t>
            </w:r>
          </w:p>
          <w:p w14:paraId="388B1041"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+353 1 223 4026</w:t>
            </w:r>
          </w:p>
          <w:p w14:paraId="49FB5E29" w14:textId="77777777" w:rsidR="00840AAB" w:rsidRDefault="00840AAB" w:rsidP="00646E14">
            <w:pPr>
              <w:rPr>
                <w:rFonts w:ascii="Times New Roman" w:eastAsia="맑은 고딕" w:hAnsi="Times New Roman" w:cs="Times New Roman"/>
                <w:noProof/>
                <w:lang w:val="sl-SI" w:eastAsia="fr-FR"/>
              </w:rPr>
            </w:pPr>
          </w:p>
        </w:tc>
        <w:tc>
          <w:tcPr>
            <w:tcW w:w="2500" w:type="pct"/>
          </w:tcPr>
          <w:p w14:paraId="4B582ED9" w14:textId="77777777" w:rsidR="00840AAB" w:rsidRDefault="00840AAB" w:rsidP="00646E14">
            <w:pPr>
              <w:rPr>
                <w:rFonts w:ascii="Times New Roman" w:eastAsia="맑은 고딕" w:hAnsi="Times New Roman" w:cs="Times New Roman"/>
                <w:b/>
                <w:noProof/>
                <w:lang w:val="sl-SI" w:eastAsia="fr-FR"/>
              </w:rPr>
            </w:pPr>
            <w:r>
              <w:rPr>
                <w:rFonts w:ascii="Times New Roman" w:eastAsia="맑은 고딕" w:hAnsi="Times New Roman" w:cs="Times New Roman"/>
                <w:b/>
                <w:noProof/>
                <w:lang w:val="sl-SI" w:eastAsia="fr-FR"/>
              </w:rPr>
              <w:t>Slovenija</w:t>
            </w:r>
          </w:p>
          <w:p w14:paraId="110A2083"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OPH Oktal Pharma d.o.o.</w:t>
            </w:r>
          </w:p>
          <w:p w14:paraId="4C8E07B9"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+386 1 519 29 22</w:t>
            </w:r>
          </w:p>
          <w:p w14:paraId="7FCB1EA4" w14:textId="77777777" w:rsidR="00840AAB" w:rsidRDefault="00840AAB" w:rsidP="00646E14">
            <w:pPr>
              <w:rPr>
                <w:rFonts w:ascii="Times New Roman" w:hAnsi="Times New Roman" w:cs="Times New Roman"/>
                <w:b/>
                <w:noProof/>
                <w:lang w:val="sl-SI"/>
              </w:rPr>
            </w:pPr>
          </w:p>
        </w:tc>
      </w:tr>
      <w:tr w:rsidR="00840AAB" w14:paraId="6945B58D" w14:textId="77777777" w:rsidTr="00646E14">
        <w:tc>
          <w:tcPr>
            <w:tcW w:w="2500" w:type="pct"/>
          </w:tcPr>
          <w:p w14:paraId="3AA54F92"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b/>
                <w:noProof/>
                <w:lang w:val="sl-SI" w:eastAsia="fr-FR"/>
              </w:rPr>
              <w:t>Ísland</w:t>
            </w:r>
          </w:p>
          <w:p w14:paraId="72EA7332"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2752393B"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Sími: +36 1 231 0493</w:t>
            </w:r>
          </w:p>
        </w:tc>
        <w:tc>
          <w:tcPr>
            <w:tcW w:w="2500" w:type="pct"/>
          </w:tcPr>
          <w:p w14:paraId="186A4DD9" w14:textId="77777777" w:rsidR="00840AAB" w:rsidRDefault="00840AAB" w:rsidP="00646E14">
            <w:pPr>
              <w:rPr>
                <w:rFonts w:ascii="Times New Roman" w:eastAsia="맑은 고딕" w:hAnsi="Times New Roman" w:cs="Times New Roman"/>
                <w:b/>
                <w:noProof/>
                <w:lang w:val="sl-SI" w:eastAsia="fr-FR"/>
              </w:rPr>
            </w:pPr>
            <w:r>
              <w:rPr>
                <w:rFonts w:ascii="Times New Roman" w:hAnsi="Times New Roman" w:cs="Times New Roman"/>
                <w:b/>
                <w:noProof/>
                <w:lang w:val="sl-SI"/>
              </w:rPr>
              <w:t>Slovenská republika</w:t>
            </w:r>
          </w:p>
          <w:p w14:paraId="41394743"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4D6FAF7A" w14:textId="77777777" w:rsidR="00840AAB" w:rsidRDefault="00840AAB" w:rsidP="00646E14">
            <w:pPr>
              <w:rPr>
                <w:rFonts w:ascii="Times New Roman" w:eastAsia="맑은 고딕" w:hAnsi="Times New Roman" w:cs="Times New Roman"/>
                <w:b/>
                <w:noProof/>
                <w:lang w:val="sl-SI" w:eastAsia="fr-FR"/>
              </w:rPr>
            </w:pPr>
            <w:r>
              <w:rPr>
                <w:rFonts w:ascii="Times New Roman" w:eastAsia="맑은 고딕" w:hAnsi="Times New Roman" w:cs="Times New Roman"/>
                <w:noProof/>
                <w:lang w:val="sl-SI" w:eastAsia="fr-FR"/>
              </w:rPr>
              <w:t>Tel: +36 1 231 0493</w:t>
            </w:r>
          </w:p>
          <w:p w14:paraId="50ABC8DD" w14:textId="77777777" w:rsidR="00840AAB" w:rsidRPr="00DB4D19" w:rsidRDefault="00840AAB" w:rsidP="00646E14">
            <w:pPr>
              <w:rPr>
                <w:rFonts w:ascii="Times New Roman" w:eastAsia="맑은 고딕" w:hAnsi="Times New Roman" w:cs="Times New Roman"/>
                <w:b/>
                <w:noProof/>
                <w:lang w:val="sl-SI" w:eastAsia="fr-FR"/>
              </w:rPr>
            </w:pPr>
          </w:p>
        </w:tc>
      </w:tr>
      <w:tr w:rsidR="00840AAB" w14:paraId="1BBFCBCA" w14:textId="77777777" w:rsidTr="00646E14">
        <w:tc>
          <w:tcPr>
            <w:tcW w:w="2500" w:type="pct"/>
          </w:tcPr>
          <w:p w14:paraId="3252D850" w14:textId="77777777" w:rsidR="00840AAB" w:rsidRDefault="00840AAB" w:rsidP="00646E14">
            <w:pPr>
              <w:rPr>
                <w:rFonts w:ascii="Times New Roman" w:hAnsi="Times New Roman" w:cs="Times New Roman"/>
                <w:noProof/>
                <w:lang w:val="sl-SI" w:eastAsia="fr-FR"/>
              </w:rPr>
            </w:pPr>
            <w:r>
              <w:rPr>
                <w:rFonts w:ascii="Times New Roman" w:eastAsia="맑은 고딕" w:hAnsi="Times New Roman" w:cs="Times New Roman"/>
                <w:b/>
                <w:noProof/>
                <w:lang w:val="sl-SI" w:eastAsia="fr-FR"/>
              </w:rPr>
              <w:t>Italia</w:t>
            </w:r>
          </w:p>
          <w:p w14:paraId="2F4132BB" w14:textId="7EA5C960"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Italy S.</w:t>
            </w:r>
            <w:r w:rsidR="000518B8">
              <w:rPr>
                <w:rFonts w:ascii="Times New Roman" w:eastAsia="맑은 고딕" w:hAnsi="Times New Roman" w:cs="Times New Roman"/>
                <w:noProof/>
                <w:lang w:val="sl-SI" w:eastAsia="fr-FR"/>
              </w:rPr>
              <w:t>r</w:t>
            </w:r>
            <w:r>
              <w:rPr>
                <w:rFonts w:ascii="Times New Roman" w:eastAsia="맑은 고딕" w:hAnsi="Times New Roman" w:cs="Times New Roman"/>
                <w:noProof/>
                <w:lang w:val="sl-SI" w:eastAsia="fr-FR"/>
              </w:rPr>
              <w:t>.</w:t>
            </w:r>
            <w:r w:rsidR="000518B8">
              <w:rPr>
                <w:rFonts w:ascii="Times New Roman" w:eastAsia="맑은 고딕" w:hAnsi="Times New Roman" w:cs="Times New Roman"/>
                <w:noProof/>
                <w:lang w:val="sl-SI" w:eastAsia="fr-FR"/>
              </w:rPr>
              <w:t>l</w:t>
            </w:r>
            <w:r>
              <w:rPr>
                <w:rFonts w:ascii="Times New Roman" w:eastAsia="맑은 고딕" w:hAnsi="Times New Roman" w:cs="Times New Roman"/>
                <w:noProof/>
                <w:lang w:val="sl-SI" w:eastAsia="fr-FR"/>
              </w:rPr>
              <w:t>.</w:t>
            </w:r>
          </w:p>
          <w:p w14:paraId="7343F637" w14:textId="392B74F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 xml:space="preserve">Tel: +39 </w:t>
            </w:r>
            <w:r w:rsidR="000518B8" w:rsidRPr="000518B8">
              <w:rPr>
                <w:rFonts w:ascii="Times New Roman" w:eastAsia="맑은 고딕" w:hAnsi="Times New Roman" w:cs="Times New Roman"/>
                <w:noProof/>
                <w:lang w:val="sl-SI" w:eastAsia="fr-FR"/>
              </w:rPr>
              <w:t>0247927040</w:t>
            </w:r>
          </w:p>
          <w:p w14:paraId="1149845C" w14:textId="77777777" w:rsidR="00840AAB" w:rsidRDefault="00840AAB" w:rsidP="00646E14">
            <w:pPr>
              <w:rPr>
                <w:rFonts w:ascii="Times New Roman" w:eastAsia="맑은 고딕" w:hAnsi="Times New Roman" w:cs="Times New Roman"/>
                <w:noProof/>
                <w:lang w:val="sl-SI" w:eastAsia="fr-FR"/>
              </w:rPr>
            </w:pPr>
          </w:p>
        </w:tc>
        <w:tc>
          <w:tcPr>
            <w:tcW w:w="2500" w:type="pct"/>
          </w:tcPr>
          <w:p w14:paraId="4C6771F2" w14:textId="77777777" w:rsidR="00840AAB" w:rsidRDefault="00840AAB" w:rsidP="00646E14">
            <w:pPr>
              <w:rPr>
                <w:rFonts w:ascii="Times New Roman" w:hAnsi="Times New Roman" w:cs="Times New Roman"/>
                <w:noProof/>
                <w:lang w:val="sl-SI" w:eastAsia="fr-FR"/>
              </w:rPr>
            </w:pPr>
            <w:r>
              <w:rPr>
                <w:rFonts w:ascii="Times New Roman" w:eastAsia="맑은 고딕" w:hAnsi="Times New Roman" w:cs="Times New Roman"/>
                <w:b/>
                <w:noProof/>
                <w:lang w:val="sl-SI" w:eastAsia="fr-FR"/>
              </w:rPr>
              <w:t>Suomi/Finland</w:t>
            </w:r>
          </w:p>
          <w:p w14:paraId="2A180C4B" w14:textId="77777777" w:rsidR="00566D4D" w:rsidRPr="0036074E" w:rsidRDefault="00566D4D" w:rsidP="00566D4D">
            <w:pPr>
              <w:tabs>
                <w:tab w:val="left" w:pos="-720"/>
              </w:tabs>
              <w:suppressAutoHyphens/>
              <w:rPr>
                <w:rFonts w:ascii="Times New Roman" w:eastAsia="맑은 고딕" w:hAnsi="Times New Roman" w:cs="Times New Roman"/>
                <w:noProof/>
                <w:lang w:val="sl-SI" w:eastAsia="fr-FR"/>
              </w:rPr>
            </w:pPr>
            <w:r w:rsidRPr="0036074E">
              <w:rPr>
                <w:rFonts w:ascii="Times New Roman" w:eastAsia="맑은 고딕" w:hAnsi="Times New Roman" w:cs="Times New Roman"/>
                <w:noProof/>
                <w:lang w:val="sl-SI" w:eastAsia="fr-FR"/>
              </w:rPr>
              <w:t xml:space="preserve">Celltrion Healthcare Finland Oy. </w:t>
            </w:r>
          </w:p>
          <w:p w14:paraId="72D9C9ED" w14:textId="385B1810" w:rsidR="00840AAB" w:rsidRDefault="00566D4D" w:rsidP="00646E14">
            <w:pPr>
              <w:autoSpaceDE w:val="0"/>
              <w:autoSpaceDN w:val="0"/>
              <w:adjustRightInd w:val="0"/>
              <w:rPr>
                <w:rFonts w:ascii="Times New Roman" w:eastAsia="맑은 고딕" w:hAnsi="Times New Roman" w:cs="Times New Roman"/>
                <w:noProof/>
                <w:lang w:val="sl-SI" w:eastAsia="fr-FR"/>
              </w:rPr>
            </w:pPr>
            <w:r w:rsidRPr="0036074E">
              <w:rPr>
                <w:rFonts w:ascii="Times New Roman" w:eastAsia="맑은 고딕" w:hAnsi="Times New Roman" w:cs="Times New Roman"/>
                <w:noProof/>
                <w:lang w:val="sl-SI" w:eastAsia="fr-FR"/>
              </w:rPr>
              <w:t>Puh/Tel: +358 29 170 7755</w:t>
            </w:r>
          </w:p>
          <w:p w14:paraId="282482EF" w14:textId="77777777" w:rsidR="00840AAB" w:rsidRDefault="00840AAB" w:rsidP="00646E14">
            <w:pPr>
              <w:autoSpaceDE w:val="0"/>
              <w:autoSpaceDN w:val="0"/>
              <w:adjustRightInd w:val="0"/>
              <w:rPr>
                <w:rFonts w:ascii="Times New Roman" w:eastAsia="맑은 고딕" w:hAnsi="Times New Roman" w:cs="Times New Roman"/>
                <w:noProof/>
                <w:lang w:val="sl-SI" w:eastAsia="ko-KR"/>
              </w:rPr>
            </w:pPr>
          </w:p>
        </w:tc>
      </w:tr>
      <w:tr w:rsidR="00840AAB" w14:paraId="4A954EBD" w14:textId="77777777" w:rsidTr="00646E14">
        <w:tc>
          <w:tcPr>
            <w:tcW w:w="2500" w:type="pct"/>
          </w:tcPr>
          <w:p w14:paraId="27F9CA5E" w14:textId="77777777" w:rsidR="00840AAB" w:rsidRDefault="00840AAB" w:rsidP="00646E14">
            <w:pPr>
              <w:tabs>
                <w:tab w:val="left" w:pos="-720"/>
              </w:tabs>
              <w:suppressAutoHyphens/>
              <w:rPr>
                <w:rFonts w:ascii="Times New Roman" w:hAnsi="Times New Roman" w:cs="Times New Roman"/>
                <w:b/>
                <w:bCs/>
                <w:noProof/>
                <w:lang w:val="sl-SI" w:eastAsia="fr-FR"/>
              </w:rPr>
            </w:pPr>
            <w:r>
              <w:rPr>
                <w:rFonts w:ascii="Times New Roman" w:hAnsi="Times New Roman" w:cs="Times New Roman"/>
                <w:b/>
                <w:noProof/>
                <w:lang w:val="sl-SI"/>
              </w:rPr>
              <w:t>Κύπρος</w:t>
            </w:r>
          </w:p>
          <w:p w14:paraId="34D544A7" w14:textId="77777777" w:rsidR="00840AAB" w:rsidRDefault="00840AAB" w:rsidP="00646E14">
            <w:pPr>
              <w:tabs>
                <w:tab w:val="left" w:pos="-720"/>
              </w:tabs>
              <w:suppressAutoHyphens/>
              <w:rPr>
                <w:rFonts w:ascii="Times New Roman" w:eastAsia="맑은 고딕" w:hAnsi="Times New Roman" w:cs="Times New Roman"/>
                <w:noProof/>
                <w:lang w:val="sl-SI" w:eastAsia="ko-KR"/>
              </w:rPr>
            </w:pPr>
            <w:r>
              <w:rPr>
                <w:rFonts w:ascii="Times New Roman" w:eastAsia="맑은 고딕" w:hAnsi="Times New Roman" w:cs="Times New Roman"/>
                <w:noProof/>
                <w:lang w:val="sl-SI" w:eastAsia="fr-FR"/>
              </w:rPr>
              <w:t>C.A. Papaellinas Ltd</w:t>
            </w:r>
          </w:p>
          <w:p w14:paraId="74B77F99" w14:textId="77777777" w:rsidR="00840AAB" w:rsidRDefault="00840AAB" w:rsidP="00646E14">
            <w:pPr>
              <w:autoSpaceDE w:val="0"/>
              <w:autoSpaceDN w:val="0"/>
              <w:adjustRightInd w:val="0"/>
              <w:rPr>
                <w:rFonts w:ascii="Times New Roman" w:eastAsia="맑은 고딕" w:hAnsi="Times New Roman" w:cs="Times New Roman"/>
                <w:b/>
                <w:bCs/>
                <w:lang w:val="sl-SI" w:eastAsia="fr-FR"/>
              </w:rPr>
            </w:pPr>
            <w:r>
              <w:rPr>
                <w:rFonts w:ascii="Times New Roman" w:hAnsi="Times New Roman" w:cs="Times New Roman"/>
                <w:noProof/>
                <w:lang w:val="sl-SI"/>
              </w:rPr>
              <w:t xml:space="preserve">Τηλ: </w:t>
            </w:r>
            <w:r>
              <w:rPr>
                <w:rFonts w:ascii="Times New Roman" w:eastAsia="맑은 고딕" w:hAnsi="Times New Roman" w:cs="Times New Roman"/>
                <w:noProof/>
                <w:lang w:val="sl-SI" w:eastAsia="fr-FR"/>
              </w:rPr>
              <w:t>+357 22741741</w:t>
            </w:r>
          </w:p>
          <w:p w14:paraId="3EA714FB" w14:textId="77777777" w:rsidR="00840AAB" w:rsidRDefault="00840AAB" w:rsidP="00646E14">
            <w:pPr>
              <w:autoSpaceDE w:val="0"/>
              <w:autoSpaceDN w:val="0"/>
              <w:adjustRightInd w:val="0"/>
              <w:rPr>
                <w:rFonts w:ascii="Times New Roman" w:eastAsia="맑은 고딕" w:hAnsi="Times New Roman" w:cs="Times New Roman"/>
                <w:b/>
                <w:noProof/>
                <w:lang w:val="sl-SI" w:eastAsia="fr-FR"/>
              </w:rPr>
            </w:pPr>
          </w:p>
        </w:tc>
        <w:tc>
          <w:tcPr>
            <w:tcW w:w="2500" w:type="pct"/>
          </w:tcPr>
          <w:p w14:paraId="1D8C92F1" w14:textId="77777777" w:rsidR="004D5EDF" w:rsidRPr="00D86615" w:rsidRDefault="004D5EDF" w:rsidP="004D5EDF">
            <w:pPr>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t>Sverige</w:t>
            </w:r>
          </w:p>
          <w:p w14:paraId="234BF4FA" w14:textId="7E2D1DB7" w:rsidR="004D5EDF" w:rsidRPr="00A53EEB" w:rsidRDefault="004D5EDF" w:rsidP="004D5EDF">
            <w:pPr>
              <w:tabs>
                <w:tab w:val="left" w:pos="-720"/>
              </w:tabs>
              <w:suppressAutoHyphens/>
              <w:rPr>
                <w:rFonts w:ascii="Times New Roman" w:eastAsia="맑은 고딕" w:hAnsi="Times New Roman" w:cs="Times New Roman"/>
                <w:noProof/>
                <w:lang w:eastAsia="ko-KR"/>
              </w:rPr>
            </w:pPr>
            <w:r w:rsidRPr="00A53EEB">
              <w:rPr>
                <w:rFonts w:ascii="Times New Roman" w:eastAsia="맑은 고딕" w:hAnsi="Times New Roman" w:cs="Times New Roman"/>
                <w:noProof/>
                <w:lang w:eastAsia="ko-KR"/>
              </w:rPr>
              <w:t>Celltrion Sweden AB</w:t>
            </w:r>
          </w:p>
          <w:p w14:paraId="3401DEEE" w14:textId="77777777" w:rsidR="004D5EDF" w:rsidRPr="00A53EEB" w:rsidRDefault="004D5EDF" w:rsidP="004D5EDF">
            <w:pPr>
              <w:tabs>
                <w:tab w:val="left" w:pos="-720"/>
              </w:tabs>
              <w:suppressAutoHyphens/>
              <w:rPr>
                <w:rFonts w:ascii="Times New Roman" w:eastAsia="맑은 고딕" w:hAnsi="Times New Roman" w:cs="Times New Roman"/>
                <w:bCs/>
                <w:noProof/>
                <w:u w:val="single"/>
                <w:lang w:eastAsia="ko-KR"/>
              </w:rPr>
            </w:pPr>
            <w:hyperlink r:id="rId100" w:history="1">
              <w:r w:rsidRPr="00A53EEB">
                <w:rPr>
                  <w:rStyle w:val="ad"/>
                  <w:rFonts w:ascii="Times New Roman" w:eastAsia="맑은 고딕" w:hAnsi="Times New Roman" w:cs="Times New Roman"/>
                  <w:noProof/>
                  <w:lang w:eastAsia="ko-KR"/>
                </w:rPr>
                <w:t>contact_se@celltrionhc.com</w:t>
              </w:r>
            </w:hyperlink>
          </w:p>
          <w:p w14:paraId="7D308CC5" w14:textId="2C06D7AB" w:rsidR="00840AAB" w:rsidRPr="004D5EDF" w:rsidRDefault="00840AAB" w:rsidP="00646E14">
            <w:pPr>
              <w:tabs>
                <w:tab w:val="left" w:pos="-720"/>
              </w:tabs>
              <w:suppressAutoHyphens/>
              <w:rPr>
                <w:rFonts w:ascii="Times New Roman" w:eastAsia="맑은 고딕" w:hAnsi="Times New Roman" w:cs="Times New Roman"/>
                <w:b/>
                <w:noProof/>
                <w:lang w:eastAsia="fr-FR"/>
              </w:rPr>
            </w:pPr>
          </w:p>
        </w:tc>
      </w:tr>
      <w:tr w:rsidR="00840AAB" w14:paraId="40DCBDA6" w14:textId="77777777" w:rsidTr="00646E14">
        <w:tc>
          <w:tcPr>
            <w:tcW w:w="2500" w:type="pct"/>
          </w:tcPr>
          <w:p w14:paraId="5CFA7529" w14:textId="77777777" w:rsidR="00840AAB" w:rsidRDefault="00840AAB" w:rsidP="00646E14">
            <w:pPr>
              <w:rPr>
                <w:rFonts w:ascii="Times New Roman" w:eastAsia="맑은 고딕" w:hAnsi="Times New Roman" w:cs="Times New Roman"/>
                <w:b/>
                <w:noProof/>
                <w:lang w:val="sl-SI" w:eastAsia="fr-FR"/>
              </w:rPr>
            </w:pPr>
            <w:r>
              <w:rPr>
                <w:rFonts w:ascii="Times New Roman" w:eastAsia="맑은 고딕" w:hAnsi="Times New Roman" w:cs="Times New Roman"/>
                <w:b/>
                <w:noProof/>
                <w:lang w:val="sl-SI" w:eastAsia="fr-FR"/>
              </w:rPr>
              <w:t>Latvija</w:t>
            </w:r>
          </w:p>
          <w:p w14:paraId="0F6D9132"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7967E2D5" w14:textId="77777777" w:rsidR="00840AAB" w:rsidRDefault="00840AAB" w:rsidP="00646E14">
            <w:pPr>
              <w:autoSpaceDE w:val="0"/>
              <w:autoSpaceDN w:val="0"/>
              <w:adjustRightInd w:val="0"/>
              <w:rPr>
                <w:rFonts w:ascii="Times New Roman" w:eastAsia="맑은 고딕" w:hAnsi="Times New Roman" w:cs="Times New Roman"/>
                <w:noProof/>
                <w:lang w:val="sl-SI" w:eastAsia="fr-FR"/>
              </w:rPr>
            </w:pPr>
            <w:r w:rsidRPr="001E1A19">
              <w:rPr>
                <w:rFonts w:ascii="Times New Roman" w:eastAsia="맑은 고딕" w:hAnsi="Times New Roman" w:cs="Times New Roman"/>
                <w:noProof/>
                <w:lang w:val="sl-SI" w:eastAsia="fr-FR"/>
              </w:rPr>
              <w:t xml:space="preserve">Tālr.: </w:t>
            </w:r>
            <w:r>
              <w:rPr>
                <w:rFonts w:ascii="Times New Roman" w:eastAsia="맑은 고딕" w:hAnsi="Times New Roman" w:cs="Times New Roman"/>
                <w:noProof/>
                <w:lang w:val="sl-SI" w:eastAsia="fr-FR"/>
              </w:rPr>
              <w:t>+36 1 231 0493</w:t>
            </w:r>
          </w:p>
          <w:p w14:paraId="21760403" w14:textId="77777777" w:rsidR="00840AAB" w:rsidRDefault="00840AAB" w:rsidP="00646E14">
            <w:pPr>
              <w:autoSpaceDE w:val="0"/>
              <w:autoSpaceDN w:val="0"/>
              <w:adjustRightInd w:val="0"/>
              <w:rPr>
                <w:rFonts w:ascii="Times New Roman" w:eastAsia="맑은 고딕" w:hAnsi="Times New Roman" w:cs="Times New Roman"/>
                <w:b/>
                <w:bCs/>
                <w:lang w:val="sl-SI" w:eastAsia="fr-FR"/>
              </w:rPr>
            </w:pPr>
          </w:p>
        </w:tc>
        <w:tc>
          <w:tcPr>
            <w:tcW w:w="2500" w:type="pct"/>
          </w:tcPr>
          <w:p w14:paraId="5E74C5FF" w14:textId="77777777" w:rsidR="00840AAB" w:rsidRDefault="00840AAB" w:rsidP="00F40A58">
            <w:pPr>
              <w:tabs>
                <w:tab w:val="left" w:pos="-720"/>
              </w:tabs>
              <w:suppressAutoHyphens/>
              <w:rPr>
                <w:rFonts w:ascii="Times New Roman" w:eastAsia="맑은 고딕" w:hAnsi="Times New Roman" w:cs="Times New Roman"/>
                <w:b/>
                <w:noProof/>
                <w:lang w:val="sl-SI" w:eastAsia="fr-FR"/>
              </w:rPr>
            </w:pPr>
          </w:p>
        </w:tc>
      </w:tr>
    </w:tbl>
    <w:p w14:paraId="79B7EE8D" w14:textId="77777777" w:rsidR="00840AAB" w:rsidRDefault="00840AAB" w:rsidP="00840AAB">
      <w:pPr>
        <w:numPr>
          <w:ilvl w:val="12"/>
          <w:numId w:val="0"/>
        </w:numPr>
        <w:rPr>
          <w:rFonts w:ascii="Times New Roman" w:hAnsi="Times New Roman" w:cs="Times New Roman"/>
          <w:b/>
          <w:noProof/>
          <w:lang w:val="sl-SI"/>
        </w:rPr>
      </w:pPr>
    </w:p>
    <w:p w14:paraId="20477F4D" w14:textId="77777777" w:rsidR="00840AAB" w:rsidRDefault="00840AAB" w:rsidP="00840AAB">
      <w:pPr>
        <w:numPr>
          <w:ilvl w:val="12"/>
          <w:numId w:val="0"/>
        </w:numPr>
        <w:rPr>
          <w:rFonts w:ascii="Times New Roman" w:eastAsia="맑은 고딕" w:hAnsi="Times New Roman" w:cs="Times New Roman"/>
          <w:noProof/>
          <w:lang w:val="sl-SI" w:eastAsia="ko-KR"/>
        </w:rPr>
      </w:pPr>
      <w:r>
        <w:rPr>
          <w:rFonts w:ascii="Times New Roman" w:eastAsia="Times New Roman" w:hAnsi="Times New Roman" w:cs="Times New Roman"/>
          <w:b/>
          <w:bCs/>
          <w:noProof/>
          <w:lang w:val="sl-SI"/>
        </w:rPr>
        <w:t xml:space="preserve">Navodilo je bilo nazadnje revidirano dne </w:t>
      </w:r>
      <w:r>
        <w:rPr>
          <w:rFonts w:ascii="Times New Roman" w:eastAsia="Times New Roman" w:hAnsi="Times New Roman" w:cs="Times New Roman"/>
          <w:noProof/>
          <w:lang w:val="sl-SI"/>
        </w:rPr>
        <w:t>.</w:t>
      </w:r>
    </w:p>
    <w:p w14:paraId="71EB6BFC" w14:textId="77777777" w:rsidR="00840AAB" w:rsidRDefault="00840AAB" w:rsidP="00840AAB">
      <w:pPr>
        <w:numPr>
          <w:ilvl w:val="12"/>
          <w:numId w:val="0"/>
        </w:numPr>
        <w:rPr>
          <w:rFonts w:ascii="Times New Roman" w:hAnsi="Times New Roman" w:cs="Times New Roman"/>
          <w:noProof/>
          <w:lang w:val="sl-SI"/>
        </w:rPr>
      </w:pPr>
    </w:p>
    <w:p w14:paraId="6F9A9988" w14:textId="77777777" w:rsidR="00840AAB" w:rsidRDefault="00840AAB" w:rsidP="00840AAB">
      <w:pPr>
        <w:numPr>
          <w:ilvl w:val="12"/>
          <w:numId w:val="0"/>
        </w:numPr>
        <w:rPr>
          <w:rFonts w:ascii="Times New Roman" w:hAnsi="Times New Roman" w:cs="Times New Roman"/>
          <w:b/>
          <w:noProof/>
          <w:lang w:val="sl-SI"/>
        </w:rPr>
      </w:pPr>
      <w:r>
        <w:rPr>
          <w:rFonts w:ascii="Times New Roman" w:eastAsia="Times New Roman" w:hAnsi="Times New Roman" w:cs="Times New Roman"/>
          <w:b/>
          <w:bCs/>
          <w:noProof/>
          <w:lang w:val="sl-SI"/>
        </w:rPr>
        <w:t>Drugi viri informacij</w:t>
      </w:r>
    </w:p>
    <w:p w14:paraId="1900E155" w14:textId="77777777" w:rsidR="00840AAB" w:rsidRDefault="00840AAB" w:rsidP="00840AAB">
      <w:pPr>
        <w:pStyle w:val="a3"/>
        <w:rPr>
          <w:lang w:val="sl-SI"/>
        </w:rPr>
      </w:pPr>
    </w:p>
    <w:p w14:paraId="51D13525" w14:textId="77777777" w:rsidR="00840AAB" w:rsidRDefault="00840AAB" w:rsidP="00840AAB">
      <w:pPr>
        <w:numPr>
          <w:ilvl w:val="12"/>
          <w:numId w:val="0"/>
        </w:numPr>
        <w:rPr>
          <w:rFonts w:ascii="Times New Roman" w:eastAsia="맑은 고딕" w:hAnsi="Times New Roman" w:cs="Times New Roman"/>
          <w:noProof/>
          <w:color w:val="0000FF"/>
          <w:lang w:val="sl-SI" w:eastAsia="ko-KR"/>
        </w:rPr>
      </w:pPr>
      <w:r>
        <w:rPr>
          <w:rFonts w:ascii="Times New Roman" w:eastAsia="Times New Roman" w:hAnsi="Times New Roman" w:cs="Times New Roman"/>
          <w:lang w:val="sl-SI"/>
        </w:rPr>
        <w:t xml:space="preserve">Podrobne informacije o zdravilu so objavljene na spletni strani Evropske agencije za zdravila </w:t>
      </w:r>
      <w:hyperlink r:id="rId101" w:history="1">
        <w:r w:rsidRPr="008E1817">
          <w:rPr>
            <w:rStyle w:val="ad"/>
            <w:rFonts w:ascii="Times New Roman" w:eastAsia="Times New Roman" w:hAnsi="Times New Roman" w:cs="Times New Roman"/>
            <w:lang w:val="sl-SI"/>
          </w:rPr>
          <w:t>http://www.ema.europa.eu</w:t>
        </w:r>
      </w:hyperlink>
    </w:p>
    <w:p w14:paraId="61F0C047" w14:textId="77777777" w:rsidR="00840AAB" w:rsidRDefault="00840AAB" w:rsidP="00840AAB">
      <w:pPr>
        <w:spacing w:before="4" w:line="100" w:lineRule="exact"/>
        <w:rPr>
          <w:sz w:val="10"/>
          <w:szCs w:val="10"/>
          <w:lang w:val="sl-SI"/>
        </w:rPr>
      </w:pPr>
    </w:p>
    <w:p w14:paraId="6C0D5CF3" w14:textId="77777777" w:rsidR="00840AAB" w:rsidRDefault="00840AAB" w:rsidP="00840AAB">
      <w:pPr>
        <w:spacing w:line="200" w:lineRule="exact"/>
        <w:rPr>
          <w:b/>
          <w:sz w:val="20"/>
          <w:szCs w:val="20"/>
          <w:lang w:val="sl-SI"/>
        </w:rPr>
      </w:pPr>
    </w:p>
    <w:p w14:paraId="57B3CB77" w14:textId="77777777" w:rsidR="00840AAB" w:rsidRDefault="00840AAB" w:rsidP="00840AAB">
      <w:pPr>
        <w:spacing w:line="200" w:lineRule="exact"/>
        <w:rPr>
          <w:b/>
          <w:sz w:val="20"/>
          <w:szCs w:val="20"/>
          <w:lang w:val="sl-SI"/>
        </w:rPr>
      </w:pPr>
    </w:p>
    <w:p w14:paraId="2791715E" w14:textId="77777777" w:rsidR="00840AAB" w:rsidRDefault="00840AAB" w:rsidP="0030421B">
      <w:pPr>
        <w:pStyle w:val="a4"/>
        <w:numPr>
          <w:ilvl w:val="0"/>
          <w:numId w:val="127"/>
        </w:numPr>
        <w:spacing w:before="18" w:line="240" w:lineRule="exact"/>
        <w:ind w:hanging="468"/>
        <w:rPr>
          <w:rFonts w:ascii="Times New Roman" w:eastAsia="Times New Roman" w:hAnsi="Times New Roman" w:cs="Times New Roman"/>
          <w:b/>
          <w:lang w:val="sl-SI"/>
        </w:rPr>
      </w:pPr>
      <w:r>
        <w:rPr>
          <w:rFonts w:ascii="Times New Roman" w:eastAsia="Times New Roman" w:hAnsi="Times New Roman" w:cs="Times New Roman"/>
          <w:b/>
          <w:bCs/>
          <w:spacing w:val="-1"/>
          <w:lang w:val="sl-SI"/>
        </w:rPr>
        <w:t>Navodila za uporabo</w:t>
      </w:r>
    </w:p>
    <w:p w14:paraId="11B6F486" w14:textId="77777777" w:rsidR="00840AAB" w:rsidRDefault="00840AAB" w:rsidP="00840AAB">
      <w:pPr>
        <w:spacing w:before="9" w:line="260" w:lineRule="exact"/>
        <w:rPr>
          <w:b/>
          <w:sz w:val="26"/>
          <w:szCs w:val="26"/>
          <w:lang w:val="sl-SI"/>
        </w:rPr>
      </w:pPr>
    </w:p>
    <w:p w14:paraId="32CF7632" w14:textId="77777777" w:rsidR="00840AAB" w:rsidRDefault="00840AAB" w:rsidP="00840AAB">
      <w:pPr>
        <w:pStyle w:val="a3"/>
        <w:numPr>
          <w:ilvl w:val="1"/>
          <w:numId w:val="4"/>
        </w:numPr>
        <w:ind w:left="660" w:hanging="660"/>
        <w:rPr>
          <w:lang w:val="sl-SI"/>
        </w:rPr>
      </w:pPr>
      <w:r>
        <w:rPr>
          <w:rFonts w:eastAsia="Times New Roman"/>
          <w:lang w:val="sl-SI"/>
        </w:rPr>
        <w:t>Naslednja navodila opisujejo, kako si subkutano injicirate zdravilo Yuflyma z napolnjeno injekcijsko brizgo. Navodila najprej natančno preberite in jih upoštevajte korak za korakom.</w:t>
      </w:r>
    </w:p>
    <w:p w14:paraId="5BF63ADF" w14:textId="77777777" w:rsidR="00840AAB" w:rsidRDefault="00840AAB" w:rsidP="00840AAB">
      <w:pPr>
        <w:pStyle w:val="a3"/>
        <w:rPr>
          <w:lang w:val="sl-SI"/>
        </w:rPr>
      </w:pPr>
    </w:p>
    <w:p w14:paraId="103D6DA2" w14:textId="77777777" w:rsidR="00840AAB" w:rsidRDefault="00840AAB" w:rsidP="00840AAB">
      <w:pPr>
        <w:pStyle w:val="a3"/>
        <w:numPr>
          <w:ilvl w:val="1"/>
          <w:numId w:val="4"/>
        </w:numPr>
        <w:ind w:left="660" w:hanging="660"/>
        <w:rPr>
          <w:lang w:val="sl-SI"/>
        </w:rPr>
      </w:pPr>
      <w:r>
        <w:rPr>
          <w:rFonts w:eastAsia="Times New Roman"/>
          <w:lang w:val="sl-SI"/>
        </w:rPr>
        <w:t>Zdravnik, farmacevt ali medicinska sestra vas bodo naučili, kako si zdravilo injicirate sami.</w:t>
      </w:r>
    </w:p>
    <w:p w14:paraId="1FA3938E" w14:textId="77777777" w:rsidR="00840AAB" w:rsidRDefault="00840AAB" w:rsidP="00840AAB">
      <w:pPr>
        <w:pStyle w:val="a3"/>
        <w:rPr>
          <w:lang w:val="sl-SI"/>
        </w:rPr>
      </w:pPr>
    </w:p>
    <w:p w14:paraId="61606ECC" w14:textId="77777777" w:rsidR="00840AAB" w:rsidRDefault="00840AAB" w:rsidP="00840AAB">
      <w:pPr>
        <w:pStyle w:val="a3"/>
        <w:numPr>
          <w:ilvl w:val="1"/>
          <w:numId w:val="4"/>
        </w:numPr>
        <w:ind w:left="660" w:hanging="660"/>
        <w:rPr>
          <w:lang w:val="sl-SI"/>
        </w:rPr>
      </w:pPr>
      <w:r>
        <w:rPr>
          <w:rFonts w:eastAsia="Times New Roman"/>
          <w:b/>
          <w:bCs/>
          <w:lang w:val="sl-SI"/>
        </w:rPr>
        <w:t>Ne</w:t>
      </w:r>
      <w:r>
        <w:rPr>
          <w:rFonts w:eastAsia="Times New Roman"/>
          <w:lang w:val="sl-SI"/>
        </w:rPr>
        <w:t xml:space="preserve"> poskušajte si zdravila injicirati, dokler popolnoma ne obvladate priprave in dajanja injekcije.</w:t>
      </w:r>
    </w:p>
    <w:p w14:paraId="4B877B80" w14:textId="77777777" w:rsidR="00840AAB" w:rsidRDefault="00840AAB" w:rsidP="00840AAB">
      <w:pPr>
        <w:pStyle w:val="a3"/>
        <w:rPr>
          <w:lang w:val="sl-SI"/>
        </w:rPr>
      </w:pPr>
    </w:p>
    <w:p w14:paraId="2799ACDA" w14:textId="77777777" w:rsidR="00840AAB" w:rsidRDefault="00840AAB" w:rsidP="00840AAB">
      <w:pPr>
        <w:pStyle w:val="a3"/>
        <w:numPr>
          <w:ilvl w:val="1"/>
          <w:numId w:val="4"/>
        </w:numPr>
        <w:ind w:left="660" w:hanging="660"/>
        <w:rPr>
          <w:lang w:val="sl-SI"/>
        </w:rPr>
      </w:pPr>
      <w:r>
        <w:rPr>
          <w:rFonts w:eastAsia="Times New Roman"/>
          <w:lang w:val="sl-SI"/>
        </w:rPr>
        <w:t>Po ustreznem urjenju si lahko injekcije dajete sami ali vam jih daje kdo drug, npr. svojec ali prijatelj.</w:t>
      </w:r>
    </w:p>
    <w:p w14:paraId="4D88E862" w14:textId="77777777" w:rsidR="00840AAB" w:rsidRDefault="00840AAB" w:rsidP="00840AAB">
      <w:pPr>
        <w:pStyle w:val="a3"/>
        <w:rPr>
          <w:lang w:val="sl-SI"/>
        </w:rPr>
      </w:pPr>
    </w:p>
    <w:p w14:paraId="1847D27E" w14:textId="77777777" w:rsidR="00840AAB" w:rsidRDefault="00840AAB" w:rsidP="00840AAB">
      <w:pPr>
        <w:pStyle w:val="a3"/>
        <w:numPr>
          <w:ilvl w:val="1"/>
          <w:numId w:val="4"/>
        </w:numPr>
        <w:ind w:left="660" w:hanging="660"/>
        <w:rPr>
          <w:lang w:val="sl-SI"/>
        </w:rPr>
      </w:pPr>
      <w:r>
        <w:rPr>
          <w:rFonts w:eastAsia="Times New Roman"/>
          <w:lang w:val="sl-SI"/>
        </w:rPr>
        <w:t>Vsako napolnjeno injekcijsko brizgo uporabite samo za eno injiciranje.</w:t>
      </w:r>
    </w:p>
    <w:p w14:paraId="0583FDA6" w14:textId="77777777" w:rsidR="00840AAB" w:rsidRDefault="00840AAB" w:rsidP="00840AAB">
      <w:pPr>
        <w:pStyle w:val="a3"/>
        <w:numPr>
          <w:ilvl w:val="0"/>
          <w:numId w:val="0"/>
        </w:numPr>
        <w:rPr>
          <w:lang w:val="sl-SI"/>
        </w:rPr>
      </w:pPr>
    </w:p>
    <w:p w14:paraId="33A68A45" w14:textId="77777777" w:rsidR="00840AAB" w:rsidRDefault="00840AAB" w:rsidP="00652F18">
      <w:pPr>
        <w:pStyle w:val="a3"/>
        <w:pageBreakBefore/>
        <w:rPr>
          <w:b/>
          <w:lang w:val="sl-SI"/>
        </w:rPr>
      </w:pPr>
      <w:r>
        <w:rPr>
          <w:rFonts w:eastAsia="Times New Roman"/>
          <w:b/>
          <w:bCs/>
          <w:lang w:val="sl-SI"/>
        </w:rPr>
        <w:lastRenderedPageBreak/>
        <w:t>Zdravilo Yuflyma napolnjena injekcijska brizga</w:t>
      </w:r>
    </w:p>
    <w:p w14:paraId="17133F0D" w14:textId="77777777" w:rsidR="00840AAB" w:rsidRDefault="00840AAB" w:rsidP="00840AAB">
      <w:pPr>
        <w:spacing w:before="13" w:line="240" w:lineRule="exact"/>
        <w:rPr>
          <w:sz w:val="24"/>
          <w:szCs w:val="24"/>
          <w:lang w:val="sl-SI"/>
        </w:rPr>
      </w:pPr>
    </w:p>
    <w:p w14:paraId="5866A239" w14:textId="005781B6" w:rsidR="00840AAB" w:rsidRDefault="00840AAB" w:rsidP="00F95580">
      <w:pPr>
        <w:pStyle w:val="a3"/>
        <w:jc w:val="center"/>
        <w:rPr>
          <w:rFonts w:eastAsia="Times New Roman"/>
          <w:sz w:val="20"/>
          <w:szCs w:val="20"/>
          <w:lang w:val="sl-SI"/>
        </w:rPr>
      </w:pPr>
      <w:r w:rsidRPr="00B11B84">
        <w:rPr>
          <w:noProof/>
          <w:sz w:val="24"/>
          <w:szCs w:val="24"/>
          <w:lang w:eastAsia="ko-KR"/>
        </w:rPr>
        <w:drawing>
          <wp:inline distT="0" distB="0" distL="0" distR="0" wp14:anchorId="25382506" wp14:editId="405C14CC">
            <wp:extent cx="4046316" cy="3808095"/>
            <wp:effectExtent l="0" t="0" r="0" b="1905"/>
            <wp:docPr id="3885"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 name="그림 1"/>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046316" cy="3808095"/>
                    </a:xfrm>
                    <a:prstGeom prst="rect">
                      <a:avLst/>
                    </a:prstGeom>
                  </pic:spPr>
                </pic:pic>
              </a:graphicData>
            </a:graphic>
          </wp:inline>
        </w:drawing>
      </w:r>
    </w:p>
    <w:tbl>
      <w:tblPr>
        <w:tblStyle w:val="ac"/>
        <w:tblW w:w="0" w:type="auto"/>
        <w:tblInd w:w="1555" w:type="dxa"/>
        <w:tblLook w:val="04A0" w:firstRow="1" w:lastRow="0" w:firstColumn="1" w:lastColumn="0" w:noHBand="0" w:noVBand="1"/>
      </w:tblPr>
      <w:tblGrid>
        <w:gridCol w:w="6454"/>
      </w:tblGrid>
      <w:tr w:rsidR="00F95580" w14:paraId="4A0CC769" w14:textId="77777777" w:rsidTr="0030421B">
        <w:trPr>
          <w:trHeight w:val="248"/>
        </w:trPr>
        <w:tc>
          <w:tcPr>
            <w:tcW w:w="6454" w:type="dxa"/>
            <w:tcBorders>
              <w:top w:val="nil"/>
              <w:left w:val="nil"/>
              <w:bottom w:val="nil"/>
              <w:right w:val="nil"/>
            </w:tcBorders>
          </w:tcPr>
          <w:p w14:paraId="38770BCF" w14:textId="2DDBF766" w:rsidR="00F95580" w:rsidRPr="0030421B" w:rsidRDefault="00F95580" w:rsidP="0030421B">
            <w:pPr>
              <w:pStyle w:val="a3"/>
              <w:jc w:val="right"/>
              <w:rPr>
                <w:b/>
                <w:bCs/>
                <w:sz w:val="20"/>
                <w:szCs w:val="20"/>
                <w:lang w:val="sl-SI" w:eastAsia="ko-KR"/>
              </w:rPr>
            </w:pPr>
            <w:r w:rsidRPr="0030421B">
              <w:rPr>
                <w:rFonts w:eastAsia="Times New Roman"/>
                <w:b/>
                <w:bCs/>
                <w:lang w:val="sl-SI"/>
              </w:rPr>
              <w:t>Slika A</w:t>
            </w:r>
          </w:p>
        </w:tc>
      </w:tr>
    </w:tbl>
    <w:p w14:paraId="5D2D74D3" w14:textId="77777777" w:rsidR="00F95580" w:rsidRDefault="00F95580" w:rsidP="0030421B">
      <w:pPr>
        <w:pStyle w:val="a3"/>
        <w:jc w:val="center"/>
        <w:rPr>
          <w:rFonts w:eastAsia="Times New Roman"/>
          <w:sz w:val="20"/>
          <w:szCs w:val="20"/>
          <w:lang w:val="sl-SI"/>
        </w:rPr>
      </w:pPr>
    </w:p>
    <w:p w14:paraId="746A5000" w14:textId="77777777" w:rsidR="00840AAB" w:rsidRDefault="00840AAB" w:rsidP="00840AAB">
      <w:pPr>
        <w:pStyle w:val="a3"/>
        <w:rPr>
          <w:rFonts w:eastAsia="Times New Roman"/>
          <w:sz w:val="20"/>
          <w:szCs w:val="20"/>
          <w:lang w:val="sl-SI"/>
        </w:rPr>
      </w:pPr>
    </w:p>
    <w:p w14:paraId="2D8C1466" w14:textId="77777777" w:rsidR="00840AAB" w:rsidRDefault="00840AAB" w:rsidP="00840AAB">
      <w:pPr>
        <w:pStyle w:val="a3"/>
        <w:rPr>
          <w:b/>
          <w:lang w:val="sl-SI"/>
        </w:rPr>
      </w:pPr>
      <w:r>
        <w:rPr>
          <w:rFonts w:eastAsia="Times New Roman"/>
          <w:b/>
          <w:bCs/>
          <w:lang w:val="sl-SI"/>
        </w:rPr>
        <w:t>Napolnjene injekcijske brizge ne uporabljajte, če:</w:t>
      </w:r>
    </w:p>
    <w:p w14:paraId="71F76564" w14:textId="77777777" w:rsidR="00840AAB" w:rsidRDefault="00840AAB" w:rsidP="00840AAB">
      <w:pPr>
        <w:pStyle w:val="a3"/>
        <w:numPr>
          <w:ilvl w:val="1"/>
          <w:numId w:val="3"/>
        </w:numPr>
        <w:ind w:left="660" w:hanging="660"/>
        <w:rPr>
          <w:lang w:val="sl-SI"/>
        </w:rPr>
      </w:pPr>
      <w:r>
        <w:rPr>
          <w:rFonts w:eastAsia="Times New Roman"/>
          <w:lang w:val="sl-SI"/>
        </w:rPr>
        <w:t xml:space="preserve">je razpokana ali poškodovana, </w:t>
      </w:r>
    </w:p>
    <w:p w14:paraId="1F92D92C" w14:textId="77777777" w:rsidR="00F90CAB" w:rsidRPr="00366D10" w:rsidRDefault="00840AAB" w:rsidP="00840AAB">
      <w:pPr>
        <w:pStyle w:val="a3"/>
        <w:numPr>
          <w:ilvl w:val="1"/>
          <w:numId w:val="3"/>
        </w:numPr>
        <w:ind w:left="660" w:hanging="660"/>
        <w:rPr>
          <w:lang w:val="sl-SI"/>
        </w:rPr>
      </w:pPr>
      <w:r>
        <w:rPr>
          <w:rFonts w:eastAsia="Times New Roman"/>
          <w:lang w:val="sl-SI"/>
        </w:rPr>
        <w:t>je pretekel rok uporabnosti.</w:t>
      </w:r>
    </w:p>
    <w:p w14:paraId="3AF9B373" w14:textId="3A2B837B" w:rsidR="00840AAB" w:rsidRDefault="00F90CAB" w:rsidP="00840AAB">
      <w:pPr>
        <w:pStyle w:val="a3"/>
        <w:numPr>
          <w:ilvl w:val="1"/>
          <w:numId w:val="3"/>
        </w:numPr>
        <w:ind w:left="660" w:hanging="660"/>
        <w:rPr>
          <w:lang w:val="sl-SI"/>
        </w:rPr>
      </w:pPr>
      <w:r w:rsidRPr="00566D4D">
        <w:rPr>
          <w:lang w:val="es-ES"/>
        </w:rPr>
        <w:t>je padel na trdo površino.</w:t>
      </w:r>
      <w:r w:rsidR="00840AAB">
        <w:rPr>
          <w:rFonts w:eastAsia="Times New Roman"/>
          <w:lang w:val="sl-SI"/>
        </w:rPr>
        <w:t xml:space="preserve"> </w:t>
      </w:r>
    </w:p>
    <w:p w14:paraId="18662204" w14:textId="77777777" w:rsidR="00840AAB" w:rsidRDefault="00840AAB" w:rsidP="00840AAB">
      <w:pPr>
        <w:pStyle w:val="Default"/>
        <w:numPr>
          <w:ilvl w:val="2"/>
          <w:numId w:val="21"/>
        </w:numPr>
        <w:ind w:left="360"/>
        <w:rPr>
          <w:color w:val="211D1E"/>
          <w:sz w:val="20"/>
          <w:szCs w:val="20"/>
          <w:lang w:val="sl-SI"/>
        </w:rPr>
      </w:pPr>
    </w:p>
    <w:p w14:paraId="2133A1C3" w14:textId="77777777" w:rsidR="00840AAB" w:rsidRDefault="00840AAB" w:rsidP="00840AAB">
      <w:pPr>
        <w:pStyle w:val="a3"/>
        <w:rPr>
          <w:b/>
          <w:lang w:val="sl-SI"/>
        </w:rPr>
      </w:pPr>
      <w:r>
        <w:rPr>
          <w:rFonts w:eastAsia="Times New Roman"/>
          <w:b/>
          <w:bCs/>
          <w:lang w:val="sl-SI"/>
        </w:rPr>
        <w:t>Pokrovček igle odstranite šele tik pred injiciranjem. Zdravilo Yuflyma shranjujte nedosegljivo otrokom.</w:t>
      </w:r>
    </w:p>
    <w:p w14:paraId="54D1730E" w14:textId="1E003237" w:rsidR="00840AAB" w:rsidRDefault="00840AAB" w:rsidP="00840AAB">
      <w:pPr>
        <w:rPr>
          <w:rFonts w:ascii="Times New Roman" w:hAnsi="Times New Roman" w:cs="Times New Roman"/>
          <w:lang w:val="sl-SI"/>
        </w:rPr>
      </w:pPr>
    </w:p>
    <w:tbl>
      <w:tblPr>
        <w:tblStyle w:val="ac"/>
        <w:tblpPr w:leftFromText="142" w:rightFromText="142" w:vertAnchor="text" w:horzAnchor="margin" w:tblpY="67"/>
        <w:tblW w:w="9351" w:type="dxa"/>
        <w:tblLook w:val="04A0" w:firstRow="1" w:lastRow="0" w:firstColumn="1" w:lastColumn="0" w:noHBand="0" w:noVBand="1"/>
      </w:tblPr>
      <w:tblGrid>
        <w:gridCol w:w="9351"/>
      </w:tblGrid>
      <w:tr w:rsidR="00840AAB" w:rsidRPr="003138FB" w14:paraId="08746D53" w14:textId="77777777" w:rsidTr="00EC5FDC">
        <w:trPr>
          <w:trHeight w:val="2684"/>
        </w:trPr>
        <w:tc>
          <w:tcPr>
            <w:tcW w:w="9351" w:type="dxa"/>
          </w:tcPr>
          <w:p w14:paraId="0237C94A" w14:textId="77777777" w:rsidR="00840AAB" w:rsidRDefault="00840AAB" w:rsidP="00EC5FDC">
            <w:pPr>
              <w:pStyle w:val="a3"/>
              <w:numPr>
                <w:ilvl w:val="0"/>
                <w:numId w:val="0"/>
              </w:numPr>
              <w:ind w:left="580"/>
              <w:rPr>
                <w:lang w:val="sl-SI"/>
              </w:rPr>
            </w:pPr>
          </w:p>
          <w:p w14:paraId="3131D042" w14:textId="77777777" w:rsidR="00840AAB" w:rsidRDefault="00840AAB" w:rsidP="00EC5FDC">
            <w:pPr>
              <w:pStyle w:val="a3"/>
              <w:numPr>
                <w:ilvl w:val="0"/>
                <w:numId w:val="131"/>
              </w:numPr>
              <w:rPr>
                <w:lang w:val="sl-SI"/>
              </w:rPr>
            </w:pPr>
            <w:r>
              <w:rPr>
                <w:rFonts w:eastAsia="Times New Roman"/>
                <w:b/>
                <w:bCs/>
                <w:lang w:val="sl-SI"/>
              </w:rPr>
              <w:t>Priprava opreme za injiciranje</w:t>
            </w:r>
          </w:p>
          <w:p w14:paraId="5F0F4C8B" w14:textId="77777777" w:rsidR="00840AAB" w:rsidRDefault="00840AAB" w:rsidP="00EC5FDC">
            <w:pPr>
              <w:pStyle w:val="a3"/>
              <w:numPr>
                <w:ilvl w:val="0"/>
                <w:numId w:val="0"/>
              </w:numPr>
              <w:ind w:left="580"/>
              <w:rPr>
                <w:lang w:val="sl-SI"/>
              </w:rPr>
            </w:pPr>
          </w:p>
          <w:p w14:paraId="68F855CC" w14:textId="77777777" w:rsidR="00840AAB" w:rsidRDefault="00840AAB" w:rsidP="00EC5FDC">
            <w:pPr>
              <w:pStyle w:val="a3"/>
              <w:ind w:leftChars="153" w:left="337"/>
              <w:rPr>
                <w:lang w:val="sl-SI" w:eastAsia="ko-KR"/>
              </w:rPr>
            </w:pPr>
            <w:r>
              <w:rPr>
                <w:rFonts w:eastAsia="Times New Roman"/>
                <w:b/>
                <w:bCs/>
                <w:lang w:val="sl-SI" w:eastAsia="ko-KR"/>
              </w:rPr>
              <w:t>a.</w:t>
            </w:r>
            <w:r>
              <w:rPr>
                <w:rFonts w:eastAsia="Times New Roman"/>
                <w:lang w:val="sl-SI" w:eastAsia="ko-KR"/>
              </w:rPr>
              <w:t xml:space="preserve"> Pripravite čisto, ravno površino, kot je miza ali pult, v dobro osvetljenem prostoru.</w:t>
            </w:r>
          </w:p>
          <w:p w14:paraId="1A006321" w14:textId="77777777" w:rsidR="00840AAB" w:rsidRDefault="00840AAB" w:rsidP="00EC5FDC">
            <w:pPr>
              <w:pStyle w:val="a3"/>
              <w:ind w:leftChars="153" w:left="337"/>
              <w:rPr>
                <w:lang w:val="sl-SI" w:eastAsia="ko-KR"/>
              </w:rPr>
            </w:pPr>
            <w:r>
              <w:rPr>
                <w:rFonts w:eastAsia="Times New Roman"/>
                <w:b/>
                <w:bCs/>
                <w:lang w:val="sl-SI" w:eastAsia="ko-KR"/>
              </w:rPr>
              <w:t>b.</w:t>
            </w:r>
            <w:r>
              <w:rPr>
                <w:rFonts w:eastAsia="Times New Roman"/>
                <w:lang w:val="sl-SI" w:eastAsia="ko-KR"/>
              </w:rPr>
              <w:t xml:space="preserve"> Iz škatle, shranjene v hladilniku, vzemite 1 napolnjeno injekcijsko brizgo.</w:t>
            </w:r>
          </w:p>
          <w:p w14:paraId="1BE7B1AC" w14:textId="77777777" w:rsidR="00840AAB" w:rsidRDefault="00840AAB" w:rsidP="00EC5FDC">
            <w:pPr>
              <w:pStyle w:val="a3"/>
              <w:ind w:leftChars="300" w:left="660" w:rightChars="100" w:right="220"/>
              <w:rPr>
                <w:lang w:val="sl-SI" w:eastAsia="ko-KR"/>
              </w:rPr>
            </w:pPr>
            <w:r>
              <w:rPr>
                <w:rFonts w:ascii="맑은 고딕" w:eastAsia="맑은 고딕" w:hAnsi="맑은 고딕"/>
                <w:lang w:val="sl-SI" w:eastAsia="ko-KR"/>
              </w:rPr>
              <w:t>•</w:t>
            </w:r>
            <w:r>
              <w:rPr>
                <w:rFonts w:eastAsia="Times New Roman"/>
                <w:lang w:val="sl-SI" w:eastAsia="ko-KR"/>
              </w:rPr>
              <w:t xml:space="preserve"> Napolnjeno injekcijsko brizgo držite za telo, ko jo vzamete iz škatle.</w:t>
            </w:r>
            <w:r>
              <w:rPr>
                <w:rFonts w:eastAsia="Times New Roman"/>
                <w:b/>
                <w:bCs/>
                <w:lang w:val="sl-SI" w:eastAsia="ko-KR"/>
              </w:rPr>
              <w:t xml:space="preserve"> Ne</w:t>
            </w:r>
            <w:r>
              <w:rPr>
                <w:rFonts w:eastAsia="Times New Roman"/>
                <w:lang w:val="sl-SI" w:eastAsia="ko-KR"/>
              </w:rPr>
              <w:t xml:space="preserve"> dotikajte se bata.</w:t>
            </w:r>
          </w:p>
          <w:p w14:paraId="2297CE4E" w14:textId="77777777" w:rsidR="00840AAB" w:rsidRDefault="00840AAB" w:rsidP="00EC5FDC">
            <w:pPr>
              <w:pStyle w:val="a3"/>
              <w:ind w:leftChars="153" w:left="337"/>
              <w:rPr>
                <w:lang w:val="sl-SI" w:eastAsia="ko-KR"/>
              </w:rPr>
            </w:pPr>
            <w:r>
              <w:rPr>
                <w:rFonts w:eastAsia="Times New Roman"/>
                <w:b/>
                <w:bCs/>
                <w:lang w:val="sl-SI" w:eastAsia="ko-KR"/>
              </w:rPr>
              <w:t>c.</w:t>
            </w:r>
            <w:r>
              <w:rPr>
                <w:rFonts w:eastAsia="Times New Roman"/>
                <w:lang w:val="sl-SI" w:eastAsia="ko-KR"/>
              </w:rPr>
              <w:t xml:space="preserve"> Prepričajte se, da imate naslednjo opremo:</w:t>
            </w:r>
          </w:p>
          <w:p w14:paraId="34D2505E" w14:textId="77777777" w:rsidR="00840AAB" w:rsidRDefault="00840AAB" w:rsidP="00EC5FDC">
            <w:pPr>
              <w:pStyle w:val="a3"/>
              <w:ind w:left="720"/>
              <w:rPr>
                <w:lang w:val="sl-SI" w:eastAsia="ko-KR"/>
              </w:rPr>
            </w:pPr>
            <w:r>
              <w:rPr>
                <w:rFonts w:eastAsia="Times New Roman"/>
                <w:lang w:val="sl-SI" w:eastAsia="ko-KR"/>
              </w:rPr>
              <w:t>- Napolnjena injekcijska brizga</w:t>
            </w:r>
          </w:p>
          <w:p w14:paraId="0361EB50" w14:textId="77777777" w:rsidR="00840AAB" w:rsidRDefault="00840AAB" w:rsidP="00EC5FDC">
            <w:pPr>
              <w:pStyle w:val="a3"/>
              <w:spacing w:after="120"/>
              <w:ind w:left="720"/>
              <w:rPr>
                <w:lang w:val="sl-SI" w:eastAsia="ko-KR"/>
              </w:rPr>
            </w:pPr>
            <w:r>
              <w:rPr>
                <w:rFonts w:eastAsia="Times New Roman"/>
                <w:lang w:val="sl-SI" w:eastAsia="ko-KR"/>
              </w:rPr>
              <w:t>- Alkoholni zloženec</w:t>
            </w:r>
          </w:p>
          <w:p w14:paraId="5E8D0246" w14:textId="77777777" w:rsidR="00840AAB" w:rsidRDefault="00840AAB" w:rsidP="00EC5FDC">
            <w:pPr>
              <w:pStyle w:val="a3"/>
              <w:ind w:left="720"/>
              <w:rPr>
                <w:b/>
                <w:lang w:val="sl-SI" w:eastAsia="ko-KR"/>
              </w:rPr>
            </w:pPr>
            <w:r>
              <w:rPr>
                <w:rFonts w:eastAsia="Times New Roman"/>
                <w:b/>
                <w:bCs/>
                <w:lang w:val="sl-SI" w:eastAsia="ko-KR"/>
              </w:rPr>
              <w:t>Ni priloženo pakiranju:</w:t>
            </w:r>
          </w:p>
          <w:p w14:paraId="629D29B2" w14:textId="77777777" w:rsidR="00840AAB" w:rsidRDefault="00840AAB" w:rsidP="00EC5FDC">
            <w:pPr>
              <w:pStyle w:val="a3"/>
              <w:ind w:left="720"/>
              <w:rPr>
                <w:lang w:val="sl-SI" w:eastAsia="ko-KR"/>
              </w:rPr>
            </w:pPr>
            <w:r>
              <w:rPr>
                <w:rFonts w:eastAsia="Times New Roman"/>
                <w:lang w:val="sl-SI" w:eastAsia="ko-KR"/>
              </w:rPr>
              <w:t>- Bombažna blazinica ali gaza</w:t>
            </w:r>
          </w:p>
          <w:p w14:paraId="42556B94" w14:textId="77777777" w:rsidR="00840AAB" w:rsidRDefault="00840AAB" w:rsidP="00EC5FDC">
            <w:pPr>
              <w:pStyle w:val="a3"/>
              <w:ind w:left="720"/>
              <w:rPr>
                <w:lang w:val="sl-SI" w:eastAsia="ko-KR"/>
              </w:rPr>
            </w:pPr>
            <w:r>
              <w:rPr>
                <w:rFonts w:eastAsia="Times New Roman"/>
                <w:lang w:val="sl-SI" w:eastAsia="ko-KR"/>
              </w:rPr>
              <w:t>- Lepilni povoj</w:t>
            </w:r>
          </w:p>
          <w:p w14:paraId="23C99C0D" w14:textId="2F864FE1" w:rsidR="00840AAB" w:rsidRPr="006A3140" w:rsidRDefault="00840AAB" w:rsidP="006A3140">
            <w:pPr>
              <w:pStyle w:val="a3"/>
              <w:ind w:left="720"/>
              <w:rPr>
                <w:lang w:val="sl-SI" w:eastAsia="ko-KR"/>
              </w:rPr>
            </w:pPr>
            <w:r>
              <w:rPr>
                <w:rFonts w:eastAsia="Times New Roman"/>
                <w:lang w:val="sl-SI" w:eastAsia="ko-KR"/>
              </w:rPr>
              <w:t>- Vsebnik za ostre predmete</w:t>
            </w:r>
          </w:p>
        </w:tc>
      </w:tr>
      <w:tr w:rsidR="00840AAB" w:rsidRPr="00652F18" w14:paraId="58AE6603" w14:textId="77777777" w:rsidTr="00EC5FDC">
        <w:trPr>
          <w:trHeight w:val="3969"/>
        </w:trPr>
        <w:tc>
          <w:tcPr>
            <w:tcW w:w="9351" w:type="dxa"/>
          </w:tcPr>
          <w:p w14:paraId="7592D161" w14:textId="1AA028EF" w:rsidR="00840AAB" w:rsidRDefault="00EC5FDC" w:rsidP="00EC5FDC">
            <w:pPr>
              <w:ind w:left="224" w:right="1248"/>
              <w:rPr>
                <w:lang w:val="sl-SI"/>
              </w:rPr>
            </w:pPr>
            <w:r>
              <w:rPr>
                <w:noProof/>
                <w:lang w:eastAsia="ko-KR"/>
              </w:rPr>
              <w:lastRenderedPageBreak/>
              <mc:AlternateContent>
                <mc:Choice Requires="wpg">
                  <w:drawing>
                    <wp:anchor distT="0" distB="0" distL="114300" distR="114300" simplePos="0" relativeHeight="251658314" behindDoc="0" locked="0" layoutInCell="1" allowOverlap="1" wp14:anchorId="3ECA7752" wp14:editId="2DEF0727">
                      <wp:simplePos x="0" y="0"/>
                      <wp:positionH relativeFrom="column">
                        <wp:posOffset>-4445</wp:posOffset>
                      </wp:positionH>
                      <wp:positionV relativeFrom="paragraph">
                        <wp:posOffset>170815</wp:posOffset>
                      </wp:positionV>
                      <wp:extent cx="2094230" cy="2679065"/>
                      <wp:effectExtent l="0" t="0" r="1270" b="6985"/>
                      <wp:wrapSquare wrapText="bothSides"/>
                      <wp:docPr id="116" name="그룹 116"/>
                      <wp:cNvGraphicFramePr/>
                      <a:graphic xmlns:a="http://schemas.openxmlformats.org/drawingml/2006/main">
                        <a:graphicData uri="http://schemas.microsoft.com/office/word/2010/wordprocessingGroup">
                          <wpg:wgp>
                            <wpg:cNvGrpSpPr/>
                            <wpg:grpSpPr>
                              <a:xfrm>
                                <a:off x="0" y="0"/>
                                <a:ext cx="2094230" cy="2679065"/>
                                <a:chOff x="0" y="10982"/>
                                <a:chExt cx="1659255" cy="2192468"/>
                              </a:xfrm>
                            </wpg:grpSpPr>
                            <wpg:grpSp>
                              <wpg:cNvPr id="117" name="그룹 117"/>
                              <wpg:cNvGrpSpPr/>
                              <wpg:grpSpPr>
                                <a:xfrm>
                                  <a:off x="0" y="10982"/>
                                  <a:ext cx="1659255" cy="2192468"/>
                                  <a:chOff x="0" y="10982"/>
                                  <a:chExt cx="1659790" cy="2192468"/>
                                </a:xfrm>
                              </wpg:grpSpPr>
                              <pic:pic xmlns:pic="http://schemas.openxmlformats.org/drawingml/2006/picture">
                                <pic:nvPicPr>
                                  <pic:cNvPr id="118" name="그림 118"/>
                                  <pic:cNvPicPr>
                                    <a:picLocks noChangeAspect="1"/>
                                  </pic:cNvPicPr>
                                </pic:nvPicPr>
                                <pic:blipFill>
                                  <a:blip r:embed="rId103" cstate="print">
                                    <a:extLst>
                                      <a:ext uri="{28A0092B-C50C-407E-A947-70E740481C1C}">
                                        <a14:useLocalDpi xmlns:a14="http://schemas.microsoft.com/office/drawing/2010/main" val="0"/>
                                      </a:ext>
                                    </a:extLst>
                                  </a:blip>
                                  <a:srcRect/>
                                  <a:stretch/>
                                </pic:blipFill>
                                <pic:spPr bwMode="auto">
                                  <a:xfrm>
                                    <a:off x="0" y="10982"/>
                                    <a:ext cx="1658620" cy="2022101"/>
                                  </a:xfrm>
                                  <a:prstGeom prst="rect">
                                    <a:avLst/>
                                  </a:prstGeom>
                                  <a:noFill/>
                                  <a:ln>
                                    <a:noFill/>
                                  </a:ln>
                                </pic:spPr>
                              </pic:pic>
                              <wps:wsp>
                                <wps:cNvPr id="119" name="Text Box 119"/>
                                <wps:cNvSpPr txBox="1"/>
                                <wps:spPr>
                                  <a:xfrm>
                                    <a:off x="939800" y="2057400"/>
                                    <a:ext cx="719990" cy="146050"/>
                                  </a:xfrm>
                                  <a:prstGeom prst="rect">
                                    <a:avLst/>
                                  </a:prstGeom>
                                  <a:solidFill>
                                    <a:prstClr val="white"/>
                                  </a:solidFill>
                                  <a:ln>
                                    <a:noFill/>
                                  </a:ln>
                                </wps:spPr>
                                <wps:txbx>
                                  <w:txbxContent>
                                    <w:p w14:paraId="0928AA99"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lang w:val="sl-SI"/>
                                        </w:rPr>
                                        <w:t>Slika 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24" name="Text Box 124"/>
                              <wps:cNvSpPr txBox="1"/>
                              <wps:spPr>
                                <a:xfrm>
                                  <a:off x="784860" y="1066800"/>
                                  <a:ext cx="729401" cy="1403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D58E7FE" w14:textId="77777777" w:rsidR="00474DFB" w:rsidRPr="009D4E53" w:rsidRDefault="00474DFB" w:rsidP="00840AAB">
                                    <w:pPr>
                                      <w:rPr>
                                        <w:rFonts w:asciiTheme="majorBidi" w:hAnsiTheme="majorBidi" w:cstheme="majorBidi"/>
                                        <w:b/>
                                        <w:bCs/>
                                        <w:sz w:val="12"/>
                                        <w:szCs w:val="10"/>
                                      </w:rPr>
                                    </w:pPr>
                                    <w:r w:rsidRPr="009D4E53">
                                      <w:rPr>
                                        <w:rFonts w:ascii="Times New Roman" w:eastAsia="Times New Roman" w:hAnsi="Times New Roman" w:cs="Times New Roman"/>
                                        <w:b/>
                                        <w:bCs/>
                                        <w:sz w:val="12"/>
                                        <w:szCs w:val="10"/>
                                        <w:lang w:val="sl-SI"/>
                                      </w:rPr>
                                      <w:t xml:space="preserve">EXP.: </w:t>
                                    </w:r>
                                    <w:r w:rsidRPr="009D4E53">
                                      <w:rPr>
                                        <w:rFonts w:ascii="Times New Roman" w:eastAsia="Times New Roman" w:hAnsi="Times New Roman" w:cs="Times New Roman"/>
                                        <w:sz w:val="12"/>
                                        <w:szCs w:val="10"/>
                                        <w:lang w:val="sl-SI"/>
                                      </w:rPr>
                                      <w:t>MESEC LETO</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ECA7752" id="그룹 116" o:spid="_x0000_s1182" style="position:absolute;left:0;text-align:left;margin-left:-.35pt;margin-top:13.45pt;width:164.9pt;height:210.95pt;z-index:251658314;mso-width-relative:margin;mso-height-relative:margin" coordorigin=",109" coordsize="16592,21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">
                      <v:group id="그룹 117" o:spid="_x0000_s1183" style="position:absolute;top:109;width:16592;height:21925" coordorigin=",109" coordsize="16597,2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그림 118" o:spid="_x0000_s1184" type="#_x0000_t75" style="position:absolute;top:109;width:16586;height:20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">
                          <v:imagedata r:id="rId104" o:title=""/>
                        </v:shape>
                        <v:shape id="Text Box 119" o:spid="_x0000_s1185" type="#_x0000_t202" style="position:absolute;left:9398;top:20574;width:719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" stroked="f">
                          <v:textbox inset="0,0,0,0">
                            <w:txbxContent>
                              <w:p w14:paraId="0928AA99"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lang w:val="sl-SI"/>
                                  </w:rPr>
                                  <w:t>Slika B</w:t>
                                </w:r>
                              </w:p>
                            </w:txbxContent>
                          </v:textbox>
                        </v:shape>
                      </v:group>
                      <v:shape id="Text Box 124" o:spid="_x0000_s1186" type="#_x0000_t202" style="position:absolute;left:7848;top:10668;width:7294;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" fillcolor="white [3212]" stroked="f" strokeweight=".5pt">
                        <v:textbox inset="0,0,0,0">
                          <w:txbxContent>
                            <w:p w14:paraId="4D58E7FE" w14:textId="77777777" w:rsidR="00474DFB" w:rsidRPr="009D4E53" w:rsidRDefault="00474DFB" w:rsidP="00840AAB">
                              <w:pPr>
                                <w:rPr>
                                  <w:rFonts w:asciiTheme="majorBidi" w:hAnsiTheme="majorBidi" w:cstheme="majorBidi"/>
                                  <w:b/>
                                  <w:bCs/>
                                  <w:sz w:val="12"/>
                                  <w:szCs w:val="10"/>
                                </w:rPr>
                              </w:pPr>
                              <w:r w:rsidRPr="009D4E53">
                                <w:rPr>
                                  <w:rFonts w:ascii="Times New Roman" w:eastAsia="Times New Roman" w:hAnsi="Times New Roman" w:cs="Times New Roman"/>
                                  <w:b/>
                                  <w:bCs/>
                                  <w:sz w:val="12"/>
                                  <w:szCs w:val="10"/>
                                  <w:lang w:val="sl-SI"/>
                                </w:rPr>
                                <w:t xml:space="preserve">EXP.: </w:t>
                              </w:r>
                              <w:r w:rsidRPr="009D4E53">
                                <w:rPr>
                                  <w:rFonts w:ascii="Times New Roman" w:eastAsia="Times New Roman" w:hAnsi="Times New Roman" w:cs="Times New Roman"/>
                                  <w:sz w:val="12"/>
                                  <w:szCs w:val="10"/>
                                  <w:lang w:val="sl-SI"/>
                                </w:rPr>
                                <w:t>MESEC LETO</w:t>
                              </w:r>
                            </w:p>
                          </w:txbxContent>
                        </v:textbox>
                      </v:shape>
                      <w10:wrap type="square"/>
                    </v:group>
                  </w:pict>
                </mc:Fallback>
              </mc:AlternateContent>
            </w:r>
          </w:p>
          <w:p w14:paraId="1C777A57" w14:textId="40BEAB86" w:rsidR="00840AAB" w:rsidRDefault="00840AAB" w:rsidP="00EC5FDC">
            <w:pPr>
              <w:pStyle w:val="a3"/>
              <w:rPr>
                <w:lang w:val="sl-SI"/>
              </w:rPr>
            </w:pPr>
          </w:p>
          <w:p w14:paraId="2E9D1813" w14:textId="77777777" w:rsidR="00840AAB" w:rsidRDefault="00840AAB" w:rsidP="00EC5FDC">
            <w:pPr>
              <w:pStyle w:val="a3"/>
              <w:numPr>
                <w:ilvl w:val="0"/>
                <w:numId w:val="131"/>
              </w:numPr>
              <w:ind w:leftChars="100" w:left="580"/>
              <w:rPr>
                <w:b/>
                <w:lang w:val="sl-SI"/>
              </w:rPr>
            </w:pPr>
            <w:r>
              <w:rPr>
                <w:rFonts w:eastAsia="Times New Roman"/>
                <w:b/>
                <w:bCs/>
                <w:lang w:val="sl-SI"/>
              </w:rPr>
              <w:t>Preglejte napolnjeno injekcijsko brizgo</w:t>
            </w:r>
            <w:r>
              <w:rPr>
                <w:rFonts w:eastAsia="Times New Roman"/>
                <w:lang w:val="sl-SI"/>
              </w:rPr>
              <w:t>.</w:t>
            </w:r>
          </w:p>
          <w:p w14:paraId="5BB15AC8" w14:textId="77777777" w:rsidR="00840AAB" w:rsidRDefault="00840AAB" w:rsidP="00EC5FDC">
            <w:pPr>
              <w:pStyle w:val="a3"/>
              <w:numPr>
                <w:ilvl w:val="0"/>
                <w:numId w:val="0"/>
              </w:numPr>
              <w:ind w:left="580"/>
              <w:rPr>
                <w:lang w:val="sl-SI"/>
              </w:rPr>
            </w:pPr>
          </w:p>
          <w:p w14:paraId="3DF4883E" w14:textId="77777777" w:rsidR="00840AAB" w:rsidRDefault="00840AAB" w:rsidP="00EC5FDC">
            <w:pPr>
              <w:pStyle w:val="a3"/>
              <w:ind w:left="3397" w:hanging="180"/>
              <w:rPr>
                <w:lang w:val="sl-SI" w:eastAsia="ko-KR"/>
              </w:rPr>
            </w:pPr>
            <w:r>
              <w:rPr>
                <w:rFonts w:eastAsia="Times New Roman"/>
                <w:b/>
                <w:bCs/>
                <w:lang w:val="sl-SI" w:eastAsia="ko-KR"/>
              </w:rPr>
              <w:t>a</w:t>
            </w:r>
            <w:r>
              <w:rPr>
                <w:rFonts w:eastAsia="Times New Roman"/>
                <w:lang w:val="sl-SI" w:eastAsia="ko-KR"/>
              </w:rPr>
              <w:t xml:space="preserve">. Poskrbite, da imate pravo zdravilo (Yuflyma) in odmerek. </w:t>
            </w:r>
          </w:p>
          <w:p w14:paraId="691B8757" w14:textId="77777777" w:rsidR="00840AAB" w:rsidRDefault="00840AAB" w:rsidP="00EC5FDC">
            <w:pPr>
              <w:pStyle w:val="a3"/>
              <w:ind w:left="3397" w:hanging="180"/>
              <w:rPr>
                <w:lang w:val="sl-SI" w:eastAsia="ko-KR"/>
              </w:rPr>
            </w:pPr>
            <w:r>
              <w:rPr>
                <w:rFonts w:eastAsia="Times New Roman"/>
                <w:b/>
                <w:bCs/>
                <w:lang w:val="sl-SI" w:eastAsia="ko-KR"/>
              </w:rPr>
              <w:t>b</w:t>
            </w:r>
            <w:r>
              <w:rPr>
                <w:rFonts w:eastAsia="Times New Roman"/>
                <w:lang w:val="sl-SI" w:eastAsia="ko-KR"/>
              </w:rPr>
              <w:t xml:space="preserve">. Poglejte napolnjeno injekcijsko brizgo in se prepričajte, da ni počena ali poškodovana. </w:t>
            </w:r>
          </w:p>
          <w:p w14:paraId="6024061F" w14:textId="77777777" w:rsidR="00840AAB" w:rsidRDefault="00840AAB" w:rsidP="00EC5FDC">
            <w:pPr>
              <w:pStyle w:val="a3"/>
              <w:ind w:left="3397" w:hanging="180"/>
              <w:rPr>
                <w:lang w:val="sl-SI" w:eastAsia="ko-KR"/>
              </w:rPr>
            </w:pPr>
            <w:r>
              <w:rPr>
                <w:rFonts w:eastAsia="Times New Roman"/>
                <w:b/>
                <w:bCs/>
                <w:lang w:val="sl-SI" w:eastAsia="ko-KR"/>
              </w:rPr>
              <w:t>c</w:t>
            </w:r>
            <w:r>
              <w:rPr>
                <w:rFonts w:eastAsia="Times New Roman"/>
                <w:lang w:val="sl-SI" w:eastAsia="ko-KR"/>
              </w:rPr>
              <w:t xml:space="preserve">. Preverite rok uporabnosti na oznaki napolnjene injekcijske brizge. </w:t>
            </w:r>
          </w:p>
          <w:p w14:paraId="610BB438" w14:textId="77777777" w:rsidR="00840AAB" w:rsidRDefault="00840AAB" w:rsidP="00EC5FDC">
            <w:pPr>
              <w:pStyle w:val="Default"/>
              <w:rPr>
                <w:lang w:val="sl-SI"/>
              </w:rPr>
            </w:pPr>
            <w:r>
              <w:rPr>
                <w:lang w:val="sl-SI"/>
              </w:rPr>
              <w:t xml:space="preserve"> </w:t>
            </w:r>
          </w:p>
          <w:p w14:paraId="190DA3D5" w14:textId="77777777" w:rsidR="00840AAB" w:rsidRDefault="00840AAB" w:rsidP="00EC5FDC">
            <w:pPr>
              <w:pStyle w:val="a3"/>
              <w:numPr>
                <w:ilvl w:val="0"/>
                <w:numId w:val="0"/>
              </w:numPr>
              <w:rPr>
                <w:b/>
                <w:lang w:val="sl-SI" w:eastAsia="ko-KR"/>
              </w:rPr>
            </w:pPr>
          </w:p>
          <w:p w14:paraId="3B52F3E7" w14:textId="77777777" w:rsidR="00840AAB" w:rsidRDefault="00840AAB" w:rsidP="00EC5FDC">
            <w:pPr>
              <w:pStyle w:val="a3"/>
              <w:numPr>
                <w:ilvl w:val="0"/>
                <w:numId w:val="0"/>
              </w:numPr>
              <w:rPr>
                <w:lang w:val="sl-SI" w:eastAsia="ko-KR"/>
              </w:rPr>
            </w:pPr>
            <w:r>
              <w:rPr>
                <w:rFonts w:eastAsia="Times New Roman"/>
                <w:lang w:val="sl-SI" w:eastAsia="ko-KR"/>
              </w:rPr>
              <w:t xml:space="preserve">Napolnjene injekcijske brizge </w:t>
            </w:r>
            <w:r>
              <w:rPr>
                <w:rFonts w:eastAsia="Times New Roman"/>
                <w:b/>
                <w:bCs/>
                <w:lang w:val="sl-SI" w:eastAsia="ko-KR"/>
              </w:rPr>
              <w:t>ne</w:t>
            </w:r>
            <w:r>
              <w:rPr>
                <w:rFonts w:eastAsia="Times New Roman"/>
                <w:lang w:val="sl-SI" w:eastAsia="ko-KR"/>
              </w:rPr>
              <w:t xml:space="preserve"> uporabljajte ponovno, če:</w:t>
            </w:r>
          </w:p>
          <w:p w14:paraId="7863B05E" w14:textId="19B6E718" w:rsidR="00840AAB" w:rsidRDefault="00840AAB" w:rsidP="00EC5FDC">
            <w:pPr>
              <w:pStyle w:val="a3"/>
              <w:numPr>
                <w:ilvl w:val="2"/>
                <w:numId w:val="39"/>
              </w:numPr>
              <w:rPr>
                <w:lang w:val="sl-SI" w:eastAsia="ko-KR"/>
              </w:rPr>
            </w:pPr>
            <w:r>
              <w:rPr>
                <w:rFonts w:eastAsia="Times New Roman"/>
                <w:lang w:val="sl-SI" w:eastAsia="ko-KR"/>
              </w:rPr>
              <w:t xml:space="preserve">je razpokana ali poškodovana </w:t>
            </w:r>
          </w:p>
          <w:p w14:paraId="237202FB" w14:textId="18CC4FEC" w:rsidR="00840AAB" w:rsidRPr="00366D10" w:rsidRDefault="00840AAB" w:rsidP="00EC5FDC">
            <w:pPr>
              <w:pStyle w:val="a3"/>
              <w:numPr>
                <w:ilvl w:val="2"/>
                <w:numId w:val="39"/>
              </w:numPr>
              <w:ind w:hanging="567"/>
              <w:rPr>
                <w:lang w:val="sl-SI" w:eastAsia="ko-KR"/>
              </w:rPr>
            </w:pPr>
            <w:r>
              <w:rPr>
                <w:rFonts w:eastAsia="Times New Roman"/>
                <w:lang w:val="sl-SI" w:eastAsia="ko-KR"/>
              </w:rPr>
              <w:t xml:space="preserve">je pretekel rok uporabnosti </w:t>
            </w:r>
          </w:p>
          <w:p w14:paraId="76C759B9" w14:textId="1B757E28" w:rsidR="00F90CAB" w:rsidRDefault="00F90CAB" w:rsidP="00EC5FDC">
            <w:pPr>
              <w:pStyle w:val="a3"/>
              <w:numPr>
                <w:ilvl w:val="2"/>
                <w:numId w:val="39"/>
              </w:numPr>
              <w:ind w:hanging="567"/>
              <w:rPr>
                <w:lang w:val="sl-SI" w:eastAsia="ko-KR"/>
              </w:rPr>
            </w:pPr>
            <w:r w:rsidRPr="00566D4D">
              <w:rPr>
                <w:lang w:val="es-ES"/>
              </w:rPr>
              <w:t>je padel na trdo površino.</w:t>
            </w:r>
          </w:p>
          <w:p w14:paraId="67E92256" w14:textId="77777777" w:rsidR="00840AAB" w:rsidRDefault="00840AAB" w:rsidP="00EC5FDC">
            <w:pPr>
              <w:pStyle w:val="Default"/>
              <w:rPr>
                <w:color w:val="211D1E"/>
                <w:sz w:val="20"/>
                <w:szCs w:val="20"/>
                <w:lang w:val="sl-SI"/>
              </w:rPr>
            </w:pPr>
          </w:p>
          <w:p w14:paraId="75D71E32" w14:textId="77777777" w:rsidR="00840AAB" w:rsidRDefault="00840AAB" w:rsidP="00EC5FDC">
            <w:pPr>
              <w:ind w:right="1248"/>
              <w:rPr>
                <w:rFonts w:ascii="Times New Roman" w:eastAsia="Times New Roman" w:hAnsi="Times New Roman" w:cs="Times New Roman"/>
                <w:b/>
                <w:bCs/>
                <w:lang w:val="sl-SI"/>
              </w:rPr>
            </w:pPr>
          </w:p>
        </w:tc>
      </w:tr>
      <w:tr w:rsidR="00840AAB" w14:paraId="7FCB8BE4" w14:textId="77777777" w:rsidTr="00EC5FDC">
        <w:trPr>
          <w:trHeight w:val="5669"/>
        </w:trPr>
        <w:tc>
          <w:tcPr>
            <w:tcW w:w="9351" w:type="dxa"/>
          </w:tcPr>
          <w:p w14:paraId="358C790D" w14:textId="77777777" w:rsidR="00840AAB" w:rsidRDefault="00840AAB" w:rsidP="00EC5FDC">
            <w:pPr>
              <w:pStyle w:val="a3"/>
              <w:rPr>
                <w:lang w:val="sl-SI" w:eastAsia="ko-KR"/>
              </w:rPr>
            </w:pPr>
          </w:p>
          <w:p w14:paraId="690CBA24" w14:textId="72AD76B1" w:rsidR="00840AAB" w:rsidRDefault="00EC5FDC" w:rsidP="00EC5FDC">
            <w:pPr>
              <w:pStyle w:val="a3"/>
              <w:rPr>
                <w:lang w:val="sl-SI"/>
              </w:rPr>
            </w:pPr>
            <w:r>
              <w:rPr>
                <w:rFonts w:eastAsia="Times New Roman"/>
                <w:b/>
                <w:bCs/>
                <w:noProof/>
                <w:lang w:eastAsia="ko-KR"/>
              </w:rPr>
              <mc:AlternateContent>
                <mc:Choice Requires="wpg">
                  <w:drawing>
                    <wp:anchor distT="0" distB="0" distL="114300" distR="114300" simplePos="0" relativeHeight="251658300" behindDoc="0" locked="0" layoutInCell="1" allowOverlap="1" wp14:anchorId="3C17B182" wp14:editId="77623E2D">
                      <wp:simplePos x="0" y="0"/>
                      <wp:positionH relativeFrom="column">
                        <wp:posOffset>38100</wp:posOffset>
                      </wp:positionH>
                      <wp:positionV relativeFrom="paragraph">
                        <wp:posOffset>145415</wp:posOffset>
                      </wp:positionV>
                      <wp:extent cx="2051685" cy="2724150"/>
                      <wp:effectExtent l="19050" t="19050" r="24765" b="0"/>
                      <wp:wrapSquare wrapText="bothSides"/>
                      <wp:docPr id="126" name="그룹 126"/>
                      <wp:cNvGraphicFramePr/>
                      <a:graphic xmlns:a="http://schemas.openxmlformats.org/drawingml/2006/main">
                        <a:graphicData uri="http://schemas.microsoft.com/office/word/2010/wordprocessingGroup">
                          <wpg:wgp>
                            <wpg:cNvGrpSpPr/>
                            <wpg:grpSpPr>
                              <a:xfrm>
                                <a:off x="0" y="0"/>
                                <a:ext cx="2051685" cy="2724150"/>
                                <a:chOff x="0" y="0"/>
                                <a:chExt cx="2171700" cy="2870594"/>
                              </a:xfrm>
                            </wpg:grpSpPr>
                            <pic:pic xmlns:pic="http://schemas.openxmlformats.org/drawingml/2006/picture">
                              <pic:nvPicPr>
                                <pic:cNvPr id="1024" name="그림 1024"/>
                                <pic:cNvPicPr>
                                  <a:picLocks noChangeAspect="1"/>
                                </pic:cNvPicPr>
                              </pic:nvPicPr>
                              <pic:blipFill>
                                <a:blip r:embed="rId105" cstate="print">
                                  <a:extLst>
                                    <a:ext uri="{28A0092B-C50C-407E-A947-70E740481C1C}">
                                      <a14:useLocalDpi xmlns:a14="http://schemas.microsoft.com/office/drawing/2010/main" val="0"/>
                                    </a:ext>
                                  </a:extLst>
                                </a:blip>
                                <a:srcRect/>
                                <a:stretch/>
                              </pic:blipFill>
                              <pic:spPr bwMode="auto">
                                <a:xfrm>
                                  <a:off x="0" y="0"/>
                                  <a:ext cx="2171700" cy="2663825"/>
                                </a:xfrm>
                                <a:prstGeom prst="rect">
                                  <a:avLst/>
                                </a:prstGeom>
                                <a:noFill/>
                                <a:ln>
                                  <a:solidFill>
                                    <a:schemeClr val="tx1"/>
                                  </a:solidFill>
                                </a:ln>
                                <a:extLst>
                                  <a:ext uri="{53640926-AAD7-44D8-BBD7-CCE9431645EC}">
                                    <a14:shadowObscured xmlns:a14="http://schemas.microsoft.com/office/drawing/2010/main"/>
                                  </a:ext>
                                </a:extLst>
                              </pic:spPr>
                            </pic:pic>
                            <wps:wsp>
                              <wps:cNvPr id="1026" name="Text Box 1026"/>
                              <wps:cNvSpPr txBox="1"/>
                              <wps:spPr>
                                <a:xfrm>
                                  <a:off x="1450395" y="2724544"/>
                                  <a:ext cx="719758" cy="146050"/>
                                </a:xfrm>
                                <a:prstGeom prst="rect">
                                  <a:avLst/>
                                </a:prstGeom>
                                <a:solidFill>
                                  <a:prstClr val="white"/>
                                </a:solidFill>
                                <a:ln>
                                  <a:noFill/>
                                </a:ln>
                              </wps:spPr>
                              <wps:txbx>
                                <w:txbxContent>
                                  <w:p w14:paraId="40F812F8"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lang w:val="sl-SI"/>
                                      </w:rPr>
                                      <w:t>Slika 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17B182" id="그룹 126" o:spid="_x0000_s1187" style="position:absolute;margin-left:3pt;margin-top:11.45pt;width:161.55pt;height:214.5pt;z-index:251658300;mso-width-relative:margin;mso-height-relative:margin" coordsize="21717,28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">
                      <v:shape id="그림 1024" o:spid="_x0000_s1188" type="#_x0000_t75" style="position:absolute;width:21717;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" stroked="t" strokecolor="black [3213]">
                        <v:imagedata r:id="rId106" o:title=""/>
                        <v:path arrowok="t"/>
                      </v:shape>
                      <v:shape id="Text Box 1026" o:spid="_x0000_s1189" type="#_x0000_t202" style="position:absolute;left:14503;top:27245;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" stroked="f">
                        <v:textbox inset="0,0,0,0">
                          <w:txbxContent>
                            <w:p w14:paraId="40F812F8"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lang w:val="sl-SI"/>
                                </w:rPr>
                                <w:t>Slika C</w:t>
                              </w:r>
                            </w:p>
                          </w:txbxContent>
                        </v:textbox>
                      </v:shape>
                      <w10:wrap type="square"/>
                    </v:group>
                  </w:pict>
                </mc:Fallback>
              </mc:AlternateContent>
            </w:r>
          </w:p>
          <w:p w14:paraId="284DEFCA" w14:textId="6CE315FE" w:rsidR="00840AAB" w:rsidRDefault="00840AAB" w:rsidP="00EC5FDC">
            <w:pPr>
              <w:pStyle w:val="a3"/>
              <w:numPr>
                <w:ilvl w:val="0"/>
                <w:numId w:val="131"/>
              </w:numPr>
              <w:rPr>
                <w:b/>
                <w:lang w:val="sl-SI"/>
              </w:rPr>
            </w:pPr>
            <w:r>
              <w:rPr>
                <w:rFonts w:eastAsia="Times New Roman"/>
                <w:b/>
                <w:bCs/>
                <w:lang w:val="sl-SI"/>
              </w:rPr>
              <w:t>Preglejte zdravilo.</w:t>
            </w:r>
          </w:p>
          <w:p w14:paraId="50F4E3C3" w14:textId="62066C4C" w:rsidR="00840AAB" w:rsidRDefault="00840AAB" w:rsidP="00EC5FDC">
            <w:pPr>
              <w:ind w:right="1248"/>
              <w:rPr>
                <w:rFonts w:ascii="Times New Roman" w:eastAsia="Times New Roman" w:hAnsi="Times New Roman" w:cs="Times New Roman"/>
                <w:b/>
                <w:bCs/>
                <w:lang w:val="sl-SI"/>
              </w:rPr>
            </w:pPr>
          </w:p>
          <w:p w14:paraId="5DD27F56" w14:textId="77777777" w:rsidR="00840AAB" w:rsidRDefault="00840AAB" w:rsidP="00EC5FDC">
            <w:pPr>
              <w:pStyle w:val="a3"/>
              <w:ind w:left="4117" w:hanging="180"/>
              <w:rPr>
                <w:lang w:val="sl-SI" w:eastAsia="ko-KR"/>
              </w:rPr>
            </w:pPr>
            <w:r>
              <w:rPr>
                <w:rFonts w:eastAsia="Times New Roman"/>
                <w:b/>
                <w:bCs/>
                <w:lang w:val="sl-SI" w:eastAsia="ko-KR"/>
              </w:rPr>
              <w:t>a</w:t>
            </w:r>
            <w:r>
              <w:rPr>
                <w:rFonts w:eastAsia="Times New Roman"/>
                <w:lang w:val="sl-SI" w:eastAsia="ko-KR"/>
              </w:rPr>
              <w:t>. Preglejte zdravilo in se prepričajte, da je tekočina bistra, brezbarvna do bledo rjava in brez delcev.</w:t>
            </w:r>
          </w:p>
          <w:p w14:paraId="6F6BFBBA" w14:textId="77777777" w:rsidR="00840AAB" w:rsidRDefault="00840AAB" w:rsidP="00EC5FDC">
            <w:pPr>
              <w:pStyle w:val="a3"/>
              <w:numPr>
                <w:ilvl w:val="0"/>
                <w:numId w:val="0"/>
              </w:numPr>
              <w:tabs>
                <w:tab w:val="left" w:pos="3861"/>
              </w:tabs>
              <w:rPr>
                <w:lang w:val="sl-SI"/>
              </w:rPr>
            </w:pPr>
          </w:p>
          <w:p w14:paraId="1CA50795" w14:textId="77777777" w:rsidR="00840AAB" w:rsidRDefault="00840AAB" w:rsidP="00EC5FDC">
            <w:pPr>
              <w:pStyle w:val="a3"/>
              <w:numPr>
                <w:ilvl w:val="0"/>
                <w:numId w:val="40"/>
              </w:numPr>
              <w:ind w:left="4297"/>
              <w:rPr>
                <w:lang w:val="sl-SI"/>
              </w:rPr>
            </w:pPr>
            <w:r>
              <w:rPr>
                <w:rFonts w:eastAsia="Times New Roman"/>
                <w:lang w:val="sl-SI"/>
              </w:rPr>
              <w:t xml:space="preserve">Napolnjene injekcijske brizge </w:t>
            </w:r>
            <w:r>
              <w:rPr>
                <w:rFonts w:eastAsia="Times New Roman"/>
                <w:b/>
                <w:bCs/>
                <w:lang w:val="sl-SI"/>
              </w:rPr>
              <w:t>ne</w:t>
            </w:r>
            <w:r>
              <w:rPr>
                <w:rFonts w:eastAsia="Times New Roman"/>
                <w:lang w:val="sl-SI"/>
              </w:rPr>
              <w:t xml:space="preserve"> uporabljajte, če je tekočina obarvana (rumena ali temno rjavo), motna ali vsebuje delce.</w:t>
            </w:r>
          </w:p>
          <w:p w14:paraId="0220A019" w14:textId="77777777" w:rsidR="00840AAB" w:rsidRDefault="00840AAB" w:rsidP="00EC5FDC">
            <w:pPr>
              <w:pStyle w:val="a3"/>
              <w:numPr>
                <w:ilvl w:val="0"/>
                <w:numId w:val="0"/>
              </w:numPr>
              <w:rPr>
                <w:lang w:val="sl-SI"/>
              </w:rPr>
            </w:pPr>
          </w:p>
          <w:p w14:paraId="38AA7EB4" w14:textId="77777777" w:rsidR="00840AAB" w:rsidRDefault="00840AAB" w:rsidP="00EC5FDC">
            <w:pPr>
              <w:pStyle w:val="a3"/>
              <w:numPr>
                <w:ilvl w:val="0"/>
                <w:numId w:val="40"/>
              </w:numPr>
              <w:ind w:left="4297"/>
              <w:rPr>
                <w:b/>
                <w:bCs/>
                <w:lang w:val="sl-SI"/>
              </w:rPr>
            </w:pPr>
            <w:r>
              <w:rPr>
                <w:rFonts w:eastAsia="Times New Roman"/>
                <w:lang w:val="sl-SI"/>
              </w:rPr>
              <w:t>V tekočini so lahko vidni zračni mehurčki. To je normalno.</w:t>
            </w:r>
          </w:p>
        </w:tc>
      </w:tr>
      <w:tr w:rsidR="00840AAB" w:rsidRPr="00652F18" w14:paraId="1E388C8E" w14:textId="77777777" w:rsidTr="00EC5FDC">
        <w:trPr>
          <w:trHeight w:val="5669"/>
        </w:trPr>
        <w:tc>
          <w:tcPr>
            <w:tcW w:w="9351" w:type="dxa"/>
          </w:tcPr>
          <w:p w14:paraId="3EC2AC21" w14:textId="77777777" w:rsidR="00840AAB" w:rsidRDefault="00840AAB" w:rsidP="00EC5FDC">
            <w:pPr>
              <w:ind w:right="1248"/>
              <w:rPr>
                <w:rFonts w:ascii="Times New Roman" w:eastAsia="Times New Roman" w:hAnsi="Times New Roman" w:cs="Times New Roman"/>
                <w:b/>
                <w:bCs/>
                <w:spacing w:val="-1"/>
                <w:lang w:val="sl-SI"/>
              </w:rPr>
            </w:pPr>
          </w:p>
          <w:p w14:paraId="4D524308" w14:textId="77777777" w:rsidR="00840AAB" w:rsidRDefault="00840AAB" w:rsidP="00EC5FDC">
            <w:pPr>
              <w:ind w:right="1248"/>
              <w:rPr>
                <w:rFonts w:ascii="Times New Roman" w:eastAsia="Times New Roman" w:hAnsi="Times New Roman" w:cs="Times New Roman"/>
                <w:bCs/>
                <w:lang w:val="sl-SI"/>
              </w:rPr>
            </w:pPr>
          </w:p>
          <w:p w14:paraId="67E269F6" w14:textId="34F84640" w:rsidR="00840AAB" w:rsidRDefault="00840AAB" w:rsidP="00EC5FDC">
            <w:pPr>
              <w:ind w:right="1248"/>
              <w:rPr>
                <w:rFonts w:ascii="Times New Roman" w:eastAsia="Times New Roman" w:hAnsi="Times New Roman" w:cs="Times New Roman"/>
                <w:bCs/>
                <w:lang w:val="sl-SI"/>
              </w:rPr>
            </w:pPr>
            <w:r>
              <w:rPr>
                <w:rFonts w:ascii="Times New Roman" w:eastAsia="Times New Roman" w:hAnsi="Times New Roman" w:cs="Times New Roman"/>
                <w:bCs/>
                <w:noProof/>
                <w:lang w:eastAsia="ko-KR"/>
              </w:rPr>
              <mc:AlternateContent>
                <mc:Choice Requires="wpg">
                  <w:drawing>
                    <wp:anchor distT="0" distB="0" distL="114300" distR="114300" simplePos="0" relativeHeight="251658316" behindDoc="0" locked="0" layoutInCell="1" allowOverlap="1" wp14:anchorId="7DF834BE" wp14:editId="43D7A270">
                      <wp:simplePos x="0" y="0"/>
                      <wp:positionH relativeFrom="column">
                        <wp:posOffset>121054</wp:posOffset>
                      </wp:positionH>
                      <wp:positionV relativeFrom="paragraph">
                        <wp:posOffset>100676</wp:posOffset>
                      </wp:positionV>
                      <wp:extent cx="2134235" cy="2749550"/>
                      <wp:effectExtent l="0" t="0" r="0" b="0"/>
                      <wp:wrapSquare wrapText="bothSides"/>
                      <wp:docPr id="1027" name="그룹 1027"/>
                      <wp:cNvGraphicFramePr/>
                      <a:graphic xmlns:a="http://schemas.openxmlformats.org/drawingml/2006/main">
                        <a:graphicData uri="http://schemas.microsoft.com/office/word/2010/wordprocessingGroup">
                          <wpg:wgp>
                            <wpg:cNvGrpSpPr/>
                            <wpg:grpSpPr>
                              <a:xfrm>
                                <a:off x="0" y="0"/>
                                <a:ext cx="2125222" cy="2749550"/>
                                <a:chOff x="4506" y="0"/>
                                <a:chExt cx="2125222" cy="2749550"/>
                              </a:xfrm>
                            </wpg:grpSpPr>
                            <wpg:grpSp>
                              <wpg:cNvPr id="1029" name="그룹 1029"/>
                              <wpg:cNvGrpSpPr/>
                              <wpg:grpSpPr>
                                <a:xfrm>
                                  <a:off x="4506" y="0"/>
                                  <a:ext cx="2125222" cy="2749550"/>
                                  <a:chOff x="4506" y="0"/>
                                  <a:chExt cx="2125222" cy="2749550"/>
                                </a:xfrm>
                              </wpg:grpSpPr>
                              <pic:pic xmlns:pic="http://schemas.openxmlformats.org/drawingml/2006/picture">
                                <pic:nvPicPr>
                                  <pic:cNvPr id="1034" name="그림 1034"/>
                                  <pic:cNvPicPr>
                                    <a:picLocks noChangeAspect="1"/>
                                  </pic:cNvPicPr>
                                </pic:nvPicPr>
                                <pic:blipFill>
                                  <a:blip r:embed="rId107" cstate="print">
                                    <a:extLst>
                                      <a:ext uri="{28A0092B-C50C-407E-A947-70E740481C1C}">
                                        <a14:useLocalDpi xmlns:a14="http://schemas.microsoft.com/office/drawing/2010/main" val="0"/>
                                      </a:ext>
                                    </a:extLst>
                                  </a:blip>
                                  <a:srcRect/>
                                  <a:stretch/>
                                </pic:blipFill>
                                <pic:spPr bwMode="auto">
                                  <a:xfrm>
                                    <a:off x="4506" y="0"/>
                                    <a:ext cx="2125222" cy="2607310"/>
                                  </a:xfrm>
                                  <a:prstGeom prst="rect">
                                    <a:avLst/>
                                  </a:prstGeom>
                                  <a:noFill/>
                                  <a:ln>
                                    <a:noFill/>
                                  </a:ln>
                                </pic:spPr>
                              </pic:pic>
                              <wps:wsp>
                                <wps:cNvPr id="1035" name="Text Box 1035"/>
                                <wps:cNvSpPr txBox="1"/>
                                <wps:spPr>
                                  <a:xfrm>
                                    <a:off x="1371600" y="2603500"/>
                                    <a:ext cx="719758" cy="146050"/>
                                  </a:xfrm>
                                  <a:prstGeom prst="rect">
                                    <a:avLst/>
                                  </a:prstGeom>
                                  <a:solidFill>
                                    <a:prstClr val="white"/>
                                  </a:solidFill>
                                  <a:ln>
                                    <a:noFill/>
                                  </a:ln>
                                </wps:spPr>
                                <wps:txbx>
                                  <w:txbxContent>
                                    <w:p w14:paraId="7B9C40FF"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lang w:val="sl-SI"/>
                                        </w:rPr>
                                        <w:t>Slika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37" name="Text Box 1037"/>
                              <wps:cNvSpPr txBox="1"/>
                              <wps:spPr>
                                <a:xfrm>
                                  <a:off x="1156855" y="83128"/>
                                  <a:ext cx="858520" cy="104126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088DE8B" w14:textId="77777777" w:rsidR="00474DFB" w:rsidRDefault="00474DFB" w:rsidP="00840AAB">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sl-SI"/>
                                      </w:rPr>
                                      <w:t>15 – 30 minut</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7DF834BE" id="그룹 1027" o:spid="_x0000_s1190" style="position:absolute;margin-left:9.55pt;margin-top:7.95pt;width:168.05pt;height:216.5pt;z-index:251658316" coordorigin="45" coordsize="21252,27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">
                      <v:group id="그룹 1029" o:spid="_x0000_s1191" style="position:absolute;left:45;width:21252;height:27495" coordorigin="45" coordsize="21252,2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">
                        <v:shape id="그림 1034" o:spid="_x0000_s1192" type="#_x0000_t75" style="position:absolute;left:45;width:21252;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">
                          <v:imagedata r:id="rId108" o:title=""/>
                        </v:shape>
                        <v:shape id="Text Box 1035" o:spid="_x0000_s1193" type="#_x0000_t202" style="position:absolute;left:13716;top:26035;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" stroked="f">
                          <v:textbox style="mso-fit-shape-to-text:t" inset="0,0,0,0">
                            <w:txbxContent>
                              <w:p w14:paraId="7B9C40FF"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lang w:val="sl-SI"/>
                                  </w:rPr>
                                  <w:t>Slika D</w:t>
                                </w:r>
                              </w:p>
                            </w:txbxContent>
                          </v:textbox>
                        </v:shape>
                      </v:group>
                      <v:shape id="Text Box 1037" o:spid="_x0000_s1194" type="#_x0000_t202" style="position:absolute;left:11568;top:831;width:8585;height:10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" fillcolor="white [3212]" stroked="f" strokeweight=".5pt">
                        <v:textbox inset="0,0,0,0">
                          <w:txbxContent>
                            <w:p w14:paraId="4088DE8B" w14:textId="77777777" w:rsidR="00474DFB" w:rsidRDefault="00474DFB" w:rsidP="00840AAB">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sl-SI"/>
                                </w:rPr>
                                <w:t>15 – 30 minut</w:t>
                              </w:r>
                            </w:p>
                          </w:txbxContent>
                        </v:textbox>
                      </v:shape>
                      <w10:wrap type="square"/>
                    </v:group>
                  </w:pict>
                </mc:Fallback>
              </mc:AlternateContent>
            </w:r>
          </w:p>
          <w:p w14:paraId="7407FD52" w14:textId="77777777" w:rsidR="00840AAB" w:rsidRDefault="00840AAB" w:rsidP="00EC5FDC">
            <w:pPr>
              <w:pStyle w:val="a3"/>
              <w:numPr>
                <w:ilvl w:val="0"/>
                <w:numId w:val="131"/>
              </w:numPr>
              <w:rPr>
                <w:b/>
                <w:lang w:val="sl-SI"/>
              </w:rPr>
            </w:pPr>
            <w:r>
              <w:rPr>
                <w:rFonts w:eastAsia="Times New Roman"/>
                <w:b/>
                <w:bCs/>
                <w:lang w:val="sl-SI"/>
              </w:rPr>
              <w:t>Počakajte 15 do 30 minut.</w:t>
            </w:r>
          </w:p>
          <w:p w14:paraId="718E35C3" w14:textId="77777777" w:rsidR="00840AAB" w:rsidRDefault="00840AAB" w:rsidP="00EC5FDC">
            <w:pPr>
              <w:pStyle w:val="a3"/>
              <w:numPr>
                <w:ilvl w:val="0"/>
                <w:numId w:val="0"/>
              </w:numPr>
              <w:ind w:left="471"/>
              <w:rPr>
                <w:b/>
                <w:lang w:val="sl-SI"/>
              </w:rPr>
            </w:pPr>
          </w:p>
          <w:p w14:paraId="77B16728" w14:textId="77777777" w:rsidR="00840AAB" w:rsidRDefault="00840AAB" w:rsidP="00EC5FDC">
            <w:pPr>
              <w:pStyle w:val="a3"/>
              <w:ind w:left="4297" w:hanging="180"/>
              <w:rPr>
                <w:lang w:val="sl-SI"/>
              </w:rPr>
            </w:pPr>
            <w:r>
              <w:rPr>
                <w:rFonts w:eastAsia="Times New Roman"/>
                <w:b/>
                <w:lang w:val="sl-SI"/>
              </w:rPr>
              <w:t>a</w:t>
            </w:r>
            <w:r>
              <w:rPr>
                <w:rFonts w:eastAsia="Times New Roman"/>
                <w:lang w:val="sl-SI"/>
              </w:rPr>
              <w:t>. Napolnjeno injekcijsko brizgo pustite na sobni temperaturi 15 do 30 minut, da se segreje.</w:t>
            </w:r>
          </w:p>
          <w:p w14:paraId="6BCF6A55" w14:textId="77777777" w:rsidR="00840AAB" w:rsidRDefault="00840AAB" w:rsidP="00EC5FDC">
            <w:pPr>
              <w:pStyle w:val="Default"/>
              <w:rPr>
                <w:color w:val="211D1E"/>
                <w:sz w:val="20"/>
                <w:szCs w:val="20"/>
                <w:lang w:val="sl-SI"/>
              </w:rPr>
            </w:pPr>
          </w:p>
          <w:p w14:paraId="0F2F2203" w14:textId="77777777" w:rsidR="00840AAB" w:rsidRDefault="00840AAB" w:rsidP="00EC5FDC">
            <w:pPr>
              <w:pStyle w:val="a3"/>
              <w:numPr>
                <w:ilvl w:val="0"/>
                <w:numId w:val="40"/>
              </w:numPr>
              <w:ind w:left="4297"/>
              <w:rPr>
                <w:rFonts w:eastAsia="Times New Roman" w:cstheme="minorBidi"/>
                <w:lang w:val="sl-SI"/>
              </w:rPr>
            </w:pPr>
            <w:r>
              <w:rPr>
                <w:rFonts w:eastAsia="Times New Roman"/>
                <w:lang w:val="sl-SI"/>
              </w:rPr>
              <w:t xml:space="preserve">Napolnjene injekcijske brizge </w:t>
            </w:r>
            <w:r>
              <w:rPr>
                <w:rFonts w:eastAsia="Times New Roman"/>
                <w:b/>
                <w:bCs/>
                <w:lang w:val="sl-SI"/>
              </w:rPr>
              <w:t>ne smete</w:t>
            </w:r>
            <w:r>
              <w:rPr>
                <w:rFonts w:eastAsia="Times New Roman"/>
                <w:lang w:val="sl-SI"/>
              </w:rPr>
              <w:t xml:space="preserve"> segrevati na kateri koli drug način, na primer v mikrovalovni pečici ali vroči vodi.</w:t>
            </w:r>
          </w:p>
        </w:tc>
      </w:tr>
      <w:tr w:rsidR="00EC5FDC" w:rsidRPr="00652F18" w14:paraId="77BA7238" w14:textId="77777777" w:rsidTr="00EC5FDC">
        <w:trPr>
          <w:trHeight w:val="6350"/>
        </w:trPr>
        <w:tc>
          <w:tcPr>
            <w:tcW w:w="9351" w:type="dxa"/>
          </w:tcPr>
          <w:p w14:paraId="00EAFD5E" w14:textId="5CF662DD" w:rsidR="00EC5FDC" w:rsidRDefault="00EC5FDC" w:rsidP="00EC5FDC">
            <w:pPr>
              <w:ind w:right="1248"/>
              <w:rPr>
                <w:rFonts w:ascii="Times New Roman" w:eastAsia="Times New Roman" w:hAnsi="Times New Roman" w:cs="Times New Roman"/>
                <w:b/>
                <w:bCs/>
                <w:spacing w:val="-1"/>
                <w:lang w:val="sl-SI"/>
              </w:rPr>
            </w:pPr>
          </w:p>
          <w:p w14:paraId="5EAE9CB9" w14:textId="7ED5A4AB" w:rsidR="00EC5FDC" w:rsidRDefault="00EC5FDC" w:rsidP="00EC5FDC">
            <w:pPr>
              <w:ind w:right="1248"/>
              <w:rPr>
                <w:rFonts w:ascii="Times New Roman" w:eastAsia="Times New Roman" w:hAnsi="Times New Roman" w:cs="Times New Roman"/>
                <w:b/>
                <w:bCs/>
                <w:spacing w:val="-1"/>
                <w:lang w:val="sl-SI"/>
              </w:rPr>
            </w:pPr>
            <w:r>
              <w:rPr>
                <w:noProof/>
                <w:lang w:eastAsia="ko-KR"/>
              </w:rPr>
              <mc:AlternateContent>
                <mc:Choice Requires="wpg">
                  <w:drawing>
                    <wp:anchor distT="0" distB="0" distL="114300" distR="114300" simplePos="0" relativeHeight="251658336" behindDoc="0" locked="0" layoutInCell="1" allowOverlap="1" wp14:anchorId="51FDAD12" wp14:editId="10E89B72">
                      <wp:simplePos x="0" y="0"/>
                      <wp:positionH relativeFrom="column">
                        <wp:posOffset>37496</wp:posOffset>
                      </wp:positionH>
                      <wp:positionV relativeFrom="paragraph">
                        <wp:posOffset>32281</wp:posOffset>
                      </wp:positionV>
                      <wp:extent cx="2160905" cy="3729355"/>
                      <wp:effectExtent l="0" t="0" r="0" b="4445"/>
                      <wp:wrapSquare wrapText="bothSides"/>
                      <wp:docPr id="103" name="그룹 103"/>
                      <wp:cNvGraphicFramePr/>
                      <a:graphic xmlns:a="http://schemas.openxmlformats.org/drawingml/2006/main">
                        <a:graphicData uri="http://schemas.microsoft.com/office/word/2010/wordprocessingGroup">
                          <wpg:wgp>
                            <wpg:cNvGrpSpPr/>
                            <wpg:grpSpPr>
                              <a:xfrm>
                                <a:off x="0" y="0"/>
                                <a:ext cx="2160905" cy="3729355"/>
                                <a:chOff x="0" y="0"/>
                                <a:chExt cx="1824658" cy="3219450"/>
                              </a:xfrm>
                            </wpg:grpSpPr>
                            <wpg:grpSp>
                              <wpg:cNvPr id="130" name="그룹 130"/>
                              <wpg:cNvGrpSpPr/>
                              <wpg:grpSpPr>
                                <a:xfrm>
                                  <a:off x="0" y="0"/>
                                  <a:ext cx="1824658" cy="3219450"/>
                                  <a:chOff x="0" y="0"/>
                                  <a:chExt cx="1824658" cy="3219450"/>
                                </a:xfrm>
                              </wpg:grpSpPr>
                              <pic:pic xmlns:pic="http://schemas.openxmlformats.org/drawingml/2006/picture">
                                <pic:nvPicPr>
                                  <pic:cNvPr id="3890" name="그림 3890"/>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3891" name="Text Box 3891"/>
                                <wps:cNvSpPr txBox="1"/>
                                <wps:spPr>
                                  <a:xfrm>
                                    <a:off x="1104900" y="3073400"/>
                                    <a:ext cx="719758" cy="146050"/>
                                  </a:xfrm>
                                  <a:prstGeom prst="rect">
                                    <a:avLst/>
                                  </a:prstGeom>
                                  <a:solidFill>
                                    <a:prstClr val="white"/>
                                  </a:solidFill>
                                  <a:ln>
                                    <a:noFill/>
                                  </a:ln>
                                </wps:spPr>
                                <wps:txbx>
                                  <w:txbxContent>
                                    <w:p w14:paraId="0950774A" w14:textId="77777777" w:rsidR="00474DFB" w:rsidRDefault="00474DFB" w:rsidP="00EC5FDC">
                                      <w:pPr>
                                        <w:pStyle w:val="af0"/>
                                        <w:jc w:val="right"/>
                                        <w:rPr>
                                          <w:rFonts w:ascii="Times New Roman" w:hAnsi="Times New Roman" w:cs="Times New Roman"/>
                                          <w:noProof/>
                                          <w:spacing w:val="-1"/>
                                        </w:rPr>
                                      </w:pPr>
                                      <w:r>
                                        <w:rPr>
                                          <w:rFonts w:ascii="Times New Roman" w:eastAsia="Times New Roman" w:hAnsi="Times New Roman" w:cs="Times New Roman"/>
                                          <w:lang w:val="sl-SI"/>
                                        </w:rPr>
                                        <w:t>Slika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892" name="Text Box 3892"/>
                              <wps:cNvSpPr txBox="1"/>
                              <wps:spPr>
                                <a:xfrm>
                                  <a:off x="566398" y="2285720"/>
                                  <a:ext cx="1148415" cy="66031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B1F9376" w14:textId="77777777" w:rsidR="00474DFB" w:rsidRDefault="00474DFB" w:rsidP="00EC5FDC">
                                    <w:pPr>
                                      <w:rPr>
                                        <w:rFonts w:asciiTheme="majorBidi" w:hAnsiTheme="majorBidi" w:cstheme="majorBidi"/>
                                        <w:b/>
                                        <w:bCs/>
                                        <w:sz w:val="18"/>
                                        <w:szCs w:val="18"/>
                                      </w:rPr>
                                    </w:pPr>
                                    <w:r>
                                      <w:rPr>
                                        <w:rFonts w:ascii="Times New Roman" w:eastAsia="Times New Roman" w:hAnsi="Times New Roman" w:cs="Times New Roman"/>
                                        <w:b/>
                                        <w:bCs/>
                                        <w:sz w:val="18"/>
                                        <w:szCs w:val="18"/>
                                        <w:lang w:val="sl-SI"/>
                                      </w:rPr>
                                      <w:t xml:space="preserve">SAMO za negovalce </w:t>
                                    </w:r>
                                  </w:p>
                                  <w:p w14:paraId="05691A6B" w14:textId="77777777" w:rsidR="00474DFB" w:rsidRDefault="00474DFB" w:rsidP="00EC5FDC">
                                    <w:pPr>
                                      <w:rPr>
                                        <w:rFonts w:asciiTheme="majorBidi" w:hAnsiTheme="majorBidi" w:cstheme="majorBidi"/>
                                        <w:b/>
                                        <w:bCs/>
                                        <w:sz w:val="18"/>
                                        <w:szCs w:val="18"/>
                                      </w:rPr>
                                    </w:pPr>
                                  </w:p>
                                  <w:p w14:paraId="2C273AC9" w14:textId="77777777" w:rsidR="00474DFB" w:rsidRDefault="00474DFB" w:rsidP="00EC5FDC">
                                    <w:pPr>
                                      <w:rPr>
                                        <w:rFonts w:asciiTheme="majorBidi" w:hAnsiTheme="majorBidi" w:cstheme="majorBidi"/>
                                        <w:b/>
                                        <w:bCs/>
                                        <w:sz w:val="18"/>
                                        <w:szCs w:val="18"/>
                                      </w:rPr>
                                    </w:pPr>
                                    <w:r>
                                      <w:rPr>
                                        <w:rFonts w:ascii="Times New Roman" w:eastAsia="Times New Roman" w:hAnsi="Times New Roman" w:cs="Times New Roman"/>
                                        <w:b/>
                                        <w:bCs/>
                                        <w:sz w:val="18"/>
                                        <w:szCs w:val="18"/>
                                        <w:lang w:val="sl-SI"/>
                                      </w:rPr>
                                      <w:t xml:space="preserve">Samoinjiciranje in negovalec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FDAD12" id="그룹 103" o:spid="_x0000_s1195" style="position:absolute;margin-left:2.95pt;margin-top:2.55pt;width:170.15pt;height:293.65pt;z-index:251658336;mso-width-relative:margin;mso-height-relative:margin"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">
                      <v:group id="그룹 130" o:spid="_x0000_s1196"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그림 3890" o:spid="_x0000_s1197"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">
                          <v:imagedata r:id="rId41" o:title=""/>
                        </v:shape>
                        <v:shape id="Text Box 3891" o:spid="_x0000_s1198"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" stroked="f">
                          <v:textbox inset="0,0,0,0">
                            <w:txbxContent>
                              <w:p w14:paraId="0950774A" w14:textId="77777777" w:rsidR="00474DFB" w:rsidRDefault="00474DFB" w:rsidP="00EC5FDC">
                                <w:pPr>
                                  <w:pStyle w:val="af0"/>
                                  <w:jc w:val="right"/>
                                  <w:rPr>
                                    <w:rFonts w:ascii="Times New Roman" w:hAnsi="Times New Roman" w:cs="Times New Roman"/>
                                    <w:noProof/>
                                    <w:spacing w:val="-1"/>
                                  </w:rPr>
                                </w:pPr>
                                <w:r>
                                  <w:rPr>
                                    <w:rFonts w:ascii="Times New Roman" w:eastAsia="Times New Roman" w:hAnsi="Times New Roman" w:cs="Times New Roman"/>
                                    <w:lang w:val="sl-SI"/>
                                  </w:rPr>
                                  <w:t>Slika E</w:t>
                                </w:r>
                              </w:p>
                            </w:txbxContent>
                          </v:textbox>
                        </v:shape>
                      </v:group>
                      <v:shape id="Text Box 3892" o:spid="_x0000_s1199" type="#_x0000_t202" style="position:absolute;left:5663;top:22857;width:11485;height:6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" fillcolor="white [3212]" stroked="f" strokeweight=".5pt">
                        <v:textbox inset="0,0,0,0">
                          <w:txbxContent>
                            <w:p w14:paraId="7B1F9376" w14:textId="77777777" w:rsidR="00474DFB" w:rsidRDefault="00474DFB" w:rsidP="00EC5FDC">
                              <w:pPr>
                                <w:rPr>
                                  <w:rFonts w:asciiTheme="majorBidi" w:hAnsiTheme="majorBidi" w:cstheme="majorBidi"/>
                                  <w:b/>
                                  <w:bCs/>
                                  <w:sz w:val="18"/>
                                  <w:szCs w:val="18"/>
                                </w:rPr>
                              </w:pPr>
                              <w:r>
                                <w:rPr>
                                  <w:rFonts w:ascii="Times New Roman" w:eastAsia="Times New Roman" w:hAnsi="Times New Roman" w:cs="Times New Roman"/>
                                  <w:b/>
                                  <w:bCs/>
                                  <w:sz w:val="18"/>
                                  <w:szCs w:val="18"/>
                                  <w:lang w:val="sl-SI"/>
                                </w:rPr>
                                <w:t xml:space="preserve">SAMO za negovalce </w:t>
                              </w:r>
                            </w:p>
                            <w:p w14:paraId="05691A6B" w14:textId="77777777" w:rsidR="00474DFB" w:rsidRDefault="00474DFB" w:rsidP="00EC5FDC">
                              <w:pPr>
                                <w:rPr>
                                  <w:rFonts w:asciiTheme="majorBidi" w:hAnsiTheme="majorBidi" w:cstheme="majorBidi"/>
                                  <w:b/>
                                  <w:bCs/>
                                  <w:sz w:val="18"/>
                                  <w:szCs w:val="18"/>
                                </w:rPr>
                              </w:pPr>
                            </w:p>
                            <w:p w14:paraId="2C273AC9" w14:textId="77777777" w:rsidR="00474DFB" w:rsidRDefault="00474DFB" w:rsidP="00EC5FDC">
                              <w:pPr>
                                <w:rPr>
                                  <w:rFonts w:asciiTheme="majorBidi" w:hAnsiTheme="majorBidi" w:cstheme="majorBidi"/>
                                  <w:b/>
                                  <w:bCs/>
                                  <w:sz w:val="18"/>
                                  <w:szCs w:val="18"/>
                                </w:rPr>
                              </w:pPr>
                              <w:r>
                                <w:rPr>
                                  <w:rFonts w:ascii="Times New Roman" w:eastAsia="Times New Roman" w:hAnsi="Times New Roman" w:cs="Times New Roman"/>
                                  <w:b/>
                                  <w:bCs/>
                                  <w:sz w:val="18"/>
                                  <w:szCs w:val="18"/>
                                  <w:lang w:val="sl-SI"/>
                                </w:rPr>
                                <w:t xml:space="preserve">Samoinjiciranje in negovalec </w:t>
                              </w:r>
                            </w:p>
                          </w:txbxContent>
                        </v:textbox>
                      </v:shape>
                      <w10:wrap type="square"/>
                    </v:group>
                  </w:pict>
                </mc:Fallback>
              </mc:AlternateContent>
            </w:r>
          </w:p>
          <w:p w14:paraId="3BA6FBD7" w14:textId="77777777" w:rsidR="00EC5FDC" w:rsidRDefault="00EC5FDC" w:rsidP="00EC5FDC">
            <w:pPr>
              <w:pStyle w:val="a3"/>
              <w:numPr>
                <w:ilvl w:val="0"/>
                <w:numId w:val="131"/>
              </w:numPr>
              <w:rPr>
                <w:rFonts w:cstheme="minorBidi"/>
                <w:b/>
                <w:lang w:val="sl-SI"/>
              </w:rPr>
            </w:pPr>
            <w:r>
              <w:rPr>
                <w:rFonts w:eastAsia="Times New Roman" w:cs="Arial"/>
                <w:b/>
                <w:bCs/>
                <w:lang w:val="sl-SI"/>
              </w:rPr>
              <w:t>Izberite</w:t>
            </w:r>
            <w:r>
              <w:rPr>
                <w:rFonts w:eastAsia="Times New Roman"/>
                <w:b/>
                <w:bCs/>
                <w:lang w:val="sl-SI"/>
              </w:rPr>
              <w:t xml:space="preserve"> mesto injiciranja</w:t>
            </w:r>
            <w:r>
              <w:rPr>
                <w:rFonts w:eastAsia="Times New Roman" w:cs="Arial"/>
                <w:lang w:val="sl-SI"/>
              </w:rPr>
              <w:t xml:space="preserve"> </w:t>
            </w:r>
          </w:p>
          <w:p w14:paraId="10184CF0" w14:textId="77777777" w:rsidR="00EC5FDC" w:rsidRDefault="00EC5FDC" w:rsidP="00EC5FDC">
            <w:pPr>
              <w:pStyle w:val="a3"/>
              <w:rPr>
                <w:lang w:val="sl-SI"/>
              </w:rPr>
            </w:pPr>
          </w:p>
          <w:p w14:paraId="0F4C40E6" w14:textId="77777777" w:rsidR="00EC5FDC" w:rsidRDefault="00EC5FDC" w:rsidP="00EC5FDC">
            <w:pPr>
              <w:pStyle w:val="a3"/>
              <w:ind w:left="3577" w:hanging="180"/>
              <w:rPr>
                <w:lang w:val="sl-SI"/>
              </w:rPr>
            </w:pPr>
            <w:r>
              <w:rPr>
                <w:rFonts w:eastAsia="Times New Roman"/>
                <w:b/>
                <w:bCs/>
                <w:lang w:val="sl-SI"/>
              </w:rPr>
              <w:t>a.</w:t>
            </w:r>
            <w:r>
              <w:rPr>
                <w:rFonts w:eastAsia="Times New Roman"/>
                <w:lang w:val="sl-SI"/>
              </w:rPr>
              <w:t xml:space="preserve"> Injicirate lahko v:</w:t>
            </w:r>
          </w:p>
          <w:p w14:paraId="7B626362" w14:textId="77777777" w:rsidR="00EC5FDC" w:rsidRDefault="00EC5FDC" w:rsidP="00EC5FDC">
            <w:pPr>
              <w:pStyle w:val="a3"/>
              <w:ind w:left="3847"/>
              <w:rPr>
                <w:lang w:val="sl-SI"/>
              </w:rPr>
            </w:pPr>
            <w:r>
              <w:rPr>
                <w:rFonts w:eastAsia="Times New Roman"/>
                <w:lang w:val="sl-SI"/>
              </w:rPr>
              <w:t xml:space="preserve">- sprednjo stran stegen. </w:t>
            </w:r>
          </w:p>
          <w:p w14:paraId="088BB0C6" w14:textId="77777777" w:rsidR="00EC5FDC" w:rsidRDefault="00EC5FDC" w:rsidP="00EC5FDC">
            <w:pPr>
              <w:pStyle w:val="a3"/>
              <w:ind w:left="3847"/>
              <w:rPr>
                <w:lang w:val="sl-SI"/>
              </w:rPr>
            </w:pPr>
            <w:r>
              <w:rPr>
                <w:rFonts w:eastAsia="Times New Roman"/>
                <w:lang w:val="sl-SI"/>
              </w:rPr>
              <w:t xml:space="preserve">- trebuh, najmanj 5 cm oddaljeno od popka. </w:t>
            </w:r>
          </w:p>
          <w:p w14:paraId="72094D4E" w14:textId="77777777" w:rsidR="00EC5FDC" w:rsidRPr="00EC5FDC" w:rsidRDefault="00EC5FDC" w:rsidP="00EC5FDC">
            <w:pPr>
              <w:pStyle w:val="a3"/>
              <w:ind w:left="3847"/>
              <w:rPr>
                <w:lang w:val="sl-SI"/>
              </w:rPr>
            </w:pPr>
            <w:r>
              <w:rPr>
                <w:rFonts w:eastAsia="Times New Roman"/>
                <w:lang w:val="sl-SI"/>
              </w:rPr>
              <w:t xml:space="preserve">- </w:t>
            </w:r>
            <w:r w:rsidRPr="00EC5FDC">
              <w:rPr>
                <w:rFonts w:eastAsia="Times New Roman"/>
                <w:lang w:val="sl-SI"/>
              </w:rPr>
              <w:t xml:space="preserve">zunanji del nadlakti (SAMO, če ste negovalec). </w:t>
            </w:r>
          </w:p>
          <w:p w14:paraId="69E79E12" w14:textId="77777777" w:rsidR="00EC5FDC" w:rsidRPr="00EC5FDC" w:rsidRDefault="00EC5FDC" w:rsidP="00EC5FDC">
            <w:pPr>
              <w:pStyle w:val="a3"/>
              <w:rPr>
                <w:lang w:val="sl-SI"/>
              </w:rPr>
            </w:pPr>
          </w:p>
          <w:p w14:paraId="75A818BD" w14:textId="77777777" w:rsidR="00EC5FDC" w:rsidRPr="00EC5FDC" w:rsidRDefault="00EC5FDC" w:rsidP="00EC5FDC">
            <w:pPr>
              <w:pStyle w:val="a3"/>
              <w:numPr>
                <w:ilvl w:val="0"/>
                <w:numId w:val="18"/>
              </w:numPr>
              <w:ind w:left="3577"/>
              <w:rPr>
                <w:lang w:val="sl-SI"/>
              </w:rPr>
            </w:pPr>
            <w:r w:rsidRPr="00EC5FDC">
              <w:rPr>
                <w:rFonts w:eastAsia="Times New Roman"/>
                <w:b/>
                <w:bCs/>
                <w:lang w:val="sl-SI"/>
              </w:rPr>
              <w:t>Ne</w:t>
            </w:r>
            <w:r w:rsidRPr="00EC5FDC">
              <w:rPr>
                <w:rFonts w:eastAsia="Times New Roman"/>
                <w:lang w:val="sl-SI"/>
              </w:rPr>
              <w:t xml:space="preserve"> injicirajte v kožo, ki je od popka oddaljena manj kot 5 cm, je rdeča, trda, občutljiva, poškodovana, podpluta ali brazgotinasta. </w:t>
            </w:r>
          </w:p>
          <w:p w14:paraId="4CCA02B2" w14:textId="77777777" w:rsidR="00EC5FDC" w:rsidRPr="00EC5FDC" w:rsidRDefault="00EC5FDC" w:rsidP="00EC5FDC">
            <w:pPr>
              <w:pStyle w:val="a3"/>
              <w:numPr>
                <w:ilvl w:val="0"/>
                <w:numId w:val="18"/>
              </w:numPr>
              <w:ind w:left="3577"/>
              <w:rPr>
                <w:lang w:val="sl-SI"/>
              </w:rPr>
            </w:pPr>
            <w:r w:rsidRPr="00EC5FDC">
              <w:rPr>
                <w:rFonts w:eastAsia="Times New Roman"/>
                <w:lang w:val="sl-SI"/>
              </w:rPr>
              <w:t xml:space="preserve">Če imate luskavico, </w:t>
            </w:r>
            <w:r w:rsidRPr="00EC5FDC">
              <w:rPr>
                <w:rFonts w:eastAsia="Times New Roman"/>
                <w:b/>
                <w:bCs/>
                <w:lang w:val="sl-SI"/>
              </w:rPr>
              <w:t>ne</w:t>
            </w:r>
            <w:r w:rsidRPr="00EC5FDC">
              <w:rPr>
                <w:rFonts w:eastAsia="Times New Roman"/>
                <w:lang w:val="sl-SI"/>
              </w:rPr>
              <w:t xml:space="preserve"> injicirajte neposredno v dvignjene, odebeljene, rdeče ali luskaste zaplate ali lezije na koži. </w:t>
            </w:r>
          </w:p>
          <w:p w14:paraId="7CD64033" w14:textId="77777777" w:rsidR="00EC5FDC" w:rsidRPr="00EC5FDC" w:rsidRDefault="00EC5FDC" w:rsidP="00EC5FDC">
            <w:pPr>
              <w:pStyle w:val="a3"/>
              <w:numPr>
                <w:ilvl w:val="0"/>
                <w:numId w:val="18"/>
              </w:numPr>
              <w:rPr>
                <w:lang w:val="sl-SI"/>
              </w:rPr>
            </w:pPr>
            <w:r w:rsidRPr="00EC5FDC">
              <w:rPr>
                <w:rFonts w:eastAsia="Times New Roman"/>
                <w:b/>
                <w:bCs/>
                <w:lang w:val="sl-SI"/>
              </w:rPr>
              <w:t>Ne</w:t>
            </w:r>
            <w:r w:rsidRPr="00EC5FDC">
              <w:rPr>
                <w:rFonts w:eastAsia="Times New Roman"/>
                <w:lang w:val="sl-SI"/>
              </w:rPr>
              <w:t xml:space="preserve"> injicirajte skozi oblačila.</w:t>
            </w:r>
          </w:p>
          <w:p w14:paraId="4269E70D" w14:textId="77777777" w:rsidR="00EC5FDC" w:rsidRPr="00EC5FDC" w:rsidRDefault="00EC5FDC" w:rsidP="00EC5FDC">
            <w:pPr>
              <w:pStyle w:val="a3"/>
              <w:rPr>
                <w:lang w:val="sl-SI"/>
              </w:rPr>
            </w:pPr>
          </w:p>
          <w:p w14:paraId="3319C9EE" w14:textId="73D1C7BE" w:rsidR="00EC5FDC" w:rsidRPr="00EC5FDC" w:rsidRDefault="00EC5FDC" w:rsidP="00EC5FDC">
            <w:pPr>
              <w:ind w:right="1248"/>
              <w:rPr>
                <w:rFonts w:ascii="Times New Roman" w:eastAsia="Times New Roman" w:hAnsi="Times New Roman" w:cs="Times New Roman"/>
                <w:b/>
                <w:bCs/>
                <w:spacing w:val="-1"/>
                <w:lang w:val="sl-SI"/>
              </w:rPr>
            </w:pPr>
            <w:r w:rsidRPr="00EC5FDC">
              <w:rPr>
                <w:rFonts w:ascii="Times New Roman" w:eastAsia="Times New Roman" w:hAnsi="Times New Roman" w:cs="Times New Roman"/>
                <w:b/>
                <w:bCs/>
                <w:lang w:val="sl-SI"/>
              </w:rPr>
              <w:t>b.</w:t>
            </w:r>
            <w:r w:rsidRPr="00EC5FDC">
              <w:rPr>
                <w:rFonts w:ascii="Times New Roman" w:eastAsia="Times New Roman" w:hAnsi="Times New Roman" w:cs="Times New Roman"/>
                <w:lang w:val="sl-SI"/>
              </w:rPr>
              <w:t xml:space="preserve"> Za vsako injiciranje zamenjajte mesto injiciranja. Vsako novo mesto injiciranja mora biti vsaj 3 cm oddaljeno od prejšnjega mesta injiciranja.</w:t>
            </w:r>
          </w:p>
          <w:p w14:paraId="67967932" w14:textId="042078D3" w:rsidR="00EC5FDC" w:rsidRDefault="00EC5FDC" w:rsidP="00EC5FDC">
            <w:pPr>
              <w:ind w:right="1248"/>
              <w:rPr>
                <w:rFonts w:ascii="Times New Roman" w:eastAsia="Times New Roman" w:hAnsi="Times New Roman" w:cs="Times New Roman"/>
                <w:b/>
                <w:bCs/>
                <w:spacing w:val="-1"/>
                <w:lang w:val="sl-SI"/>
              </w:rPr>
            </w:pPr>
          </w:p>
          <w:p w14:paraId="780F22E4" w14:textId="57374818" w:rsidR="00EC5FDC" w:rsidRDefault="00EC5FDC" w:rsidP="00EC5FDC">
            <w:pPr>
              <w:ind w:right="1248"/>
              <w:rPr>
                <w:rFonts w:ascii="Times New Roman" w:eastAsia="Times New Roman" w:hAnsi="Times New Roman" w:cs="Times New Roman"/>
                <w:b/>
                <w:bCs/>
                <w:spacing w:val="-1"/>
                <w:lang w:val="sl-SI"/>
              </w:rPr>
            </w:pPr>
          </w:p>
        </w:tc>
      </w:tr>
    </w:tbl>
    <w:tbl>
      <w:tblPr>
        <w:tblStyle w:val="ac"/>
        <w:tblW w:w="0" w:type="auto"/>
        <w:tblLook w:val="04A0" w:firstRow="1" w:lastRow="0" w:firstColumn="1" w:lastColumn="0" w:noHBand="0" w:noVBand="1"/>
      </w:tblPr>
      <w:tblGrid>
        <w:gridCol w:w="9351"/>
      </w:tblGrid>
      <w:tr w:rsidR="00840AAB" w14:paraId="774B7F00" w14:textId="77777777" w:rsidTr="00EC5FDC">
        <w:trPr>
          <w:trHeight w:val="5272"/>
        </w:trPr>
        <w:tc>
          <w:tcPr>
            <w:tcW w:w="9351" w:type="dxa"/>
          </w:tcPr>
          <w:p w14:paraId="78237455" w14:textId="77777777" w:rsidR="00840AAB" w:rsidRDefault="00840AAB" w:rsidP="00646E14">
            <w:pPr>
              <w:pStyle w:val="1"/>
              <w:spacing w:before="76"/>
              <w:ind w:left="0" w:right="2736"/>
              <w:rPr>
                <w:rFonts w:eastAsiaTheme="minorEastAsia"/>
                <w:lang w:val="sl-SI" w:eastAsia="ko-KR"/>
              </w:rPr>
            </w:pPr>
          </w:p>
          <w:p w14:paraId="0332C61C" w14:textId="77777777" w:rsidR="00840AAB" w:rsidRDefault="00840AAB" w:rsidP="00646E14">
            <w:pPr>
              <w:pStyle w:val="1"/>
              <w:spacing w:before="76"/>
              <w:ind w:left="0" w:right="2736"/>
              <w:rPr>
                <w:rFonts w:eastAsiaTheme="minorEastAsia"/>
                <w:lang w:val="sl-SI" w:eastAsia="ko-KR"/>
              </w:rPr>
            </w:pPr>
            <w:r>
              <w:rPr>
                <w:rFonts w:eastAsiaTheme="minorEastAsia"/>
                <w:noProof/>
                <w:lang w:eastAsia="ko-KR"/>
              </w:rPr>
              <mc:AlternateContent>
                <mc:Choice Requires="wpg">
                  <w:drawing>
                    <wp:anchor distT="0" distB="0" distL="114300" distR="114300" simplePos="0" relativeHeight="251658301" behindDoc="0" locked="0" layoutInCell="1" allowOverlap="1" wp14:anchorId="2CE6CACC" wp14:editId="258CE703">
                      <wp:simplePos x="0" y="0"/>
                      <wp:positionH relativeFrom="column">
                        <wp:posOffset>-25400</wp:posOffset>
                      </wp:positionH>
                      <wp:positionV relativeFrom="paragraph">
                        <wp:posOffset>100330</wp:posOffset>
                      </wp:positionV>
                      <wp:extent cx="2296160" cy="2870200"/>
                      <wp:effectExtent l="0" t="0" r="8890" b="6350"/>
                      <wp:wrapSquare wrapText="bothSides"/>
                      <wp:docPr id="1049" name="그룹 1049"/>
                      <wp:cNvGraphicFramePr/>
                      <a:graphic xmlns:a="http://schemas.openxmlformats.org/drawingml/2006/main">
                        <a:graphicData uri="http://schemas.microsoft.com/office/word/2010/wordprocessingGroup">
                          <wpg:wgp>
                            <wpg:cNvGrpSpPr/>
                            <wpg:grpSpPr>
                              <a:xfrm>
                                <a:off x="0" y="0"/>
                                <a:ext cx="2296160" cy="2870200"/>
                                <a:chOff x="0" y="0"/>
                                <a:chExt cx="2407920" cy="3092450"/>
                              </a:xfrm>
                            </wpg:grpSpPr>
                            <pic:pic xmlns:pic="http://schemas.openxmlformats.org/drawingml/2006/picture">
                              <pic:nvPicPr>
                                <pic:cNvPr id="1055" name="그림 1055"/>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056" name="Text Box 1056"/>
                              <wps:cNvSpPr txBox="1"/>
                              <wps:spPr>
                                <a:xfrm>
                                  <a:off x="1670050" y="2946400"/>
                                  <a:ext cx="719758" cy="146050"/>
                                </a:xfrm>
                                <a:prstGeom prst="rect">
                                  <a:avLst/>
                                </a:prstGeom>
                                <a:solidFill>
                                  <a:prstClr val="white"/>
                                </a:solidFill>
                                <a:ln>
                                  <a:noFill/>
                                </a:ln>
                              </wps:spPr>
                              <wps:txbx>
                                <w:txbxContent>
                                  <w:p w14:paraId="6F7DBBE2"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lang w:val="sl-SI"/>
                                      </w:rPr>
                                      <w:t>Slika 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E6CACC" id="그룹 1049" o:spid="_x0000_s1200" style="position:absolute;margin-left:-2pt;margin-top:7.9pt;width:180.8pt;height:226pt;z-index:251658301;mso-width-relative:margin;mso-height-relative:margin"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">
                      <v:shape id="그림 1055" o:spid="_x0000_s1201"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">
                        <v:imagedata r:id="rId43" o:title=""/>
                      </v:shape>
                      <v:shape id="Text Box 1056" o:spid="_x0000_s1202"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" stroked="f">
                        <v:textbox inset="0,0,0,0">
                          <w:txbxContent>
                            <w:p w14:paraId="6F7DBBE2"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lang w:val="sl-SI"/>
                                </w:rPr>
                                <w:t>Slika F</w:t>
                              </w:r>
                            </w:p>
                          </w:txbxContent>
                        </v:textbox>
                      </v:shape>
                      <w10:wrap type="square"/>
                    </v:group>
                  </w:pict>
                </mc:Fallback>
              </mc:AlternateContent>
            </w:r>
          </w:p>
          <w:p w14:paraId="4DE6E2EF" w14:textId="77777777" w:rsidR="00840AAB" w:rsidRDefault="00840AAB" w:rsidP="0030421B">
            <w:pPr>
              <w:pStyle w:val="a3"/>
              <w:numPr>
                <w:ilvl w:val="0"/>
                <w:numId w:val="131"/>
              </w:numPr>
              <w:rPr>
                <w:lang w:val="sl-SI"/>
              </w:rPr>
            </w:pPr>
            <w:r>
              <w:rPr>
                <w:rFonts w:eastAsia="Times New Roman"/>
                <w:b/>
                <w:bCs/>
                <w:lang w:val="sl-SI"/>
              </w:rPr>
              <w:t>Umijte si roke</w:t>
            </w:r>
          </w:p>
          <w:p w14:paraId="2D9CBE99" w14:textId="77777777" w:rsidR="00840AAB" w:rsidRDefault="00840AAB" w:rsidP="00646E14">
            <w:pPr>
              <w:pStyle w:val="a3"/>
              <w:numPr>
                <w:ilvl w:val="0"/>
                <w:numId w:val="0"/>
              </w:numPr>
              <w:ind w:left="471"/>
              <w:rPr>
                <w:lang w:val="sl-SI"/>
              </w:rPr>
            </w:pPr>
          </w:p>
          <w:p w14:paraId="7148C0E8" w14:textId="77777777" w:rsidR="00840AAB" w:rsidRDefault="00840AAB" w:rsidP="00646E14">
            <w:pPr>
              <w:pStyle w:val="a3"/>
              <w:ind w:left="4297" w:hanging="180"/>
              <w:rPr>
                <w:lang w:val="sl-SI"/>
              </w:rPr>
            </w:pPr>
            <w:r>
              <w:rPr>
                <w:rFonts w:eastAsia="Times New Roman"/>
                <w:b/>
                <w:bCs/>
                <w:lang w:val="sl-SI"/>
              </w:rPr>
              <w:t>a.</w:t>
            </w:r>
            <w:r>
              <w:rPr>
                <w:rFonts w:eastAsia="Times New Roman"/>
                <w:lang w:val="sl-SI"/>
              </w:rPr>
              <w:t xml:space="preserve"> Roke si umijte z milom in vodo ter jih temeljito posušite. </w:t>
            </w:r>
          </w:p>
          <w:p w14:paraId="0F1D6F82" w14:textId="77777777" w:rsidR="00840AAB" w:rsidRDefault="00840AAB" w:rsidP="00646E14">
            <w:pPr>
              <w:spacing w:line="252" w:lineRule="exact"/>
              <w:rPr>
                <w:lang w:val="sl-SI"/>
              </w:rPr>
            </w:pPr>
          </w:p>
        </w:tc>
      </w:tr>
      <w:tr w:rsidR="00840AAB" w:rsidRPr="00652F18" w14:paraId="60ED9214" w14:textId="77777777" w:rsidTr="00EC5FDC">
        <w:trPr>
          <w:trHeight w:val="5945"/>
        </w:trPr>
        <w:tc>
          <w:tcPr>
            <w:tcW w:w="9351" w:type="dxa"/>
          </w:tcPr>
          <w:p w14:paraId="26542CB8" w14:textId="77777777" w:rsidR="00840AAB" w:rsidRDefault="00840AAB" w:rsidP="00646E14">
            <w:pPr>
              <w:ind w:left="104"/>
              <w:rPr>
                <w:rFonts w:ascii="Times New Roman" w:eastAsia="Times New Roman" w:hAnsi="Times New Roman" w:cs="Times New Roman"/>
                <w:b/>
                <w:bCs/>
                <w:spacing w:val="-1"/>
                <w:lang w:val="sl-SI"/>
              </w:rPr>
            </w:pPr>
          </w:p>
          <w:p w14:paraId="0644634B" w14:textId="0FF42FDD" w:rsidR="00840AAB" w:rsidRDefault="00EC5FDC" w:rsidP="00646E14">
            <w:pPr>
              <w:pStyle w:val="a3"/>
              <w:rPr>
                <w:lang w:val="sl-SI"/>
              </w:rPr>
            </w:pPr>
            <w:r>
              <w:rPr>
                <w:noProof/>
                <w:lang w:eastAsia="ko-KR"/>
              </w:rPr>
              <mc:AlternateContent>
                <mc:Choice Requires="wpg">
                  <w:drawing>
                    <wp:anchor distT="0" distB="0" distL="114300" distR="114300" simplePos="0" relativeHeight="251658302" behindDoc="0" locked="0" layoutInCell="1" allowOverlap="1" wp14:anchorId="417B4B23" wp14:editId="1017A3FC">
                      <wp:simplePos x="0" y="0"/>
                      <wp:positionH relativeFrom="column">
                        <wp:posOffset>74295</wp:posOffset>
                      </wp:positionH>
                      <wp:positionV relativeFrom="paragraph">
                        <wp:posOffset>76436</wp:posOffset>
                      </wp:positionV>
                      <wp:extent cx="2256458" cy="2921000"/>
                      <wp:effectExtent l="0" t="0" r="0" b="0"/>
                      <wp:wrapSquare wrapText="bothSides"/>
                      <wp:docPr id="1057" name="그룹 1057"/>
                      <wp:cNvGraphicFramePr/>
                      <a:graphic xmlns:a="http://schemas.openxmlformats.org/drawingml/2006/main">
                        <a:graphicData uri="http://schemas.microsoft.com/office/word/2010/wordprocessingGroup">
                          <wpg:wgp>
                            <wpg:cNvGrpSpPr/>
                            <wpg:grpSpPr>
                              <a:xfrm>
                                <a:off x="0" y="0"/>
                                <a:ext cx="2256458" cy="2921000"/>
                                <a:chOff x="0" y="0"/>
                                <a:chExt cx="2256458" cy="2921000"/>
                              </a:xfrm>
                            </wpg:grpSpPr>
                            <pic:pic xmlns:pic="http://schemas.openxmlformats.org/drawingml/2006/picture">
                              <pic:nvPicPr>
                                <pic:cNvPr id="1058" name="그림 1058"/>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1059" name="Text Box 1059"/>
                              <wps:cNvSpPr txBox="1"/>
                              <wps:spPr>
                                <a:xfrm>
                                  <a:off x="1536700" y="2774950"/>
                                  <a:ext cx="719758" cy="146050"/>
                                </a:xfrm>
                                <a:prstGeom prst="rect">
                                  <a:avLst/>
                                </a:prstGeom>
                                <a:solidFill>
                                  <a:prstClr val="white"/>
                                </a:solidFill>
                                <a:ln>
                                  <a:noFill/>
                                </a:ln>
                              </wps:spPr>
                              <wps:txbx>
                                <w:txbxContent>
                                  <w:p w14:paraId="51670041"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lang w:val="sl-SI"/>
                                      </w:rPr>
                                      <w:t>Slika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17B4B23" id="그룹 1057" o:spid="_x0000_s1203" style="position:absolute;margin-left:5.85pt;margin-top:6pt;width:177.65pt;height:230pt;z-index:251658302"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">
                      <v:shape id="그림 1058" o:spid="_x0000_s1204"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">
                        <v:imagedata r:id="rId45" o:title=""/>
                      </v:shape>
                      <v:shape id="Text Box 1059" o:spid="_x0000_s1205"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" stroked="f">
                        <v:textbox style="mso-fit-shape-to-text:t" inset="0,0,0,0">
                          <w:txbxContent>
                            <w:p w14:paraId="51670041"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lang w:val="sl-SI"/>
                                </w:rPr>
                                <w:t>Slika G</w:t>
                              </w:r>
                            </w:p>
                          </w:txbxContent>
                        </v:textbox>
                      </v:shape>
                      <w10:wrap type="square"/>
                    </v:group>
                  </w:pict>
                </mc:Fallback>
              </mc:AlternateContent>
            </w:r>
          </w:p>
          <w:p w14:paraId="7612706A" w14:textId="77777777" w:rsidR="00840AAB" w:rsidRDefault="00840AAB" w:rsidP="0030421B">
            <w:pPr>
              <w:pStyle w:val="a3"/>
              <w:numPr>
                <w:ilvl w:val="0"/>
                <w:numId w:val="131"/>
              </w:numPr>
              <w:rPr>
                <w:b/>
                <w:lang w:val="sl-SI"/>
              </w:rPr>
            </w:pPr>
            <w:r>
              <w:rPr>
                <w:rFonts w:eastAsia="Times New Roman"/>
                <w:b/>
                <w:bCs/>
                <w:lang w:val="sl-SI"/>
              </w:rPr>
              <w:t>Očistite mesto injiciranja</w:t>
            </w:r>
            <w:r>
              <w:rPr>
                <w:rFonts w:eastAsia="Times New Roman"/>
                <w:lang w:val="sl-SI"/>
              </w:rPr>
              <w:t xml:space="preserve"> </w:t>
            </w:r>
          </w:p>
          <w:p w14:paraId="3C6F9C00" w14:textId="77777777" w:rsidR="00840AAB" w:rsidRDefault="00840AAB" w:rsidP="00646E14">
            <w:pPr>
              <w:pStyle w:val="a3"/>
              <w:rPr>
                <w:lang w:val="sl-SI"/>
              </w:rPr>
            </w:pPr>
          </w:p>
          <w:p w14:paraId="20C091D4" w14:textId="77777777" w:rsidR="00840AAB" w:rsidRPr="00D14272" w:rsidRDefault="00840AAB" w:rsidP="00646E14">
            <w:pPr>
              <w:pStyle w:val="a3"/>
              <w:ind w:left="4297" w:hanging="180"/>
              <w:rPr>
                <w:lang w:val="sl-SI"/>
              </w:rPr>
            </w:pPr>
            <w:r w:rsidRPr="00D14272">
              <w:rPr>
                <w:rFonts w:eastAsia="Times New Roman"/>
                <w:b/>
                <w:bCs/>
                <w:lang w:val="sl-SI"/>
              </w:rPr>
              <w:t>a</w:t>
            </w:r>
            <w:r w:rsidRPr="00D14272">
              <w:rPr>
                <w:rFonts w:eastAsia="Times New Roman"/>
                <w:lang w:val="sl-SI"/>
              </w:rPr>
              <w:t>. Mesto injiciranja očistite z alkoholnim zložencem s krožnimi gibi.</w:t>
            </w:r>
          </w:p>
          <w:p w14:paraId="16A74617" w14:textId="77777777" w:rsidR="00840AAB" w:rsidRDefault="00840AAB" w:rsidP="00646E14">
            <w:pPr>
              <w:pStyle w:val="a3"/>
              <w:ind w:left="4297" w:hanging="180"/>
              <w:rPr>
                <w:lang w:val="sl-SI"/>
              </w:rPr>
            </w:pPr>
            <w:r w:rsidRPr="00D14272">
              <w:rPr>
                <w:rFonts w:eastAsia="Times New Roman"/>
                <w:b/>
                <w:bCs/>
                <w:lang w:val="sl-SI"/>
              </w:rPr>
              <w:t>b.</w:t>
            </w:r>
            <w:r w:rsidRPr="00D14272">
              <w:rPr>
                <w:rFonts w:eastAsia="Times New Roman"/>
                <w:lang w:val="sl-SI"/>
              </w:rPr>
              <w:t xml:space="preserve"> Pred injiciranjem počakajte, da se koža posu</w:t>
            </w:r>
            <w:r>
              <w:rPr>
                <w:rFonts w:eastAsia="Times New Roman"/>
                <w:lang w:val="sl-SI"/>
              </w:rPr>
              <w:t>ši.</w:t>
            </w:r>
          </w:p>
          <w:p w14:paraId="2A388C31" w14:textId="77777777" w:rsidR="00840AAB" w:rsidRDefault="00840AAB" w:rsidP="00646E14">
            <w:pPr>
              <w:pStyle w:val="a3"/>
              <w:rPr>
                <w:lang w:val="sl-SI"/>
              </w:rPr>
            </w:pPr>
          </w:p>
          <w:p w14:paraId="5666F13E" w14:textId="77777777" w:rsidR="00840AAB" w:rsidRDefault="00840AAB" w:rsidP="00646E14">
            <w:pPr>
              <w:pStyle w:val="a3"/>
              <w:rPr>
                <w:lang w:val="sl-SI"/>
              </w:rPr>
            </w:pPr>
          </w:p>
          <w:p w14:paraId="4641AF44" w14:textId="77777777" w:rsidR="00840AAB" w:rsidRDefault="00840AAB" w:rsidP="00646E14">
            <w:pPr>
              <w:rPr>
                <w:lang w:val="sl-SI"/>
              </w:rPr>
            </w:pPr>
            <w:r>
              <w:rPr>
                <w:rFonts w:ascii="맑은 고딕" w:eastAsia="맑은 고딕" w:hAnsi="맑은 고딕" w:cs="Arial"/>
                <w:lang w:val="sl-SI"/>
              </w:rPr>
              <w:t>•</w:t>
            </w:r>
            <w:r>
              <w:rPr>
                <w:rFonts w:ascii="Calibri" w:eastAsia="Calibri" w:hAnsi="Calibri" w:cs="Arial"/>
                <w:lang w:val="sl-SI"/>
              </w:rPr>
              <w:t xml:space="preserve"> </w:t>
            </w:r>
            <w:r>
              <w:rPr>
                <w:rFonts w:ascii="Times New Roman" w:eastAsia="Times New Roman" w:hAnsi="Times New Roman" w:cs="Times New Roman"/>
                <w:lang w:val="sl-SI"/>
              </w:rPr>
              <w:t>Pred injiciranjem zdravila na mesto injiciranja</w:t>
            </w:r>
            <w:r>
              <w:rPr>
                <w:rFonts w:ascii="맑은 고딕" w:eastAsia="맑은 고딕" w:hAnsi="맑은 고딕" w:cs="Arial"/>
                <w:lang w:val="sl-SI"/>
              </w:rPr>
              <w:t xml:space="preserve"> </w:t>
            </w:r>
            <w:r>
              <w:rPr>
                <w:rFonts w:ascii="Times New Roman" w:eastAsia="맑은 고딕" w:hAnsi="Times New Roman" w:cs="Times New Roman"/>
                <w:b/>
                <w:bCs/>
                <w:lang w:val="sl-SI"/>
              </w:rPr>
              <w:t>ne</w:t>
            </w:r>
            <w:r>
              <w:rPr>
                <w:rFonts w:ascii="Times New Roman" w:eastAsia="Times New Roman" w:hAnsi="Times New Roman" w:cs="Times New Roman"/>
                <w:lang w:val="sl-SI"/>
              </w:rPr>
              <w:t xml:space="preserve"> pihajte in se ga ne dotikajte</w:t>
            </w:r>
            <w:r>
              <w:rPr>
                <w:rFonts w:ascii="맑은 고딕" w:eastAsia="맑은 고딕" w:hAnsi="맑은 고딕" w:cs="Arial"/>
                <w:lang w:val="sl-SI"/>
              </w:rPr>
              <w:t xml:space="preserve"> </w:t>
            </w:r>
            <w:r>
              <w:rPr>
                <w:rFonts w:ascii="Times New Roman" w:eastAsia="Times New Roman" w:hAnsi="Times New Roman" w:cs="Times New Roman"/>
                <w:lang w:val="sl-SI"/>
              </w:rPr>
              <w:t>ponovno.</w:t>
            </w:r>
          </w:p>
        </w:tc>
      </w:tr>
    </w:tbl>
    <w:p w14:paraId="1509E2F5" w14:textId="77777777" w:rsidR="00840AAB" w:rsidRDefault="00840AAB" w:rsidP="00840AAB">
      <w:pPr>
        <w:spacing w:line="252" w:lineRule="exact"/>
        <w:rPr>
          <w:lang w:val="sl-SI"/>
        </w:rPr>
      </w:pPr>
    </w:p>
    <w:p w14:paraId="375494BD" w14:textId="77777777" w:rsidR="00840AAB" w:rsidRDefault="00840AAB" w:rsidP="00840AAB">
      <w:pPr>
        <w:spacing w:before="9" w:line="110" w:lineRule="exact"/>
        <w:rPr>
          <w:sz w:val="20"/>
          <w:szCs w:val="20"/>
          <w:lang w:val="sl-SI"/>
        </w:rPr>
      </w:pPr>
    </w:p>
    <w:tbl>
      <w:tblPr>
        <w:tblStyle w:val="ac"/>
        <w:tblW w:w="0" w:type="auto"/>
        <w:tblLook w:val="04A0" w:firstRow="1" w:lastRow="0" w:firstColumn="1" w:lastColumn="0" w:noHBand="0" w:noVBand="1"/>
      </w:tblPr>
      <w:tblGrid>
        <w:gridCol w:w="9209"/>
      </w:tblGrid>
      <w:tr w:rsidR="00840AAB" w:rsidRPr="00BC4B06" w14:paraId="17E99E6B" w14:textId="77777777" w:rsidTr="00646E14">
        <w:trPr>
          <w:trHeight w:val="5669"/>
        </w:trPr>
        <w:tc>
          <w:tcPr>
            <w:tcW w:w="9209" w:type="dxa"/>
          </w:tcPr>
          <w:p w14:paraId="42DAF84B" w14:textId="77777777" w:rsidR="00840AAB" w:rsidRDefault="00840AAB" w:rsidP="00646E14">
            <w:pPr>
              <w:ind w:left="104"/>
              <w:rPr>
                <w:rFonts w:ascii="Times New Roman" w:eastAsia="Times New Roman" w:hAnsi="Times New Roman" w:cs="Times New Roman"/>
                <w:b/>
                <w:bCs/>
                <w:spacing w:val="-1"/>
                <w:lang w:val="sl-SI"/>
              </w:rPr>
            </w:pPr>
          </w:p>
          <w:p w14:paraId="657422B8" w14:textId="77777777" w:rsidR="00840AAB" w:rsidRDefault="00840AAB" w:rsidP="00646E14">
            <w:pPr>
              <w:pStyle w:val="Default"/>
              <w:rPr>
                <w:lang w:val="sl-SI"/>
              </w:rPr>
            </w:pPr>
          </w:p>
          <w:p w14:paraId="3364E601" w14:textId="77777777" w:rsidR="00840AAB" w:rsidRDefault="00840AAB" w:rsidP="00646E14">
            <w:pPr>
              <w:pStyle w:val="Default"/>
              <w:rPr>
                <w:lang w:val="sl-SI"/>
              </w:rPr>
            </w:pPr>
            <w:r>
              <w:rPr>
                <w:noProof/>
                <w:lang w:eastAsia="ko-KR"/>
              </w:rPr>
              <mc:AlternateContent>
                <mc:Choice Requires="wpg">
                  <w:drawing>
                    <wp:anchor distT="0" distB="0" distL="114300" distR="114300" simplePos="0" relativeHeight="251658303" behindDoc="0" locked="0" layoutInCell="1" allowOverlap="1" wp14:anchorId="056ED464" wp14:editId="427F8DD6">
                      <wp:simplePos x="0" y="0"/>
                      <wp:positionH relativeFrom="column">
                        <wp:posOffset>48895</wp:posOffset>
                      </wp:positionH>
                      <wp:positionV relativeFrom="paragraph">
                        <wp:posOffset>76835</wp:posOffset>
                      </wp:positionV>
                      <wp:extent cx="2370455" cy="3054350"/>
                      <wp:effectExtent l="0" t="0" r="0" b="0"/>
                      <wp:wrapSquare wrapText="bothSides"/>
                      <wp:docPr id="1060" name="그룹 1060"/>
                      <wp:cNvGraphicFramePr/>
                      <a:graphic xmlns:a="http://schemas.openxmlformats.org/drawingml/2006/main">
                        <a:graphicData uri="http://schemas.microsoft.com/office/word/2010/wordprocessingGroup">
                          <wpg:wgp>
                            <wpg:cNvGrpSpPr/>
                            <wpg:grpSpPr>
                              <a:xfrm>
                                <a:off x="0" y="0"/>
                                <a:ext cx="2359824" cy="3054350"/>
                                <a:chOff x="5315" y="0"/>
                                <a:chExt cx="2359824" cy="3054350"/>
                              </a:xfrm>
                            </wpg:grpSpPr>
                            <pic:pic xmlns:pic="http://schemas.openxmlformats.org/drawingml/2006/picture">
                              <pic:nvPicPr>
                                <pic:cNvPr id="1061" name="그림 1061"/>
                                <pic:cNvPicPr>
                                  <a:picLocks noChangeAspect="1"/>
                                </pic:cNvPicPr>
                              </pic:nvPicPr>
                              <pic:blipFill>
                                <a:blip r:embed="rId109" cstate="print">
                                  <a:extLst>
                                    <a:ext uri="{28A0092B-C50C-407E-A947-70E740481C1C}">
                                      <a14:useLocalDpi xmlns:a14="http://schemas.microsoft.com/office/drawing/2010/main" val="0"/>
                                    </a:ext>
                                  </a:extLst>
                                </a:blip>
                                <a:srcRect/>
                                <a:stretch/>
                              </pic:blipFill>
                              <pic:spPr bwMode="auto">
                                <a:xfrm>
                                  <a:off x="5315" y="0"/>
                                  <a:ext cx="2359824" cy="2907030"/>
                                </a:xfrm>
                                <a:prstGeom prst="rect">
                                  <a:avLst/>
                                </a:prstGeom>
                                <a:noFill/>
                                <a:ln>
                                  <a:noFill/>
                                </a:ln>
                              </pic:spPr>
                            </pic:pic>
                            <wps:wsp>
                              <wps:cNvPr id="1062" name="Text Box 1062"/>
                              <wps:cNvSpPr txBox="1"/>
                              <wps:spPr>
                                <a:xfrm>
                                  <a:off x="1612900" y="2908300"/>
                                  <a:ext cx="719758" cy="146050"/>
                                </a:xfrm>
                                <a:prstGeom prst="rect">
                                  <a:avLst/>
                                </a:prstGeom>
                                <a:solidFill>
                                  <a:prstClr val="white"/>
                                </a:solidFill>
                                <a:ln>
                                  <a:noFill/>
                                </a:ln>
                              </wps:spPr>
                              <wps:txbx>
                                <w:txbxContent>
                                  <w:p w14:paraId="444B0FE7"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lang w:val="sl-SI"/>
                                      </w:rPr>
                                      <w:t>Slika 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56ED464" id="그룹 1060" o:spid="_x0000_s1206" style="position:absolute;margin-left:3.85pt;margin-top:6.05pt;width:186.65pt;height:240.5pt;z-index:251658303" coordorigin="53" coordsize="23598,30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">
                      <v:shape id="그림 1061" o:spid="_x0000_s1207" type="#_x0000_t75" style="position:absolute;left:53;width:23598;height:2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">
                        <v:imagedata r:id="rId110" o:title=""/>
                      </v:shape>
                      <v:shape id="Text Box 1062" o:spid="_x0000_s1208" type="#_x0000_t202" style="position:absolute;left:16129;top:2908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" stroked="f">
                        <v:textbox style="mso-fit-shape-to-text:t" inset="0,0,0,0">
                          <w:txbxContent>
                            <w:p w14:paraId="444B0FE7"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lang w:val="sl-SI"/>
                                </w:rPr>
                                <w:t>Slika H</w:t>
                              </w:r>
                            </w:p>
                          </w:txbxContent>
                        </v:textbox>
                      </v:shape>
                      <w10:wrap type="square"/>
                    </v:group>
                  </w:pict>
                </mc:Fallback>
              </mc:AlternateContent>
            </w:r>
          </w:p>
          <w:p w14:paraId="40D88330" w14:textId="77777777" w:rsidR="00840AAB" w:rsidRDefault="00840AAB" w:rsidP="0030421B">
            <w:pPr>
              <w:pStyle w:val="a3"/>
              <w:numPr>
                <w:ilvl w:val="0"/>
                <w:numId w:val="131"/>
              </w:numPr>
              <w:rPr>
                <w:lang w:val="sl-SI"/>
              </w:rPr>
            </w:pPr>
            <w:r>
              <w:rPr>
                <w:rFonts w:eastAsia="Times New Roman"/>
                <w:b/>
                <w:bCs/>
                <w:lang w:val="sl-SI"/>
              </w:rPr>
              <w:t>Odstranite pokrovček</w:t>
            </w:r>
          </w:p>
          <w:p w14:paraId="4D2DA593" w14:textId="77777777" w:rsidR="00840AAB" w:rsidRDefault="00840AAB" w:rsidP="00646E14">
            <w:pPr>
              <w:pStyle w:val="a3"/>
              <w:numPr>
                <w:ilvl w:val="0"/>
                <w:numId w:val="0"/>
              </w:numPr>
              <w:ind w:left="471"/>
              <w:rPr>
                <w:lang w:val="sl-SI"/>
              </w:rPr>
            </w:pPr>
          </w:p>
          <w:p w14:paraId="6B35C9C6" w14:textId="77777777" w:rsidR="00840AAB" w:rsidRDefault="00840AAB" w:rsidP="00646E14">
            <w:pPr>
              <w:pStyle w:val="a3"/>
              <w:ind w:left="4297" w:hanging="180"/>
              <w:rPr>
                <w:lang w:val="sl-SI"/>
              </w:rPr>
            </w:pPr>
            <w:r>
              <w:rPr>
                <w:rFonts w:eastAsia="Times New Roman"/>
                <w:b/>
                <w:bCs/>
                <w:lang w:val="sl-SI"/>
              </w:rPr>
              <w:t>a</w:t>
            </w:r>
            <w:r>
              <w:rPr>
                <w:rFonts w:eastAsia="Times New Roman"/>
                <w:lang w:val="sl-SI"/>
              </w:rPr>
              <w:t xml:space="preserve">. Odstranite pokrovček, tako da držite telo napolnjene injekcijske brizge z eno roko. Pokrovček z drugo roko nežno povlecite ravno navzdol. </w:t>
            </w:r>
          </w:p>
          <w:p w14:paraId="098A94D0" w14:textId="77777777" w:rsidR="00840AAB" w:rsidRDefault="00840AAB" w:rsidP="00646E14">
            <w:pPr>
              <w:pStyle w:val="a3"/>
              <w:rPr>
                <w:lang w:val="sl-SI"/>
              </w:rPr>
            </w:pPr>
          </w:p>
          <w:p w14:paraId="247BA7FC" w14:textId="77777777" w:rsidR="00840AAB" w:rsidRDefault="00840AAB" w:rsidP="00646E14">
            <w:pPr>
              <w:pStyle w:val="a3"/>
              <w:numPr>
                <w:ilvl w:val="0"/>
                <w:numId w:val="19"/>
              </w:numPr>
              <w:ind w:left="4297"/>
              <w:rPr>
                <w:lang w:val="sl-SI"/>
              </w:rPr>
            </w:pPr>
            <w:r>
              <w:rPr>
                <w:rFonts w:eastAsia="Times New Roman"/>
                <w:b/>
                <w:bCs/>
                <w:lang w:val="sl-SI"/>
              </w:rPr>
              <w:t>Ne</w:t>
            </w:r>
            <w:r>
              <w:rPr>
                <w:rFonts w:eastAsia="Times New Roman"/>
                <w:lang w:val="sl-SI"/>
              </w:rPr>
              <w:t xml:space="preserve"> odstranjujte pokrovčka, dokler niste pripravljeni na injiciranje. </w:t>
            </w:r>
          </w:p>
          <w:p w14:paraId="36E83FC5" w14:textId="77777777" w:rsidR="00840AAB" w:rsidRDefault="00840AAB" w:rsidP="00646E14">
            <w:pPr>
              <w:pStyle w:val="a3"/>
              <w:numPr>
                <w:ilvl w:val="0"/>
                <w:numId w:val="0"/>
              </w:numPr>
              <w:ind w:left="4297"/>
              <w:rPr>
                <w:lang w:val="sl-SI"/>
              </w:rPr>
            </w:pPr>
          </w:p>
          <w:p w14:paraId="06E33E83" w14:textId="77777777" w:rsidR="00840AAB" w:rsidRDefault="00840AAB" w:rsidP="00646E14">
            <w:pPr>
              <w:pStyle w:val="a3"/>
              <w:numPr>
                <w:ilvl w:val="0"/>
                <w:numId w:val="19"/>
              </w:numPr>
              <w:ind w:left="4297"/>
              <w:rPr>
                <w:lang w:val="sl-SI"/>
              </w:rPr>
            </w:pPr>
            <w:r>
              <w:rPr>
                <w:rFonts w:eastAsia="Times New Roman"/>
                <w:lang w:val="sl-SI"/>
              </w:rPr>
              <w:t xml:space="preserve">Igle se </w:t>
            </w:r>
            <w:r>
              <w:rPr>
                <w:rFonts w:eastAsia="Times New Roman"/>
                <w:b/>
                <w:bCs/>
                <w:lang w:val="sl-SI"/>
              </w:rPr>
              <w:t>ne</w:t>
            </w:r>
            <w:r>
              <w:rPr>
                <w:rFonts w:eastAsia="Times New Roman"/>
                <w:lang w:val="sl-SI"/>
              </w:rPr>
              <w:t xml:space="preserve"> dotikajte. V nasprotnem primeru lahko pride do poškodbe zaradi vboda z iglo.</w:t>
            </w:r>
            <w:r>
              <w:rPr>
                <w:rFonts w:eastAsia="Times New Roman"/>
                <w:b/>
                <w:bCs/>
                <w:lang w:val="sl-SI"/>
              </w:rPr>
              <w:t xml:space="preserve"> </w:t>
            </w:r>
          </w:p>
          <w:p w14:paraId="56E1E82D" w14:textId="77777777" w:rsidR="00840AAB" w:rsidRDefault="00840AAB" w:rsidP="00646E14">
            <w:pPr>
              <w:pStyle w:val="a4"/>
              <w:ind w:left="4297"/>
              <w:rPr>
                <w:lang w:val="sl-SI"/>
              </w:rPr>
            </w:pPr>
          </w:p>
          <w:p w14:paraId="3394F637" w14:textId="77777777" w:rsidR="00840AAB" w:rsidRDefault="00840AAB" w:rsidP="00646E14">
            <w:pPr>
              <w:pStyle w:val="a3"/>
              <w:numPr>
                <w:ilvl w:val="0"/>
                <w:numId w:val="19"/>
              </w:numPr>
              <w:ind w:left="4297"/>
              <w:rPr>
                <w:lang w:val="sl-SI"/>
              </w:rPr>
            </w:pPr>
            <w:r>
              <w:rPr>
                <w:rFonts w:eastAsia="Times New Roman"/>
                <w:lang w:val="sl-SI"/>
              </w:rPr>
              <w:t xml:space="preserve">Na napolnjeno injekcijsko brizgo </w:t>
            </w:r>
            <w:r>
              <w:rPr>
                <w:rFonts w:eastAsia="Times New Roman"/>
                <w:b/>
                <w:bCs/>
                <w:lang w:val="sl-SI"/>
              </w:rPr>
              <w:t>ne</w:t>
            </w:r>
            <w:r>
              <w:rPr>
                <w:rFonts w:eastAsia="Times New Roman"/>
                <w:lang w:val="sl-SI"/>
              </w:rPr>
              <w:t xml:space="preserve"> natikajte ponovno pokrovčka. Pokrovček takoj zavrzite v vsebnik za ostre predmete.</w:t>
            </w:r>
          </w:p>
          <w:p w14:paraId="1B15B29C" w14:textId="77777777" w:rsidR="006238AA" w:rsidRPr="007C415F" w:rsidRDefault="006238AA" w:rsidP="006238AA">
            <w:pPr>
              <w:pStyle w:val="a3"/>
              <w:numPr>
                <w:ilvl w:val="0"/>
                <w:numId w:val="19"/>
              </w:numPr>
              <w:ind w:left="4297"/>
              <w:rPr>
                <w:rFonts w:eastAsia="Times New Roman"/>
                <w:lang w:val="sl-SI"/>
              </w:rPr>
            </w:pPr>
            <w:r w:rsidRPr="007C415F">
              <w:rPr>
                <w:rFonts w:eastAsia="Times New Roman"/>
                <w:lang w:val="sl-SI"/>
              </w:rPr>
              <w:t>Na konici igle lahko vidite kapljico tekočine; to je normalno.</w:t>
            </w:r>
          </w:p>
          <w:p w14:paraId="74B67D16" w14:textId="77777777" w:rsidR="00840AAB" w:rsidRPr="006238AA" w:rsidRDefault="00840AAB" w:rsidP="00646E14">
            <w:pPr>
              <w:pStyle w:val="a3"/>
              <w:numPr>
                <w:ilvl w:val="0"/>
                <w:numId w:val="0"/>
              </w:numPr>
              <w:ind w:left="1384"/>
              <w:rPr>
                <w:lang w:val="sl-SI" w:eastAsia="ko-KR"/>
              </w:rPr>
            </w:pPr>
          </w:p>
        </w:tc>
      </w:tr>
      <w:tr w:rsidR="00840AAB" w:rsidRPr="00652F18" w14:paraId="07830184" w14:textId="77777777" w:rsidTr="00646E14">
        <w:trPr>
          <w:trHeight w:val="6650"/>
        </w:trPr>
        <w:tc>
          <w:tcPr>
            <w:tcW w:w="9209" w:type="dxa"/>
          </w:tcPr>
          <w:p w14:paraId="786F3839" w14:textId="037FE527" w:rsidR="00840AAB" w:rsidRDefault="00EC5FDC" w:rsidP="00646E14">
            <w:pPr>
              <w:ind w:left="104"/>
              <w:rPr>
                <w:rFonts w:ascii="Times New Roman" w:eastAsia="Times New Roman" w:hAnsi="Times New Roman" w:cs="Times New Roman"/>
                <w:b/>
                <w:bCs/>
                <w:spacing w:val="-1"/>
                <w:lang w:val="sl-SI"/>
              </w:rPr>
            </w:pPr>
            <w:r>
              <w:rPr>
                <w:noProof/>
                <w:lang w:eastAsia="ko-KR"/>
              </w:rPr>
              <mc:AlternateContent>
                <mc:Choice Requires="wpg">
                  <w:drawing>
                    <wp:anchor distT="0" distB="0" distL="114300" distR="114300" simplePos="0" relativeHeight="251658321" behindDoc="0" locked="0" layoutInCell="1" allowOverlap="1" wp14:anchorId="5349912C" wp14:editId="50901757">
                      <wp:simplePos x="0" y="0"/>
                      <wp:positionH relativeFrom="column">
                        <wp:posOffset>123190</wp:posOffset>
                      </wp:positionH>
                      <wp:positionV relativeFrom="paragraph">
                        <wp:posOffset>137160</wp:posOffset>
                      </wp:positionV>
                      <wp:extent cx="2252345" cy="4018280"/>
                      <wp:effectExtent l="0" t="0" r="0" b="1270"/>
                      <wp:wrapSquare wrapText="bothSides"/>
                      <wp:docPr id="1063" name="그룹 1063"/>
                      <wp:cNvGraphicFramePr/>
                      <a:graphic xmlns:a="http://schemas.openxmlformats.org/drawingml/2006/main">
                        <a:graphicData uri="http://schemas.microsoft.com/office/word/2010/wordprocessingGroup">
                          <wpg:wgp>
                            <wpg:cNvGrpSpPr/>
                            <wpg:grpSpPr>
                              <a:xfrm>
                                <a:off x="0" y="0"/>
                                <a:ext cx="2252345" cy="4018280"/>
                                <a:chOff x="20782" y="0"/>
                                <a:chExt cx="2132816" cy="3752850"/>
                              </a:xfrm>
                            </wpg:grpSpPr>
                            <wpg:grpSp>
                              <wpg:cNvPr id="1067" name="그룹 1067"/>
                              <wpg:cNvGrpSpPr/>
                              <wpg:grpSpPr>
                                <a:xfrm>
                                  <a:off x="27626" y="0"/>
                                  <a:ext cx="2125972" cy="3752850"/>
                                  <a:chOff x="79385" y="0"/>
                                  <a:chExt cx="2125972" cy="3752850"/>
                                </a:xfrm>
                              </wpg:grpSpPr>
                              <pic:pic xmlns:pic="http://schemas.openxmlformats.org/drawingml/2006/picture">
                                <pic:nvPicPr>
                                  <pic:cNvPr id="1068" name="그림 1068"/>
                                  <pic:cNvPicPr>
                                    <a:picLocks noChangeAspect="1"/>
                                  </pic:cNvPicPr>
                                </pic:nvPicPr>
                                <pic:blipFill>
                                  <a:blip r:embed="rId111" cstate="print">
                                    <a:extLst>
                                      <a:ext uri="{28A0092B-C50C-407E-A947-70E740481C1C}">
                                        <a14:useLocalDpi xmlns:a14="http://schemas.microsoft.com/office/drawing/2010/main" val="0"/>
                                      </a:ext>
                                    </a:extLst>
                                  </a:blip>
                                  <a:srcRect/>
                                  <a:stretch/>
                                </pic:blipFill>
                                <pic:spPr bwMode="auto">
                                  <a:xfrm>
                                    <a:off x="79385" y="0"/>
                                    <a:ext cx="2125972" cy="3606800"/>
                                  </a:xfrm>
                                  <a:prstGeom prst="rect">
                                    <a:avLst/>
                                  </a:prstGeom>
                                  <a:noFill/>
                                  <a:ln>
                                    <a:noFill/>
                                  </a:ln>
                                </pic:spPr>
                              </pic:pic>
                              <wps:wsp>
                                <wps:cNvPr id="1069" name="Text Box 1069"/>
                                <wps:cNvSpPr txBox="1"/>
                                <wps:spPr>
                                  <a:xfrm>
                                    <a:off x="1466850" y="3606800"/>
                                    <a:ext cx="719758" cy="146050"/>
                                  </a:xfrm>
                                  <a:prstGeom prst="rect">
                                    <a:avLst/>
                                  </a:prstGeom>
                                  <a:solidFill>
                                    <a:prstClr val="white"/>
                                  </a:solidFill>
                                  <a:ln>
                                    <a:noFill/>
                                  </a:ln>
                                </wps:spPr>
                                <wps:txbx>
                                  <w:txbxContent>
                                    <w:p w14:paraId="42E59133"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lang w:val="sl-SI"/>
                                        </w:rPr>
                                        <w:t>Slika 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71" name="Text Box 1071"/>
                              <wps:cNvSpPr txBox="1"/>
                              <wps:spPr>
                                <a:xfrm>
                                  <a:off x="20782" y="1691640"/>
                                  <a:ext cx="2114067" cy="28315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B2B223D" w14:textId="77777777" w:rsidR="00474DFB" w:rsidRDefault="00474DFB" w:rsidP="00840AAB">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sl-SI"/>
                                      </w:rPr>
                                      <w:t>ALI</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349912C" id="그룹 1063" o:spid="_x0000_s1209" style="position:absolute;left:0;text-align:left;margin-left:9.7pt;margin-top:10.8pt;width:177.35pt;height:316.4pt;z-index:251658321;mso-width-relative:margin;mso-height-relative:margin" coordorigin="207" coordsize="21328,37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">
                      <v:group id="그룹 1067" o:spid="_x0000_s1210" style="position:absolute;left:276;width:21259;height:37528" coordorigin="793" coordsize="21259,3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">
                        <v:shape id="그림 1068" o:spid="_x0000_s1211" type="#_x0000_t75" style="position:absolute;left:793;width:21260;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">
                          <v:imagedata r:id="rId112" o:title=""/>
                        </v:shape>
                        <v:shape id="Text Box 1069" o:spid="_x0000_s1212" type="#_x0000_t202" style="position:absolute;left:14668;top:36068;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" stroked="f">
                          <v:textbox inset="0,0,0,0">
                            <w:txbxContent>
                              <w:p w14:paraId="42E59133"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lang w:val="sl-SI"/>
                                  </w:rPr>
                                  <w:t>Slika I</w:t>
                                </w:r>
                              </w:p>
                            </w:txbxContent>
                          </v:textbox>
                        </v:shape>
                      </v:group>
                      <v:shape id="Text Box 1071" o:spid="_x0000_s1213" type="#_x0000_t202" style="position:absolute;left:207;top:16916;width:21141;height:2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" fillcolor="black [3213]" stroked="f" strokeweight=".5pt">
                        <v:textbox inset="0,0,0,0">
                          <w:txbxContent>
                            <w:p w14:paraId="2B2B223D" w14:textId="77777777" w:rsidR="00474DFB" w:rsidRDefault="00474DFB" w:rsidP="00840AAB">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sl-SI"/>
                                </w:rPr>
                                <w:t>ALI</w:t>
                              </w:r>
                            </w:p>
                          </w:txbxContent>
                        </v:textbox>
                      </v:shape>
                      <w10:wrap type="square"/>
                    </v:group>
                  </w:pict>
                </mc:Fallback>
              </mc:AlternateContent>
            </w:r>
          </w:p>
          <w:p w14:paraId="5DCCDC3D" w14:textId="11ED0FB2" w:rsidR="00840AAB" w:rsidRDefault="00840AAB" w:rsidP="00646E14">
            <w:pPr>
              <w:ind w:left="104"/>
              <w:rPr>
                <w:rFonts w:ascii="Times New Roman" w:eastAsia="Times New Roman" w:hAnsi="Times New Roman" w:cs="Times New Roman"/>
                <w:lang w:val="sl-SI"/>
              </w:rPr>
            </w:pPr>
          </w:p>
          <w:p w14:paraId="172A01FB" w14:textId="2E54BA68" w:rsidR="00840AAB" w:rsidRDefault="00840AAB" w:rsidP="00646E14">
            <w:pPr>
              <w:pStyle w:val="1"/>
              <w:spacing w:before="76"/>
              <w:ind w:left="0" w:right="2736"/>
              <w:rPr>
                <w:rFonts w:eastAsiaTheme="minorEastAsia"/>
                <w:lang w:val="sl-SI" w:eastAsia="ko-KR"/>
              </w:rPr>
            </w:pPr>
          </w:p>
          <w:p w14:paraId="419AAA4A" w14:textId="77777777" w:rsidR="00840AAB" w:rsidRDefault="00840AAB" w:rsidP="0030421B">
            <w:pPr>
              <w:pStyle w:val="a3"/>
              <w:numPr>
                <w:ilvl w:val="0"/>
                <w:numId w:val="131"/>
              </w:numPr>
              <w:rPr>
                <w:b/>
                <w:lang w:val="sl-SI"/>
              </w:rPr>
            </w:pPr>
            <w:r>
              <w:rPr>
                <w:rFonts w:eastAsia="Times New Roman"/>
                <w:b/>
                <w:bCs/>
                <w:lang w:val="sl-SI"/>
              </w:rPr>
              <w:t>Napolnjeno injekcijsko brizgo vstavite v mesto injiciranja.</w:t>
            </w:r>
          </w:p>
          <w:p w14:paraId="6583A3E2" w14:textId="77777777" w:rsidR="00840AAB" w:rsidRDefault="00840AAB" w:rsidP="00646E14">
            <w:pPr>
              <w:pStyle w:val="a3"/>
              <w:numPr>
                <w:ilvl w:val="0"/>
                <w:numId w:val="0"/>
              </w:numPr>
              <w:ind w:left="111"/>
              <w:rPr>
                <w:b/>
                <w:lang w:val="sl-SI"/>
              </w:rPr>
            </w:pPr>
          </w:p>
          <w:p w14:paraId="06330E7D" w14:textId="77777777" w:rsidR="00840AAB" w:rsidRDefault="00840AAB" w:rsidP="00646E14">
            <w:pPr>
              <w:pStyle w:val="a3"/>
              <w:numPr>
                <w:ilvl w:val="0"/>
                <w:numId w:val="0"/>
              </w:numPr>
              <w:ind w:left="111"/>
              <w:rPr>
                <w:b/>
                <w:lang w:val="sl-SI"/>
              </w:rPr>
            </w:pPr>
          </w:p>
          <w:p w14:paraId="6FBF8EC6" w14:textId="77777777" w:rsidR="00840AAB" w:rsidRDefault="00840AAB" w:rsidP="00646E14">
            <w:pPr>
              <w:pStyle w:val="a3"/>
              <w:ind w:left="4297" w:hanging="180"/>
              <w:rPr>
                <w:lang w:val="sl-SI"/>
              </w:rPr>
            </w:pPr>
            <w:r>
              <w:rPr>
                <w:rFonts w:eastAsia="Times New Roman"/>
                <w:b/>
                <w:bCs/>
                <w:lang w:val="sl-SI"/>
              </w:rPr>
              <w:t>a.</w:t>
            </w:r>
            <w:r>
              <w:rPr>
                <w:rFonts w:eastAsia="Times New Roman"/>
                <w:lang w:val="sl-SI"/>
              </w:rPr>
              <w:t xml:space="preserve"> Z eno roko nežno stisnite kožno gubo na mestu injiciranja.</w:t>
            </w:r>
          </w:p>
          <w:p w14:paraId="22D53911" w14:textId="77777777" w:rsidR="00840AAB" w:rsidRDefault="00840AAB" w:rsidP="00646E14">
            <w:pPr>
              <w:pStyle w:val="a3"/>
              <w:ind w:left="4297" w:hanging="180"/>
              <w:rPr>
                <w:lang w:val="sl-SI"/>
              </w:rPr>
            </w:pPr>
          </w:p>
          <w:p w14:paraId="68FB13D2" w14:textId="77777777" w:rsidR="00840AAB" w:rsidRDefault="00840AAB" w:rsidP="00646E14">
            <w:pPr>
              <w:pStyle w:val="a3"/>
              <w:ind w:left="4297" w:hanging="180"/>
              <w:rPr>
                <w:lang w:val="sl-SI"/>
              </w:rPr>
            </w:pPr>
            <w:r>
              <w:rPr>
                <w:rFonts w:eastAsia="Times New Roman"/>
                <w:b/>
                <w:bCs/>
                <w:lang w:val="sl-SI"/>
              </w:rPr>
              <w:t>b.</w:t>
            </w:r>
            <w:r>
              <w:rPr>
                <w:rFonts w:eastAsia="Times New Roman"/>
                <w:lang w:val="sl-SI"/>
              </w:rPr>
              <w:t xml:space="preserve"> Napolnjeno injekcijsko brizgo držite za telo in vstavite iglo do konca v kožno gubo pod kotom 45° s hitrim, kratkim gibom.</w:t>
            </w:r>
          </w:p>
          <w:p w14:paraId="0334468B" w14:textId="77777777" w:rsidR="00840AAB" w:rsidRDefault="00840AAB" w:rsidP="00646E14">
            <w:pPr>
              <w:pStyle w:val="a3"/>
              <w:rPr>
                <w:lang w:val="sl-SI"/>
              </w:rPr>
            </w:pPr>
          </w:p>
        </w:tc>
      </w:tr>
      <w:tr w:rsidR="00840AAB" w:rsidRPr="00652F18" w14:paraId="49BD6381" w14:textId="77777777" w:rsidTr="00EC5FDC">
        <w:trPr>
          <w:trHeight w:val="4535"/>
        </w:trPr>
        <w:tc>
          <w:tcPr>
            <w:tcW w:w="9209" w:type="dxa"/>
          </w:tcPr>
          <w:p w14:paraId="47DDCF37" w14:textId="77777777" w:rsidR="00840AAB" w:rsidRDefault="00840AAB" w:rsidP="00646E14">
            <w:pPr>
              <w:ind w:left="104"/>
              <w:rPr>
                <w:rFonts w:ascii="Times New Roman" w:eastAsia="Times New Roman" w:hAnsi="Times New Roman" w:cs="Times New Roman"/>
                <w:b/>
                <w:bCs/>
                <w:spacing w:val="-1"/>
                <w:lang w:val="sl-SI"/>
              </w:rPr>
            </w:pPr>
          </w:p>
          <w:p w14:paraId="23634C89" w14:textId="360D171A" w:rsidR="00840AAB" w:rsidRDefault="00EC5FDC" w:rsidP="00646E14">
            <w:pPr>
              <w:ind w:left="104"/>
              <w:rPr>
                <w:rFonts w:ascii="Times New Roman" w:eastAsia="Times New Roman" w:hAnsi="Times New Roman" w:cs="Times New Roman"/>
                <w:lang w:val="sl-SI"/>
              </w:rPr>
            </w:pPr>
            <w:r>
              <w:rPr>
                <w:noProof/>
                <w:lang w:eastAsia="ko-KR"/>
              </w:rPr>
              <mc:AlternateContent>
                <mc:Choice Requires="wpg">
                  <w:drawing>
                    <wp:anchor distT="0" distB="0" distL="114300" distR="114300" simplePos="0" relativeHeight="251658304" behindDoc="0" locked="0" layoutInCell="1" allowOverlap="1" wp14:anchorId="363D088F" wp14:editId="29421582">
                      <wp:simplePos x="0" y="0"/>
                      <wp:positionH relativeFrom="column">
                        <wp:posOffset>69850</wp:posOffset>
                      </wp:positionH>
                      <wp:positionV relativeFrom="paragraph">
                        <wp:posOffset>63500</wp:posOffset>
                      </wp:positionV>
                      <wp:extent cx="2082165" cy="2623185"/>
                      <wp:effectExtent l="19050" t="19050" r="13335" b="5715"/>
                      <wp:wrapSquare wrapText="bothSides"/>
                      <wp:docPr id="1080" name="그룹 1080"/>
                      <wp:cNvGraphicFramePr/>
                      <a:graphic xmlns:a="http://schemas.openxmlformats.org/drawingml/2006/main">
                        <a:graphicData uri="http://schemas.microsoft.com/office/word/2010/wordprocessingGroup">
                          <wpg:wgp>
                            <wpg:cNvGrpSpPr/>
                            <wpg:grpSpPr>
                              <a:xfrm>
                                <a:off x="0" y="0"/>
                                <a:ext cx="2082165" cy="2623185"/>
                                <a:chOff x="0" y="7181"/>
                                <a:chExt cx="2083981" cy="2617661"/>
                              </a:xfrm>
                            </wpg:grpSpPr>
                            <pic:pic xmlns:pic="http://schemas.openxmlformats.org/drawingml/2006/picture">
                              <pic:nvPicPr>
                                <pic:cNvPr id="1081" name="그림 1081"/>
                                <pic:cNvPicPr>
                                  <a:picLocks noChangeAspect="1"/>
                                </pic:cNvPicPr>
                              </pic:nvPicPr>
                              <pic:blipFill>
                                <a:blip r:embed="rId113" cstate="print">
                                  <a:extLst>
                                    <a:ext uri="{28A0092B-C50C-407E-A947-70E740481C1C}">
                                      <a14:useLocalDpi xmlns:a14="http://schemas.microsoft.com/office/drawing/2010/main" val="0"/>
                                    </a:ext>
                                  </a:extLst>
                                </a:blip>
                                <a:srcRect/>
                                <a:stretch/>
                              </pic:blipFill>
                              <pic:spPr bwMode="auto">
                                <a:xfrm>
                                  <a:off x="0" y="7181"/>
                                  <a:ext cx="2083981" cy="2448804"/>
                                </a:xfrm>
                                <a:prstGeom prst="rect">
                                  <a:avLst/>
                                </a:prstGeom>
                                <a:noFill/>
                                <a:ln>
                                  <a:solidFill>
                                    <a:schemeClr val="tx1"/>
                                  </a:solidFill>
                                </a:ln>
                              </pic:spPr>
                            </pic:pic>
                            <wps:wsp>
                              <wps:cNvPr id="128" name="Text Box 128"/>
                              <wps:cNvSpPr txBox="1"/>
                              <wps:spPr>
                                <a:xfrm>
                                  <a:off x="1361298" y="2478792"/>
                                  <a:ext cx="719758" cy="146050"/>
                                </a:xfrm>
                                <a:prstGeom prst="rect">
                                  <a:avLst/>
                                </a:prstGeom>
                                <a:solidFill>
                                  <a:prstClr val="white"/>
                                </a:solidFill>
                                <a:ln>
                                  <a:noFill/>
                                </a:ln>
                              </wps:spPr>
                              <wps:txbx>
                                <w:txbxContent>
                                  <w:p w14:paraId="4F5CD931"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lang w:val="sl-SI"/>
                                      </w:rPr>
                                      <w:t>Slika 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63D088F" id="그룹 1080" o:spid="_x0000_s1214" style="position:absolute;left:0;text-align:left;margin-left:5.5pt;margin-top:5pt;width:163.95pt;height:206.55pt;z-index:251658304;mso-width-relative:margin;mso-height-relative:margin" coordorigin=",71" coordsize="20839,26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">
                      <v:shape id="그림 1081" o:spid="_x0000_s1215" type="#_x0000_t75" style="position:absolute;top:71;width:20839;height:24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" stroked="t" strokecolor="black [3213]">
                        <v:imagedata r:id="rId114" o:title=""/>
                        <v:path arrowok="t"/>
                      </v:shape>
                      <v:shape id="Text Box 128" o:spid="_x0000_s1216" type="#_x0000_t202" style="position:absolute;left:13612;top:24787;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" stroked="f">
                        <v:textbox style="mso-fit-shape-to-text:t" inset="0,0,0,0">
                          <w:txbxContent>
                            <w:p w14:paraId="4F5CD931"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lang w:val="sl-SI"/>
                                </w:rPr>
                                <w:t>Slika J</w:t>
                              </w:r>
                            </w:p>
                          </w:txbxContent>
                        </v:textbox>
                      </v:shape>
                      <w10:wrap type="square"/>
                    </v:group>
                  </w:pict>
                </mc:Fallback>
              </mc:AlternateContent>
            </w:r>
          </w:p>
          <w:p w14:paraId="343EF80E" w14:textId="77777777" w:rsidR="00840AAB" w:rsidRDefault="00840AAB" w:rsidP="00646E14">
            <w:pPr>
              <w:pStyle w:val="Default"/>
              <w:rPr>
                <w:lang w:val="sl-SI"/>
              </w:rPr>
            </w:pPr>
          </w:p>
          <w:p w14:paraId="6EBF04A1" w14:textId="77777777" w:rsidR="00840AAB" w:rsidRDefault="00840AAB" w:rsidP="0030421B">
            <w:pPr>
              <w:pStyle w:val="a3"/>
              <w:numPr>
                <w:ilvl w:val="0"/>
                <w:numId w:val="131"/>
              </w:numPr>
              <w:rPr>
                <w:lang w:val="sl-SI"/>
              </w:rPr>
            </w:pPr>
            <w:r>
              <w:rPr>
                <w:rFonts w:eastAsia="Times New Roman"/>
                <w:b/>
                <w:bCs/>
                <w:lang w:val="sl-SI"/>
              </w:rPr>
              <w:t>Dajte si injekcijo</w:t>
            </w:r>
          </w:p>
          <w:p w14:paraId="312182A2" w14:textId="77777777" w:rsidR="00840AAB" w:rsidRDefault="00840AAB" w:rsidP="00646E14">
            <w:pPr>
              <w:pStyle w:val="a3"/>
              <w:rPr>
                <w:lang w:val="sl-SI"/>
              </w:rPr>
            </w:pPr>
          </w:p>
          <w:p w14:paraId="6D9D5B4A" w14:textId="77777777" w:rsidR="00840AAB" w:rsidRDefault="00840AAB" w:rsidP="00646E14">
            <w:pPr>
              <w:pStyle w:val="a3"/>
              <w:ind w:left="4297" w:hanging="180"/>
              <w:rPr>
                <w:lang w:val="sl-SI"/>
              </w:rPr>
            </w:pPr>
            <w:r>
              <w:rPr>
                <w:rFonts w:eastAsia="Times New Roman"/>
                <w:b/>
                <w:bCs/>
                <w:lang w:val="sl-SI"/>
              </w:rPr>
              <w:t>a.</w:t>
            </w:r>
            <w:r>
              <w:rPr>
                <w:rFonts w:eastAsia="Times New Roman"/>
                <w:lang w:val="sl-SI"/>
              </w:rPr>
              <w:t xml:space="preserve"> Ko iglo vstavite, spustite kožno gubo.</w:t>
            </w:r>
          </w:p>
          <w:p w14:paraId="48C408F0" w14:textId="77777777" w:rsidR="00840AAB" w:rsidRDefault="00840AAB" w:rsidP="00646E14">
            <w:pPr>
              <w:pStyle w:val="a3"/>
              <w:ind w:left="4297" w:hanging="180"/>
              <w:rPr>
                <w:lang w:val="sl-SI"/>
              </w:rPr>
            </w:pPr>
            <w:r>
              <w:rPr>
                <w:rFonts w:eastAsia="Times New Roman"/>
                <w:b/>
                <w:bCs/>
                <w:lang w:val="sl-SI"/>
              </w:rPr>
              <w:t>b.</w:t>
            </w:r>
            <w:r>
              <w:rPr>
                <w:rFonts w:eastAsia="Times New Roman"/>
                <w:lang w:val="sl-SI"/>
              </w:rPr>
              <w:t xml:space="preserve"> Počasi potisnite bat do konca, dokler ne injicirate celotne tekočine in je brizga prazna.</w:t>
            </w:r>
          </w:p>
          <w:p w14:paraId="2397BE20" w14:textId="77777777" w:rsidR="00840AAB" w:rsidRDefault="00840AAB" w:rsidP="00646E14">
            <w:pPr>
              <w:pStyle w:val="a3"/>
              <w:rPr>
                <w:lang w:val="sl-SI"/>
              </w:rPr>
            </w:pPr>
          </w:p>
          <w:p w14:paraId="0F658A6D" w14:textId="77777777" w:rsidR="00840AAB" w:rsidRDefault="00840AAB" w:rsidP="00646E14">
            <w:pPr>
              <w:pStyle w:val="a3"/>
              <w:rPr>
                <w:lang w:val="sl-SI"/>
              </w:rPr>
            </w:pPr>
          </w:p>
          <w:p w14:paraId="457C1EEF" w14:textId="4A13CD08" w:rsidR="00840AAB" w:rsidRDefault="00840AAB" w:rsidP="00646E14">
            <w:pPr>
              <w:pStyle w:val="a3"/>
              <w:rPr>
                <w:lang w:val="sl-SI"/>
              </w:rPr>
            </w:pPr>
            <w:r>
              <w:rPr>
                <w:rFonts w:ascii="맑은 고딕" w:eastAsia="맑은 고딕" w:hAnsi="맑은 고딕"/>
                <w:lang w:val="sl-SI"/>
              </w:rPr>
              <w:t>•</w:t>
            </w:r>
            <w:r>
              <w:rPr>
                <w:rFonts w:eastAsia="Times New Roman"/>
                <w:lang w:val="sl-SI"/>
              </w:rPr>
              <w:t xml:space="preserve"> </w:t>
            </w:r>
            <w:r>
              <w:rPr>
                <w:rFonts w:eastAsia="Times New Roman"/>
                <w:bCs/>
                <w:lang w:val="sl-SI"/>
              </w:rPr>
              <w:t>Po začetku</w:t>
            </w:r>
            <w:r>
              <w:rPr>
                <w:rFonts w:eastAsia="Times New Roman"/>
                <w:b/>
                <w:bCs/>
                <w:lang w:val="sl-SI"/>
              </w:rPr>
              <w:t xml:space="preserve"> </w:t>
            </w:r>
            <w:r>
              <w:rPr>
                <w:rFonts w:eastAsia="맑은 고딕"/>
                <w:lang w:val="sl-SI"/>
              </w:rPr>
              <w:t xml:space="preserve">injiciranja </w:t>
            </w:r>
            <w:r>
              <w:rPr>
                <w:rFonts w:eastAsia="맑은 고딕"/>
                <w:b/>
                <w:lang w:val="sl-SI"/>
              </w:rPr>
              <w:t>ne</w:t>
            </w:r>
            <w:r>
              <w:rPr>
                <w:rFonts w:eastAsia="Times New Roman"/>
                <w:lang w:val="sl-SI"/>
              </w:rPr>
              <w:t xml:space="preserve"> spreminjajte položaja napolnjene injekcijske brizge.</w:t>
            </w:r>
          </w:p>
          <w:p w14:paraId="45BB9E86" w14:textId="77777777" w:rsidR="00840AAB" w:rsidRDefault="00840AAB" w:rsidP="00646E14">
            <w:pPr>
              <w:pStyle w:val="a3"/>
              <w:rPr>
                <w:lang w:val="sl-SI" w:eastAsia="ko-KR"/>
              </w:rPr>
            </w:pPr>
            <w:r>
              <w:rPr>
                <w:color w:val="211D1E"/>
                <w:sz w:val="20"/>
                <w:szCs w:val="20"/>
                <w:lang w:val="sl-SI"/>
              </w:rPr>
              <w:t xml:space="preserve"> </w:t>
            </w:r>
          </w:p>
        </w:tc>
      </w:tr>
      <w:tr w:rsidR="00840AAB" w14:paraId="280B889D" w14:textId="77777777" w:rsidTr="00EC5FDC">
        <w:trPr>
          <w:trHeight w:val="4649"/>
        </w:trPr>
        <w:tc>
          <w:tcPr>
            <w:tcW w:w="9209" w:type="dxa"/>
          </w:tcPr>
          <w:p w14:paraId="019F2A21" w14:textId="77777777" w:rsidR="00840AAB" w:rsidRDefault="00840AAB" w:rsidP="00646E14">
            <w:pPr>
              <w:ind w:left="104"/>
              <w:rPr>
                <w:rFonts w:ascii="Times New Roman" w:eastAsia="Times New Roman" w:hAnsi="Times New Roman" w:cs="Times New Roman"/>
                <w:b/>
                <w:bCs/>
                <w:spacing w:val="-1"/>
                <w:lang w:val="sl-SI"/>
              </w:rPr>
            </w:pPr>
          </w:p>
          <w:p w14:paraId="521FD46E" w14:textId="596C44E6" w:rsidR="00840AAB" w:rsidRDefault="00EC5FDC" w:rsidP="00646E14">
            <w:pPr>
              <w:rPr>
                <w:rFonts w:ascii="Times New Roman" w:eastAsia="Times New Roman" w:hAnsi="Times New Roman" w:cs="Times New Roman"/>
                <w:lang w:val="sl-SI"/>
              </w:rPr>
            </w:pPr>
            <w:r>
              <w:rPr>
                <w:noProof/>
                <w:lang w:eastAsia="ko-KR"/>
              </w:rPr>
              <w:drawing>
                <wp:anchor distT="0" distB="0" distL="114300" distR="114300" simplePos="0" relativeHeight="251658313" behindDoc="0" locked="0" layoutInCell="1" allowOverlap="1" wp14:anchorId="2AC28122" wp14:editId="1DD8976F">
                  <wp:simplePos x="0" y="0"/>
                  <wp:positionH relativeFrom="column">
                    <wp:posOffset>69850</wp:posOffset>
                  </wp:positionH>
                  <wp:positionV relativeFrom="paragraph">
                    <wp:posOffset>9525</wp:posOffset>
                  </wp:positionV>
                  <wp:extent cx="2082165" cy="2553335"/>
                  <wp:effectExtent l="19050" t="19050" r="13335" b="18415"/>
                  <wp:wrapSquare wrapText="bothSides"/>
                  <wp:docPr id="3886" name="그림 3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 name="그림 3886"/>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082165" cy="2553335"/>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2A2572C1" w14:textId="7774DDC2" w:rsidR="00840AAB" w:rsidRDefault="00840AAB" w:rsidP="00646E14">
            <w:pPr>
              <w:pStyle w:val="a3"/>
              <w:rPr>
                <w:lang w:val="sl-SI"/>
              </w:rPr>
            </w:pPr>
          </w:p>
          <w:p w14:paraId="79B01F8A" w14:textId="77777777" w:rsidR="00840AAB" w:rsidRDefault="00840AAB" w:rsidP="0030421B">
            <w:pPr>
              <w:pStyle w:val="a3"/>
              <w:numPr>
                <w:ilvl w:val="0"/>
                <w:numId w:val="131"/>
              </w:numPr>
              <w:rPr>
                <w:b/>
                <w:lang w:val="sl-SI"/>
              </w:rPr>
            </w:pPr>
            <w:r>
              <w:rPr>
                <w:rFonts w:eastAsia="Times New Roman"/>
                <w:b/>
                <w:bCs/>
                <w:lang w:val="sl-SI"/>
              </w:rPr>
              <w:t>Napolnjeno injekcijsko brizgo odstranite iz mesta injiciranja in poskrbite za mesto injiciranja</w:t>
            </w:r>
            <w:r>
              <w:rPr>
                <w:rFonts w:eastAsia="Times New Roman"/>
                <w:lang w:val="sl-SI"/>
              </w:rPr>
              <w:t xml:space="preserve"> </w:t>
            </w:r>
          </w:p>
          <w:p w14:paraId="74B6F1A2" w14:textId="77777777" w:rsidR="00840AAB" w:rsidRDefault="00840AAB" w:rsidP="00646E14">
            <w:pPr>
              <w:pStyle w:val="a3"/>
              <w:numPr>
                <w:ilvl w:val="0"/>
                <w:numId w:val="0"/>
              </w:numPr>
              <w:ind w:left="471"/>
              <w:rPr>
                <w:b/>
                <w:lang w:val="sl-SI"/>
              </w:rPr>
            </w:pPr>
          </w:p>
          <w:p w14:paraId="2960C179" w14:textId="77777777" w:rsidR="00840AAB" w:rsidRDefault="00840AAB" w:rsidP="00646E14">
            <w:pPr>
              <w:pStyle w:val="a3"/>
              <w:ind w:left="4117" w:hanging="180"/>
              <w:rPr>
                <w:lang w:val="sl-SI"/>
              </w:rPr>
            </w:pPr>
            <w:r>
              <w:rPr>
                <w:rFonts w:eastAsia="Times New Roman"/>
                <w:b/>
                <w:bCs/>
                <w:lang w:val="sl-SI"/>
              </w:rPr>
              <w:t>a.</w:t>
            </w:r>
            <w:r>
              <w:rPr>
                <w:rFonts w:eastAsia="Times New Roman"/>
                <w:lang w:val="sl-SI"/>
              </w:rPr>
              <w:t xml:space="preserve"> Ko je napolnjena injekcijska brizga prazna, odstranite napolnjeno injekcijsko brizgo iz kože pod istim kotom, kot ste jo vstavili.</w:t>
            </w:r>
          </w:p>
          <w:p w14:paraId="7FEB0EE7" w14:textId="77777777" w:rsidR="00840AAB" w:rsidRDefault="00840AAB" w:rsidP="00646E14">
            <w:pPr>
              <w:pStyle w:val="a3"/>
              <w:ind w:left="4117" w:hanging="180"/>
              <w:rPr>
                <w:rFonts w:eastAsia="Times New Roman"/>
                <w:lang w:val="sl-SI"/>
              </w:rPr>
            </w:pPr>
            <w:r>
              <w:rPr>
                <w:rFonts w:eastAsia="Times New Roman"/>
                <w:b/>
                <w:bCs/>
                <w:lang w:val="sl-SI"/>
              </w:rPr>
              <w:t>b.</w:t>
            </w:r>
            <w:r>
              <w:rPr>
                <w:rFonts w:eastAsia="Times New Roman"/>
                <w:lang w:val="sl-SI"/>
              </w:rPr>
              <w:t>Na mesto injiciranja nežno pritisnite (ne drgnite) z vato ali gazo in po potrebi namestite lepilni povoj. Pojavi se lahko rahla krvavitev.</w:t>
            </w:r>
          </w:p>
          <w:p w14:paraId="4DF47CA3" w14:textId="1C69D022" w:rsidR="00840AAB" w:rsidRDefault="00840AAB" w:rsidP="00646E14">
            <w:pPr>
              <w:pStyle w:val="a3"/>
              <w:rPr>
                <w:lang w:val="sl-SI"/>
              </w:rPr>
            </w:pPr>
            <w:r>
              <w:rPr>
                <w:lang w:val="sl-SI"/>
              </w:rPr>
              <w:t xml:space="preserve"> </w:t>
            </w:r>
            <w:r>
              <w:rPr>
                <w:rFonts w:ascii="맑은 고딕" w:eastAsia="맑은 고딕" w:hAnsi="맑은 고딕"/>
                <w:lang w:val="sl-SI"/>
              </w:rPr>
              <w:t>•</w:t>
            </w:r>
            <w:r>
              <w:rPr>
                <w:rFonts w:eastAsia="Times New Roman"/>
                <w:lang w:val="sl-SI"/>
              </w:rPr>
              <w:t xml:space="preserve"> Napolnjene injekcijske brizge</w:t>
            </w:r>
            <w:r>
              <w:rPr>
                <w:rFonts w:eastAsia="맑은 고딕"/>
                <w:lang w:val="sl-SI"/>
              </w:rPr>
              <w:t xml:space="preserve"> </w:t>
            </w:r>
            <w:r>
              <w:rPr>
                <w:rFonts w:eastAsia="맑은 고딕"/>
                <w:b/>
                <w:bCs/>
                <w:lang w:val="sl-SI"/>
              </w:rPr>
              <w:t>ne</w:t>
            </w:r>
            <w:r>
              <w:rPr>
                <w:rFonts w:eastAsia="맑은 고딕"/>
                <w:lang w:val="sl-SI"/>
              </w:rPr>
              <w:t xml:space="preserve"> uporabljajte ponovno</w:t>
            </w:r>
            <w:r>
              <w:rPr>
                <w:rFonts w:eastAsia="Times New Roman"/>
                <w:lang w:val="sl-SI"/>
              </w:rPr>
              <w:t>.</w:t>
            </w:r>
          </w:p>
          <w:p w14:paraId="375E4844" w14:textId="583F55A1" w:rsidR="00840AAB" w:rsidRDefault="00EC5FDC" w:rsidP="00646E14">
            <w:pPr>
              <w:pStyle w:val="a3"/>
              <w:ind w:left="3859" w:hangingChars="1754" w:hanging="3859"/>
              <w:rPr>
                <w:lang w:val="sl-SI"/>
              </w:rPr>
            </w:pPr>
            <w:r>
              <w:rPr>
                <w:noProof/>
                <w:lang w:eastAsia="ko-KR"/>
              </w:rPr>
              <mc:AlternateContent>
                <mc:Choice Requires="wps">
                  <w:drawing>
                    <wp:anchor distT="0" distB="0" distL="114300" distR="114300" simplePos="0" relativeHeight="251658305" behindDoc="0" locked="0" layoutInCell="1" allowOverlap="1" wp14:anchorId="0309988A" wp14:editId="437D04E9">
                      <wp:simplePos x="0" y="0"/>
                      <wp:positionH relativeFrom="column">
                        <wp:posOffset>1176020</wp:posOffset>
                      </wp:positionH>
                      <wp:positionV relativeFrom="paragraph">
                        <wp:posOffset>274320</wp:posOffset>
                      </wp:positionV>
                      <wp:extent cx="974090" cy="488950"/>
                      <wp:effectExtent l="0" t="0" r="0" b="6350"/>
                      <wp:wrapSquare wrapText="bothSides"/>
                      <wp:docPr id="129" name="Text Box 129"/>
                      <wp:cNvGraphicFramePr/>
                      <a:graphic xmlns:a="http://schemas.openxmlformats.org/drawingml/2006/main">
                        <a:graphicData uri="http://schemas.microsoft.com/office/word/2010/wordprocessingShape">
                          <wps:wsp>
                            <wps:cNvSpPr txBox="1"/>
                            <wps:spPr>
                              <a:xfrm>
                                <a:off x="0" y="0"/>
                                <a:ext cx="974090" cy="488950"/>
                              </a:xfrm>
                              <a:prstGeom prst="rect">
                                <a:avLst/>
                              </a:prstGeom>
                              <a:solidFill>
                                <a:prstClr val="white"/>
                              </a:solidFill>
                              <a:ln>
                                <a:noFill/>
                              </a:ln>
                            </wps:spPr>
                            <wps:txbx>
                              <w:txbxContent>
                                <w:p w14:paraId="332A5B45"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lang w:val="sl-SI"/>
                                    </w:rPr>
                                    <w:t>Slika 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9988A" id="Text Box 129" o:spid="_x0000_s1217" type="#_x0000_t202" style="position:absolute;left:0;text-align:left;margin-left:92.6pt;margin-top:21.6pt;width:76.7pt;height:38.5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" stroked="f">
                      <v:textbox inset="0,0,0,0">
                        <w:txbxContent>
                          <w:p w14:paraId="332A5B45"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lang w:val="sl-SI"/>
                              </w:rPr>
                              <w:t>Slika K</w:t>
                            </w:r>
                          </w:p>
                        </w:txbxContent>
                      </v:textbox>
                      <w10:wrap type="square"/>
                    </v:shape>
                  </w:pict>
                </mc:Fallback>
              </mc:AlternateContent>
            </w:r>
            <w:r w:rsidR="00840AAB">
              <w:rPr>
                <w:rFonts w:ascii="맑은 고딕" w:eastAsia="맑은 고딕" w:hAnsi="맑은 고딕"/>
                <w:lang w:val="sl-SI"/>
              </w:rPr>
              <w:t>•</w:t>
            </w:r>
            <w:r w:rsidR="00840AAB">
              <w:rPr>
                <w:rFonts w:eastAsia="Times New Roman"/>
                <w:lang w:val="sl-SI"/>
              </w:rPr>
              <w:t xml:space="preserve"> </w:t>
            </w:r>
            <w:r w:rsidR="00840AAB">
              <w:rPr>
                <w:rFonts w:eastAsia="Times New Roman"/>
                <w:bCs/>
                <w:lang w:val="sl-SI"/>
              </w:rPr>
              <w:t>Igle se</w:t>
            </w:r>
            <w:r w:rsidR="00840AAB">
              <w:rPr>
                <w:rFonts w:eastAsia="Times New Roman"/>
                <w:b/>
                <w:bCs/>
                <w:lang w:val="sl-SI"/>
              </w:rPr>
              <w:t xml:space="preserve"> ne</w:t>
            </w:r>
            <w:r w:rsidR="00840AAB">
              <w:rPr>
                <w:rFonts w:eastAsia="Times New Roman"/>
                <w:lang w:val="sl-SI"/>
              </w:rPr>
              <w:t xml:space="preserve"> dotikajte in pokrovčka ne nameščajte nazaj na iglo.</w:t>
            </w:r>
          </w:p>
          <w:p w14:paraId="37072462" w14:textId="0B4DA5A5" w:rsidR="00840AAB" w:rsidRDefault="00EC5FDC" w:rsidP="00646E14">
            <w:pPr>
              <w:pStyle w:val="a3"/>
              <w:rPr>
                <w:lang w:val="sl-SI"/>
              </w:rPr>
            </w:pPr>
            <w:r>
              <w:rPr>
                <w:noProof/>
                <w:lang w:eastAsia="ko-KR"/>
              </w:rPr>
              <mc:AlternateContent>
                <mc:Choice Requires="wps">
                  <w:drawing>
                    <wp:anchor distT="0" distB="0" distL="114300" distR="114300" simplePos="0" relativeHeight="251658337" behindDoc="0" locked="0" layoutInCell="1" allowOverlap="1" wp14:anchorId="3CD868AF" wp14:editId="3D2B84C4">
                      <wp:simplePos x="0" y="0"/>
                      <wp:positionH relativeFrom="column">
                        <wp:posOffset>1369533</wp:posOffset>
                      </wp:positionH>
                      <wp:positionV relativeFrom="paragraph">
                        <wp:posOffset>213567</wp:posOffset>
                      </wp:positionV>
                      <wp:extent cx="719350" cy="146412"/>
                      <wp:effectExtent l="0" t="0" r="0" b="0"/>
                      <wp:wrapNone/>
                      <wp:docPr id="3893" name="Text Box 3893"/>
                      <wp:cNvGraphicFramePr/>
                      <a:graphic xmlns:a="http://schemas.openxmlformats.org/drawingml/2006/main">
                        <a:graphicData uri="http://schemas.microsoft.com/office/word/2010/wordprocessingShape">
                          <wps:wsp>
                            <wps:cNvSpPr txBox="1"/>
                            <wps:spPr>
                              <a:xfrm>
                                <a:off x="0" y="0"/>
                                <a:ext cx="719350" cy="146412"/>
                              </a:xfrm>
                              <a:prstGeom prst="rect">
                                <a:avLst/>
                              </a:prstGeom>
                              <a:solidFill>
                                <a:prstClr val="white"/>
                              </a:solidFill>
                              <a:ln>
                                <a:noFill/>
                              </a:ln>
                            </wps:spPr>
                            <wps:txbx>
                              <w:txbxContent>
                                <w:p w14:paraId="3E6D89D6" w14:textId="7C813C53" w:rsidR="00474DFB" w:rsidRPr="00EC5FDC" w:rsidRDefault="00474DFB" w:rsidP="00EC5FDC">
                                  <w:pPr>
                                    <w:pStyle w:val="af0"/>
                                    <w:jc w:val="right"/>
                                    <w:rPr>
                                      <w:rFonts w:ascii="Times New Roman" w:hAnsi="Times New Roman" w:cs="Times New Roman"/>
                                      <w:noProof/>
                                      <w:spacing w:val="-1"/>
                                      <w:lang w:eastAsia="ko-KR"/>
                                    </w:rPr>
                                  </w:pPr>
                                  <w:r>
                                    <w:rPr>
                                      <w:rFonts w:ascii="Times New Roman" w:eastAsia="Times New Roman" w:hAnsi="Times New Roman" w:cs="Times New Roman"/>
                                      <w:lang w:val="sl-SI"/>
                                    </w:rPr>
                                    <w:t>Slika </w:t>
                                  </w:r>
                                  <w:r>
                                    <w:rPr>
                                      <w:rFonts w:ascii="Times New Roman" w:hAnsi="Times New Roman" w:cs="Times New Roman"/>
                                      <w:lang w:val="sl-SI" w:eastAsia="ko-KR"/>
                                    </w:rPr>
                                    <w:t>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D868AF" id="Text Box 3893" o:spid="_x0000_s1218" type="#_x0000_t202" style="position:absolute;margin-left:107.85pt;margin-top:16.8pt;width:56.65pt;height:11.55pt;z-index:25165833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" stroked="f">
                      <v:textbox style="mso-fit-shape-to-text:t" inset="0,0,0,0">
                        <w:txbxContent>
                          <w:p w14:paraId="3E6D89D6" w14:textId="7C813C53" w:rsidR="00474DFB" w:rsidRPr="00EC5FDC" w:rsidRDefault="00474DFB" w:rsidP="00EC5FDC">
                            <w:pPr>
                              <w:pStyle w:val="af0"/>
                              <w:jc w:val="right"/>
                              <w:rPr>
                                <w:rFonts w:ascii="Times New Roman" w:hAnsi="Times New Roman" w:cs="Times New Roman"/>
                                <w:noProof/>
                                <w:spacing w:val="-1"/>
                                <w:lang w:eastAsia="ko-KR"/>
                              </w:rPr>
                            </w:pPr>
                            <w:r>
                              <w:rPr>
                                <w:rFonts w:ascii="Times New Roman" w:eastAsia="Times New Roman" w:hAnsi="Times New Roman" w:cs="Times New Roman"/>
                                <w:lang w:val="sl-SI"/>
                              </w:rPr>
                              <w:t>Slika </w:t>
                            </w:r>
                            <w:r>
                              <w:rPr>
                                <w:rFonts w:ascii="Times New Roman" w:hAnsi="Times New Roman" w:cs="Times New Roman"/>
                                <w:lang w:val="sl-SI" w:eastAsia="ko-KR"/>
                              </w:rPr>
                              <w:t>K</w:t>
                            </w:r>
                          </w:p>
                        </w:txbxContent>
                      </v:textbox>
                    </v:shape>
                  </w:pict>
                </mc:Fallback>
              </mc:AlternateContent>
            </w:r>
            <w:r w:rsidR="00840AAB">
              <w:rPr>
                <w:rFonts w:ascii="맑은 고딕" w:eastAsia="맑은 고딕" w:hAnsi="맑은 고딕"/>
                <w:lang w:val="sl-SI"/>
              </w:rPr>
              <w:t>•</w:t>
            </w:r>
            <w:r w:rsidR="00840AAB">
              <w:rPr>
                <w:rFonts w:eastAsia="Times New Roman"/>
                <w:lang w:val="sl-SI"/>
              </w:rPr>
              <w:t xml:space="preserve"> Mesta injiciranja</w:t>
            </w:r>
            <w:r w:rsidR="00840AAB">
              <w:rPr>
                <w:rFonts w:eastAsia="맑은 고딕"/>
                <w:lang w:val="sl-SI"/>
              </w:rPr>
              <w:t xml:space="preserve"> </w:t>
            </w:r>
            <w:r w:rsidR="00840AAB">
              <w:rPr>
                <w:rFonts w:eastAsia="맑은 고딕"/>
                <w:b/>
                <w:bCs/>
                <w:lang w:val="sl-SI"/>
              </w:rPr>
              <w:t>ne</w:t>
            </w:r>
            <w:r w:rsidR="00840AAB">
              <w:rPr>
                <w:rFonts w:eastAsia="맑은 고딕"/>
                <w:lang w:val="sl-SI"/>
              </w:rPr>
              <w:t xml:space="preserve"> drgnite</w:t>
            </w:r>
            <w:r w:rsidR="00840AAB">
              <w:rPr>
                <w:rFonts w:ascii="맑은 고딕" w:eastAsia="맑은 고딕" w:hAnsi="맑은 고딕"/>
                <w:lang w:val="sl-SI"/>
              </w:rPr>
              <w:t xml:space="preserve">. </w:t>
            </w:r>
          </w:p>
        </w:tc>
      </w:tr>
      <w:tr w:rsidR="00840AAB" w:rsidRPr="00652F18" w14:paraId="460799FE" w14:textId="77777777" w:rsidTr="00EC5FDC">
        <w:trPr>
          <w:trHeight w:val="4479"/>
        </w:trPr>
        <w:tc>
          <w:tcPr>
            <w:tcW w:w="9209" w:type="dxa"/>
          </w:tcPr>
          <w:p w14:paraId="35B47664" w14:textId="6816CA79" w:rsidR="00E92CA1" w:rsidRPr="00A10714" w:rsidRDefault="00EC5FDC" w:rsidP="0030421B">
            <w:pPr>
              <w:pStyle w:val="a3"/>
              <w:numPr>
                <w:ilvl w:val="0"/>
                <w:numId w:val="131"/>
              </w:numPr>
              <w:rPr>
                <w:rFonts w:eastAsia="Times New Roman"/>
                <w:b/>
                <w:bCs/>
                <w:spacing w:val="-1"/>
                <w:lang w:val="sl-SI"/>
              </w:rPr>
            </w:pPr>
            <w:r w:rsidRPr="0030421B">
              <w:rPr>
                <w:rFonts w:eastAsia="Times New Roman"/>
                <w:b/>
                <w:bCs/>
                <w:noProof/>
                <w:lang w:eastAsia="ko-KR"/>
              </w:rPr>
              <w:drawing>
                <wp:anchor distT="0" distB="0" distL="114300" distR="114300" simplePos="0" relativeHeight="251658333" behindDoc="0" locked="0" layoutInCell="1" allowOverlap="1" wp14:anchorId="5DBCDA60" wp14:editId="4DE65AF0">
                  <wp:simplePos x="0" y="0"/>
                  <wp:positionH relativeFrom="column">
                    <wp:posOffset>38100</wp:posOffset>
                  </wp:positionH>
                  <wp:positionV relativeFrom="paragraph">
                    <wp:posOffset>68299</wp:posOffset>
                  </wp:positionV>
                  <wp:extent cx="2110740" cy="2599690"/>
                  <wp:effectExtent l="19050" t="19050" r="22860" b="10160"/>
                  <wp:wrapSquare wrapText="bothSides"/>
                  <wp:docPr id="3895" name="그림 3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 name="그림 3895"/>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10740" cy="2599690"/>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r w:rsidR="00E92CA1" w:rsidRPr="0030421B">
              <w:rPr>
                <w:rFonts w:eastAsia="Times New Roman"/>
                <w:b/>
                <w:bCs/>
                <w:lang w:val="sl-SI"/>
              </w:rPr>
              <w:t>Napolnjeno injekcijsko brizgo zavrzite</w:t>
            </w:r>
          </w:p>
          <w:p w14:paraId="672EB3B7" w14:textId="6DBF89CF" w:rsidR="00E92CA1" w:rsidRPr="00A10714" w:rsidRDefault="00E92CA1" w:rsidP="00E92CA1">
            <w:pPr>
              <w:ind w:left="104"/>
              <w:rPr>
                <w:rFonts w:ascii="Times New Roman" w:eastAsia="Times New Roman" w:hAnsi="Times New Roman" w:cs="Times New Roman"/>
                <w:b/>
                <w:bCs/>
                <w:spacing w:val="-1"/>
                <w:lang w:val="sl-SI"/>
              </w:rPr>
            </w:pPr>
          </w:p>
          <w:p w14:paraId="05B16813" w14:textId="406C4B8A" w:rsidR="00E92CA1" w:rsidRDefault="00E92CA1" w:rsidP="00E92CA1">
            <w:pPr>
              <w:ind w:leftChars="347" w:left="763"/>
              <w:rPr>
                <w:rFonts w:ascii="Times New Roman" w:eastAsia="Times New Roman" w:hAnsi="Times New Roman" w:cs="Times New Roman"/>
                <w:spacing w:val="-1"/>
                <w:lang w:val="sl-SI"/>
              </w:rPr>
            </w:pPr>
            <w:r w:rsidRPr="00FE5F68">
              <w:rPr>
                <w:rFonts w:ascii="Times New Roman" w:eastAsia="Times New Roman" w:hAnsi="Times New Roman" w:cs="Times New Roman" w:hint="eastAsia"/>
                <w:spacing w:val="-1"/>
                <w:lang w:val="sl-SI"/>
              </w:rPr>
              <w:t>•</w:t>
            </w:r>
            <w:r w:rsidRPr="00FE5F68">
              <w:rPr>
                <w:rFonts w:ascii="Times New Roman" w:eastAsia="Times New Roman" w:hAnsi="Times New Roman" w:cs="Times New Roman"/>
                <w:spacing w:val="-1"/>
                <w:lang w:val="sl-SI"/>
              </w:rPr>
              <w:t xml:space="preserve"> Napolnjene injekcijske brizge </w:t>
            </w:r>
            <w:r w:rsidRPr="00A10714">
              <w:rPr>
                <w:rFonts w:ascii="Times New Roman" w:eastAsia="Times New Roman" w:hAnsi="Times New Roman" w:cs="Times New Roman"/>
                <w:b/>
                <w:bCs/>
                <w:spacing w:val="-1"/>
                <w:lang w:val="sl-SI"/>
              </w:rPr>
              <w:t>ne</w:t>
            </w:r>
            <w:r w:rsidRPr="00FE5F68">
              <w:rPr>
                <w:rFonts w:ascii="Times New Roman" w:eastAsia="Times New Roman" w:hAnsi="Times New Roman" w:cs="Times New Roman"/>
                <w:spacing w:val="-1"/>
                <w:lang w:val="sl-SI"/>
              </w:rPr>
              <w:t xml:space="preserve"> zamašite znova.</w:t>
            </w:r>
          </w:p>
          <w:p w14:paraId="159AB3DE" w14:textId="77777777" w:rsidR="004E4431" w:rsidRPr="00FE5F68" w:rsidRDefault="004E4431" w:rsidP="00E92CA1">
            <w:pPr>
              <w:ind w:leftChars="347" w:left="763"/>
              <w:rPr>
                <w:rFonts w:ascii="Times New Roman" w:eastAsia="Times New Roman" w:hAnsi="Times New Roman" w:cs="Times New Roman"/>
                <w:spacing w:val="-1"/>
                <w:lang w:val="sl-SI"/>
              </w:rPr>
            </w:pPr>
          </w:p>
          <w:p w14:paraId="01F2464C" w14:textId="47153B2E" w:rsidR="00E92CA1" w:rsidRDefault="00E92CA1" w:rsidP="004E4431">
            <w:pPr>
              <w:pStyle w:val="a3"/>
              <w:numPr>
                <w:ilvl w:val="0"/>
                <w:numId w:val="130"/>
              </w:numPr>
              <w:rPr>
                <w:rFonts w:eastAsia="Times New Roman"/>
                <w:spacing w:val="-1"/>
                <w:lang w:val="sl-SI"/>
              </w:rPr>
            </w:pPr>
            <w:r w:rsidRPr="00FE5F68">
              <w:rPr>
                <w:rFonts w:eastAsia="Times New Roman"/>
                <w:spacing w:val="-1"/>
                <w:lang w:val="sl-SI"/>
              </w:rPr>
              <w:t>Uporabljeno napolnjeno injekcijsko brizgo zavrzite v posebn</w:t>
            </w:r>
            <w:r w:rsidR="00170C57">
              <w:rPr>
                <w:rFonts w:eastAsia="Times New Roman"/>
                <w:spacing w:val="-1"/>
                <w:lang w:val="sl-SI"/>
              </w:rPr>
              <w:t>o</w:t>
            </w:r>
            <w:r w:rsidRPr="00FE5F68">
              <w:rPr>
                <w:rFonts w:eastAsia="Times New Roman"/>
                <w:spacing w:val="-1"/>
                <w:lang w:val="sl-SI"/>
              </w:rPr>
              <w:t xml:space="preserve"> posod</w:t>
            </w:r>
            <w:r w:rsidR="00170C57">
              <w:rPr>
                <w:rFonts w:eastAsia="Times New Roman"/>
                <w:spacing w:val="-1"/>
                <w:lang w:val="sl-SI"/>
              </w:rPr>
              <w:t>o</w:t>
            </w:r>
            <w:r w:rsidRPr="00FE5F68">
              <w:rPr>
                <w:rFonts w:eastAsia="Times New Roman"/>
                <w:spacing w:val="-1"/>
                <w:lang w:val="sl-SI"/>
              </w:rPr>
              <w:t xml:space="preserve"> za odlaganje ostrih predmetov po navodilih</w:t>
            </w:r>
            <w:r>
              <w:rPr>
                <w:rFonts w:eastAsia="Times New Roman"/>
                <w:spacing w:val="-1"/>
                <w:lang w:val="sl-SI"/>
              </w:rPr>
              <w:t xml:space="preserve"> </w:t>
            </w:r>
            <w:r w:rsidRPr="00FE5F68">
              <w:rPr>
                <w:rFonts w:eastAsia="Times New Roman"/>
                <w:spacing w:val="-1"/>
                <w:lang w:val="sl-SI"/>
              </w:rPr>
              <w:t>zdravnika, medicinske sestre ali farmacevta.</w:t>
            </w:r>
          </w:p>
          <w:p w14:paraId="389C8683" w14:textId="77777777" w:rsidR="004E4431" w:rsidRDefault="004E4431" w:rsidP="0030421B">
            <w:pPr>
              <w:pStyle w:val="a3"/>
              <w:numPr>
                <w:ilvl w:val="0"/>
                <w:numId w:val="0"/>
              </w:numPr>
              <w:ind w:left="4318"/>
              <w:rPr>
                <w:rFonts w:eastAsia="Times New Roman"/>
                <w:spacing w:val="-1"/>
                <w:lang w:val="sl-SI"/>
              </w:rPr>
            </w:pPr>
          </w:p>
          <w:p w14:paraId="467F7739" w14:textId="138F79EC" w:rsidR="00E92CA1" w:rsidRPr="0030421B" w:rsidRDefault="00E92CA1" w:rsidP="004E4431">
            <w:pPr>
              <w:pStyle w:val="a3"/>
              <w:numPr>
                <w:ilvl w:val="0"/>
                <w:numId w:val="130"/>
              </w:numPr>
              <w:rPr>
                <w:rFonts w:eastAsia="Times New Roman"/>
                <w:spacing w:val="-1"/>
                <w:lang w:val="sl-SI"/>
              </w:rPr>
            </w:pPr>
            <w:r w:rsidRPr="0030421B">
              <w:rPr>
                <w:rFonts w:eastAsia="Times New Roman"/>
                <w:lang w:val="sl-SI"/>
              </w:rPr>
              <w:t>Alkoholn</w:t>
            </w:r>
            <w:r w:rsidR="00170C57">
              <w:rPr>
                <w:rFonts w:eastAsia="Times New Roman"/>
                <w:lang w:val="sl-SI"/>
              </w:rPr>
              <w:t>o</w:t>
            </w:r>
            <w:r w:rsidRPr="0030421B">
              <w:rPr>
                <w:rFonts w:eastAsia="Times New Roman"/>
                <w:lang w:val="sl-SI"/>
              </w:rPr>
              <w:t xml:space="preserve"> blazinic</w:t>
            </w:r>
            <w:r w:rsidR="00170C57">
              <w:rPr>
                <w:rFonts w:eastAsia="Times New Roman"/>
                <w:lang w:val="sl-SI"/>
              </w:rPr>
              <w:t>o</w:t>
            </w:r>
            <w:r w:rsidRPr="0030421B">
              <w:rPr>
                <w:rFonts w:eastAsia="Times New Roman"/>
                <w:lang w:val="sl-SI"/>
              </w:rPr>
              <w:t xml:space="preserve"> in embalaž</w:t>
            </w:r>
            <w:r w:rsidR="00170C57">
              <w:rPr>
                <w:rFonts w:eastAsia="Times New Roman"/>
                <w:lang w:val="sl-SI"/>
              </w:rPr>
              <w:t>o</w:t>
            </w:r>
            <w:r w:rsidRPr="0030421B">
              <w:rPr>
                <w:rFonts w:eastAsia="Times New Roman"/>
                <w:lang w:val="sl-SI"/>
              </w:rPr>
              <w:t xml:space="preserve"> lahko odložite med gospodinjske odpadke.</w:t>
            </w:r>
          </w:p>
          <w:p w14:paraId="42D71FF4" w14:textId="5DCB1483" w:rsidR="004E4431" w:rsidRPr="004E4431" w:rsidRDefault="004E4431" w:rsidP="0030421B">
            <w:pPr>
              <w:pStyle w:val="a3"/>
              <w:numPr>
                <w:ilvl w:val="0"/>
                <w:numId w:val="0"/>
              </w:numPr>
              <w:rPr>
                <w:rFonts w:eastAsia="Times New Roman"/>
                <w:spacing w:val="-1"/>
                <w:lang w:val="sl-SI"/>
              </w:rPr>
            </w:pPr>
          </w:p>
          <w:p w14:paraId="5D84ADAC" w14:textId="2E430C37" w:rsidR="00840AAB" w:rsidRDefault="00EC5FDC" w:rsidP="00E92CA1">
            <w:pPr>
              <w:ind w:left="104"/>
              <w:rPr>
                <w:rFonts w:ascii="Times New Roman" w:eastAsia="Times New Roman" w:hAnsi="Times New Roman" w:cs="Times New Roman"/>
                <w:b/>
                <w:bCs/>
                <w:spacing w:val="-1"/>
                <w:lang w:val="sl-SI"/>
              </w:rPr>
            </w:pPr>
            <w:r w:rsidRPr="00A10714">
              <w:rPr>
                <w:noProof/>
                <w:lang w:eastAsia="ko-KR"/>
              </w:rPr>
              <mc:AlternateContent>
                <mc:Choice Requires="wps">
                  <w:drawing>
                    <wp:anchor distT="0" distB="0" distL="114300" distR="114300" simplePos="0" relativeHeight="251658332" behindDoc="0" locked="0" layoutInCell="1" allowOverlap="1" wp14:anchorId="2EF128D4" wp14:editId="59089DEF">
                      <wp:simplePos x="0" y="0"/>
                      <wp:positionH relativeFrom="column">
                        <wp:posOffset>1489739</wp:posOffset>
                      </wp:positionH>
                      <wp:positionV relativeFrom="paragraph">
                        <wp:posOffset>742005</wp:posOffset>
                      </wp:positionV>
                      <wp:extent cx="719758" cy="146050"/>
                      <wp:effectExtent l="0" t="0" r="4445" b="6350"/>
                      <wp:wrapSquare wrapText="bothSides"/>
                      <wp:docPr id="3894" name="Text Box 3894"/>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295B7C18" w14:textId="77777777" w:rsidR="00474DFB" w:rsidRDefault="00474DFB" w:rsidP="00E92CA1">
                                  <w:pPr>
                                    <w:pStyle w:val="af0"/>
                                    <w:jc w:val="right"/>
                                    <w:rPr>
                                      <w:rFonts w:ascii="Times New Roman" w:hAnsi="Times New Roman" w:cs="Times New Roman"/>
                                      <w:noProof/>
                                      <w:spacing w:val="-1"/>
                                    </w:rPr>
                                  </w:pPr>
                                  <w:r>
                                    <w:rPr>
                                      <w:rFonts w:ascii="Times New Roman" w:eastAsia="Times New Roman" w:hAnsi="Times New Roman" w:cs="Times New Roman"/>
                                      <w:lang w:val="sl-SI"/>
                                    </w:rPr>
                                    <w:t>Slika 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F128D4" id="Text Box 3894" o:spid="_x0000_s1219" type="#_x0000_t202" style="position:absolute;left:0;text-align:left;margin-left:117.3pt;margin-top:58.45pt;width:56.65pt;height:11.5pt;z-index:2516583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" stroked="f">
                      <v:textbox style="mso-fit-shape-to-text:t" inset="0,0,0,0">
                        <w:txbxContent>
                          <w:p w14:paraId="295B7C18" w14:textId="77777777" w:rsidR="00474DFB" w:rsidRDefault="00474DFB" w:rsidP="00E92CA1">
                            <w:pPr>
                              <w:pStyle w:val="af0"/>
                              <w:jc w:val="right"/>
                              <w:rPr>
                                <w:rFonts w:ascii="Times New Roman" w:hAnsi="Times New Roman" w:cs="Times New Roman"/>
                                <w:noProof/>
                                <w:spacing w:val="-1"/>
                              </w:rPr>
                            </w:pPr>
                            <w:r>
                              <w:rPr>
                                <w:rFonts w:ascii="Times New Roman" w:eastAsia="Times New Roman" w:hAnsi="Times New Roman" w:cs="Times New Roman"/>
                                <w:lang w:val="sl-SI"/>
                              </w:rPr>
                              <w:t>Slika L</w:t>
                            </w:r>
                          </w:p>
                        </w:txbxContent>
                      </v:textbox>
                      <w10:wrap type="square"/>
                    </v:shape>
                  </w:pict>
                </mc:Fallback>
              </mc:AlternateContent>
            </w:r>
            <w:r w:rsidR="00E92CA1" w:rsidRPr="00FE5F68">
              <w:rPr>
                <w:rFonts w:ascii="Times New Roman" w:eastAsia="Times New Roman" w:hAnsi="Times New Roman" w:cs="Times New Roman" w:hint="eastAsia"/>
                <w:spacing w:val="-1"/>
                <w:lang w:val="sl-SI"/>
              </w:rPr>
              <w:t>•</w:t>
            </w:r>
            <w:r w:rsidR="00E92CA1" w:rsidRPr="00FE5F68">
              <w:rPr>
                <w:rFonts w:ascii="Times New Roman" w:eastAsia="Times New Roman" w:hAnsi="Times New Roman" w:cs="Times New Roman"/>
                <w:spacing w:val="-1"/>
                <w:lang w:val="sl-SI"/>
              </w:rPr>
              <w:t xml:space="preserve"> Vedno imejte napolnjeno injekcijsko brizgo in posebno</w:t>
            </w:r>
            <w:r w:rsidR="00E92CA1">
              <w:rPr>
                <w:rFonts w:ascii="Times New Roman" w:eastAsia="Times New Roman" w:hAnsi="Times New Roman" w:cs="Times New Roman"/>
                <w:spacing w:val="-1"/>
                <w:lang w:val="sl-SI"/>
              </w:rPr>
              <w:t xml:space="preserve"> </w:t>
            </w:r>
            <w:r w:rsidR="00E92CA1" w:rsidRPr="00FE5F68">
              <w:rPr>
                <w:rFonts w:ascii="Times New Roman" w:eastAsia="Times New Roman" w:hAnsi="Times New Roman" w:cs="Times New Roman"/>
                <w:spacing w:val="-1"/>
                <w:lang w:val="sl-SI"/>
              </w:rPr>
              <w:t>posod</w:t>
            </w:r>
            <w:r w:rsidR="00170C57">
              <w:rPr>
                <w:rFonts w:ascii="Times New Roman" w:eastAsia="Times New Roman" w:hAnsi="Times New Roman" w:cs="Times New Roman"/>
                <w:spacing w:val="-1"/>
                <w:lang w:val="sl-SI"/>
              </w:rPr>
              <w:t>o</w:t>
            </w:r>
            <w:r w:rsidR="00E92CA1" w:rsidRPr="00FE5F68">
              <w:rPr>
                <w:rFonts w:ascii="Times New Roman" w:eastAsia="Times New Roman" w:hAnsi="Times New Roman" w:cs="Times New Roman"/>
                <w:spacing w:val="-1"/>
                <w:lang w:val="sl-SI"/>
              </w:rPr>
              <w:t xml:space="preserve"> za odlaganje ostrih predmetov izven dosega</w:t>
            </w:r>
            <w:r w:rsidR="00E92CA1">
              <w:rPr>
                <w:rFonts w:ascii="Times New Roman" w:eastAsia="Times New Roman" w:hAnsi="Times New Roman" w:cs="Times New Roman"/>
                <w:spacing w:val="-1"/>
                <w:lang w:val="sl-SI"/>
              </w:rPr>
              <w:t xml:space="preserve"> </w:t>
            </w:r>
            <w:r w:rsidR="00E92CA1" w:rsidRPr="00FE5F68">
              <w:rPr>
                <w:rFonts w:ascii="Times New Roman" w:eastAsia="Times New Roman" w:hAnsi="Times New Roman" w:cs="Times New Roman"/>
                <w:spacing w:val="-1"/>
                <w:lang w:val="sl-SI"/>
              </w:rPr>
              <w:t>otrok.</w:t>
            </w:r>
          </w:p>
        </w:tc>
      </w:tr>
    </w:tbl>
    <w:p w14:paraId="2CAB7E71" w14:textId="5CC11B08" w:rsidR="00840AAB" w:rsidRDefault="00840AAB" w:rsidP="00840AAB">
      <w:pPr>
        <w:spacing w:line="241" w:lineRule="auto"/>
        <w:rPr>
          <w:lang w:val="sl-SI"/>
        </w:rPr>
      </w:pPr>
    </w:p>
    <w:p w14:paraId="06F42E0E" w14:textId="77777777" w:rsidR="00840AAB" w:rsidRDefault="00840AAB" w:rsidP="00840AAB">
      <w:pPr>
        <w:pStyle w:val="a3"/>
        <w:rPr>
          <w:b/>
          <w:lang w:val="sl-SI"/>
        </w:rPr>
      </w:pPr>
      <w:r w:rsidRPr="008E1817">
        <w:rPr>
          <w:rFonts w:eastAsia="Times New Roman"/>
          <w:b/>
          <w:bCs/>
          <w:highlight w:val="lightGray"/>
          <w:lang w:val="sl-SI"/>
        </w:rPr>
        <w:t xml:space="preserve">Zdravilo Yuflyma napolnjena injekcijska brizga </w:t>
      </w:r>
      <w:r>
        <w:rPr>
          <w:rFonts w:eastAsia="Times New Roman"/>
          <w:b/>
          <w:bCs/>
          <w:highlight w:val="lightGray"/>
          <w:lang w:val="sl-SI"/>
        </w:rPr>
        <w:t>s ščitnikom za iglo</w:t>
      </w:r>
    </w:p>
    <w:p w14:paraId="609794B1" w14:textId="6E43C665" w:rsidR="00840AAB" w:rsidRDefault="00840AAB" w:rsidP="003D425B">
      <w:pPr>
        <w:pStyle w:val="a3"/>
        <w:jc w:val="center"/>
        <w:rPr>
          <w:lang w:val="sl-SI"/>
        </w:rPr>
      </w:pPr>
      <w:r w:rsidRPr="00CB6F31">
        <w:rPr>
          <w:noProof/>
          <w:lang w:eastAsia="ko-KR"/>
        </w:rPr>
        <w:drawing>
          <wp:inline distT="0" distB="0" distL="0" distR="0" wp14:anchorId="3CCF1683" wp14:editId="3A1189F5">
            <wp:extent cx="4363340" cy="4115856"/>
            <wp:effectExtent l="0" t="0" r="0" b="0"/>
            <wp:docPr id="3887"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 name="그림 2"/>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363340" cy="4115856"/>
                    </a:xfrm>
                    <a:prstGeom prst="rect">
                      <a:avLst/>
                    </a:prstGeom>
                  </pic:spPr>
                </pic:pic>
              </a:graphicData>
            </a:graphic>
          </wp:inline>
        </w:drawing>
      </w:r>
    </w:p>
    <w:tbl>
      <w:tblPr>
        <w:tblStyle w:val="ac"/>
        <w:tblW w:w="0" w:type="auto"/>
        <w:tblInd w:w="1413" w:type="dxa"/>
        <w:tblLook w:val="04A0" w:firstRow="1" w:lastRow="0" w:firstColumn="1" w:lastColumn="0" w:noHBand="0" w:noVBand="1"/>
      </w:tblPr>
      <w:tblGrid>
        <w:gridCol w:w="6804"/>
      </w:tblGrid>
      <w:tr w:rsidR="003D425B" w14:paraId="4ACD2A14" w14:textId="77777777" w:rsidTr="0030421B">
        <w:tc>
          <w:tcPr>
            <w:tcW w:w="6804" w:type="dxa"/>
            <w:tcBorders>
              <w:top w:val="nil"/>
              <w:left w:val="nil"/>
              <w:bottom w:val="nil"/>
              <w:right w:val="nil"/>
            </w:tcBorders>
          </w:tcPr>
          <w:p w14:paraId="0EB181CC" w14:textId="3535EBB6" w:rsidR="003D425B" w:rsidRPr="0030421B" w:rsidRDefault="003D425B" w:rsidP="0030421B">
            <w:pPr>
              <w:pStyle w:val="a3"/>
              <w:jc w:val="right"/>
              <w:rPr>
                <w:rFonts w:eastAsia="Times New Roman"/>
                <w:b/>
                <w:bCs/>
                <w:sz w:val="20"/>
                <w:szCs w:val="20"/>
                <w:lang w:val="sl-SI"/>
              </w:rPr>
            </w:pPr>
            <w:r w:rsidRPr="0030421B">
              <w:rPr>
                <w:rFonts w:eastAsia="Times New Roman"/>
                <w:b/>
                <w:bCs/>
                <w:highlight w:val="lightGray"/>
                <w:lang w:val="sl-SI"/>
              </w:rPr>
              <w:t>Slika A</w:t>
            </w:r>
          </w:p>
        </w:tc>
      </w:tr>
    </w:tbl>
    <w:p w14:paraId="391F014F" w14:textId="77777777" w:rsidR="003D425B" w:rsidRDefault="003D425B" w:rsidP="0030421B">
      <w:pPr>
        <w:pStyle w:val="a3"/>
        <w:jc w:val="center"/>
        <w:rPr>
          <w:rFonts w:eastAsia="Times New Roman"/>
          <w:sz w:val="20"/>
          <w:szCs w:val="20"/>
          <w:lang w:val="sl-SI"/>
        </w:rPr>
      </w:pPr>
    </w:p>
    <w:p w14:paraId="323040B0" w14:textId="77777777" w:rsidR="00840AAB" w:rsidRPr="008E1817" w:rsidRDefault="00840AAB" w:rsidP="00840AAB">
      <w:pPr>
        <w:spacing w:before="10" w:line="240" w:lineRule="exact"/>
        <w:rPr>
          <w:sz w:val="24"/>
          <w:szCs w:val="24"/>
          <w:highlight w:val="lightGray"/>
          <w:lang w:val="sl-SI"/>
        </w:rPr>
      </w:pPr>
    </w:p>
    <w:p w14:paraId="002E797B" w14:textId="77777777" w:rsidR="00840AAB" w:rsidRPr="008E1817" w:rsidRDefault="00840AAB" w:rsidP="00840AAB">
      <w:pPr>
        <w:pStyle w:val="a3"/>
        <w:rPr>
          <w:b/>
          <w:highlight w:val="lightGray"/>
          <w:lang w:val="sl-SI"/>
        </w:rPr>
      </w:pPr>
      <w:r w:rsidRPr="008E1817">
        <w:rPr>
          <w:rFonts w:eastAsia="Times New Roman"/>
          <w:b/>
          <w:bCs/>
          <w:highlight w:val="lightGray"/>
          <w:lang w:val="sl-SI"/>
        </w:rPr>
        <w:t>Napolnjene injekcijske brizge ne uporabljajte, če:</w:t>
      </w:r>
    </w:p>
    <w:p w14:paraId="11F7197C" w14:textId="77777777" w:rsidR="00840AAB" w:rsidRPr="008E1817" w:rsidRDefault="00840AAB" w:rsidP="00840AAB">
      <w:pPr>
        <w:pStyle w:val="a3"/>
        <w:numPr>
          <w:ilvl w:val="1"/>
          <w:numId w:val="24"/>
        </w:numPr>
        <w:ind w:left="660" w:hanging="660"/>
        <w:rPr>
          <w:highlight w:val="lightGray"/>
          <w:lang w:val="sl-SI"/>
        </w:rPr>
      </w:pPr>
      <w:r w:rsidRPr="008E1817">
        <w:rPr>
          <w:rFonts w:eastAsia="Times New Roman"/>
          <w:highlight w:val="lightGray"/>
          <w:lang w:val="sl-SI"/>
        </w:rPr>
        <w:t xml:space="preserve">je razpokana ali poškodovana, </w:t>
      </w:r>
    </w:p>
    <w:p w14:paraId="4F996D8F" w14:textId="77777777" w:rsidR="00840AAB" w:rsidRPr="00F90CAB" w:rsidRDefault="00840AAB" w:rsidP="00840AAB">
      <w:pPr>
        <w:pStyle w:val="a3"/>
        <w:numPr>
          <w:ilvl w:val="1"/>
          <w:numId w:val="24"/>
        </w:numPr>
        <w:ind w:left="660" w:hanging="660"/>
        <w:rPr>
          <w:rFonts w:eastAsia="Times New Roman"/>
          <w:highlight w:val="lightGray"/>
          <w:lang w:val="sl-SI"/>
        </w:rPr>
      </w:pPr>
      <w:r w:rsidRPr="008E1817">
        <w:rPr>
          <w:rFonts w:eastAsia="Times New Roman"/>
          <w:highlight w:val="lightGray"/>
          <w:lang w:val="sl-SI"/>
        </w:rPr>
        <w:t xml:space="preserve">je pretekel rok uporabnosti. </w:t>
      </w:r>
    </w:p>
    <w:p w14:paraId="18A53AB4" w14:textId="4B7A8C9D" w:rsidR="00F90CAB" w:rsidRPr="008E1817" w:rsidRDefault="00F90CAB" w:rsidP="00840AAB">
      <w:pPr>
        <w:pStyle w:val="a3"/>
        <w:numPr>
          <w:ilvl w:val="1"/>
          <w:numId w:val="24"/>
        </w:numPr>
        <w:ind w:left="660" w:hanging="660"/>
        <w:rPr>
          <w:highlight w:val="lightGray"/>
          <w:lang w:val="sl-SI"/>
        </w:rPr>
      </w:pPr>
      <w:r w:rsidRPr="00366D10">
        <w:rPr>
          <w:rFonts w:eastAsia="Times New Roman"/>
          <w:highlight w:val="lightGray"/>
          <w:lang w:val="sl-SI"/>
        </w:rPr>
        <w:t>je padel na trdo površino.</w:t>
      </w:r>
    </w:p>
    <w:p w14:paraId="4C0CE20B" w14:textId="77777777" w:rsidR="00840AAB" w:rsidRPr="008E1817" w:rsidRDefault="00840AAB" w:rsidP="00840AAB">
      <w:pPr>
        <w:pStyle w:val="Default"/>
        <w:numPr>
          <w:ilvl w:val="2"/>
          <w:numId w:val="21"/>
        </w:numPr>
        <w:ind w:left="360"/>
        <w:rPr>
          <w:color w:val="211D1E"/>
          <w:sz w:val="20"/>
          <w:szCs w:val="20"/>
          <w:highlight w:val="lightGray"/>
          <w:lang w:val="sl-SI"/>
        </w:rPr>
      </w:pPr>
    </w:p>
    <w:p w14:paraId="25489CE9" w14:textId="77777777" w:rsidR="00840AAB" w:rsidRDefault="00840AAB" w:rsidP="00840AAB">
      <w:pPr>
        <w:pStyle w:val="a3"/>
        <w:rPr>
          <w:b/>
          <w:lang w:val="sl-SI"/>
        </w:rPr>
      </w:pPr>
      <w:r w:rsidRPr="008E1817">
        <w:rPr>
          <w:rFonts w:eastAsia="Times New Roman"/>
          <w:b/>
          <w:bCs/>
          <w:highlight w:val="lightGray"/>
          <w:lang w:val="sl-SI"/>
        </w:rPr>
        <w:t>Pokrovček igle odstranite šele tik pred injiciranjem. Zdravilo Yuflyma shranjujte nedosegljivo otrokom</w:t>
      </w:r>
      <w:r>
        <w:rPr>
          <w:rFonts w:eastAsia="Times New Roman"/>
          <w:b/>
          <w:bCs/>
          <w:highlight w:val="lightGray"/>
          <w:lang w:val="sl-SI"/>
        </w:rPr>
        <w:t>.</w:t>
      </w:r>
    </w:p>
    <w:p w14:paraId="6DB8531C" w14:textId="60942F1A" w:rsidR="00840AAB" w:rsidRDefault="00840AAB" w:rsidP="00840AAB">
      <w:pPr>
        <w:rPr>
          <w:rFonts w:ascii="Times New Roman" w:eastAsia="Times New Roman" w:hAnsi="Times New Roman"/>
          <w:b/>
          <w:bCs/>
          <w:spacing w:val="-1"/>
          <w:lang w:val="sl-SI"/>
        </w:rPr>
      </w:pPr>
    </w:p>
    <w:tbl>
      <w:tblPr>
        <w:tblStyle w:val="ac"/>
        <w:tblW w:w="0" w:type="auto"/>
        <w:tblLook w:val="04A0" w:firstRow="1" w:lastRow="0" w:firstColumn="1" w:lastColumn="0" w:noHBand="0" w:noVBand="1"/>
      </w:tblPr>
      <w:tblGrid>
        <w:gridCol w:w="9550"/>
      </w:tblGrid>
      <w:tr w:rsidR="00840AAB" w14:paraId="2F35C191" w14:textId="77777777" w:rsidTr="00646E14">
        <w:trPr>
          <w:trHeight w:val="2545"/>
        </w:trPr>
        <w:tc>
          <w:tcPr>
            <w:tcW w:w="9550" w:type="dxa"/>
          </w:tcPr>
          <w:p w14:paraId="5359496A" w14:textId="77777777" w:rsidR="00840AAB" w:rsidRDefault="00840AAB" w:rsidP="00646E14">
            <w:pPr>
              <w:ind w:left="224" w:right="1248"/>
              <w:rPr>
                <w:rFonts w:ascii="Times New Roman" w:eastAsia="Times New Roman" w:hAnsi="Times New Roman" w:cs="Times New Roman"/>
                <w:b/>
                <w:bCs/>
                <w:spacing w:val="-1"/>
                <w:lang w:val="sl-SI"/>
              </w:rPr>
            </w:pPr>
          </w:p>
          <w:p w14:paraId="2362453F" w14:textId="77777777" w:rsidR="00840AAB" w:rsidRDefault="00840AAB" w:rsidP="00646E14">
            <w:pPr>
              <w:spacing w:before="9" w:line="240" w:lineRule="exact"/>
              <w:rPr>
                <w:sz w:val="24"/>
                <w:szCs w:val="24"/>
                <w:lang w:val="sl-SI"/>
              </w:rPr>
            </w:pPr>
          </w:p>
          <w:p w14:paraId="0C073E48" w14:textId="77777777" w:rsidR="00840AAB" w:rsidRPr="008E1817" w:rsidRDefault="00840AAB" w:rsidP="0030421B">
            <w:pPr>
              <w:pStyle w:val="a3"/>
              <w:numPr>
                <w:ilvl w:val="0"/>
                <w:numId w:val="129"/>
              </w:numPr>
              <w:rPr>
                <w:b/>
                <w:highlight w:val="lightGray"/>
                <w:lang w:val="sl-SI"/>
              </w:rPr>
            </w:pPr>
            <w:r w:rsidRPr="008E1817">
              <w:rPr>
                <w:rFonts w:eastAsia="Times New Roman"/>
                <w:b/>
                <w:bCs/>
                <w:highlight w:val="lightGray"/>
                <w:lang w:val="sl-SI"/>
              </w:rPr>
              <w:t>Priprava opreme za injiciranje</w:t>
            </w:r>
          </w:p>
          <w:p w14:paraId="0CED1312" w14:textId="77777777" w:rsidR="00840AAB" w:rsidRPr="008E1817" w:rsidRDefault="00840AAB" w:rsidP="00646E14">
            <w:pPr>
              <w:pStyle w:val="a3"/>
              <w:numPr>
                <w:ilvl w:val="0"/>
                <w:numId w:val="0"/>
              </w:numPr>
              <w:ind w:left="580"/>
              <w:rPr>
                <w:b/>
                <w:highlight w:val="lightGray"/>
                <w:lang w:val="sl-SI"/>
              </w:rPr>
            </w:pPr>
          </w:p>
          <w:p w14:paraId="7E0154E1" w14:textId="77777777" w:rsidR="00840AAB" w:rsidRPr="008E1817" w:rsidRDefault="00840AAB" w:rsidP="00646E14">
            <w:pPr>
              <w:pStyle w:val="a3"/>
              <w:ind w:leftChars="181" w:left="605" w:hanging="207"/>
              <w:rPr>
                <w:highlight w:val="lightGray"/>
                <w:lang w:val="sl-SI" w:eastAsia="ko-KR"/>
              </w:rPr>
            </w:pPr>
            <w:r w:rsidRPr="008E1817">
              <w:rPr>
                <w:rFonts w:eastAsia="Times New Roman"/>
                <w:b/>
                <w:bCs/>
                <w:highlight w:val="lightGray"/>
                <w:lang w:val="sl-SI" w:eastAsia="ko-KR"/>
              </w:rPr>
              <w:t>a.</w:t>
            </w:r>
            <w:r w:rsidRPr="008E1817">
              <w:rPr>
                <w:rFonts w:eastAsia="Times New Roman"/>
                <w:highlight w:val="lightGray"/>
                <w:lang w:val="sl-SI" w:eastAsia="ko-KR"/>
              </w:rPr>
              <w:t xml:space="preserve"> Pripravite čisto, ravno površino, kot je miza ali pult, v dobro osvetljenem prostoru.</w:t>
            </w:r>
          </w:p>
          <w:p w14:paraId="1422368C" w14:textId="77777777" w:rsidR="00840AAB" w:rsidRPr="008E1817" w:rsidRDefault="00840AAB" w:rsidP="00646E14">
            <w:pPr>
              <w:pStyle w:val="a3"/>
              <w:ind w:leftChars="181" w:left="605" w:hanging="207"/>
              <w:rPr>
                <w:highlight w:val="lightGray"/>
                <w:lang w:val="sl-SI" w:eastAsia="ko-KR"/>
              </w:rPr>
            </w:pPr>
            <w:r w:rsidRPr="008E1817">
              <w:rPr>
                <w:rFonts w:eastAsia="Times New Roman"/>
                <w:b/>
                <w:bCs/>
                <w:highlight w:val="lightGray"/>
                <w:lang w:val="sl-SI" w:eastAsia="ko-KR"/>
              </w:rPr>
              <w:t>b.</w:t>
            </w:r>
            <w:r w:rsidRPr="008E1817">
              <w:rPr>
                <w:rFonts w:eastAsia="Times New Roman"/>
                <w:highlight w:val="lightGray"/>
                <w:lang w:val="sl-SI" w:eastAsia="ko-KR"/>
              </w:rPr>
              <w:t xml:space="preserve"> Iz škatle, shranjene v hladilniku, vzemite 1 napolnjeno injekcijsko brizgo.</w:t>
            </w:r>
          </w:p>
          <w:p w14:paraId="7F93679B" w14:textId="77777777" w:rsidR="00840AAB" w:rsidRPr="008E1817" w:rsidRDefault="00840AAB" w:rsidP="00646E14">
            <w:pPr>
              <w:pStyle w:val="a3"/>
              <w:ind w:leftChars="300" w:left="660" w:rightChars="100" w:right="220"/>
              <w:rPr>
                <w:highlight w:val="lightGray"/>
                <w:lang w:val="sl-SI" w:eastAsia="ko-KR"/>
              </w:rPr>
            </w:pPr>
            <w:r w:rsidRPr="008E1817">
              <w:rPr>
                <w:rFonts w:ascii="맑은 고딕" w:eastAsia="맑은 고딕" w:hAnsi="맑은 고딕"/>
                <w:highlight w:val="lightGray"/>
                <w:lang w:val="sl-SI" w:eastAsia="ko-KR"/>
              </w:rPr>
              <w:t>•</w:t>
            </w:r>
            <w:r w:rsidRPr="008E1817">
              <w:rPr>
                <w:rFonts w:eastAsia="Times New Roman"/>
                <w:highlight w:val="lightGray"/>
                <w:lang w:val="sl-SI" w:eastAsia="ko-KR"/>
              </w:rPr>
              <w:t xml:space="preserve"> Napolnjeno injekcijsko brizgo držite za telo, ko jo vzamete iz škatle.</w:t>
            </w:r>
            <w:r w:rsidRPr="008E1817">
              <w:rPr>
                <w:rFonts w:eastAsia="Times New Roman"/>
                <w:b/>
                <w:bCs/>
                <w:highlight w:val="lightGray"/>
                <w:lang w:val="sl-SI" w:eastAsia="ko-KR"/>
              </w:rPr>
              <w:t xml:space="preserve"> Ne</w:t>
            </w:r>
            <w:r w:rsidRPr="008E1817">
              <w:rPr>
                <w:rFonts w:eastAsia="Times New Roman"/>
                <w:highlight w:val="lightGray"/>
                <w:lang w:val="sl-SI" w:eastAsia="ko-KR"/>
              </w:rPr>
              <w:t xml:space="preserve"> dotikajte se bata.</w:t>
            </w:r>
          </w:p>
          <w:p w14:paraId="54FAA1D7" w14:textId="77777777" w:rsidR="00840AAB" w:rsidRPr="008E1817" w:rsidRDefault="00840AAB" w:rsidP="00646E14">
            <w:pPr>
              <w:pStyle w:val="a3"/>
              <w:ind w:leftChars="181" w:left="605" w:hanging="207"/>
              <w:rPr>
                <w:highlight w:val="lightGray"/>
                <w:lang w:val="sl-SI" w:eastAsia="ko-KR"/>
              </w:rPr>
            </w:pPr>
            <w:r w:rsidRPr="008E1817">
              <w:rPr>
                <w:rFonts w:eastAsia="Times New Roman"/>
                <w:b/>
                <w:bCs/>
                <w:highlight w:val="lightGray"/>
                <w:lang w:val="sl-SI" w:eastAsia="ko-KR"/>
              </w:rPr>
              <w:t>c.</w:t>
            </w:r>
            <w:r w:rsidRPr="008E1817">
              <w:rPr>
                <w:rFonts w:eastAsia="Times New Roman"/>
                <w:highlight w:val="lightGray"/>
                <w:lang w:val="sl-SI" w:eastAsia="ko-KR"/>
              </w:rPr>
              <w:t xml:space="preserve"> Prepričajte se, da imate naslednjo opremo:</w:t>
            </w:r>
          </w:p>
          <w:p w14:paraId="2E1F8AC0" w14:textId="77777777" w:rsidR="00840AAB" w:rsidRPr="008E1817" w:rsidRDefault="00840AAB" w:rsidP="00646E14">
            <w:pPr>
              <w:pStyle w:val="a3"/>
              <w:ind w:leftChars="337" w:left="741"/>
              <w:rPr>
                <w:highlight w:val="lightGray"/>
                <w:lang w:val="sl-SI" w:eastAsia="ko-KR"/>
              </w:rPr>
            </w:pPr>
            <w:r w:rsidRPr="008E1817">
              <w:rPr>
                <w:rFonts w:eastAsia="Times New Roman"/>
                <w:highlight w:val="lightGray"/>
                <w:lang w:val="sl-SI" w:eastAsia="ko-KR"/>
              </w:rPr>
              <w:t>- Napolnjena injekcijska brizga</w:t>
            </w:r>
          </w:p>
          <w:p w14:paraId="0B1AB2D5" w14:textId="77777777" w:rsidR="00840AAB" w:rsidRPr="008E1817" w:rsidRDefault="00840AAB" w:rsidP="00646E14">
            <w:pPr>
              <w:pStyle w:val="a3"/>
              <w:ind w:leftChars="337" w:left="1264" w:hanging="523"/>
              <w:rPr>
                <w:highlight w:val="lightGray"/>
                <w:lang w:val="sl-SI" w:eastAsia="ko-KR"/>
              </w:rPr>
            </w:pPr>
            <w:r w:rsidRPr="008E1817">
              <w:rPr>
                <w:rFonts w:eastAsia="Times New Roman"/>
                <w:highlight w:val="lightGray"/>
                <w:lang w:val="sl-SI" w:eastAsia="ko-KR"/>
              </w:rPr>
              <w:t>- Alkoholni zloženec</w:t>
            </w:r>
          </w:p>
          <w:p w14:paraId="1A4B4902" w14:textId="77777777" w:rsidR="00840AAB" w:rsidRPr="008E1817" w:rsidRDefault="00840AAB" w:rsidP="00646E14">
            <w:pPr>
              <w:pStyle w:val="a3"/>
              <w:ind w:leftChars="337" w:left="1264" w:hanging="523"/>
              <w:rPr>
                <w:highlight w:val="lightGray"/>
                <w:lang w:val="sl-SI" w:eastAsia="ko-KR"/>
              </w:rPr>
            </w:pPr>
          </w:p>
          <w:p w14:paraId="553C8AF9" w14:textId="77777777" w:rsidR="00840AAB" w:rsidRPr="008E1817" w:rsidRDefault="00840AAB" w:rsidP="00646E14">
            <w:pPr>
              <w:pStyle w:val="a3"/>
              <w:ind w:left="720"/>
              <w:rPr>
                <w:b/>
                <w:highlight w:val="lightGray"/>
                <w:lang w:val="sl-SI" w:eastAsia="ko-KR"/>
              </w:rPr>
            </w:pPr>
            <w:r w:rsidRPr="008E1817">
              <w:rPr>
                <w:rFonts w:eastAsia="Times New Roman"/>
                <w:b/>
                <w:bCs/>
                <w:highlight w:val="lightGray"/>
                <w:lang w:val="sl-SI" w:eastAsia="ko-KR"/>
              </w:rPr>
              <w:t>Ni priloženo pakiranju:</w:t>
            </w:r>
          </w:p>
          <w:p w14:paraId="0EAC439C" w14:textId="77777777" w:rsidR="00840AAB" w:rsidRPr="008E1817" w:rsidRDefault="00840AAB" w:rsidP="00646E14">
            <w:pPr>
              <w:pStyle w:val="a3"/>
              <w:ind w:left="720"/>
              <w:rPr>
                <w:highlight w:val="lightGray"/>
                <w:lang w:val="sl-SI" w:eastAsia="ko-KR"/>
              </w:rPr>
            </w:pPr>
            <w:r w:rsidRPr="008E1817">
              <w:rPr>
                <w:rFonts w:eastAsia="Times New Roman"/>
                <w:highlight w:val="lightGray"/>
                <w:lang w:val="sl-SI" w:eastAsia="ko-KR"/>
              </w:rPr>
              <w:t>- Bombažna blazinica ali gaza</w:t>
            </w:r>
          </w:p>
          <w:p w14:paraId="01AA604A" w14:textId="77777777" w:rsidR="00840AAB" w:rsidRPr="008E1817" w:rsidRDefault="00840AAB" w:rsidP="00646E14">
            <w:pPr>
              <w:pStyle w:val="a3"/>
              <w:ind w:left="720"/>
              <w:rPr>
                <w:highlight w:val="lightGray"/>
                <w:lang w:val="sl-SI" w:eastAsia="ko-KR"/>
              </w:rPr>
            </w:pPr>
            <w:r w:rsidRPr="008E1817">
              <w:rPr>
                <w:rFonts w:eastAsia="Times New Roman"/>
                <w:highlight w:val="lightGray"/>
                <w:lang w:val="sl-SI" w:eastAsia="ko-KR"/>
              </w:rPr>
              <w:t>- Lepilni povoj</w:t>
            </w:r>
          </w:p>
          <w:p w14:paraId="003C953C" w14:textId="77777777" w:rsidR="00840AAB" w:rsidRDefault="00840AAB" w:rsidP="00646E14">
            <w:pPr>
              <w:pStyle w:val="a3"/>
              <w:ind w:left="720"/>
              <w:rPr>
                <w:lang w:val="sl-SI" w:eastAsia="ko-KR"/>
              </w:rPr>
            </w:pPr>
            <w:r w:rsidRPr="008E1817">
              <w:rPr>
                <w:rFonts w:eastAsia="Times New Roman"/>
                <w:highlight w:val="lightGray"/>
                <w:lang w:val="sl-SI" w:eastAsia="ko-KR"/>
              </w:rPr>
              <w:t>- Vsebnik za ostre predmete</w:t>
            </w:r>
          </w:p>
        </w:tc>
      </w:tr>
      <w:tr w:rsidR="00840AAB" w:rsidRPr="00652F18" w14:paraId="676C064A" w14:textId="77777777" w:rsidTr="00646E14">
        <w:trPr>
          <w:trHeight w:val="5372"/>
        </w:trPr>
        <w:tc>
          <w:tcPr>
            <w:tcW w:w="9550" w:type="dxa"/>
          </w:tcPr>
          <w:p w14:paraId="3C4FACF0" w14:textId="77777777" w:rsidR="00840AAB" w:rsidRDefault="00840AAB" w:rsidP="00646E14">
            <w:pPr>
              <w:ind w:left="224" w:right="1248"/>
              <w:rPr>
                <w:rFonts w:ascii="Times New Roman" w:eastAsia="Times New Roman" w:hAnsi="Times New Roman" w:cs="Times New Roman"/>
                <w:b/>
                <w:bCs/>
                <w:spacing w:val="-1"/>
                <w:lang w:val="sl-SI"/>
              </w:rPr>
            </w:pPr>
          </w:p>
          <w:p w14:paraId="57AA57E4" w14:textId="60477688" w:rsidR="00840AAB" w:rsidRDefault="00EC5FDC" w:rsidP="00646E14">
            <w:pPr>
              <w:pStyle w:val="a3"/>
              <w:rPr>
                <w:lang w:val="sl-SI"/>
              </w:rPr>
            </w:pPr>
            <w:r>
              <w:rPr>
                <w:noProof/>
                <w:lang w:eastAsia="ko-KR"/>
              </w:rPr>
              <mc:AlternateContent>
                <mc:Choice Requires="wpg">
                  <w:drawing>
                    <wp:anchor distT="0" distB="0" distL="114300" distR="114300" simplePos="0" relativeHeight="251658315" behindDoc="0" locked="0" layoutInCell="1" allowOverlap="1" wp14:anchorId="5161A0E5" wp14:editId="1518067F">
                      <wp:simplePos x="0" y="0"/>
                      <wp:positionH relativeFrom="column">
                        <wp:posOffset>-4445</wp:posOffset>
                      </wp:positionH>
                      <wp:positionV relativeFrom="paragraph">
                        <wp:posOffset>137795</wp:posOffset>
                      </wp:positionV>
                      <wp:extent cx="2319655" cy="2988310"/>
                      <wp:effectExtent l="0" t="0" r="4445" b="2540"/>
                      <wp:wrapSquare wrapText="bothSides"/>
                      <wp:docPr id="131" name="그룹 131"/>
                      <wp:cNvGraphicFramePr/>
                      <a:graphic xmlns:a="http://schemas.openxmlformats.org/drawingml/2006/main">
                        <a:graphicData uri="http://schemas.microsoft.com/office/word/2010/wordprocessingGroup">
                          <wpg:wgp>
                            <wpg:cNvGrpSpPr/>
                            <wpg:grpSpPr>
                              <a:xfrm>
                                <a:off x="0" y="0"/>
                                <a:ext cx="2319655" cy="2988310"/>
                                <a:chOff x="0" y="1551"/>
                                <a:chExt cx="2320290" cy="2989213"/>
                              </a:xfrm>
                            </wpg:grpSpPr>
                            <wpg:grpSp>
                              <wpg:cNvPr id="132" name="그룹 132"/>
                              <wpg:cNvGrpSpPr/>
                              <wpg:grpSpPr>
                                <a:xfrm>
                                  <a:off x="0" y="1551"/>
                                  <a:ext cx="2320290" cy="2989213"/>
                                  <a:chOff x="0" y="1551"/>
                                  <a:chExt cx="2320290" cy="2989213"/>
                                </a:xfrm>
                              </wpg:grpSpPr>
                              <pic:pic xmlns:pic="http://schemas.openxmlformats.org/drawingml/2006/picture">
                                <pic:nvPicPr>
                                  <pic:cNvPr id="133" name="그림 133"/>
                                  <pic:cNvPicPr>
                                    <a:picLocks noChangeAspect="1"/>
                                  </pic:cNvPicPr>
                                </pic:nvPicPr>
                                <pic:blipFill>
                                  <a:blip r:embed="rId118" cstate="print">
                                    <a:extLst>
                                      <a:ext uri="{28A0092B-C50C-407E-A947-70E740481C1C}">
                                        <a14:useLocalDpi xmlns:a14="http://schemas.microsoft.com/office/drawing/2010/main" val="0"/>
                                      </a:ext>
                                    </a:extLst>
                                  </a:blip>
                                  <a:srcRect/>
                                  <a:stretch/>
                                </pic:blipFill>
                                <pic:spPr bwMode="auto">
                                  <a:xfrm>
                                    <a:off x="0" y="1551"/>
                                    <a:ext cx="2320290" cy="2828363"/>
                                  </a:xfrm>
                                  <a:prstGeom prst="rect">
                                    <a:avLst/>
                                  </a:prstGeom>
                                  <a:noFill/>
                                  <a:ln>
                                    <a:noFill/>
                                  </a:ln>
                                </pic:spPr>
                              </pic:pic>
                              <wps:wsp>
                                <wps:cNvPr id="134" name="Text Box 134"/>
                                <wps:cNvSpPr txBox="1"/>
                                <wps:spPr>
                                  <a:xfrm>
                                    <a:off x="1556078" y="2844714"/>
                                    <a:ext cx="719758" cy="146050"/>
                                  </a:xfrm>
                                  <a:prstGeom prst="rect">
                                    <a:avLst/>
                                  </a:prstGeom>
                                  <a:solidFill>
                                    <a:prstClr val="white"/>
                                  </a:solidFill>
                                  <a:ln>
                                    <a:noFill/>
                                  </a:ln>
                                </wps:spPr>
                                <wps:txbx>
                                  <w:txbxContent>
                                    <w:p w14:paraId="099D1661"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35" name="Text Box 135"/>
                              <wps:cNvSpPr txBox="1"/>
                              <wps:spPr>
                                <a:xfrm>
                                  <a:off x="1219359" y="1649684"/>
                                  <a:ext cx="920761" cy="15932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E331408" w14:textId="77777777" w:rsidR="00474DFB" w:rsidRPr="009D4E53" w:rsidRDefault="00474DFB" w:rsidP="00840AAB">
                                    <w:pPr>
                                      <w:rPr>
                                        <w:rFonts w:asciiTheme="majorBidi" w:hAnsiTheme="majorBidi" w:cstheme="majorBidi"/>
                                        <w:b/>
                                        <w:bCs/>
                                        <w:sz w:val="16"/>
                                        <w:szCs w:val="10"/>
                                      </w:rPr>
                                    </w:pPr>
                                    <w:r w:rsidRPr="009D4E53">
                                      <w:rPr>
                                        <w:rFonts w:ascii="Times New Roman" w:eastAsia="Times New Roman" w:hAnsi="Times New Roman" w:cs="Times New Roman"/>
                                        <w:b/>
                                        <w:bCs/>
                                        <w:sz w:val="16"/>
                                        <w:szCs w:val="10"/>
                                        <w:lang w:val="sl-SI"/>
                                      </w:rPr>
                                      <w:t xml:space="preserve">EXP.: </w:t>
                                    </w:r>
                                    <w:r w:rsidRPr="009D4E53">
                                      <w:rPr>
                                        <w:rFonts w:ascii="Times New Roman" w:eastAsia="Times New Roman" w:hAnsi="Times New Roman" w:cs="Times New Roman"/>
                                        <w:sz w:val="16"/>
                                        <w:szCs w:val="10"/>
                                        <w:lang w:val="sl-SI"/>
                                      </w:rPr>
                                      <w:t>MESEC LETO</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161A0E5" id="그룹 131" o:spid="_x0000_s1220" style="position:absolute;margin-left:-.35pt;margin-top:10.85pt;width:182.65pt;height:235.3pt;z-index:251658315;mso-width-relative:margin;mso-height-relative:margin" coordorigin=",15" coordsize="23202,29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">
                      <v:group id="그룹 132" o:spid="_x0000_s1221" style="position:absolute;top:15;width:23202;height:29892" coordorigin=",15" coordsize="23202,29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 id="그림 133" o:spid="_x0000_s1222" type="#_x0000_t75" style="position:absolute;top:15;width:23202;height:28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">
                          <v:imagedata r:id="rId119" o:title=""/>
                        </v:shape>
                        <v:shape id="Text Box 134" o:spid="_x0000_s1223" type="#_x0000_t202" style="position:absolute;left:15560;top:28447;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" stroked="f">
                          <v:textbox style="mso-fit-shape-to-text:t" inset="0,0,0,0">
                            <w:txbxContent>
                              <w:p w14:paraId="099D1661"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B</w:t>
                                </w:r>
                              </w:p>
                            </w:txbxContent>
                          </v:textbox>
                        </v:shape>
                      </v:group>
                      <v:shape id="Text Box 135" o:spid="_x0000_s1224" type="#_x0000_t202" style="position:absolute;left:12193;top:16496;width:9208;height:1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" fillcolor="white [3212]" stroked="f" strokeweight=".5pt">
                        <v:textbox inset="0,0,0,0">
                          <w:txbxContent>
                            <w:p w14:paraId="6E331408" w14:textId="77777777" w:rsidR="00474DFB" w:rsidRPr="009D4E53" w:rsidRDefault="00474DFB" w:rsidP="00840AAB">
                              <w:pPr>
                                <w:rPr>
                                  <w:rFonts w:asciiTheme="majorBidi" w:hAnsiTheme="majorBidi" w:cstheme="majorBidi"/>
                                  <w:b/>
                                  <w:bCs/>
                                  <w:sz w:val="16"/>
                                  <w:szCs w:val="10"/>
                                </w:rPr>
                              </w:pPr>
                              <w:r w:rsidRPr="009D4E53">
                                <w:rPr>
                                  <w:rFonts w:ascii="Times New Roman" w:eastAsia="Times New Roman" w:hAnsi="Times New Roman" w:cs="Times New Roman"/>
                                  <w:b/>
                                  <w:bCs/>
                                  <w:sz w:val="16"/>
                                  <w:szCs w:val="10"/>
                                  <w:lang w:val="sl-SI"/>
                                </w:rPr>
                                <w:t xml:space="preserve">EXP.: </w:t>
                              </w:r>
                              <w:r w:rsidRPr="009D4E53">
                                <w:rPr>
                                  <w:rFonts w:ascii="Times New Roman" w:eastAsia="Times New Roman" w:hAnsi="Times New Roman" w:cs="Times New Roman"/>
                                  <w:sz w:val="16"/>
                                  <w:szCs w:val="10"/>
                                  <w:lang w:val="sl-SI"/>
                                </w:rPr>
                                <w:t>MESEC LETO</w:t>
                              </w:r>
                            </w:p>
                          </w:txbxContent>
                        </v:textbox>
                      </v:shape>
                      <w10:wrap type="square"/>
                    </v:group>
                  </w:pict>
                </mc:Fallback>
              </mc:AlternateContent>
            </w:r>
          </w:p>
          <w:p w14:paraId="3CFAA477" w14:textId="7EB0D0CE" w:rsidR="00840AAB" w:rsidRDefault="00840AAB" w:rsidP="00646E14">
            <w:pPr>
              <w:pStyle w:val="a3"/>
              <w:rPr>
                <w:lang w:val="sl-SI"/>
              </w:rPr>
            </w:pPr>
          </w:p>
          <w:p w14:paraId="76842C83" w14:textId="77777777" w:rsidR="00840AAB" w:rsidRPr="008E1817" w:rsidRDefault="00840AAB" w:rsidP="0030421B">
            <w:pPr>
              <w:pStyle w:val="a3"/>
              <w:numPr>
                <w:ilvl w:val="0"/>
                <w:numId w:val="129"/>
              </w:numPr>
              <w:rPr>
                <w:b/>
                <w:highlight w:val="lightGray"/>
                <w:lang w:val="sl-SI"/>
              </w:rPr>
            </w:pPr>
            <w:r w:rsidRPr="008E1817">
              <w:rPr>
                <w:rFonts w:eastAsia="Times New Roman"/>
                <w:b/>
                <w:bCs/>
                <w:highlight w:val="lightGray"/>
                <w:lang w:val="sl-SI"/>
              </w:rPr>
              <w:t>Preglejte napolnjeno injekcijsko brizgo</w:t>
            </w:r>
          </w:p>
          <w:p w14:paraId="47ACA223" w14:textId="77777777" w:rsidR="00840AAB" w:rsidRPr="008E1817" w:rsidRDefault="00840AAB" w:rsidP="00646E14">
            <w:pPr>
              <w:pStyle w:val="a3"/>
              <w:numPr>
                <w:ilvl w:val="0"/>
                <w:numId w:val="0"/>
              </w:numPr>
              <w:ind w:left="471"/>
              <w:rPr>
                <w:b/>
                <w:highlight w:val="lightGray"/>
                <w:lang w:val="sl-SI"/>
              </w:rPr>
            </w:pPr>
          </w:p>
          <w:p w14:paraId="44D4FEFE" w14:textId="77777777" w:rsidR="00840AAB" w:rsidRPr="008E1817" w:rsidRDefault="00840AAB" w:rsidP="00646E14">
            <w:pPr>
              <w:pStyle w:val="a3"/>
              <w:ind w:left="4387" w:hanging="270"/>
              <w:rPr>
                <w:highlight w:val="lightGray"/>
                <w:lang w:val="sl-SI" w:eastAsia="ko-KR"/>
              </w:rPr>
            </w:pPr>
            <w:r w:rsidRPr="008E1817">
              <w:rPr>
                <w:rFonts w:eastAsia="Times New Roman"/>
                <w:b/>
                <w:bCs/>
                <w:highlight w:val="lightGray"/>
                <w:lang w:val="sl-SI" w:eastAsia="ko-KR"/>
              </w:rPr>
              <w:t>a.</w:t>
            </w:r>
            <w:r w:rsidRPr="008E1817">
              <w:rPr>
                <w:rFonts w:eastAsia="Times New Roman"/>
                <w:highlight w:val="lightGray"/>
                <w:lang w:val="sl-SI" w:eastAsia="ko-KR"/>
              </w:rPr>
              <w:t xml:space="preserve"> Poskrbite, da imate pravo zdravilo (Yuflyma) in odmerek. </w:t>
            </w:r>
          </w:p>
          <w:p w14:paraId="3A472DCA" w14:textId="77777777" w:rsidR="00840AAB" w:rsidRPr="008E1817" w:rsidRDefault="00840AAB" w:rsidP="00646E14">
            <w:pPr>
              <w:pStyle w:val="a3"/>
              <w:ind w:left="4387" w:hanging="270"/>
              <w:rPr>
                <w:highlight w:val="lightGray"/>
                <w:lang w:val="sl-SI" w:eastAsia="ko-KR"/>
              </w:rPr>
            </w:pPr>
            <w:r w:rsidRPr="008E1817">
              <w:rPr>
                <w:rFonts w:eastAsia="Times New Roman"/>
                <w:b/>
                <w:bCs/>
                <w:highlight w:val="lightGray"/>
                <w:lang w:val="sl-SI" w:eastAsia="ko-KR"/>
              </w:rPr>
              <w:t>b.</w:t>
            </w:r>
            <w:r w:rsidRPr="008E1817">
              <w:rPr>
                <w:rFonts w:eastAsia="Times New Roman"/>
                <w:highlight w:val="lightGray"/>
                <w:lang w:val="sl-SI" w:eastAsia="ko-KR"/>
              </w:rPr>
              <w:t xml:space="preserve"> Poglejte napolnjeno injekcijsko brizgo in se prepričajte, da ni razpokana ali poškodovana. </w:t>
            </w:r>
          </w:p>
          <w:p w14:paraId="57B47E37" w14:textId="77777777" w:rsidR="00840AAB" w:rsidRPr="008E1817" w:rsidRDefault="00840AAB" w:rsidP="00646E14">
            <w:pPr>
              <w:pStyle w:val="a3"/>
              <w:ind w:left="4387" w:hanging="270"/>
              <w:rPr>
                <w:highlight w:val="lightGray"/>
                <w:lang w:val="sl-SI" w:eastAsia="ko-KR"/>
              </w:rPr>
            </w:pPr>
            <w:r w:rsidRPr="008E1817">
              <w:rPr>
                <w:rFonts w:eastAsia="Times New Roman"/>
                <w:b/>
                <w:bCs/>
                <w:highlight w:val="lightGray"/>
                <w:lang w:val="sl-SI" w:eastAsia="ko-KR"/>
              </w:rPr>
              <w:t>c.</w:t>
            </w:r>
            <w:r w:rsidRPr="008E1817">
              <w:rPr>
                <w:rFonts w:eastAsia="Times New Roman"/>
                <w:highlight w:val="lightGray"/>
                <w:lang w:val="sl-SI" w:eastAsia="ko-KR"/>
              </w:rPr>
              <w:t xml:space="preserve"> Preverite rok uporabnosti na oznaki napolnjene injekcijske brizge. </w:t>
            </w:r>
          </w:p>
          <w:p w14:paraId="425AEA08" w14:textId="77777777" w:rsidR="00840AAB" w:rsidRPr="008E1817" w:rsidRDefault="00840AAB" w:rsidP="00646E14">
            <w:pPr>
              <w:spacing w:line="260" w:lineRule="exact"/>
              <w:rPr>
                <w:sz w:val="26"/>
                <w:szCs w:val="26"/>
                <w:highlight w:val="lightGray"/>
                <w:lang w:val="sl-SI"/>
              </w:rPr>
            </w:pPr>
          </w:p>
          <w:p w14:paraId="34D11DE2" w14:textId="77777777" w:rsidR="00840AAB" w:rsidRPr="008E1817" w:rsidRDefault="00840AAB" w:rsidP="00646E14">
            <w:pPr>
              <w:pStyle w:val="a3"/>
              <w:numPr>
                <w:ilvl w:val="0"/>
                <w:numId w:val="0"/>
              </w:numPr>
              <w:rPr>
                <w:highlight w:val="lightGray"/>
                <w:lang w:val="sl-SI" w:eastAsia="ko-KR"/>
              </w:rPr>
            </w:pPr>
            <w:r w:rsidRPr="008E1817">
              <w:rPr>
                <w:rFonts w:eastAsia="Times New Roman"/>
                <w:highlight w:val="lightGray"/>
                <w:lang w:val="sl-SI" w:eastAsia="ko-KR"/>
              </w:rPr>
              <w:t xml:space="preserve">Napolnjene injekcijske brizge </w:t>
            </w:r>
            <w:r w:rsidRPr="008E1817">
              <w:rPr>
                <w:rFonts w:eastAsia="Times New Roman"/>
                <w:b/>
                <w:bCs/>
                <w:highlight w:val="lightGray"/>
                <w:lang w:val="sl-SI" w:eastAsia="ko-KR"/>
              </w:rPr>
              <w:t>ne</w:t>
            </w:r>
            <w:r w:rsidRPr="008E1817">
              <w:rPr>
                <w:rFonts w:eastAsia="Times New Roman"/>
                <w:highlight w:val="lightGray"/>
                <w:lang w:val="sl-SI" w:eastAsia="ko-KR"/>
              </w:rPr>
              <w:t xml:space="preserve"> uporabljajte ponovno, če:</w:t>
            </w:r>
          </w:p>
          <w:p w14:paraId="55742CEF" w14:textId="7122E028" w:rsidR="00840AAB" w:rsidRPr="008E1817" w:rsidRDefault="00840AAB" w:rsidP="00646E14">
            <w:pPr>
              <w:pStyle w:val="a3"/>
              <w:numPr>
                <w:ilvl w:val="2"/>
                <w:numId w:val="39"/>
              </w:numPr>
              <w:rPr>
                <w:sz w:val="26"/>
                <w:szCs w:val="26"/>
                <w:highlight w:val="lightGray"/>
                <w:lang w:val="sl-SI"/>
              </w:rPr>
            </w:pPr>
            <w:r w:rsidRPr="008E1817">
              <w:rPr>
                <w:rFonts w:eastAsia="Times New Roman"/>
                <w:highlight w:val="lightGray"/>
                <w:lang w:val="sl-SI" w:eastAsia="ko-KR"/>
              </w:rPr>
              <w:t xml:space="preserve">je razpokana ali poškodovana </w:t>
            </w:r>
          </w:p>
          <w:p w14:paraId="22FD376A" w14:textId="61FE4D0C" w:rsidR="00840AAB" w:rsidRPr="00366D10" w:rsidRDefault="00840AAB" w:rsidP="00646E14">
            <w:pPr>
              <w:pStyle w:val="a3"/>
              <w:numPr>
                <w:ilvl w:val="2"/>
                <w:numId w:val="39"/>
              </w:numPr>
              <w:rPr>
                <w:rFonts w:eastAsia="Times New Roman"/>
                <w:highlight w:val="lightGray"/>
                <w:lang w:val="sl-SI" w:eastAsia="ko-KR"/>
              </w:rPr>
            </w:pPr>
            <w:r w:rsidRPr="008E1817">
              <w:rPr>
                <w:rFonts w:eastAsia="Times New Roman"/>
                <w:highlight w:val="lightGray"/>
                <w:lang w:val="sl-SI" w:eastAsia="ko-KR"/>
              </w:rPr>
              <w:t>je pretekel rok uporabnosti</w:t>
            </w:r>
            <w:r>
              <w:rPr>
                <w:rFonts w:eastAsia="Times New Roman"/>
                <w:lang w:val="sl-SI" w:eastAsia="ko-KR"/>
              </w:rPr>
              <w:t xml:space="preserve"> </w:t>
            </w:r>
          </w:p>
          <w:p w14:paraId="64ECB1C0" w14:textId="40BC813A" w:rsidR="00F90CAB" w:rsidRDefault="00F90CAB" w:rsidP="00646E14">
            <w:pPr>
              <w:pStyle w:val="a3"/>
              <w:numPr>
                <w:ilvl w:val="2"/>
                <w:numId w:val="39"/>
              </w:numPr>
              <w:rPr>
                <w:sz w:val="26"/>
                <w:szCs w:val="26"/>
                <w:lang w:val="sl-SI"/>
              </w:rPr>
            </w:pPr>
            <w:r w:rsidRPr="00366D10">
              <w:rPr>
                <w:rFonts w:eastAsia="Times New Roman"/>
                <w:highlight w:val="lightGray"/>
                <w:lang w:val="sl-SI" w:eastAsia="ko-KR"/>
              </w:rPr>
              <w:t>je padel na trdo površino.</w:t>
            </w:r>
          </w:p>
        </w:tc>
      </w:tr>
      <w:tr w:rsidR="00840AAB" w:rsidRPr="008E1817" w14:paraId="5F0C717B" w14:textId="77777777" w:rsidTr="00646E14">
        <w:trPr>
          <w:trHeight w:val="5521"/>
        </w:trPr>
        <w:tc>
          <w:tcPr>
            <w:tcW w:w="9550" w:type="dxa"/>
          </w:tcPr>
          <w:p w14:paraId="363A222B" w14:textId="77777777" w:rsidR="00840AAB" w:rsidRDefault="00840AAB" w:rsidP="00646E14">
            <w:pPr>
              <w:spacing w:line="260" w:lineRule="exact"/>
              <w:rPr>
                <w:sz w:val="26"/>
                <w:szCs w:val="26"/>
                <w:lang w:val="sl-SI"/>
              </w:rPr>
            </w:pPr>
          </w:p>
          <w:p w14:paraId="6F3DAAED" w14:textId="4AF9AF68" w:rsidR="00840AAB" w:rsidRDefault="00EC5FDC" w:rsidP="00646E14">
            <w:pPr>
              <w:spacing w:line="260" w:lineRule="exact"/>
              <w:rPr>
                <w:rFonts w:ascii="Times New Roman" w:eastAsia="Times New Roman" w:hAnsi="Times New Roman" w:cs="Times New Roman"/>
                <w:b/>
                <w:bCs/>
                <w:spacing w:val="-1"/>
                <w:lang w:val="sl-SI"/>
              </w:rPr>
            </w:pPr>
            <w:r w:rsidRPr="008E1817">
              <w:rPr>
                <w:noProof/>
                <w:sz w:val="26"/>
                <w:szCs w:val="26"/>
                <w:highlight w:val="lightGray"/>
                <w:lang w:eastAsia="ko-KR"/>
              </w:rPr>
              <mc:AlternateContent>
                <mc:Choice Requires="wpg">
                  <w:drawing>
                    <wp:anchor distT="0" distB="0" distL="114300" distR="114300" simplePos="0" relativeHeight="251658306" behindDoc="0" locked="0" layoutInCell="1" allowOverlap="1" wp14:anchorId="55113B4D" wp14:editId="4858F83C">
                      <wp:simplePos x="0" y="0"/>
                      <wp:positionH relativeFrom="column">
                        <wp:posOffset>91573</wp:posOffset>
                      </wp:positionH>
                      <wp:positionV relativeFrom="paragraph">
                        <wp:posOffset>97229</wp:posOffset>
                      </wp:positionV>
                      <wp:extent cx="2230452" cy="2858144"/>
                      <wp:effectExtent l="19050" t="19050" r="17780" b="0"/>
                      <wp:wrapSquare wrapText="bothSides"/>
                      <wp:docPr id="136" name="그룹 136"/>
                      <wp:cNvGraphicFramePr/>
                      <a:graphic xmlns:a="http://schemas.openxmlformats.org/drawingml/2006/main">
                        <a:graphicData uri="http://schemas.microsoft.com/office/word/2010/wordprocessingGroup">
                          <wpg:wgp>
                            <wpg:cNvGrpSpPr/>
                            <wpg:grpSpPr>
                              <a:xfrm>
                                <a:off x="0" y="0"/>
                                <a:ext cx="2230452" cy="2858144"/>
                                <a:chOff x="0" y="648"/>
                                <a:chExt cx="2230755" cy="2857484"/>
                              </a:xfrm>
                            </wpg:grpSpPr>
                            <pic:pic xmlns:pic="http://schemas.openxmlformats.org/drawingml/2006/picture">
                              <pic:nvPicPr>
                                <pic:cNvPr id="137" name="그림 137"/>
                                <pic:cNvPicPr>
                                  <a:picLocks noChangeAspect="1"/>
                                </pic:cNvPicPr>
                              </pic:nvPicPr>
                              <pic:blipFill>
                                <a:blip r:embed="rId120" cstate="print">
                                  <a:extLst>
                                    <a:ext uri="{28A0092B-C50C-407E-A947-70E740481C1C}">
                                      <a14:useLocalDpi xmlns:a14="http://schemas.microsoft.com/office/drawing/2010/main" val="0"/>
                                    </a:ext>
                                  </a:extLst>
                                </a:blip>
                                <a:srcRect/>
                                <a:stretch/>
                              </pic:blipFill>
                              <pic:spPr bwMode="auto">
                                <a:xfrm>
                                  <a:off x="0" y="648"/>
                                  <a:ext cx="2230755" cy="2690469"/>
                                </a:xfrm>
                                <a:prstGeom prst="rect">
                                  <a:avLst/>
                                </a:prstGeom>
                                <a:noFill/>
                                <a:ln>
                                  <a:solidFill>
                                    <a:schemeClr val="tx1"/>
                                  </a:solidFill>
                                </a:ln>
                              </pic:spPr>
                            </pic:pic>
                            <wps:wsp>
                              <wps:cNvPr id="138" name="Text Box 138"/>
                              <wps:cNvSpPr txBox="1"/>
                              <wps:spPr>
                                <a:xfrm>
                                  <a:off x="1504506" y="2712082"/>
                                  <a:ext cx="719758" cy="146050"/>
                                </a:xfrm>
                                <a:prstGeom prst="rect">
                                  <a:avLst/>
                                </a:prstGeom>
                                <a:solidFill>
                                  <a:prstClr val="white"/>
                                </a:solidFill>
                                <a:ln>
                                  <a:noFill/>
                                </a:ln>
                              </wps:spPr>
                              <wps:txbx>
                                <w:txbxContent>
                                  <w:p w14:paraId="2E20F32B"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55113B4D" id="그룹 136" o:spid="_x0000_s1225" style="position:absolute;margin-left:7.2pt;margin-top:7.65pt;width:175.65pt;height:225.05pt;z-index:251658306;mso-height-relative:margin" coordorigin=",6" coordsize="22307,28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">
                      <v:shape id="그림 137" o:spid="_x0000_s1226" type="#_x0000_t75" style="position:absolute;top:6;width:22307;height:26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" stroked="t" strokecolor="black [3213]">
                        <v:imagedata r:id="rId121" o:title=""/>
                        <v:path arrowok="t"/>
                      </v:shape>
                      <v:shape id="Text Box 138" o:spid="_x0000_s1227" type="#_x0000_t202" style="position:absolute;left:15045;top:27120;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" stroked="f">
                        <v:textbox style="mso-fit-shape-to-text:t" inset="0,0,0,0">
                          <w:txbxContent>
                            <w:p w14:paraId="2E20F32B"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C</w:t>
                              </w:r>
                            </w:p>
                          </w:txbxContent>
                        </v:textbox>
                      </v:shape>
                      <w10:wrap type="square"/>
                    </v:group>
                  </w:pict>
                </mc:Fallback>
              </mc:AlternateContent>
            </w:r>
          </w:p>
          <w:p w14:paraId="2BD3481A" w14:textId="77777777" w:rsidR="00840AAB" w:rsidRDefault="00840AAB" w:rsidP="00646E14">
            <w:pPr>
              <w:spacing w:line="260" w:lineRule="exact"/>
              <w:rPr>
                <w:sz w:val="26"/>
                <w:szCs w:val="26"/>
                <w:lang w:val="sl-SI"/>
              </w:rPr>
            </w:pPr>
          </w:p>
          <w:p w14:paraId="6381C69D" w14:textId="44960990" w:rsidR="00840AAB" w:rsidRPr="008E1817" w:rsidRDefault="00840AAB" w:rsidP="00646E14">
            <w:pPr>
              <w:spacing w:line="260" w:lineRule="exact"/>
              <w:rPr>
                <w:sz w:val="26"/>
                <w:szCs w:val="26"/>
                <w:highlight w:val="lightGray"/>
                <w:lang w:val="sl-SI"/>
              </w:rPr>
            </w:pPr>
          </w:p>
          <w:p w14:paraId="04AD6595" w14:textId="77777777" w:rsidR="00840AAB" w:rsidRPr="008E1817" w:rsidRDefault="00840AAB" w:rsidP="0030421B">
            <w:pPr>
              <w:pStyle w:val="a3"/>
              <w:numPr>
                <w:ilvl w:val="0"/>
                <w:numId w:val="129"/>
              </w:numPr>
              <w:rPr>
                <w:b/>
                <w:highlight w:val="lightGray"/>
                <w:lang w:val="sl-SI" w:eastAsia="ko-KR"/>
              </w:rPr>
            </w:pPr>
            <w:r w:rsidRPr="008E1817">
              <w:rPr>
                <w:rFonts w:eastAsia="Times New Roman"/>
                <w:b/>
                <w:bCs/>
                <w:highlight w:val="lightGray"/>
                <w:lang w:val="sl-SI"/>
              </w:rPr>
              <w:t>Preglejte zdravilo.</w:t>
            </w:r>
          </w:p>
          <w:p w14:paraId="0B1EB1DD" w14:textId="77777777" w:rsidR="00840AAB" w:rsidRPr="008E1817" w:rsidRDefault="00840AAB" w:rsidP="00646E14">
            <w:pPr>
              <w:pStyle w:val="a3"/>
              <w:rPr>
                <w:b/>
                <w:highlight w:val="lightGray"/>
                <w:lang w:val="sl-SI" w:eastAsia="ko-KR"/>
              </w:rPr>
            </w:pPr>
          </w:p>
          <w:p w14:paraId="339A2F9F" w14:textId="77777777" w:rsidR="00840AAB" w:rsidRPr="008E1817" w:rsidRDefault="00840AAB" w:rsidP="00646E14">
            <w:pPr>
              <w:pStyle w:val="a3"/>
              <w:ind w:left="4387" w:hanging="270"/>
              <w:rPr>
                <w:highlight w:val="lightGray"/>
                <w:lang w:val="sl-SI" w:eastAsia="ko-KR"/>
              </w:rPr>
            </w:pPr>
            <w:r w:rsidRPr="008E1817">
              <w:rPr>
                <w:rFonts w:eastAsia="Times New Roman"/>
                <w:b/>
                <w:bCs/>
                <w:highlight w:val="lightGray"/>
                <w:lang w:val="sl-SI" w:eastAsia="ko-KR"/>
              </w:rPr>
              <w:t>a.</w:t>
            </w:r>
            <w:r w:rsidRPr="008E1817">
              <w:rPr>
                <w:rFonts w:eastAsia="Times New Roman"/>
                <w:highlight w:val="lightGray"/>
                <w:lang w:val="sl-SI" w:eastAsia="ko-KR"/>
              </w:rPr>
              <w:t xml:space="preserve"> Preglejte zdravilo in se prepričajte, da je tekočina bistra, brezbarvna do bledo rjava in brez delcev.</w:t>
            </w:r>
          </w:p>
          <w:p w14:paraId="3D21B36A" w14:textId="77777777" w:rsidR="00840AAB" w:rsidRPr="008E1817" w:rsidRDefault="00840AAB" w:rsidP="00646E14">
            <w:pPr>
              <w:pStyle w:val="a3"/>
              <w:rPr>
                <w:sz w:val="26"/>
                <w:szCs w:val="26"/>
                <w:highlight w:val="lightGray"/>
                <w:lang w:val="sl-SI"/>
              </w:rPr>
            </w:pPr>
            <w:r w:rsidRPr="008E1817">
              <w:rPr>
                <w:highlight w:val="lightGray"/>
                <w:lang w:val="sl-SI" w:eastAsia="ko-KR"/>
              </w:rPr>
              <w:t>.</w:t>
            </w:r>
          </w:p>
          <w:p w14:paraId="50ECBC61" w14:textId="77777777" w:rsidR="00840AAB" w:rsidRPr="008E1817" w:rsidRDefault="00840AAB" w:rsidP="00646E14">
            <w:pPr>
              <w:pStyle w:val="a3"/>
              <w:numPr>
                <w:ilvl w:val="0"/>
                <w:numId w:val="17"/>
              </w:numPr>
              <w:ind w:left="4387"/>
              <w:rPr>
                <w:highlight w:val="lightGray"/>
                <w:lang w:val="sl-SI"/>
              </w:rPr>
            </w:pPr>
            <w:r w:rsidRPr="008E1817">
              <w:rPr>
                <w:rFonts w:eastAsia="Times New Roman"/>
                <w:highlight w:val="lightGray"/>
                <w:lang w:val="sl-SI"/>
              </w:rPr>
              <w:t xml:space="preserve">Napolnjene injekcijske brizge </w:t>
            </w:r>
            <w:r w:rsidRPr="008E1817">
              <w:rPr>
                <w:rFonts w:eastAsia="Times New Roman"/>
                <w:b/>
                <w:bCs/>
                <w:highlight w:val="lightGray"/>
                <w:lang w:val="sl-SI"/>
              </w:rPr>
              <w:t>ne</w:t>
            </w:r>
            <w:r w:rsidRPr="008E1817">
              <w:rPr>
                <w:rFonts w:eastAsia="Times New Roman"/>
                <w:highlight w:val="lightGray"/>
                <w:lang w:val="sl-SI"/>
              </w:rPr>
              <w:t xml:space="preserve"> uporabljajte, če je tekočina obarvana (rumena ali temno rjavo), motna ali vsebuje delce.</w:t>
            </w:r>
          </w:p>
          <w:p w14:paraId="2503AB08" w14:textId="77777777" w:rsidR="00840AAB" w:rsidRPr="008E1817" w:rsidRDefault="00840AAB" w:rsidP="00646E14">
            <w:pPr>
              <w:pStyle w:val="a3"/>
              <w:numPr>
                <w:ilvl w:val="0"/>
                <w:numId w:val="0"/>
              </w:numPr>
              <w:rPr>
                <w:highlight w:val="lightGray"/>
                <w:lang w:val="sl-SI"/>
              </w:rPr>
            </w:pPr>
          </w:p>
          <w:p w14:paraId="18C52AEC" w14:textId="77777777" w:rsidR="00840AAB" w:rsidRPr="008E1817" w:rsidRDefault="00840AAB" w:rsidP="00646E14">
            <w:pPr>
              <w:pStyle w:val="a3"/>
              <w:numPr>
                <w:ilvl w:val="0"/>
                <w:numId w:val="17"/>
              </w:numPr>
              <w:ind w:left="4387"/>
              <w:rPr>
                <w:sz w:val="26"/>
                <w:szCs w:val="26"/>
                <w:highlight w:val="lightGray"/>
                <w:lang w:val="sl-SI"/>
              </w:rPr>
            </w:pPr>
            <w:r w:rsidRPr="008E1817">
              <w:rPr>
                <w:rFonts w:eastAsia="Times New Roman"/>
                <w:highlight w:val="lightGray"/>
                <w:lang w:val="sl-SI"/>
              </w:rPr>
              <w:t>V tekočini so lahko vidni zračni mehurčki. To je normalno.</w:t>
            </w:r>
          </w:p>
        </w:tc>
      </w:tr>
    </w:tbl>
    <w:p w14:paraId="7B6A5C0A" w14:textId="77777777" w:rsidR="00840AAB" w:rsidRPr="008E1817" w:rsidRDefault="00840AAB" w:rsidP="00840AAB">
      <w:pPr>
        <w:spacing w:line="260" w:lineRule="exact"/>
        <w:rPr>
          <w:sz w:val="26"/>
          <w:szCs w:val="26"/>
          <w:highlight w:val="lightGray"/>
          <w:lang w:val="sl-SI"/>
        </w:rPr>
      </w:pPr>
    </w:p>
    <w:tbl>
      <w:tblPr>
        <w:tblStyle w:val="ac"/>
        <w:tblW w:w="0" w:type="auto"/>
        <w:tblLook w:val="04A0" w:firstRow="1" w:lastRow="0" w:firstColumn="1" w:lastColumn="0" w:noHBand="0" w:noVBand="1"/>
      </w:tblPr>
      <w:tblGrid>
        <w:gridCol w:w="9550"/>
      </w:tblGrid>
      <w:tr w:rsidR="00840AAB" w:rsidRPr="00652F18" w14:paraId="29D1A809" w14:textId="77777777" w:rsidTr="00EC5FDC">
        <w:trPr>
          <w:trHeight w:val="5522"/>
        </w:trPr>
        <w:tc>
          <w:tcPr>
            <w:tcW w:w="9550" w:type="dxa"/>
          </w:tcPr>
          <w:p w14:paraId="3A59DC1A" w14:textId="77777777" w:rsidR="00840AAB" w:rsidRPr="008E1817" w:rsidRDefault="00840AAB" w:rsidP="00646E14">
            <w:pPr>
              <w:ind w:left="224" w:right="1248"/>
              <w:rPr>
                <w:rFonts w:ascii="Times New Roman" w:eastAsia="Times New Roman" w:hAnsi="Times New Roman" w:cs="Times New Roman"/>
                <w:b/>
                <w:bCs/>
                <w:spacing w:val="-1"/>
                <w:highlight w:val="lightGray"/>
                <w:lang w:val="sl-SI"/>
              </w:rPr>
            </w:pPr>
          </w:p>
          <w:p w14:paraId="245D9DA6" w14:textId="77777777" w:rsidR="00840AAB" w:rsidRPr="008E1817" w:rsidRDefault="00840AAB" w:rsidP="00646E14">
            <w:pPr>
              <w:spacing w:line="260" w:lineRule="exact"/>
              <w:rPr>
                <w:sz w:val="26"/>
                <w:szCs w:val="26"/>
                <w:highlight w:val="lightGray"/>
                <w:lang w:val="sl-SI"/>
              </w:rPr>
            </w:pPr>
          </w:p>
          <w:p w14:paraId="3675B8BB" w14:textId="77777777" w:rsidR="00840AAB" w:rsidRPr="008E1817" w:rsidRDefault="00840AAB" w:rsidP="00646E14">
            <w:pPr>
              <w:spacing w:line="260" w:lineRule="exact"/>
              <w:rPr>
                <w:sz w:val="26"/>
                <w:szCs w:val="26"/>
                <w:highlight w:val="lightGray"/>
                <w:lang w:val="sl-SI"/>
              </w:rPr>
            </w:pPr>
            <w:r>
              <w:rPr>
                <w:noProof/>
                <w:sz w:val="26"/>
                <w:szCs w:val="26"/>
                <w:lang w:eastAsia="ko-KR"/>
              </w:rPr>
              <mc:AlternateContent>
                <mc:Choice Requires="wpg">
                  <w:drawing>
                    <wp:anchor distT="0" distB="0" distL="114300" distR="114300" simplePos="0" relativeHeight="251658317" behindDoc="0" locked="0" layoutInCell="1" allowOverlap="1" wp14:anchorId="1A76FFBC" wp14:editId="62F9853C">
                      <wp:simplePos x="0" y="0"/>
                      <wp:positionH relativeFrom="column">
                        <wp:posOffset>69850</wp:posOffset>
                      </wp:positionH>
                      <wp:positionV relativeFrom="paragraph">
                        <wp:posOffset>163830</wp:posOffset>
                      </wp:positionV>
                      <wp:extent cx="2278380" cy="2957195"/>
                      <wp:effectExtent l="0" t="0" r="7620" b="0"/>
                      <wp:wrapSquare wrapText="bothSides"/>
                      <wp:docPr id="139" name="그룹 139"/>
                      <wp:cNvGraphicFramePr/>
                      <a:graphic xmlns:a="http://schemas.openxmlformats.org/drawingml/2006/main">
                        <a:graphicData uri="http://schemas.microsoft.com/office/word/2010/wordprocessingGroup">
                          <wpg:wgp>
                            <wpg:cNvGrpSpPr/>
                            <wpg:grpSpPr>
                              <a:xfrm>
                                <a:off x="0" y="0"/>
                                <a:ext cx="2278380" cy="2957195"/>
                                <a:chOff x="6343" y="0"/>
                                <a:chExt cx="2279442" cy="2957842"/>
                              </a:xfrm>
                            </wpg:grpSpPr>
                            <wpg:grpSp>
                              <wpg:cNvPr id="140" name="그룹 140"/>
                              <wpg:cNvGrpSpPr/>
                              <wpg:grpSpPr>
                                <a:xfrm>
                                  <a:off x="6343" y="0"/>
                                  <a:ext cx="2279442" cy="2957842"/>
                                  <a:chOff x="6343" y="0"/>
                                  <a:chExt cx="2279442" cy="2957842"/>
                                </a:xfrm>
                              </wpg:grpSpPr>
                              <pic:pic xmlns:pic="http://schemas.openxmlformats.org/drawingml/2006/picture">
                                <pic:nvPicPr>
                                  <pic:cNvPr id="141" name="그림 141"/>
                                  <pic:cNvPicPr>
                                    <a:picLocks noChangeAspect="1"/>
                                  </pic:cNvPicPr>
                                </pic:nvPicPr>
                                <pic:blipFill>
                                  <a:blip r:embed="rId122" cstate="print">
                                    <a:extLst>
                                      <a:ext uri="{28A0092B-C50C-407E-A947-70E740481C1C}">
                                        <a14:useLocalDpi xmlns:a14="http://schemas.microsoft.com/office/drawing/2010/main" val="0"/>
                                      </a:ext>
                                    </a:extLst>
                                  </a:blip>
                                  <a:srcRect/>
                                  <a:stretch/>
                                </pic:blipFill>
                                <pic:spPr bwMode="auto">
                                  <a:xfrm>
                                    <a:off x="6343" y="0"/>
                                    <a:ext cx="2279442" cy="2798087"/>
                                  </a:xfrm>
                                  <a:prstGeom prst="rect">
                                    <a:avLst/>
                                  </a:prstGeom>
                                  <a:noFill/>
                                  <a:ln>
                                    <a:noFill/>
                                  </a:ln>
                                </pic:spPr>
                              </pic:pic>
                              <wps:wsp>
                                <wps:cNvPr id="142" name="Text Box 142"/>
                                <wps:cNvSpPr txBox="1"/>
                                <wps:spPr>
                                  <a:xfrm>
                                    <a:off x="1565870" y="2811792"/>
                                    <a:ext cx="719455" cy="146050"/>
                                  </a:xfrm>
                                  <a:prstGeom prst="rect">
                                    <a:avLst/>
                                  </a:prstGeom>
                                  <a:solidFill>
                                    <a:prstClr val="white"/>
                                  </a:solidFill>
                                  <a:ln>
                                    <a:noFill/>
                                  </a:ln>
                                </wps:spPr>
                                <wps:txbx>
                                  <w:txbxContent>
                                    <w:p w14:paraId="240D471F"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43" name="Text Box 143"/>
                              <wps:cNvSpPr txBox="1"/>
                              <wps:spPr>
                                <a:xfrm>
                                  <a:off x="1149927" y="62345"/>
                                  <a:ext cx="858520" cy="108847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C8E0B19" w14:textId="77777777" w:rsidR="00474DFB" w:rsidRDefault="00474DFB" w:rsidP="00840AAB">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sl-SI"/>
                                      </w:rPr>
                                      <w:t>15 – 30 minut</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A76FFBC" id="그룹 139" o:spid="_x0000_s1228" style="position:absolute;margin-left:5.5pt;margin-top:12.9pt;width:179.4pt;height:232.85pt;z-index:251658317;mso-width-relative:margin;mso-height-relative:margin" coordorigin="63" coordsize="22794,29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">
                      <v:group id="그룹 140" o:spid="_x0000_s1229" style="position:absolute;left:63;width:22794;height:29578" coordorigin="63" coordsize="22794,29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그림 141" o:spid="_x0000_s1230" type="#_x0000_t75" style="position:absolute;left:63;width:22794;height:27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">
                          <v:imagedata r:id="rId123" o:title=""/>
                        </v:shape>
                        <v:shape id="Text Box 142" o:spid="_x0000_s1231" type="#_x0000_t202" style="position:absolute;left:15658;top:28117;width:719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" stroked="f">
                          <v:textbox style="mso-fit-shape-to-text:t" inset="0,0,0,0">
                            <w:txbxContent>
                              <w:p w14:paraId="240D471F"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D</w:t>
                                </w:r>
                              </w:p>
                            </w:txbxContent>
                          </v:textbox>
                        </v:shape>
                      </v:group>
                      <v:shape id="Text Box 143" o:spid="_x0000_s1232" type="#_x0000_t202" style="position:absolute;left:11499;top:623;width:8585;height:108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" fillcolor="white [3212]" stroked="f" strokeweight=".5pt">
                        <v:textbox inset="0,0,0,0">
                          <w:txbxContent>
                            <w:p w14:paraId="1C8E0B19" w14:textId="77777777" w:rsidR="00474DFB" w:rsidRDefault="00474DFB" w:rsidP="00840AAB">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sl-SI"/>
                                </w:rPr>
                                <w:t>15 – 30 minut</w:t>
                              </w:r>
                            </w:p>
                          </w:txbxContent>
                        </v:textbox>
                      </v:shape>
                      <w10:wrap type="square"/>
                    </v:group>
                  </w:pict>
                </mc:Fallback>
              </mc:AlternateContent>
            </w:r>
          </w:p>
          <w:p w14:paraId="5D3CA617" w14:textId="77777777" w:rsidR="00840AAB" w:rsidRPr="008E1817" w:rsidRDefault="00840AAB" w:rsidP="00646E14">
            <w:pPr>
              <w:spacing w:line="260" w:lineRule="exact"/>
              <w:rPr>
                <w:sz w:val="26"/>
                <w:szCs w:val="26"/>
                <w:highlight w:val="lightGray"/>
                <w:lang w:val="sl-SI"/>
              </w:rPr>
            </w:pPr>
          </w:p>
          <w:p w14:paraId="7ABC971F" w14:textId="77777777" w:rsidR="00840AAB" w:rsidRPr="008E1817" w:rsidRDefault="00840AAB" w:rsidP="0030421B">
            <w:pPr>
              <w:pStyle w:val="a3"/>
              <w:numPr>
                <w:ilvl w:val="0"/>
                <w:numId w:val="129"/>
              </w:numPr>
              <w:rPr>
                <w:b/>
                <w:highlight w:val="lightGray"/>
                <w:lang w:val="sl-SI"/>
              </w:rPr>
            </w:pPr>
            <w:r w:rsidRPr="008E1817">
              <w:rPr>
                <w:rFonts w:eastAsia="Times New Roman"/>
                <w:b/>
                <w:bCs/>
                <w:highlight w:val="lightGray"/>
                <w:lang w:val="sl-SI"/>
              </w:rPr>
              <w:t>Počakajte 15 do 30 minut.</w:t>
            </w:r>
          </w:p>
          <w:p w14:paraId="2FFE6724" w14:textId="77777777" w:rsidR="00840AAB" w:rsidRPr="008E1817" w:rsidRDefault="00840AAB" w:rsidP="00646E14">
            <w:pPr>
              <w:pStyle w:val="Default"/>
              <w:rPr>
                <w:highlight w:val="lightGray"/>
                <w:lang w:val="sl-SI"/>
              </w:rPr>
            </w:pPr>
            <w:r w:rsidRPr="008E1817">
              <w:rPr>
                <w:highlight w:val="lightGray"/>
                <w:lang w:val="sl-SI"/>
              </w:rPr>
              <w:t xml:space="preserve"> </w:t>
            </w:r>
          </w:p>
          <w:p w14:paraId="4DC792B0" w14:textId="77777777" w:rsidR="00840AAB" w:rsidRPr="008E1817" w:rsidRDefault="00840AAB" w:rsidP="00646E14">
            <w:pPr>
              <w:pStyle w:val="a3"/>
              <w:ind w:left="4387" w:hanging="270"/>
              <w:rPr>
                <w:highlight w:val="lightGray"/>
                <w:lang w:val="sl-SI"/>
              </w:rPr>
            </w:pPr>
            <w:r w:rsidRPr="008E1817">
              <w:rPr>
                <w:rFonts w:eastAsia="Times New Roman"/>
                <w:b/>
                <w:bCs/>
                <w:highlight w:val="lightGray"/>
                <w:lang w:val="sl-SI"/>
              </w:rPr>
              <w:t>a.</w:t>
            </w:r>
            <w:r w:rsidRPr="008E1817">
              <w:rPr>
                <w:rFonts w:eastAsia="Times New Roman"/>
                <w:highlight w:val="lightGray"/>
                <w:lang w:val="sl-SI"/>
              </w:rPr>
              <w:t xml:space="preserve"> Napolnjeno injekcijsko brizgo pustite pri sobni temperaturi 15 do 30 minut, da se segreje.</w:t>
            </w:r>
          </w:p>
          <w:p w14:paraId="7C535621" w14:textId="77777777" w:rsidR="00840AAB" w:rsidRPr="008E1817" w:rsidRDefault="00840AAB" w:rsidP="00646E14">
            <w:pPr>
              <w:pStyle w:val="Default"/>
              <w:rPr>
                <w:color w:val="211D1E"/>
                <w:sz w:val="20"/>
                <w:szCs w:val="20"/>
                <w:highlight w:val="lightGray"/>
                <w:lang w:val="sl-SI"/>
              </w:rPr>
            </w:pPr>
          </w:p>
          <w:p w14:paraId="241C3B48" w14:textId="77777777" w:rsidR="00840AAB" w:rsidRPr="008E1817" w:rsidRDefault="00840AAB" w:rsidP="00646E14">
            <w:pPr>
              <w:pStyle w:val="a3"/>
              <w:numPr>
                <w:ilvl w:val="0"/>
                <w:numId w:val="0"/>
              </w:numPr>
              <w:tabs>
                <w:tab w:val="left" w:pos="3861"/>
              </w:tabs>
              <w:ind w:left="911"/>
              <w:rPr>
                <w:b/>
                <w:highlight w:val="lightGray"/>
                <w:lang w:val="sl-SI"/>
              </w:rPr>
            </w:pPr>
          </w:p>
          <w:p w14:paraId="6A1B0668" w14:textId="619B5781" w:rsidR="00840AAB" w:rsidRPr="008E1817" w:rsidRDefault="00840AAB" w:rsidP="00646E14">
            <w:pPr>
              <w:pStyle w:val="a3"/>
              <w:numPr>
                <w:ilvl w:val="0"/>
                <w:numId w:val="17"/>
              </w:numPr>
              <w:ind w:left="4387"/>
              <w:rPr>
                <w:sz w:val="26"/>
                <w:szCs w:val="26"/>
                <w:highlight w:val="lightGray"/>
                <w:lang w:val="sl-SI"/>
              </w:rPr>
            </w:pPr>
            <w:r w:rsidRPr="008E1817">
              <w:rPr>
                <w:rFonts w:eastAsia="Times New Roman"/>
                <w:highlight w:val="lightGray"/>
                <w:lang w:val="sl-SI"/>
              </w:rPr>
              <w:t xml:space="preserve">Napolnjene injekcijske brizge </w:t>
            </w:r>
            <w:r w:rsidRPr="008E1817">
              <w:rPr>
                <w:rFonts w:eastAsia="Times New Roman"/>
                <w:b/>
                <w:bCs/>
                <w:highlight w:val="lightGray"/>
                <w:lang w:val="sl-SI"/>
              </w:rPr>
              <w:t>ne smete</w:t>
            </w:r>
            <w:r w:rsidRPr="008E1817">
              <w:rPr>
                <w:rFonts w:eastAsia="Times New Roman"/>
                <w:highlight w:val="lightGray"/>
                <w:lang w:val="sl-SI"/>
              </w:rPr>
              <w:t xml:space="preserve"> segrevati na kateri koli drug način, </w:t>
            </w:r>
            <w:r w:rsidRPr="008E1817">
              <w:rPr>
                <w:rFonts w:eastAsia="Calibri"/>
                <w:highlight w:val="lightGray"/>
                <w:lang w:val="sl-SI"/>
              </w:rPr>
              <w:t xml:space="preserve">na </w:t>
            </w:r>
            <w:r w:rsidRPr="008E1817">
              <w:rPr>
                <w:rFonts w:eastAsia="Times New Roman"/>
                <w:highlight w:val="lightGray"/>
                <w:lang w:val="sl-SI"/>
              </w:rPr>
              <w:t>primer</w:t>
            </w:r>
            <w:r w:rsidRPr="008E1817">
              <w:rPr>
                <w:rFonts w:eastAsia="Calibri"/>
                <w:highlight w:val="lightGray"/>
                <w:lang w:val="sl-SI"/>
              </w:rPr>
              <w:t xml:space="preserve"> v mikrovalovni pečici ali vroči vodi.</w:t>
            </w:r>
          </w:p>
        </w:tc>
      </w:tr>
      <w:tr w:rsidR="00840AAB" w:rsidRPr="00652F18" w14:paraId="24F6DB44" w14:textId="77777777" w:rsidTr="00EC5FDC">
        <w:trPr>
          <w:trHeight w:val="7087"/>
        </w:trPr>
        <w:tc>
          <w:tcPr>
            <w:tcW w:w="9550" w:type="dxa"/>
          </w:tcPr>
          <w:p w14:paraId="6B283C74" w14:textId="77777777" w:rsidR="00840AAB" w:rsidRDefault="00840AAB" w:rsidP="00646E14">
            <w:pPr>
              <w:ind w:left="224" w:right="1248"/>
              <w:rPr>
                <w:rFonts w:ascii="Times New Roman" w:eastAsia="Times New Roman" w:hAnsi="Times New Roman" w:cs="Times New Roman"/>
                <w:b/>
                <w:bCs/>
                <w:spacing w:val="-1"/>
                <w:lang w:val="sl-SI"/>
              </w:rPr>
            </w:pPr>
          </w:p>
          <w:p w14:paraId="01A43085" w14:textId="77777777" w:rsidR="00840AAB" w:rsidRDefault="00840AAB" w:rsidP="00646E14">
            <w:pPr>
              <w:spacing w:line="260" w:lineRule="exact"/>
              <w:rPr>
                <w:lang w:val="sl-SI"/>
              </w:rPr>
            </w:pPr>
          </w:p>
          <w:p w14:paraId="12E613E5" w14:textId="77777777" w:rsidR="00840AAB" w:rsidRPr="008E1817" w:rsidRDefault="00840AAB" w:rsidP="00646E14">
            <w:pPr>
              <w:pStyle w:val="a4"/>
              <w:ind w:left="471"/>
              <w:rPr>
                <w:rFonts w:ascii="Times New Roman" w:eastAsia="Times New Roman" w:hAnsi="Times New Roman" w:cs="Times New Roman"/>
                <w:spacing w:val="-1"/>
                <w:highlight w:val="lightGray"/>
                <w:lang w:val="sl-SI"/>
              </w:rPr>
            </w:pPr>
            <w:r>
              <w:rPr>
                <w:rFonts w:ascii="Times New Roman" w:eastAsia="Times New Roman" w:hAnsi="Times New Roman" w:cs="Times New Roman"/>
                <w:noProof/>
                <w:spacing w:val="-1"/>
                <w:lang w:eastAsia="ko-KR"/>
              </w:rPr>
              <mc:AlternateContent>
                <mc:Choice Requires="wpg">
                  <w:drawing>
                    <wp:anchor distT="0" distB="0" distL="114300" distR="114300" simplePos="0" relativeHeight="251658320" behindDoc="0" locked="0" layoutInCell="1" allowOverlap="1" wp14:anchorId="712A056C" wp14:editId="66BE41B2">
                      <wp:simplePos x="0" y="0"/>
                      <wp:positionH relativeFrom="column">
                        <wp:posOffset>123190</wp:posOffset>
                      </wp:positionH>
                      <wp:positionV relativeFrom="paragraph">
                        <wp:posOffset>127635</wp:posOffset>
                      </wp:positionV>
                      <wp:extent cx="2317750" cy="3965575"/>
                      <wp:effectExtent l="0" t="0" r="6350" b="0"/>
                      <wp:wrapSquare wrapText="bothSides"/>
                      <wp:docPr id="144" name="그룹 144"/>
                      <wp:cNvGraphicFramePr/>
                      <a:graphic xmlns:a="http://schemas.openxmlformats.org/drawingml/2006/main">
                        <a:graphicData uri="http://schemas.microsoft.com/office/word/2010/wordprocessingGroup">
                          <wpg:wgp>
                            <wpg:cNvGrpSpPr/>
                            <wpg:grpSpPr>
                              <a:xfrm>
                                <a:off x="0" y="0"/>
                                <a:ext cx="2317750" cy="3965575"/>
                                <a:chOff x="0" y="0"/>
                                <a:chExt cx="2091690" cy="3670300"/>
                              </a:xfrm>
                            </wpg:grpSpPr>
                            <wpg:grpSp>
                              <wpg:cNvPr id="145" name="그룹 145"/>
                              <wpg:cNvGrpSpPr/>
                              <wpg:grpSpPr>
                                <a:xfrm>
                                  <a:off x="0" y="0"/>
                                  <a:ext cx="2091690" cy="3670300"/>
                                  <a:chOff x="0" y="0"/>
                                  <a:chExt cx="2091690" cy="3670300"/>
                                </a:xfrm>
                              </wpg:grpSpPr>
                              <pic:pic xmlns:pic="http://schemas.openxmlformats.org/drawingml/2006/picture">
                                <pic:nvPicPr>
                                  <pic:cNvPr id="146" name="그림 14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091690" cy="3538220"/>
                                  </a:xfrm>
                                  <a:prstGeom prst="rect">
                                    <a:avLst/>
                                  </a:prstGeom>
                                  <a:noFill/>
                                  <a:ln>
                                    <a:noFill/>
                                  </a:ln>
                                </pic:spPr>
                              </pic:pic>
                              <wps:wsp>
                                <wps:cNvPr id="147" name="Text Box 147"/>
                                <wps:cNvSpPr txBox="1"/>
                                <wps:spPr>
                                  <a:xfrm>
                                    <a:off x="1371600" y="3524250"/>
                                    <a:ext cx="719455" cy="146050"/>
                                  </a:xfrm>
                                  <a:prstGeom prst="rect">
                                    <a:avLst/>
                                  </a:prstGeom>
                                  <a:solidFill>
                                    <a:prstClr val="white"/>
                                  </a:solidFill>
                                  <a:ln>
                                    <a:noFill/>
                                  </a:ln>
                                </wps:spPr>
                                <wps:txbx>
                                  <w:txbxContent>
                                    <w:p w14:paraId="5F3771EC"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48" name="Text Box 148"/>
                              <wps:cNvSpPr txBox="1"/>
                              <wps:spPr>
                                <a:xfrm>
                                  <a:off x="616527" y="2660072"/>
                                  <a:ext cx="1392071" cy="75062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075315" w14:textId="77777777" w:rsidR="00474DFB" w:rsidRDefault="00474DFB" w:rsidP="00840AAB">
                                    <w:pPr>
                                      <w:rPr>
                                        <w:rFonts w:asciiTheme="majorBidi" w:hAnsiTheme="majorBidi" w:cstheme="majorBidi"/>
                                        <w:b/>
                                        <w:bCs/>
                                        <w:sz w:val="20"/>
                                        <w:szCs w:val="20"/>
                                      </w:rPr>
                                    </w:pPr>
                                    <w:r>
                                      <w:rPr>
                                        <w:rFonts w:ascii="Times New Roman" w:eastAsia="Times New Roman" w:hAnsi="Times New Roman" w:cs="Times New Roman"/>
                                        <w:b/>
                                        <w:bCs/>
                                        <w:sz w:val="20"/>
                                        <w:szCs w:val="20"/>
                                        <w:lang w:val="sl-SI"/>
                                      </w:rPr>
                                      <w:t xml:space="preserve">SAMO za negovalce </w:t>
                                    </w:r>
                                  </w:p>
                                  <w:p w14:paraId="020B0F65" w14:textId="77777777" w:rsidR="00474DFB" w:rsidRDefault="00474DFB" w:rsidP="00840AAB">
                                    <w:pPr>
                                      <w:rPr>
                                        <w:rFonts w:asciiTheme="majorBidi" w:hAnsiTheme="majorBidi" w:cstheme="majorBidi"/>
                                        <w:b/>
                                        <w:bCs/>
                                        <w:sz w:val="20"/>
                                        <w:szCs w:val="20"/>
                                      </w:rPr>
                                    </w:pPr>
                                  </w:p>
                                  <w:p w14:paraId="7D5A4318" w14:textId="77777777" w:rsidR="00474DFB" w:rsidRDefault="00474DFB" w:rsidP="00840AAB">
                                    <w:pPr>
                                      <w:rPr>
                                        <w:rFonts w:asciiTheme="majorBidi" w:hAnsiTheme="majorBidi" w:cstheme="majorBidi"/>
                                        <w:b/>
                                        <w:bCs/>
                                        <w:sz w:val="20"/>
                                        <w:szCs w:val="20"/>
                                      </w:rPr>
                                    </w:pPr>
                                    <w:r>
                                      <w:rPr>
                                        <w:rFonts w:ascii="Times New Roman" w:eastAsia="Times New Roman" w:hAnsi="Times New Roman" w:cs="Times New Roman"/>
                                        <w:b/>
                                        <w:bCs/>
                                        <w:sz w:val="20"/>
                                        <w:szCs w:val="20"/>
                                        <w:lang w:val="sl-SI"/>
                                      </w:rPr>
                                      <w:t xml:space="preserve">Samoinjiciranje in negovalec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12A056C" id="그룹 144" o:spid="_x0000_s1233" style="position:absolute;left:0;text-align:left;margin-left:9.7pt;margin-top:10.05pt;width:182.5pt;height:312.25pt;z-index:251658320;mso-width-relative:margin;mso-height-relative:margin" coordsize="20916,367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">
                      <v:group id="그룹 145" o:spid="_x0000_s1234" style="position:absolute;width:20916;height:36703" coordsize="20916,36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shape id="그림 146" o:spid="_x0000_s1235" type="#_x0000_t75" style="position:absolute;width:20916;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">
                          <v:imagedata r:id="rId41" o:title=""/>
                        </v:shape>
                        <v:shape id="Text Box 147" o:spid="_x0000_s1236" type="#_x0000_t202" style="position:absolute;left:13716;top:35242;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" stroked="f">
                          <v:textbox inset="0,0,0,0">
                            <w:txbxContent>
                              <w:p w14:paraId="5F3771EC"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E</w:t>
                                </w:r>
                              </w:p>
                            </w:txbxContent>
                          </v:textbox>
                        </v:shape>
                      </v:group>
                      <v:shape id="Text Box 148" o:spid="_x0000_s1237" type="#_x0000_t202" style="position:absolute;left:6165;top:26600;width:13920;height:7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" fillcolor="white [3212]" stroked="f" strokeweight=".5pt">
                        <v:textbox inset="0,0,0,0">
                          <w:txbxContent>
                            <w:p w14:paraId="26075315" w14:textId="77777777" w:rsidR="00474DFB" w:rsidRDefault="00474DFB" w:rsidP="00840AAB">
                              <w:pPr>
                                <w:rPr>
                                  <w:rFonts w:asciiTheme="majorBidi" w:hAnsiTheme="majorBidi" w:cstheme="majorBidi"/>
                                  <w:b/>
                                  <w:bCs/>
                                  <w:sz w:val="20"/>
                                  <w:szCs w:val="20"/>
                                </w:rPr>
                              </w:pPr>
                              <w:r>
                                <w:rPr>
                                  <w:rFonts w:ascii="Times New Roman" w:eastAsia="Times New Roman" w:hAnsi="Times New Roman" w:cs="Times New Roman"/>
                                  <w:b/>
                                  <w:bCs/>
                                  <w:sz w:val="20"/>
                                  <w:szCs w:val="20"/>
                                  <w:lang w:val="sl-SI"/>
                                </w:rPr>
                                <w:t xml:space="preserve">SAMO za negovalce </w:t>
                              </w:r>
                            </w:p>
                            <w:p w14:paraId="020B0F65" w14:textId="77777777" w:rsidR="00474DFB" w:rsidRDefault="00474DFB" w:rsidP="00840AAB">
                              <w:pPr>
                                <w:rPr>
                                  <w:rFonts w:asciiTheme="majorBidi" w:hAnsiTheme="majorBidi" w:cstheme="majorBidi"/>
                                  <w:b/>
                                  <w:bCs/>
                                  <w:sz w:val="20"/>
                                  <w:szCs w:val="20"/>
                                </w:rPr>
                              </w:pPr>
                            </w:p>
                            <w:p w14:paraId="7D5A4318" w14:textId="77777777" w:rsidR="00474DFB" w:rsidRDefault="00474DFB" w:rsidP="00840AAB">
                              <w:pPr>
                                <w:rPr>
                                  <w:rFonts w:asciiTheme="majorBidi" w:hAnsiTheme="majorBidi" w:cstheme="majorBidi"/>
                                  <w:b/>
                                  <w:bCs/>
                                  <w:sz w:val="20"/>
                                  <w:szCs w:val="20"/>
                                </w:rPr>
                              </w:pPr>
                              <w:r>
                                <w:rPr>
                                  <w:rFonts w:ascii="Times New Roman" w:eastAsia="Times New Roman" w:hAnsi="Times New Roman" w:cs="Times New Roman"/>
                                  <w:b/>
                                  <w:bCs/>
                                  <w:sz w:val="20"/>
                                  <w:szCs w:val="20"/>
                                  <w:lang w:val="sl-SI"/>
                                </w:rPr>
                                <w:t xml:space="preserve">Samoinjiciranje in negovalec </w:t>
                              </w:r>
                            </w:p>
                          </w:txbxContent>
                        </v:textbox>
                      </v:shape>
                      <w10:wrap type="square"/>
                    </v:group>
                  </w:pict>
                </mc:Fallback>
              </mc:AlternateContent>
            </w:r>
          </w:p>
          <w:p w14:paraId="1F95E6CD" w14:textId="77777777" w:rsidR="00840AAB" w:rsidRPr="008E1817" w:rsidRDefault="00840AAB" w:rsidP="0030421B">
            <w:pPr>
              <w:pStyle w:val="a4"/>
              <w:numPr>
                <w:ilvl w:val="0"/>
                <w:numId w:val="129"/>
              </w:numPr>
              <w:rPr>
                <w:rFonts w:ascii="Times New Roman" w:eastAsia="Times New Roman" w:hAnsi="Times New Roman" w:cs="Times New Roman"/>
                <w:b/>
                <w:spacing w:val="-1"/>
                <w:highlight w:val="lightGray"/>
                <w:lang w:val="sl-SI"/>
              </w:rPr>
            </w:pPr>
            <w:r w:rsidRPr="008E1817">
              <w:rPr>
                <w:rFonts w:ascii="Times New Roman" w:eastAsia="Times New Roman" w:hAnsi="Times New Roman" w:cs="Times New Roman"/>
                <w:b/>
                <w:bCs/>
                <w:spacing w:val="-1"/>
                <w:highlight w:val="lightGray"/>
                <w:lang w:val="sl-SI"/>
              </w:rPr>
              <w:t>Izberite mesto injiciranja</w:t>
            </w:r>
            <w:r w:rsidRPr="008E1817">
              <w:rPr>
                <w:rFonts w:ascii="Times New Roman" w:eastAsia="Times New Roman" w:hAnsi="Times New Roman" w:cs="Times New Roman"/>
                <w:spacing w:val="-1"/>
                <w:highlight w:val="lightGray"/>
                <w:lang w:val="sl-SI"/>
              </w:rPr>
              <w:t>.</w:t>
            </w:r>
          </w:p>
          <w:p w14:paraId="54C404B3" w14:textId="77777777" w:rsidR="00840AAB" w:rsidRPr="008E1817" w:rsidRDefault="00840AAB" w:rsidP="00646E14">
            <w:pPr>
              <w:pStyle w:val="a3"/>
              <w:rPr>
                <w:highlight w:val="lightGray"/>
                <w:lang w:val="sl-SI"/>
              </w:rPr>
            </w:pPr>
          </w:p>
          <w:p w14:paraId="7EF52E63" w14:textId="77777777" w:rsidR="00840AAB" w:rsidRPr="008E1817" w:rsidRDefault="00840AAB" w:rsidP="00646E14">
            <w:pPr>
              <w:pStyle w:val="a3"/>
              <w:ind w:left="4387" w:hanging="270"/>
              <w:rPr>
                <w:highlight w:val="lightGray"/>
                <w:lang w:val="sl-SI"/>
              </w:rPr>
            </w:pPr>
            <w:r w:rsidRPr="008E1817">
              <w:rPr>
                <w:rFonts w:eastAsia="Times New Roman"/>
                <w:b/>
                <w:bCs/>
                <w:highlight w:val="lightGray"/>
                <w:lang w:val="sl-SI"/>
              </w:rPr>
              <w:t xml:space="preserve">a. </w:t>
            </w:r>
            <w:r w:rsidRPr="008E1817">
              <w:rPr>
                <w:rFonts w:eastAsia="Times New Roman"/>
                <w:highlight w:val="lightGray"/>
                <w:lang w:val="sl-SI"/>
              </w:rPr>
              <w:t>Injicirate lahko v:</w:t>
            </w:r>
          </w:p>
          <w:p w14:paraId="1F018EF1" w14:textId="77777777" w:rsidR="00840AAB" w:rsidRPr="008E1817" w:rsidRDefault="00840AAB" w:rsidP="00646E14">
            <w:pPr>
              <w:pStyle w:val="a3"/>
              <w:ind w:left="4297"/>
              <w:rPr>
                <w:highlight w:val="lightGray"/>
                <w:lang w:val="sl-SI"/>
              </w:rPr>
            </w:pPr>
            <w:r w:rsidRPr="008E1817">
              <w:rPr>
                <w:rFonts w:eastAsia="Times New Roman"/>
                <w:highlight w:val="lightGray"/>
                <w:lang w:val="sl-SI"/>
              </w:rPr>
              <w:t xml:space="preserve">- sprednjo stran stegen. </w:t>
            </w:r>
          </w:p>
          <w:p w14:paraId="19D57A83" w14:textId="77777777" w:rsidR="00840AAB" w:rsidRPr="008E1817" w:rsidRDefault="00840AAB" w:rsidP="00646E14">
            <w:pPr>
              <w:pStyle w:val="a3"/>
              <w:ind w:left="4297"/>
              <w:rPr>
                <w:highlight w:val="lightGray"/>
                <w:lang w:val="sl-SI"/>
              </w:rPr>
            </w:pPr>
            <w:r w:rsidRPr="008E1817">
              <w:rPr>
                <w:rFonts w:eastAsia="Times New Roman"/>
                <w:highlight w:val="lightGray"/>
                <w:lang w:val="sl-SI"/>
              </w:rPr>
              <w:t xml:space="preserve">- trebuh, najmanj 5 cm oddaljeno od popka. </w:t>
            </w:r>
          </w:p>
          <w:p w14:paraId="2DC9A797" w14:textId="77777777" w:rsidR="00840AAB" w:rsidRPr="008E1817" w:rsidRDefault="00840AAB" w:rsidP="00646E14">
            <w:pPr>
              <w:pStyle w:val="a3"/>
              <w:ind w:left="4297"/>
              <w:rPr>
                <w:highlight w:val="lightGray"/>
                <w:lang w:val="sl-SI"/>
              </w:rPr>
            </w:pPr>
            <w:r>
              <w:rPr>
                <w:rFonts w:eastAsia="Times New Roman"/>
                <w:highlight w:val="lightGray"/>
                <w:lang w:val="sl-SI"/>
              </w:rPr>
              <w:t>-</w:t>
            </w:r>
            <w:r w:rsidRPr="008E1817">
              <w:rPr>
                <w:rFonts w:eastAsia="Times New Roman"/>
                <w:highlight w:val="lightGray"/>
                <w:lang w:val="sl-SI"/>
              </w:rPr>
              <w:t xml:space="preserve"> zunanji del nadlakti (SAMO, če ste negovalec). </w:t>
            </w:r>
          </w:p>
          <w:p w14:paraId="2C2F27F2" w14:textId="77777777" w:rsidR="00840AAB" w:rsidRPr="008E1817" w:rsidRDefault="00840AAB" w:rsidP="00646E14">
            <w:pPr>
              <w:pStyle w:val="a3"/>
              <w:rPr>
                <w:highlight w:val="lightGray"/>
                <w:lang w:val="sl-SI"/>
              </w:rPr>
            </w:pPr>
          </w:p>
          <w:p w14:paraId="281C2B75" w14:textId="77777777" w:rsidR="00840AAB" w:rsidRPr="008E1817" w:rsidRDefault="00840AAB" w:rsidP="00646E14">
            <w:pPr>
              <w:pStyle w:val="a3"/>
              <w:numPr>
                <w:ilvl w:val="0"/>
                <w:numId w:val="17"/>
              </w:numPr>
              <w:ind w:left="4387"/>
              <w:rPr>
                <w:highlight w:val="lightGray"/>
                <w:lang w:val="sl-SI"/>
              </w:rPr>
            </w:pPr>
            <w:r w:rsidRPr="008E1817">
              <w:rPr>
                <w:rFonts w:eastAsia="Times New Roman"/>
                <w:b/>
                <w:bCs/>
                <w:highlight w:val="lightGray"/>
                <w:lang w:val="sl-SI"/>
              </w:rPr>
              <w:t>Ne</w:t>
            </w:r>
            <w:r w:rsidRPr="008E1817">
              <w:rPr>
                <w:rFonts w:eastAsia="Times New Roman"/>
                <w:highlight w:val="lightGray"/>
                <w:lang w:val="sl-SI"/>
              </w:rPr>
              <w:t xml:space="preserve"> injicirajte v kožo, ki je od popka oddaljena manj kot 5 cm, je rdeča, trda, občutljiva, poškodovana, podpluta ali zabrazgotinjena. </w:t>
            </w:r>
          </w:p>
          <w:p w14:paraId="5BBBF85A" w14:textId="77777777" w:rsidR="00840AAB" w:rsidRPr="008E1817" w:rsidRDefault="00840AAB" w:rsidP="00646E14">
            <w:pPr>
              <w:pStyle w:val="a3"/>
              <w:numPr>
                <w:ilvl w:val="0"/>
                <w:numId w:val="17"/>
              </w:numPr>
              <w:ind w:left="4387"/>
              <w:rPr>
                <w:highlight w:val="lightGray"/>
                <w:lang w:val="sl-SI"/>
              </w:rPr>
            </w:pPr>
            <w:r w:rsidRPr="008E1817">
              <w:rPr>
                <w:rFonts w:eastAsia="Times New Roman"/>
                <w:highlight w:val="lightGray"/>
                <w:lang w:val="sl-SI"/>
              </w:rPr>
              <w:t xml:space="preserve">Če imate luskavico, </w:t>
            </w:r>
            <w:r w:rsidRPr="008E1817">
              <w:rPr>
                <w:rFonts w:eastAsia="Times New Roman"/>
                <w:b/>
                <w:bCs/>
                <w:highlight w:val="lightGray"/>
                <w:lang w:val="sl-SI"/>
              </w:rPr>
              <w:t>ne</w:t>
            </w:r>
            <w:r w:rsidRPr="008E1817">
              <w:rPr>
                <w:rFonts w:eastAsia="Times New Roman"/>
                <w:highlight w:val="lightGray"/>
                <w:lang w:val="sl-SI"/>
              </w:rPr>
              <w:t xml:space="preserve"> injicirajte neposredno v dvignjene, odebeljene, rdeče ali luskaste zaplate ali lezije na koži. </w:t>
            </w:r>
          </w:p>
          <w:p w14:paraId="55336E29" w14:textId="77777777" w:rsidR="00840AAB" w:rsidRPr="008E1817" w:rsidRDefault="00840AAB" w:rsidP="00646E14">
            <w:pPr>
              <w:pStyle w:val="a3"/>
              <w:numPr>
                <w:ilvl w:val="0"/>
                <w:numId w:val="17"/>
              </w:numPr>
              <w:ind w:left="4387"/>
              <w:rPr>
                <w:highlight w:val="lightGray"/>
                <w:lang w:val="sl-SI"/>
              </w:rPr>
            </w:pPr>
            <w:r w:rsidRPr="008E1817">
              <w:rPr>
                <w:rFonts w:eastAsia="Times New Roman"/>
                <w:b/>
                <w:bCs/>
                <w:highlight w:val="lightGray"/>
                <w:lang w:val="sl-SI"/>
              </w:rPr>
              <w:t>Ne</w:t>
            </w:r>
            <w:r w:rsidRPr="008E1817">
              <w:rPr>
                <w:rFonts w:eastAsia="Times New Roman"/>
                <w:highlight w:val="lightGray"/>
                <w:lang w:val="sl-SI"/>
              </w:rPr>
              <w:t xml:space="preserve"> injicirajte </w:t>
            </w:r>
            <w:r w:rsidRPr="008E1817">
              <w:rPr>
                <w:rFonts w:eastAsia="Calibri"/>
                <w:highlight w:val="lightGray"/>
                <w:lang w:val="sl-SI"/>
              </w:rPr>
              <w:t>skozi</w:t>
            </w:r>
            <w:r w:rsidRPr="008E1817">
              <w:rPr>
                <w:rFonts w:eastAsia="Times New Roman"/>
                <w:highlight w:val="lightGray"/>
                <w:lang w:val="sl-SI"/>
              </w:rPr>
              <w:t xml:space="preserve"> oblačila.</w:t>
            </w:r>
          </w:p>
          <w:p w14:paraId="3115F017" w14:textId="77777777" w:rsidR="00840AAB" w:rsidRPr="008E1817" w:rsidRDefault="00840AAB" w:rsidP="00646E14">
            <w:pPr>
              <w:pStyle w:val="a3"/>
              <w:numPr>
                <w:ilvl w:val="0"/>
                <w:numId w:val="0"/>
              </w:numPr>
              <w:ind w:left="911"/>
              <w:rPr>
                <w:highlight w:val="lightGray"/>
                <w:lang w:val="sl-SI"/>
              </w:rPr>
            </w:pPr>
          </w:p>
          <w:p w14:paraId="31A869FD" w14:textId="77777777" w:rsidR="00840AAB" w:rsidRPr="008E1817" w:rsidRDefault="00840AAB" w:rsidP="00646E14">
            <w:pPr>
              <w:pStyle w:val="a3"/>
              <w:ind w:left="4387" w:hanging="270"/>
              <w:rPr>
                <w:sz w:val="26"/>
                <w:szCs w:val="26"/>
                <w:highlight w:val="lightGray"/>
                <w:lang w:val="sl-SI"/>
              </w:rPr>
            </w:pPr>
            <w:r w:rsidRPr="008E1817">
              <w:rPr>
                <w:rFonts w:eastAsia="Times New Roman"/>
                <w:b/>
                <w:bCs/>
                <w:highlight w:val="lightGray"/>
                <w:lang w:val="sl-SI"/>
              </w:rPr>
              <w:t>b.</w:t>
            </w:r>
            <w:r w:rsidRPr="008E1817">
              <w:rPr>
                <w:rFonts w:eastAsia="Times New Roman"/>
                <w:highlight w:val="lightGray"/>
                <w:lang w:val="sl-SI"/>
              </w:rPr>
              <w:t xml:space="preserve"> Za vsako injiciranje zamenjajte mesto injiciranja. Vsako novo mesto injiciranja mora biti vsaj 3 cm oddaljeno od prejšnjega mesta injiciranja.</w:t>
            </w:r>
          </w:p>
        </w:tc>
      </w:tr>
    </w:tbl>
    <w:p w14:paraId="2D4676B4" w14:textId="77777777" w:rsidR="00840AAB" w:rsidRPr="008E1817" w:rsidRDefault="00840AAB" w:rsidP="00840AAB">
      <w:pPr>
        <w:pStyle w:val="a3"/>
        <w:rPr>
          <w:sz w:val="26"/>
          <w:szCs w:val="26"/>
          <w:highlight w:val="lightGray"/>
          <w:lang w:val="sl-SI"/>
        </w:rPr>
      </w:pPr>
    </w:p>
    <w:tbl>
      <w:tblPr>
        <w:tblStyle w:val="ac"/>
        <w:tblW w:w="0" w:type="auto"/>
        <w:tblLook w:val="04A0" w:firstRow="1" w:lastRow="0" w:firstColumn="1" w:lastColumn="0" w:noHBand="0" w:noVBand="1"/>
      </w:tblPr>
      <w:tblGrid>
        <w:gridCol w:w="9090"/>
      </w:tblGrid>
      <w:tr w:rsidR="00840AAB" w14:paraId="6DF10993" w14:textId="77777777" w:rsidTr="00EC5FDC">
        <w:trPr>
          <w:trHeight w:val="4530"/>
        </w:trPr>
        <w:tc>
          <w:tcPr>
            <w:tcW w:w="9090" w:type="dxa"/>
          </w:tcPr>
          <w:p w14:paraId="0344974F" w14:textId="35B5CE4F" w:rsidR="00840AAB" w:rsidRPr="008E1817" w:rsidRDefault="00EC5FDC" w:rsidP="00646E14">
            <w:pPr>
              <w:pStyle w:val="1"/>
              <w:spacing w:before="76"/>
              <w:ind w:left="0" w:right="2736"/>
              <w:rPr>
                <w:rFonts w:cs="Times New Roman"/>
                <w:spacing w:val="-1"/>
                <w:highlight w:val="lightGray"/>
                <w:lang w:val="sl-SI"/>
              </w:rPr>
            </w:pPr>
            <w:r>
              <w:rPr>
                <w:rFonts w:eastAsiaTheme="minorEastAsia"/>
                <w:noProof/>
                <w:lang w:eastAsia="ko-KR"/>
              </w:rPr>
              <w:lastRenderedPageBreak/>
              <mc:AlternateContent>
                <mc:Choice Requires="wpg">
                  <w:drawing>
                    <wp:anchor distT="0" distB="0" distL="114300" distR="114300" simplePos="0" relativeHeight="251658328" behindDoc="0" locked="0" layoutInCell="1" allowOverlap="1" wp14:anchorId="60670837" wp14:editId="40AF7C24">
                      <wp:simplePos x="0" y="0"/>
                      <wp:positionH relativeFrom="column">
                        <wp:posOffset>-65405</wp:posOffset>
                      </wp:positionH>
                      <wp:positionV relativeFrom="paragraph">
                        <wp:posOffset>196850</wp:posOffset>
                      </wp:positionV>
                      <wp:extent cx="2247900" cy="3067050"/>
                      <wp:effectExtent l="0" t="0" r="0" b="0"/>
                      <wp:wrapSquare wrapText="bothSides"/>
                      <wp:docPr id="149" name="그룹 149"/>
                      <wp:cNvGraphicFramePr/>
                      <a:graphic xmlns:a="http://schemas.openxmlformats.org/drawingml/2006/main">
                        <a:graphicData uri="http://schemas.microsoft.com/office/word/2010/wordprocessingGroup">
                          <wpg:wgp>
                            <wpg:cNvGrpSpPr/>
                            <wpg:grpSpPr>
                              <a:xfrm>
                                <a:off x="0" y="0"/>
                                <a:ext cx="2247900" cy="3067050"/>
                                <a:chOff x="0" y="0"/>
                                <a:chExt cx="2003805" cy="2608689"/>
                              </a:xfrm>
                            </wpg:grpSpPr>
                            <pic:pic xmlns:pic="http://schemas.openxmlformats.org/drawingml/2006/picture">
                              <pic:nvPicPr>
                                <pic:cNvPr id="150" name="그림 150"/>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003805" cy="2456140"/>
                                </a:xfrm>
                                <a:prstGeom prst="rect">
                                  <a:avLst/>
                                </a:prstGeom>
                                <a:noFill/>
                                <a:ln>
                                  <a:noFill/>
                                </a:ln>
                              </pic:spPr>
                            </pic:pic>
                            <wps:wsp>
                              <wps:cNvPr id="151" name="Text Box 151"/>
                              <wps:cNvSpPr txBox="1"/>
                              <wps:spPr>
                                <a:xfrm>
                                  <a:off x="1284047" y="2462639"/>
                                  <a:ext cx="719758" cy="146050"/>
                                </a:xfrm>
                                <a:prstGeom prst="rect">
                                  <a:avLst/>
                                </a:prstGeom>
                                <a:solidFill>
                                  <a:prstClr val="white"/>
                                </a:solidFill>
                                <a:ln>
                                  <a:noFill/>
                                </a:ln>
                              </wps:spPr>
                              <wps:txbx>
                                <w:txbxContent>
                                  <w:p w14:paraId="738A547E" w14:textId="77777777" w:rsidR="00474DFB" w:rsidRPr="00D978ED" w:rsidRDefault="00474DFB" w:rsidP="00840AAB">
                                    <w:pPr>
                                      <w:pStyle w:val="af0"/>
                                      <w:jc w:val="right"/>
                                      <w:rPr>
                                        <w:rFonts w:ascii="Times New Roman" w:hAnsi="Times New Roman" w:cs="Times New Roman"/>
                                        <w:noProof/>
                                        <w:spacing w:val="-1"/>
                                      </w:rPr>
                                    </w:pPr>
                                    <w:r w:rsidRPr="00337BB0">
                                      <w:rPr>
                                        <w:rFonts w:ascii="Times New Roman" w:hAnsi="Times New Roman" w:cs="Times New Roman"/>
                                        <w:bCs w:val="0"/>
                                        <w:highlight w:val="lightGray"/>
                                      </w:rPr>
                                      <w:t>Figure</w:t>
                                    </w:r>
                                    <w:r w:rsidRPr="00337BB0">
                                      <w:rPr>
                                        <w:rFonts w:ascii="Times New Roman" w:hAnsi="Times New Roman" w:cs="Times New Roman"/>
                                        <w:highlight w:val="lightGray"/>
                                      </w:rPr>
                                      <w:t> 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670837" id="그룹 149" o:spid="_x0000_s1238" style="position:absolute;margin-left:-5.15pt;margin-top:15.5pt;width:177pt;height:241.5pt;z-index:251658328;mso-width-relative:margin;mso-height-relative:margin" coordsize="20038,2608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">
                      <v:shape id="그림 150" o:spid="_x0000_s1239" type="#_x0000_t75" style="position:absolute;width:20038;height:24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">
                        <v:imagedata r:id="rId43" o:title=""/>
                      </v:shape>
                      <v:shape id="Text Box 151" o:spid="_x0000_s1240" type="#_x0000_t202" style="position:absolute;left:12840;top:24626;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" stroked="f">
                        <v:textbox inset="0,0,0,0">
                          <w:txbxContent>
                            <w:p w14:paraId="738A547E" w14:textId="77777777" w:rsidR="00474DFB" w:rsidRPr="00D978ED" w:rsidRDefault="00474DFB" w:rsidP="00840AAB">
                              <w:pPr>
                                <w:pStyle w:val="af0"/>
                                <w:jc w:val="right"/>
                                <w:rPr>
                                  <w:rFonts w:ascii="Times New Roman" w:hAnsi="Times New Roman" w:cs="Times New Roman"/>
                                  <w:noProof/>
                                  <w:spacing w:val="-1"/>
                                </w:rPr>
                              </w:pPr>
                              <w:r w:rsidRPr="00337BB0">
                                <w:rPr>
                                  <w:rFonts w:ascii="Times New Roman" w:hAnsi="Times New Roman" w:cs="Times New Roman"/>
                                  <w:bCs w:val="0"/>
                                  <w:highlight w:val="lightGray"/>
                                </w:rPr>
                                <w:t>Figure</w:t>
                              </w:r>
                              <w:r w:rsidRPr="00337BB0">
                                <w:rPr>
                                  <w:rFonts w:ascii="Times New Roman" w:hAnsi="Times New Roman" w:cs="Times New Roman"/>
                                  <w:highlight w:val="lightGray"/>
                                </w:rPr>
                                <w:t> F</w:t>
                              </w:r>
                            </w:p>
                          </w:txbxContent>
                        </v:textbox>
                      </v:shape>
                      <w10:wrap type="square"/>
                    </v:group>
                  </w:pict>
                </mc:Fallback>
              </mc:AlternateContent>
            </w:r>
          </w:p>
          <w:p w14:paraId="796D62D9" w14:textId="5F255189" w:rsidR="00840AAB" w:rsidRPr="008E1817" w:rsidRDefault="00840AAB" w:rsidP="00646E14">
            <w:pPr>
              <w:pStyle w:val="1"/>
              <w:spacing w:before="76"/>
              <w:ind w:left="0" w:right="2736"/>
              <w:rPr>
                <w:rFonts w:eastAsiaTheme="minorEastAsia"/>
                <w:highlight w:val="lightGray"/>
                <w:lang w:val="sl-SI" w:eastAsia="ko-KR"/>
              </w:rPr>
            </w:pPr>
          </w:p>
          <w:p w14:paraId="74762507" w14:textId="4EE10915" w:rsidR="00840AAB" w:rsidRPr="008E1817" w:rsidRDefault="00840AAB" w:rsidP="0030421B">
            <w:pPr>
              <w:pStyle w:val="a3"/>
              <w:numPr>
                <w:ilvl w:val="0"/>
                <w:numId w:val="129"/>
              </w:numPr>
              <w:rPr>
                <w:b/>
                <w:highlight w:val="lightGray"/>
                <w:lang w:val="sl-SI"/>
              </w:rPr>
            </w:pPr>
            <w:r w:rsidRPr="008E1817">
              <w:rPr>
                <w:rFonts w:eastAsia="Times New Roman"/>
                <w:b/>
                <w:bCs/>
                <w:highlight w:val="lightGray"/>
                <w:lang w:val="sl-SI"/>
              </w:rPr>
              <w:t>Umijte si roke</w:t>
            </w:r>
          </w:p>
          <w:p w14:paraId="73777A98" w14:textId="77777777" w:rsidR="00840AAB" w:rsidRPr="008E1817" w:rsidRDefault="00840AAB" w:rsidP="00646E14">
            <w:pPr>
              <w:pStyle w:val="a3"/>
              <w:rPr>
                <w:highlight w:val="lightGray"/>
                <w:lang w:val="sl-SI"/>
              </w:rPr>
            </w:pPr>
          </w:p>
          <w:p w14:paraId="49A71F91" w14:textId="77777777" w:rsidR="00840AAB" w:rsidRDefault="00840AAB" w:rsidP="00646E14">
            <w:pPr>
              <w:pStyle w:val="a3"/>
              <w:ind w:left="4387" w:hanging="270"/>
              <w:rPr>
                <w:lang w:val="sl-SI"/>
              </w:rPr>
            </w:pPr>
            <w:r w:rsidRPr="008E1817">
              <w:rPr>
                <w:rFonts w:eastAsia="Times New Roman"/>
                <w:b/>
                <w:bCs/>
                <w:highlight w:val="lightGray"/>
                <w:lang w:val="sl-SI"/>
              </w:rPr>
              <w:t>a.</w:t>
            </w:r>
            <w:r w:rsidRPr="008E1817">
              <w:rPr>
                <w:rFonts w:eastAsia="Times New Roman"/>
                <w:highlight w:val="lightGray"/>
                <w:lang w:val="sl-SI"/>
              </w:rPr>
              <w:t xml:space="preserve"> Roke si umijte z milom in vodo ter jih temeljito posušite.</w:t>
            </w:r>
            <w:r>
              <w:rPr>
                <w:rFonts w:eastAsia="Times New Roman"/>
                <w:lang w:val="sl-SI"/>
              </w:rPr>
              <w:t xml:space="preserve"> </w:t>
            </w:r>
          </w:p>
          <w:p w14:paraId="2B72CB61" w14:textId="77777777" w:rsidR="00840AAB" w:rsidRDefault="00840AAB" w:rsidP="00646E14">
            <w:pPr>
              <w:pStyle w:val="1"/>
              <w:spacing w:before="76"/>
              <w:ind w:left="0" w:right="2736"/>
              <w:rPr>
                <w:rFonts w:eastAsiaTheme="minorEastAsia"/>
                <w:lang w:val="sl-SI" w:eastAsia="ko-KR"/>
              </w:rPr>
            </w:pPr>
          </w:p>
        </w:tc>
      </w:tr>
      <w:tr w:rsidR="00840AAB" w:rsidRPr="00652F18" w14:paraId="4DA47ED7" w14:textId="77777777" w:rsidTr="00EC5FDC">
        <w:trPr>
          <w:trHeight w:val="4649"/>
        </w:trPr>
        <w:tc>
          <w:tcPr>
            <w:tcW w:w="9090" w:type="dxa"/>
          </w:tcPr>
          <w:p w14:paraId="5309353A" w14:textId="77777777" w:rsidR="00840AAB" w:rsidRPr="008E1817" w:rsidRDefault="00840AAB" w:rsidP="00646E14">
            <w:pPr>
              <w:ind w:left="104"/>
              <w:rPr>
                <w:rFonts w:ascii="Times New Roman" w:eastAsia="Times New Roman" w:hAnsi="Times New Roman" w:cs="Times New Roman"/>
                <w:b/>
                <w:bCs/>
                <w:spacing w:val="-1"/>
                <w:highlight w:val="lightGray"/>
                <w:lang w:val="sl-SI"/>
              </w:rPr>
            </w:pPr>
          </w:p>
          <w:p w14:paraId="234BD068" w14:textId="085E56B8" w:rsidR="00840AAB" w:rsidRPr="008E1817" w:rsidRDefault="00EC5FDC" w:rsidP="00646E14">
            <w:pPr>
              <w:ind w:left="104"/>
              <w:rPr>
                <w:rFonts w:ascii="Times New Roman" w:eastAsia="Times New Roman" w:hAnsi="Times New Roman" w:cs="Times New Roman"/>
                <w:highlight w:val="lightGray"/>
                <w:lang w:val="sl-SI"/>
              </w:rPr>
            </w:pPr>
            <w:r w:rsidRPr="008E1817">
              <w:rPr>
                <w:b/>
                <w:noProof/>
                <w:highlight w:val="lightGray"/>
                <w:lang w:eastAsia="ko-KR"/>
              </w:rPr>
              <mc:AlternateContent>
                <mc:Choice Requires="wpg">
                  <w:drawing>
                    <wp:anchor distT="0" distB="0" distL="114300" distR="114300" simplePos="0" relativeHeight="251658307" behindDoc="0" locked="0" layoutInCell="1" allowOverlap="1" wp14:anchorId="4E321FC5" wp14:editId="19B44374">
                      <wp:simplePos x="0" y="0"/>
                      <wp:positionH relativeFrom="column">
                        <wp:posOffset>7620</wp:posOffset>
                      </wp:positionH>
                      <wp:positionV relativeFrom="paragraph">
                        <wp:posOffset>33655</wp:posOffset>
                      </wp:positionV>
                      <wp:extent cx="2171700" cy="2971800"/>
                      <wp:effectExtent l="0" t="0" r="0" b="0"/>
                      <wp:wrapSquare wrapText="bothSides"/>
                      <wp:docPr id="152" name="그룹 152"/>
                      <wp:cNvGraphicFramePr/>
                      <a:graphic xmlns:a="http://schemas.openxmlformats.org/drawingml/2006/main">
                        <a:graphicData uri="http://schemas.microsoft.com/office/word/2010/wordprocessingGroup">
                          <wpg:wgp>
                            <wpg:cNvGrpSpPr/>
                            <wpg:grpSpPr>
                              <a:xfrm>
                                <a:off x="0" y="0"/>
                                <a:ext cx="2171700" cy="2971800"/>
                                <a:chOff x="1" y="0"/>
                                <a:chExt cx="1840712" cy="2402374"/>
                              </a:xfrm>
                            </wpg:grpSpPr>
                            <pic:pic xmlns:pic="http://schemas.openxmlformats.org/drawingml/2006/picture">
                              <pic:nvPicPr>
                                <pic:cNvPr id="153" name="그림 153"/>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bwMode="auto">
                                <a:xfrm>
                                  <a:off x="1" y="0"/>
                                  <a:ext cx="1840712" cy="2256324"/>
                                </a:xfrm>
                                <a:prstGeom prst="rect">
                                  <a:avLst/>
                                </a:prstGeom>
                                <a:noFill/>
                                <a:ln>
                                  <a:noFill/>
                                </a:ln>
                              </pic:spPr>
                            </pic:pic>
                            <wps:wsp>
                              <wps:cNvPr id="154" name="Text Box 154"/>
                              <wps:cNvSpPr txBox="1"/>
                              <wps:spPr>
                                <a:xfrm>
                                  <a:off x="1096904" y="2256324"/>
                                  <a:ext cx="719758" cy="146050"/>
                                </a:xfrm>
                                <a:prstGeom prst="rect">
                                  <a:avLst/>
                                </a:prstGeom>
                                <a:solidFill>
                                  <a:prstClr val="white"/>
                                </a:solidFill>
                                <a:ln>
                                  <a:noFill/>
                                </a:ln>
                              </wps:spPr>
                              <wps:txbx>
                                <w:txbxContent>
                                  <w:p w14:paraId="32E72F80"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321FC5" id="그룹 152" o:spid="_x0000_s1241" style="position:absolute;left:0;text-align:left;margin-left:.6pt;margin-top:2.65pt;width:171pt;height:234pt;z-index:251658307;mso-width-relative:margin;mso-height-relative:margin" coordorigin="" coordsize="18407,2402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">
                      <v:shape id="그림 153" o:spid="_x0000_s1242" type="#_x0000_t75" style="position:absolute;width:18407;height:22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">
                        <v:imagedata r:id="rId45" o:title=""/>
                      </v:shape>
                      <v:shape id="Text Box 154" o:spid="_x0000_s1243" type="#_x0000_t202" style="position:absolute;left:10969;top:2256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" stroked="f">
                        <v:textbox inset="0,0,0,0">
                          <w:txbxContent>
                            <w:p w14:paraId="32E72F80"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G</w:t>
                              </w:r>
                            </w:p>
                          </w:txbxContent>
                        </v:textbox>
                      </v:shape>
                      <w10:wrap type="square"/>
                    </v:group>
                  </w:pict>
                </mc:Fallback>
              </mc:AlternateContent>
            </w:r>
          </w:p>
          <w:p w14:paraId="2E86F38F" w14:textId="6F14B485" w:rsidR="00840AAB" w:rsidRPr="008E1817" w:rsidRDefault="00840AAB" w:rsidP="0030421B">
            <w:pPr>
              <w:pStyle w:val="a3"/>
              <w:numPr>
                <w:ilvl w:val="0"/>
                <w:numId w:val="129"/>
              </w:numPr>
              <w:rPr>
                <w:b/>
                <w:highlight w:val="lightGray"/>
                <w:lang w:val="sl-SI"/>
              </w:rPr>
            </w:pPr>
            <w:r w:rsidRPr="008E1817">
              <w:rPr>
                <w:rFonts w:eastAsia="Times New Roman"/>
                <w:b/>
                <w:bCs/>
                <w:highlight w:val="lightGray"/>
                <w:lang w:val="sl-SI"/>
              </w:rPr>
              <w:t>Očistite mesto injiciranja</w:t>
            </w:r>
            <w:r w:rsidRPr="008E1817">
              <w:rPr>
                <w:rFonts w:eastAsia="Times New Roman"/>
                <w:highlight w:val="lightGray"/>
                <w:lang w:val="sl-SI"/>
              </w:rPr>
              <w:t xml:space="preserve"> </w:t>
            </w:r>
          </w:p>
          <w:p w14:paraId="0A3A7D42" w14:textId="77777777" w:rsidR="00840AAB" w:rsidRPr="00337BB0" w:rsidRDefault="00840AAB" w:rsidP="00646E14">
            <w:pPr>
              <w:pStyle w:val="a3"/>
              <w:numPr>
                <w:ilvl w:val="0"/>
                <w:numId w:val="0"/>
              </w:numPr>
              <w:ind w:left="471"/>
              <w:rPr>
                <w:b/>
                <w:highlight w:val="lightGray"/>
                <w:lang w:val="sl-SI"/>
              </w:rPr>
            </w:pPr>
          </w:p>
          <w:p w14:paraId="00E40B52" w14:textId="77777777" w:rsidR="00840AAB" w:rsidRPr="00337BB0" w:rsidRDefault="00840AAB" w:rsidP="00646E14">
            <w:pPr>
              <w:pStyle w:val="a3"/>
              <w:ind w:left="4387" w:hanging="270"/>
              <w:rPr>
                <w:highlight w:val="lightGray"/>
                <w:lang w:val="sl-SI"/>
              </w:rPr>
            </w:pPr>
            <w:r w:rsidRPr="00337BB0">
              <w:rPr>
                <w:rFonts w:eastAsia="Times New Roman"/>
                <w:b/>
                <w:bCs/>
                <w:highlight w:val="lightGray"/>
                <w:lang w:val="sl-SI"/>
              </w:rPr>
              <w:t>a.</w:t>
            </w:r>
            <w:r w:rsidRPr="00337BB0">
              <w:rPr>
                <w:rFonts w:eastAsia="Times New Roman"/>
                <w:highlight w:val="lightGray"/>
                <w:lang w:val="sl-SI"/>
              </w:rPr>
              <w:t xml:space="preserve"> Mesto injiciranja očistite z alkoholnim zložencem s krožnimi gibi.</w:t>
            </w:r>
          </w:p>
          <w:p w14:paraId="4793010F" w14:textId="77777777" w:rsidR="00840AAB" w:rsidRPr="008E1817" w:rsidRDefault="00840AAB" w:rsidP="00646E14">
            <w:pPr>
              <w:pStyle w:val="a3"/>
              <w:ind w:left="4387" w:hanging="270"/>
              <w:rPr>
                <w:highlight w:val="lightGray"/>
                <w:lang w:val="sl-SI"/>
              </w:rPr>
            </w:pPr>
            <w:r w:rsidRPr="00337BB0">
              <w:rPr>
                <w:rFonts w:eastAsia="Times New Roman"/>
                <w:b/>
                <w:bCs/>
                <w:highlight w:val="lightGray"/>
                <w:lang w:val="sl-SI"/>
              </w:rPr>
              <w:t>b.</w:t>
            </w:r>
            <w:r w:rsidRPr="00337BB0">
              <w:rPr>
                <w:rFonts w:eastAsia="Times New Roman"/>
                <w:highlight w:val="lightGray"/>
                <w:lang w:val="sl-SI"/>
              </w:rPr>
              <w:t xml:space="preserve"> Pred injiciranjem počakajt</w:t>
            </w:r>
            <w:r w:rsidRPr="008E1817">
              <w:rPr>
                <w:rFonts w:eastAsia="Times New Roman"/>
                <w:highlight w:val="lightGray"/>
                <w:lang w:val="sl-SI"/>
              </w:rPr>
              <w:t>e, da se koža posuši.</w:t>
            </w:r>
          </w:p>
          <w:p w14:paraId="6D9C8619" w14:textId="77777777" w:rsidR="00840AAB" w:rsidRPr="008E1817" w:rsidRDefault="00840AAB" w:rsidP="00646E14">
            <w:pPr>
              <w:pStyle w:val="a3"/>
              <w:rPr>
                <w:highlight w:val="lightGray"/>
                <w:lang w:val="sl-SI"/>
              </w:rPr>
            </w:pPr>
          </w:p>
          <w:p w14:paraId="28D156BC" w14:textId="77777777" w:rsidR="00840AAB" w:rsidRPr="008E1817" w:rsidRDefault="00840AAB" w:rsidP="00646E14">
            <w:pPr>
              <w:pStyle w:val="a3"/>
              <w:rPr>
                <w:highlight w:val="lightGray"/>
                <w:lang w:val="sl-SI"/>
              </w:rPr>
            </w:pPr>
          </w:p>
          <w:p w14:paraId="01F92246" w14:textId="77777777" w:rsidR="00840AAB" w:rsidRPr="008E1817" w:rsidRDefault="00840AAB" w:rsidP="00646E14">
            <w:pPr>
              <w:pStyle w:val="a3"/>
              <w:rPr>
                <w:highlight w:val="lightGray"/>
                <w:lang w:val="sl-SI" w:eastAsia="ko-KR"/>
              </w:rPr>
            </w:pPr>
            <w:r w:rsidRPr="008E1817">
              <w:rPr>
                <w:rFonts w:ascii="맑은 고딕" w:eastAsia="맑은 고딕" w:hAnsi="맑은 고딕"/>
                <w:highlight w:val="lightGray"/>
                <w:lang w:val="sl-SI"/>
              </w:rPr>
              <w:t>•</w:t>
            </w:r>
            <w:r w:rsidRPr="008E1817">
              <w:rPr>
                <w:rFonts w:eastAsia="Times New Roman"/>
                <w:highlight w:val="lightGray"/>
                <w:lang w:val="sl-SI"/>
              </w:rPr>
              <w:t xml:space="preserve"> Pred </w:t>
            </w:r>
            <w:r w:rsidRPr="008E1817">
              <w:rPr>
                <w:rFonts w:eastAsia="맑은 고딕"/>
                <w:highlight w:val="lightGray"/>
                <w:lang w:val="sl-SI"/>
              </w:rPr>
              <w:t>injiciranjem zdravila na mesto</w:t>
            </w:r>
            <w:r w:rsidRPr="008E1817">
              <w:rPr>
                <w:rFonts w:ascii="맑은 고딕" w:eastAsia="맑은 고딕" w:hAnsi="맑은 고딕"/>
                <w:highlight w:val="lightGray"/>
                <w:lang w:val="sl-SI"/>
              </w:rPr>
              <w:t xml:space="preserve"> </w:t>
            </w:r>
            <w:r w:rsidRPr="008E1817">
              <w:rPr>
                <w:rFonts w:eastAsia="Times New Roman"/>
                <w:highlight w:val="lightGray"/>
                <w:lang w:val="sl-SI"/>
              </w:rPr>
              <w:t>injiciranja</w:t>
            </w:r>
            <w:r w:rsidRPr="008E1817">
              <w:rPr>
                <w:rFonts w:ascii="맑은 고딕" w:eastAsia="맑은 고딕" w:hAnsi="맑은 고딕"/>
                <w:highlight w:val="lightGray"/>
                <w:lang w:val="sl-SI"/>
              </w:rPr>
              <w:t xml:space="preserve"> </w:t>
            </w:r>
            <w:r w:rsidRPr="008E1817">
              <w:rPr>
                <w:rFonts w:eastAsia="맑은 고딕"/>
                <w:b/>
                <w:bCs/>
                <w:highlight w:val="lightGray"/>
                <w:lang w:val="sl-SI"/>
              </w:rPr>
              <w:t>ne</w:t>
            </w:r>
            <w:r w:rsidRPr="008E1817">
              <w:rPr>
                <w:rFonts w:eastAsia="Times New Roman"/>
                <w:highlight w:val="lightGray"/>
                <w:lang w:val="sl-SI"/>
              </w:rPr>
              <w:t xml:space="preserve"> pihajte in se ga ne dotikajte ponovno.</w:t>
            </w:r>
          </w:p>
        </w:tc>
      </w:tr>
      <w:tr w:rsidR="00840AAB" w:rsidRPr="00BC4B06" w14:paraId="37A2373B" w14:textId="77777777" w:rsidTr="00EC5FDC">
        <w:trPr>
          <w:trHeight w:val="4592"/>
        </w:trPr>
        <w:tc>
          <w:tcPr>
            <w:tcW w:w="9090" w:type="dxa"/>
          </w:tcPr>
          <w:p w14:paraId="3AA2ECC7" w14:textId="4EBFBCAA" w:rsidR="00840AAB" w:rsidRPr="008E1817" w:rsidRDefault="00EC5FDC" w:rsidP="00646E14">
            <w:pPr>
              <w:pStyle w:val="Default"/>
              <w:rPr>
                <w:highlight w:val="lightGray"/>
                <w:lang w:val="sl-SI"/>
              </w:rPr>
            </w:pPr>
            <w:r w:rsidRPr="008E1817">
              <w:rPr>
                <w:noProof/>
                <w:highlight w:val="lightGray"/>
                <w:lang w:eastAsia="ko-KR"/>
              </w:rPr>
              <w:lastRenderedPageBreak/>
              <mc:AlternateContent>
                <mc:Choice Requires="wpg">
                  <w:drawing>
                    <wp:anchor distT="0" distB="0" distL="114300" distR="114300" simplePos="0" relativeHeight="251658308" behindDoc="0" locked="0" layoutInCell="1" allowOverlap="1" wp14:anchorId="4B063F62" wp14:editId="075EE955">
                      <wp:simplePos x="0" y="0"/>
                      <wp:positionH relativeFrom="column">
                        <wp:posOffset>7620</wp:posOffset>
                      </wp:positionH>
                      <wp:positionV relativeFrom="paragraph">
                        <wp:posOffset>130175</wp:posOffset>
                      </wp:positionV>
                      <wp:extent cx="2300605" cy="3238500"/>
                      <wp:effectExtent l="0" t="0" r="4445" b="0"/>
                      <wp:wrapSquare wrapText="bothSides"/>
                      <wp:docPr id="155" name="그룹 155"/>
                      <wp:cNvGraphicFramePr/>
                      <a:graphic xmlns:a="http://schemas.openxmlformats.org/drawingml/2006/main">
                        <a:graphicData uri="http://schemas.microsoft.com/office/word/2010/wordprocessingGroup">
                          <wpg:wgp>
                            <wpg:cNvGrpSpPr/>
                            <wpg:grpSpPr>
                              <a:xfrm>
                                <a:off x="0" y="0"/>
                                <a:ext cx="2300605" cy="3238500"/>
                                <a:chOff x="11456" y="-63841"/>
                                <a:chExt cx="1963979" cy="2620079"/>
                              </a:xfrm>
                            </wpg:grpSpPr>
                            <pic:pic xmlns:pic="http://schemas.openxmlformats.org/drawingml/2006/picture">
                              <pic:nvPicPr>
                                <pic:cNvPr id="156" name="그림 156"/>
                                <pic:cNvPicPr>
                                  <a:picLocks noChangeAspect="1"/>
                                </pic:cNvPicPr>
                              </pic:nvPicPr>
                              <pic:blipFill>
                                <a:blip r:embed="rId124" cstate="print">
                                  <a:extLst>
                                    <a:ext uri="{28A0092B-C50C-407E-A947-70E740481C1C}">
                                      <a14:useLocalDpi xmlns:a14="http://schemas.microsoft.com/office/drawing/2010/main" val="0"/>
                                    </a:ext>
                                  </a:extLst>
                                </a:blip>
                                <a:srcRect/>
                                <a:stretch/>
                              </pic:blipFill>
                              <pic:spPr bwMode="auto">
                                <a:xfrm>
                                  <a:off x="11456" y="-63841"/>
                                  <a:ext cx="1963979" cy="2423057"/>
                                </a:xfrm>
                                <a:prstGeom prst="rect">
                                  <a:avLst/>
                                </a:prstGeom>
                                <a:noFill/>
                                <a:ln>
                                  <a:noFill/>
                                </a:ln>
                              </pic:spPr>
                            </pic:pic>
                            <wps:wsp>
                              <wps:cNvPr id="157" name="Text Box 157"/>
                              <wps:cNvSpPr txBox="1"/>
                              <wps:spPr>
                                <a:xfrm>
                                  <a:off x="1255677" y="2410188"/>
                                  <a:ext cx="719758" cy="146050"/>
                                </a:xfrm>
                                <a:prstGeom prst="rect">
                                  <a:avLst/>
                                </a:prstGeom>
                                <a:solidFill>
                                  <a:prstClr val="white"/>
                                </a:solidFill>
                                <a:ln>
                                  <a:noFill/>
                                </a:ln>
                              </wps:spPr>
                              <wps:txbx>
                                <w:txbxContent>
                                  <w:p w14:paraId="6A4C6AFF"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063F62" id="그룹 155" o:spid="_x0000_s1244" style="position:absolute;margin-left:.6pt;margin-top:10.25pt;width:181.15pt;height:255pt;z-index:251658308;mso-width-relative:margin;mso-height-relative:margin" coordorigin="114,-638" coordsize="19639,2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">
                      <v:shape id="그림 156" o:spid="_x0000_s1245" type="#_x0000_t75" style="position:absolute;left:114;top:-638;width:19640;height:24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">
                        <v:imagedata r:id="rId125" o:title=""/>
                      </v:shape>
                      <v:shape id="Text Box 157" o:spid="_x0000_s1246" type="#_x0000_t202" style="position:absolute;left:12556;top:24101;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" stroked="f">
                        <v:textbox inset="0,0,0,0">
                          <w:txbxContent>
                            <w:p w14:paraId="6A4C6AFF"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H</w:t>
                              </w:r>
                            </w:p>
                          </w:txbxContent>
                        </v:textbox>
                      </v:shape>
                      <w10:wrap type="square"/>
                    </v:group>
                  </w:pict>
                </mc:Fallback>
              </mc:AlternateContent>
            </w:r>
          </w:p>
          <w:p w14:paraId="349539C9" w14:textId="6CB769AA" w:rsidR="00840AAB" w:rsidRPr="008E1817" w:rsidRDefault="00840AAB" w:rsidP="00646E14">
            <w:pPr>
              <w:pStyle w:val="Default"/>
              <w:rPr>
                <w:highlight w:val="lightGray"/>
                <w:lang w:val="sl-SI"/>
              </w:rPr>
            </w:pPr>
          </w:p>
          <w:p w14:paraId="5BD69821" w14:textId="2D8B2964" w:rsidR="00840AAB" w:rsidRPr="008E1817" w:rsidRDefault="00840AAB" w:rsidP="0030421B">
            <w:pPr>
              <w:pStyle w:val="a3"/>
              <w:numPr>
                <w:ilvl w:val="0"/>
                <w:numId w:val="129"/>
              </w:numPr>
              <w:rPr>
                <w:b/>
                <w:highlight w:val="lightGray"/>
                <w:lang w:val="sl-SI"/>
              </w:rPr>
            </w:pPr>
            <w:r w:rsidRPr="008E1817">
              <w:rPr>
                <w:rFonts w:eastAsia="Times New Roman"/>
                <w:b/>
                <w:bCs/>
                <w:highlight w:val="lightGray"/>
                <w:lang w:val="sl-SI"/>
              </w:rPr>
              <w:t>Odstranite pokrovček.</w:t>
            </w:r>
          </w:p>
          <w:p w14:paraId="52970819" w14:textId="77777777" w:rsidR="00840AAB" w:rsidRPr="008E1817" w:rsidRDefault="00840AAB" w:rsidP="00646E14">
            <w:pPr>
              <w:pStyle w:val="a3"/>
              <w:rPr>
                <w:b/>
                <w:highlight w:val="lightGray"/>
                <w:lang w:val="sl-SI"/>
              </w:rPr>
            </w:pPr>
          </w:p>
          <w:p w14:paraId="071E8652" w14:textId="77777777" w:rsidR="00840AAB" w:rsidRPr="008E1817" w:rsidRDefault="00840AAB" w:rsidP="00646E14">
            <w:pPr>
              <w:pStyle w:val="a3"/>
              <w:ind w:left="4297" w:hanging="270"/>
              <w:rPr>
                <w:highlight w:val="lightGray"/>
                <w:lang w:val="sl-SI"/>
              </w:rPr>
            </w:pPr>
            <w:r w:rsidRPr="008E1817">
              <w:rPr>
                <w:rFonts w:eastAsia="Times New Roman"/>
                <w:b/>
                <w:bCs/>
                <w:highlight w:val="lightGray"/>
                <w:lang w:val="sl-SI"/>
              </w:rPr>
              <w:t>a</w:t>
            </w:r>
            <w:r w:rsidRPr="008E1817">
              <w:rPr>
                <w:rFonts w:eastAsia="Times New Roman"/>
                <w:highlight w:val="lightGray"/>
                <w:lang w:val="sl-SI"/>
              </w:rPr>
              <w:t>. Odstranite pokrovček, tako da držite telo napolnjene injekcijske brizge z eno roko. Pokrovček z drugo roko nežno povlecite ravno navzdol.</w:t>
            </w:r>
          </w:p>
          <w:p w14:paraId="3913A618" w14:textId="77777777" w:rsidR="00840AAB" w:rsidRPr="008E1817" w:rsidRDefault="00840AAB" w:rsidP="00646E14">
            <w:pPr>
              <w:pStyle w:val="a3"/>
              <w:numPr>
                <w:ilvl w:val="0"/>
                <w:numId w:val="0"/>
              </w:numPr>
              <w:ind w:left="1384"/>
              <w:rPr>
                <w:highlight w:val="lightGray"/>
                <w:lang w:val="sl-SI"/>
              </w:rPr>
            </w:pPr>
            <w:r w:rsidRPr="008E1817">
              <w:rPr>
                <w:b/>
                <w:highlight w:val="lightGray"/>
                <w:lang w:val="sl-SI"/>
              </w:rPr>
              <w:t xml:space="preserve"> </w:t>
            </w:r>
          </w:p>
          <w:p w14:paraId="41D7CA4C" w14:textId="77777777" w:rsidR="00840AAB" w:rsidRPr="008E1817" w:rsidRDefault="00840AAB" w:rsidP="00646E14">
            <w:pPr>
              <w:pStyle w:val="a3"/>
              <w:numPr>
                <w:ilvl w:val="0"/>
                <w:numId w:val="17"/>
              </w:numPr>
              <w:ind w:left="4297"/>
              <w:rPr>
                <w:highlight w:val="lightGray"/>
                <w:lang w:val="sl-SI"/>
              </w:rPr>
            </w:pPr>
            <w:r w:rsidRPr="008E1817">
              <w:rPr>
                <w:rFonts w:eastAsia="Times New Roman"/>
                <w:b/>
                <w:bCs/>
                <w:highlight w:val="lightGray"/>
                <w:lang w:val="sl-SI"/>
              </w:rPr>
              <w:t>Ne</w:t>
            </w:r>
            <w:r w:rsidRPr="008E1817">
              <w:rPr>
                <w:rFonts w:eastAsia="Times New Roman"/>
                <w:highlight w:val="lightGray"/>
                <w:lang w:val="sl-SI"/>
              </w:rPr>
              <w:t xml:space="preserve"> odstranjujte pokrovčka, dokler niste pripravljeni na injiciranje. </w:t>
            </w:r>
          </w:p>
          <w:p w14:paraId="0E78AED0" w14:textId="77777777" w:rsidR="00840AAB" w:rsidRPr="008E1817" w:rsidRDefault="00840AAB" w:rsidP="00646E14">
            <w:pPr>
              <w:pStyle w:val="a3"/>
              <w:numPr>
                <w:ilvl w:val="0"/>
                <w:numId w:val="0"/>
              </w:numPr>
              <w:ind w:left="4297"/>
              <w:rPr>
                <w:highlight w:val="lightGray"/>
                <w:lang w:val="sl-SI"/>
              </w:rPr>
            </w:pPr>
          </w:p>
          <w:p w14:paraId="46D715F0" w14:textId="77777777" w:rsidR="00840AAB" w:rsidRPr="008E1817" w:rsidRDefault="00840AAB" w:rsidP="00646E14">
            <w:pPr>
              <w:pStyle w:val="a3"/>
              <w:numPr>
                <w:ilvl w:val="0"/>
                <w:numId w:val="17"/>
              </w:numPr>
              <w:ind w:left="4297"/>
              <w:rPr>
                <w:highlight w:val="lightGray"/>
                <w:lang w:val="sl-SI"/>
              </w:rPr>
            </w:pPr>
            <w:r w:rsidRPr="008E1817">
              <w:rPr>
                <w:rFonts w:eastAsia="Times New Roman"/>
                <w:highlight w:val="lightGray"/>
                <w:lang w:val="sl-SI"/>
              </w:rPr>
              <w:t xml:space="preserve">Igle se </w:t>
            </w:r>
            <w:r w:rsidRPr="008E1817">
              <w:rPr>
                <w:rFonts w:eastAsia="Times New Roman"/>
                <w:b/>
                <w:bCs/>
                <w:highlight w:val="lightGray"/>
                <w:lang w:val="sl-SI"/>
              </w:rPr>
              <w:t>ne</w:t>
            </w:r>
            <w:r w:rsidRPr="008E1817">
              <w:rPr>
                <w:rFonts w:eastAsia="Times New Roman"/>
                <w:highlight w:val="lightGray"/>
                <w:lang w:val="sl-SI"/>
              </w:rPr>
              <w:t xml:space="preserve"> dotikajte. V nasprotnem primeru lahko pride do poškodbe zaradi vboda z iglo.</w:t>
            </w:r>
            <w:r w:rsidRPr="008E1817">
              <w:rPr>
                <w:rFonts w:eastAsia="Times New Roman"/>
                <w:b/>
                <w:bCs/>
                <w:highlight w:val="lightGray"/>
                <w:lang w:val="sl-SI"/>
              </w:rPr>
              <w:t xml:space="preserve"> </w:t>
            </w:r>
          </w:p>
          <w:p w14:paraId="447170C1" w14:textId="77777777" w:rsidR="00840AAB" w:rsidRPr="008E1817" w:rsidRDefault="00840AAB" w:rsidP="00646E14">
            <w:pPr>
              <w:pStyle w:val="a4"/>
              <w:ind w:left="4297"/>
              <w:rPr>
                <w:highlight w:val="lightGray"/>
                <w:lang w:val="sl-SI"/>
              </w:rPr>
            </w:pPr>
          </w:p>
          <w:p w14:paraId="45E149EA" w14:textId="77777777" w:rsidR="006238AA" w:rsidRDefault="00840AAB" w:rsidP="006238AA">
            <w:pPr>
              <w:pStyle w:val="a3"/>
              <w:numPr>
                <w:ilvl w:val="0"/>
                <w:numId w:val="17"/>
              </w:numPr>
              <w:ind w:left="4297"/>
              <w:rPr>
                <w:rFonts w:eastAsia="Times New Roman"/>
                <w:lang w:val="sl-SI"/>
              </w:rPr>
            </w:pPr>
            <w:r w:rsidRPr="008E1817">
              <w:rPr>
                <w:rFonts w:eastAsia="Times New Roman"/>
                <w:highlight w:val="lightGray"/>
                <w:lang w:val="sl-SI"/>
              </w:rPr>
              <w:t xml:space="preserve">Na napolnjeno injekcijsko brizgo </w:t>
            </w:r>
            <w:r w:rsidRPr="008E1817">
              <w:rPr>
                <w:rFonts w:eastAsia="Times New Roman"/>
                <w:b/>
                <w:bCs/>
                <w:highlight w:val="lightGray"/>
                <w:lang w:val="sl-SI"/>
              </w:rPr>
              <w:t>ne</w:t>
            </w:r>
            <w:r w:rsidRPr="008E1817">
              <w:rPr>
                <w:rFonts w:eastAsia="Times New Roman"/>
                <w:highlight w:val="lightGray"/>
                <w:lang w:val="sl-SI"/>
              </w:rPr>
              <w:t xml:space="preserve"> natikajte ponovno pokrovčka. Pokrovček takoj zavrzite v vsebnik za ostre predmete.</w:t>
            </w:r>
            <w:r w:rsidR="006238AA" w:rsidRPr="007C415F">
              <w:rPr>
                <w:rFonts w:eastAsia="Times New Roman"/>
                <w:lang w:val="sl-SI"/>
              </w:rPr>
              <w:t xml:space="preserve"> </w:t>
            </w:r>
          </w:p>
          <w:p w14:paraId="5F2A03AC" w14:textId="4586225E" w:rsidR="006238AA" w:rsidRPr="007C415F" w:rsidRDefault="006238AA" w:rsidP="006238AA">
            <w:pPr>
              <w:pStyle w:val="a3"/>
              <w:numPr>
                <w:ilvl w:val="0"/>
                <w:numId w:val="17"/>
              </w:numPr>
              <w:ind w:left="4297"/>
              <w:rPr>
                <w:rFonts w:eastAsia="Times New Roman"/>
                <w:lang w:val="sl-SI"/>
              </w:rPr>
            </w:pPr>
            <w:r w:rsidRPr="007C415F">
              <w:rPr>
                <w:rFonts w:eastAsia="Times New Roman"/>
                <w:lang w:val="sl-SI"/>
              </w:rPr>
              <w:t>Na konici igle lahko vidite kapljico tekočine; to je normalno.</w:t>
            </w:r>
          </w:p>
          <w:p w14:paraId="4EFF6A6A" w14:textId="69DBB440" w:rsidR="00840AAB" w:rsidRPr="008E1817" w:rsidRDefault="00840AAB" w:rsidP="006238AA">
            <w:pPr>
              <w:pStyle w:val="a3"/>
              <w:numPr>
                <w:ilvl w:val="0"/>
                <w:numId w:val="0"/>
              </w:numPr>
              <w:ind w:left="4297"/>
              <w:rPr>
                <w:highlight w:val="lightGray"/>
                <w:lang w:val="sl-SI"/>
              </w:rPr>
            </w:pPr>
          </w:p>
        </w:tc>
      </w:tr>
      <w:tr w:rsidR="00840AAB" w:rsidRPr="00652F18" w14:paraId="3A099730" w14:textId="77777777" w:rsidTr="00646E14">
        <w:trPr>
          <w:trHeight w:val="7028"/>
        </w:trPr>
        <w:tc>
          <w:tcPr>
            <w:tcW w:w="9090" w:type="dxa"/>
          </w:tcPr>
          <w:p w14:paraId="652D9A4A" w14:textId="77777777" w:rsidR="00840AAB" w:rsidRPr="008E1817" w:rsidRDefault="00840AAB" w:rsidP="00646E14">
            <w:pPr>
              <w:ind w:left="104"/>
              <w:rPr>
                <w:rFonts w:ascii="Times New Roman" w:eastAsia="Times New Roman" w:hAnsi="Times New Roman" w:cs="Times New Roman"/>
                <w:b/>
                <w:bCs/>
                <w:spacing w:val="-1"/>
                <w:highlight w:val="lightGray"/>
                <w:lang w:val="sl-SI"/>
              </w:rPr>
            </w:pPr>
          </w:p>
          <w:p w14:paraId="2184EA24" w14:textId="77777777" w:rsidR="00840AAB" w:rsidRPr="008E1817" w:rsidRDefault="00840AAB" w:rsidP="00646E14">
            <w:pPr>
              <w:pStyle w:val="1"/>
              <w:spacing w:before="76"/>
              <w:ind w:left="0" w:right="2736"/>
              <w:rPr>
                <w:rFonts w:eastAsiaTheme="minorEastAsia"/>
                <w:highlight w:val="lightGray"/>
                <w:lang w:val="sl-SI" w:eastAsia="ko-KR"/>
              </w:rPr>
            </w:pPr>
            <w:r w:rsidRPr="008E1817">
              <w:rPr>
                <w:rFonts w:eastAsiaTheme="minorEastAsia"/>
                <w:noProof/>
                <w:highlight w:val="lightGray"/>
                <w:lang w:eastAsia="ko-KR"/>
              </w:rPr>
              <mc:AlternateContent>
                <mc:Choice Requires="wpg">
                  <w:drawing>
                    <wp:anchor distT="0" distB="0" distL="114300" distR="114300" simplePos="0" relativeHeight="251658309" behindDoc="0" locked="0" layoutInCell="1" allowOverlap="1" wp14:anchorId="11716A9F" wp14:editId="2AAF6E3E">
                      <wp:simplePos x="0" y="0"/>
                      <wp:positionH relativeFrom="column">
                        <wp:posOffset>61595</wp:posOffset>
                      </wp:positionH>
                      <wp:positionV relativeFrom="paragraph">
                        <wp:posOffset>154305</wp:posOffset>
                      </wp:positionV>
                      <wp:extent cx="2302510" cy="3956050"/>
                      <wp:effectExtent l="0" t="0" r="2540" b="6350"/>
                      <wp:wrapSquare wrapText="bothSides"/>
                      <wp:docPr id="158" name="그룹 158"/>
                      <wp:cNvGraphicFramePr/>
                      <a:graphic xmlns:a="http://schemas.openxmlformats.org/drawingml/2006/main">
                        <a:graphicData uri="http://schemas.microsoft.com/office/word/2010/wordprocessingGroup">
                          <wpg:wgp>
                            <wpg:cNvGrpSpPr/>
                            <wpg:grpSpPr>
                              <a:xfrm>
                                <a:off x="0" y="0"/>
                                <a:ext cx="2294189" cy="3956050"/>
                                <a:chOff x="6719" y="0"/>
                                <a:chExt cx="2294189" cy="3956050"/>
                              </a:xfrm>
                            </wpg:grpSpPr>
                            <pic:pic xmlns:pic="http://schemas.openxmlformats.org/drawingml/2006/picture">
                              <pic:nvPicPr>
                                <pic:cNvPr id="159" name="그림 159"/>
                                <pic:cNvPicPr>
                                  <a:picLocks noChangeAspect="1"/>
                                </pic:cNvPicPr>
                              </pic:nvPicPr>
                              <pic:blipFill>
                                <a:blip r:embed="rId126" cstate="print">
                                  <a:extLst>
                                    <a:ext uri="{28A0092B-C50C-407E-A947-70E740481C1C}">
                                      <a14:useLocalDpi xmlns:a14="http://schemas.microsoft.com/office/drawing/2010/main" val="0"/>
                                    </a:ext>
                                  </a:extLst>
                                </a:blip>
                                <a:srcRect/>
                                <a:stretch/>
                              </pic:blipFill>
                              <pic:spPr bwMode="auto">
                                <a:xfrm>
                                  <a:off x="6719" y="0"/>
                                  <a:ext cx="2289071" cy="3806825"/>
                                </a:xfrm>
                                <a:prstGeom prst="rect">
                                  <a:avLst/>
                                </a:prstGeom>
                                <a:noFill/>
                                <a:ln>
                                  <a:noFill/>
                                </a:ln>
                              </pic:spPr>
                            </pic:pic>
                            <wps:wsp>
                              <wps:cNvPr id="160" name="Text Box 160"/>
                              <wps:cNvSpPr txBox="1"/>
                              <wps:spPr>
                                <a:xfrm>
                                  <a:off x="1581150" y="3810000"/>
                                  <a:ext cx="719758" cy="146050"/>
                                </a:xfrm>
                                <a:prstGeom prst="rect">
                                  <a:avLst/>
                                </a:prstGeom>
                                <a:solidFill>
                                  <a:prstClr val="white"/>
                                </a:solidFill>
                                <a:ln>
                                  <a:noFill/>
                                </a:ln>
                              </wps:spPr>
                              <wps:txbx>
                                <w:txbxContent>
                                  <w:p w14:paraId="08417901"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1716A9F" id="그룹 158" o:spid="_x0000_s1247" style="position:absolute;margin-left:4.85pt;margin-top:12.15pt;width:181.3pt;height:311.5pt;z-index:251658309" coordorigin="67" coordsize="22941,39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">
                      <v:shape id="그림 159" o:spid="_x0000_s1248" type="#_x0000_t75" style="position:absolute;left:67;width:22890;height:38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">
                        <v:imagedata r:id="rId127" o:title=""/>
                      </v:shape>
                      <v:shape id="Text Box 160" o:spid="_x0000_s1249" type="#_x0000_t202" style="position:absolute;left:15811;top:38100;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" stroked="f">
                        <v:textbox style="mso-fit-shape-to-text:t" inset="0,0,0,0">
                          <w:txbxContent>
                            <w:p w14:paraId="08417901"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I</w:t>
                              </w:r>
                            </w:p>
                          </w:txbxContent>
                        </v:textbox>
                      </v:shape>
                      <w10:wrap type="square"/>
                    </v:group>
                  </w:pict>
                </mc:Fallback>
              </mc:AlternateContent>
            </w:r>
          </w:p>
          <w:p w14:paraId="03173814" w14:textId="77777777" w:rsidR="00840AAB" w:rsidRPr="008E1817" w:rsidRDefault="00840AAB" w:rsidP="0030421B">
            <w:pPr>
              <w:pStyle w:val="a3"/>
              <w:numPr>
                <w:ilvl w:val="0"/>
                <w:numId w:val="129"/>
              </w:numPr>
              <w:ind w:left="4297"/>
              <w:rPr>
                <w:b/>
                <w:highlight w:val="lightGray"/>
                <w:lang w:val="sl-SI"/>
              </w:rPr>
            </w:pPr>
            <w:r w:rsidRPr="008E1817">
              <w:rPr>
                <w:rFonts w:eastAsia="Times New Roman"/>
                <w:b/>
                <w:bCs/>
                <w:highlight w:val="lightGray"/>
                <w:lang w:val="sl-SI"/>
              </w:rPr>
              <w:t>Napolnjeno injekcijsko brizgo vstavite v mesto injiciranja.</w:t>
            </w:r>
          </w:p>
          <w:p w14:paraId="2CCF184E" w14:textId="77777777" w:rsidR="00840AAB" w:rsidRPr="008E1817" w:rsidRDefault="00840AAB" w:rsidP="00646E14">
            <w:pPr>
              <w:pStyle w:val="a3"/>
              <w:numPr>
                <w:ilvl w:val="0"/>
                <w:numId w:val="0"/>
              </w:numPr>
              <w:ind w:left="471"/>
              <w:rPr>
                <w:b/>
                <w:highlight w:val="lightGray"/>
                <w:lang w:val="sl-SI"/>
              </w:rPr>
            </w:pPr>
          </w:p>
          <w:p w14:paraId="1FE4354B" w14:textId="77777777" w:rsidR="00840AAB" w:rsidRPr="008E1817" w:rsidRDefault="00840AAB" w:rsidP="00646E14">
            <w:pPr>
              <w:pStyle w:val="a3"/>
              <w:numPr>
                <w:ilvl w:val="0"/>
                <w:numId w:val="0"/>
              </w:numPr>
              <w:ind w:left="471"/>
              <w:rPr>
                <w:b/>
                <w:highlight w:val="lightGray"/>
                <w:lang w:val="sl-SI"/>
              </w:rPr>
            </w:pPr>
          </w:p>
          <w:p w14:paraId="10DD3745" w14:textId="77777777" w:rsidR="00840AAB" w:rsidRPr="008E1817" w:rsidRDefault="00840AAB" w:rsidP="00646E14">
            <w:pPr>
              <w:pStyle w:val="a3"/>
              <w:ind w:left="4387" w:hanging="270"/>
              <w:rPr>
                <w:highlight w:val="lightGray"/>
                <w:lang w:val="sl-SI"/>
              </w:rPr>
            </w:pPr>
            <w:r w:rsidRPr="008E1817">
              <w:rPr>
                <w:rFonts w:eastAsia="Times New Roman"/>
                <w:b/>
                <w:bCs/>
                <w:highlight w:val="lightGray"/>
                <w:lang w:val="sl-SI"/>
              </w:rPr>
              <w:t>a.</w:t>
            </w:r>
            <w:r w:rsidRPr="008E1817">
              <w:rPr>
                <w:rFonts w:eastAsia="Times New Roman"/>
                <w:highlight w:val="lightGray"/>
                <w:lang w:val="sl-SI"/>
              </w:rPr>
              <w:t xml:space="preserve"> Z eno roko nežno stisnite kožno gubo na mestu injiciranja.</w:t>
            </w:r>
          </w:p>
          <w:p w14:paraId="119E0E50" w14:textId="77777777" w:rsidR="00840AAB" w:rsidRPr="008E1817" w:rsidRDefault="00840AAB" w:rsidP="00646E14">
            <w:pPr>
              <w:pStyle w:val="a3"/>
              <w:rPr>
                <w:highlight w:val="lightGray"/>
                <w:lang w:val="sl-SI"/>
              </w:rPr>
            </w:pPr>
          </w:p>
          <w:p w14:paraId="7797C809" w14:textId="77777777" w:rsidR="00840AAB" w:rsidRPr="008E1817" w:rsidRDefault="00840AAB" w:rsidP="00646E14">
            <w:pPr>
              <w:pStyle w:val="a3"/>
              <w:ind w:left="4387" w:hanging="270"/>
              <w:rPr>
                <w:highlight w:val="lightGray"/>
                <w:lang w:val="sl-SI"/>
              </w:rPr>
            </w:pPr>
            <w:r w:rsidRPr="008E1817">
              <w:rPr>
                <w:rFonts w:eastAsia="Times New Roman"/>
                <w:b/>
                <w:bCs/>
                <w:highlight w:val="lightGray"/>
                <w:lang w:val="sl-SI"/>
              </w:rPr>
              <w:t xml:space="preserve">b. </w:t>
            </w:r>
            <w:r w:rsidRPr="008E1817">
              <w:rPr>
                <w:rFonts w:eastAsia="Times New Roman"/>
                <w:highlight w:val="lightGray"/>
                <w:lang w:val="sl-SI"/>
              </w:rPr>
              <w:t>Napolnjeno injekcijsko brizgo držite za telo in vstavite iglo do konca v kožno gubo pod kotom 45° s hitrim, kratkim gibom.</w:t>
            </w:r>
          </w:p>
          <w:p w14:paraId="14E1EB39" w14:textId="77777777" w:rsidR="00840AAB" w:rsidRPr="008E1817" w:rsidRDefault="00840AAB" w:rsidP="00646E14">
            <w:pPr>
              <w:pStyle w:val="a3"/>
              <w:ind w:firstLineChars="300" w:firstLine="660"/>
              <w:rPr>
                <w:highlight w:val="lightGray"/>
                <w:lang w:val="sl-SI" w:eastAsia="ko-KR"/>
              </w:rPr>
            </w:pPr>
            <w:r w:rsidRPr="008E1817">
              <w:rPr>
                <w:noProof/>
                <w:highlight w:val="lightGray"/>
                <w:lang w:eastAsia="ko-KR"/>
              </w:rPr>
              <mc:AlternateContent>
                <mc:Choice Requires="wps">
                  <w:drawing>
                    <wp:anchor distT="0" distB="0" distL="114300" distR="114300" simplePos="0" relativeHeight="251658322" behindDoc="0" locked="0" layoutInCell="1" allowOverlap="1" wp14:anchorId="66687E31" wp14:editId="51BE159C">
                      <wp:simplePos x="0" y="0"/>
                      <wp:positionH relativeFrom="column">
                        <wp:posOffset>93345</wp:posOffset>
                      </wp:positionH>
                      <wp:positionV relativeFrom="paragraph">
                        <wp:posOffset>95250</wp:posOffset>
                      </wp:positionV>
                      <wp:extent cx="2214880" cy="280035"/>
                      <wp:effectExtent l="0" t="0" r="0" b="5715"/>
                      <wp:wrapNone/>
                      <wp:docPr id="161" name="Text Box 161"/>
                      <wp:cNvGraphicFramePr/>
                      <a:graphic xmlns:a="http://schemas.openxmlformats.org/drawingml/2006/main">
                        <a:graphicData uri="http://schemas.microsoft.com/office/word/2010/wordprocessingShape">
                          <wps:wsp>
                            <wps:cNvSpPr txBox="1"/>
                            <wps:spPr>
                              <a:xfrm>
                                <a:off x="0" y="0"/>
                                <a:ext cx="2214880" cy="28003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EF90937" w14:textId="77777777" w:rsidR="00474DFB" w:rsidRDefault="00474DFB" w:rsidP="00840AAB">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sl-SI"/>
                                    </w:rPr>
                                    <w:t>ALI</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6687E31" id="Text Box 161" o:spid="_x0000_s1250" type="#_x0000_t202" style="position:absolute;left:0;text-align:left;margin-left:7.35pt;margin-top:7.5pt;width:174.4pt;height:22.05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" fillcolor="black [3213]" stroked="f" strokeweight=".5pt">
                      <v:textbox inset="0,0,0,0">
                        <w:txbxContent>
                          <w:p w14:paraId="6EF90937" w14:textId="77777777" w:rsidR="00474DFB" w:rsidRDefault="00474DFB" w:rsidP="00840AAB">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sl-SI"/>
                              </w:rPr>
                              <w:t>ALI</w:t>
                            </w:r>
                          </w:p>
                        </w:txbxContent>
                      </v:textbox>
                    </v:shape>
                  </w:pict>
                </mc:Fallback>
              </mc:AlternateContent>
            </w:r>
            <w:r w:rsidRPr="008E1817">
              <w:rPr>
                <w:rFonts w:eastAsia="Times New Roman"/>
                <w:highlight w:val="lightGray"/>
                <w:lang w:val="sl-SI"/>
              </w:rPr>
              <w:t xml:space="preserve"> </w:t>
            </w:r>
          </w:p>
        </w:tc>
      </w:tr>
      <w:tr w:rsidR="00840AAB" w:rsidRPr="00652F18" w14:paraId="0034CD7D" w14:textId="77777777" w:rsidTr="00646E14">
        <w:trPr>
          <w:trHeight w:val="6293"/>
        </w:trPr>
        <w:tc>
          <w:tcPr>
            <w:tcW w:w="9090" w:type="dxa"/>
          </w:tcPr>
          <w:p w14:paraId="1CF9F018" w14:textId="77777777" w:rsidR="00840AAB" w:rsidRPr="008E1817" w:rsidRDefault="00840AAB" w:rsidP="00646E14">
            <w:pPr>
              <w:ind w:left="104"/>
              <w:rPr>
                <w:rFonts w:ascii="Times New Roman" w:eastAsia="Times New Roman" w:hAnsi="Times New Roman" w:cs="Times New Roman"/>
                <w:b/>
                <w:bCs/>
                <w:spacing w:val="-1"/>
                <w:highlight w:val="lightGray"/>
                <w:lang w:val="sl-SI"/>
              </w:rPr>
            </w:pPr>
          </w:p>
          <w:p w14:paraId="3B7C9286" w14:textId="77777777" w:rsidR="00840AAB" w:rsidRPr="008E1817" w:rsidRDefault="00840AAB" w:rsidP="00646E14">
            <w:pPr>
              <w:pStyle w:val="1"/>
              <w:spacing w:before="76"/>
              <w:ind w:left="0" w:right="2736"/>
              <w:rPr>
                <w:rFonts w:eastAsiaTheme="minorEastAsia"/>
                <w:highlight w:val="lightGray"/>
                <w:lang w:val="sl-SI" w:eastAsia="ko-KR"/>
              </w:rPr>
            </w:pPr>
          </w:p>
          <w:p w14:paraId="350DF54C" w14:textId="77777777" w:rsidR="00840AAB" w:rsidRPr="008E1817" w:rsidRDefault="00840AAB" w:rsidP="00646E14">
            <w:pPr>
              <w:pStyle w:val="Default"/>
              <w:rPr>
                <w:highlight w:val="lightGray"/>
                <w:lang w:val="sl-SI"/>
              </w:rPr>
            </w:pPr>
            <w:r w:rsidRPr="008E1817">
              <w:rPr>
                <w:noProof/>
                <w:highlight w:val="lightGray"/>
                <w:lang w:eastAsia="ko-KR"/>
              </w:rPr>
              <mc:AlternateContent>
                <mc:Choice Requires="wpg">
                  <w:drawing>
                    <wp:anchor distT="0" distB="0" distL="114300" distR="114300" simplePos="0" relativeHeight="251658310" behindDoc="0" locked="0" layoutInCell="1" allowOverlap="1" wp14:anchorId="044FEC86" wp14:editId="3D91269A">
                      <wp:simplePos x="0" y="0"/>
                      <wp:positionH relativeFrom="column">
                        <wp:posOffset>38100</wp:posOffset>
                      </wp:positionH>
                      <wp:positionV relativeFrom="paragraph">
                        <wp:posOffset>52705</wp:posOffset>
                      </wp:positionV>
                      <wp:extent cx="2190115" cy="2987675"/>
                      <wp:effectExtent l="0" t="0" r="635" b="3175"/>
                      <wp:wrapSquare wrapText="bothSides"/>
                      <wp:docPr id="162" name="그룹 162"/>
                      <wp:cNvGraphicFramePr/>
                      <a:graphic xmlns:a="http://schemas.openxmlformats.org/drawingml/2006/main">
                        <a:graphicData uri="http://schemas.microsoft.com/office/word/2010/wordprocessingGroup">
                          <wpg:wgp>
                            <wpg:cNvGrpSpPr/>
                            <wpg:grpSpPr>
                              <a:xfrm>
                                <a:off x="0" y="0"/>
                                <a:ext cx="2190115" cy="2987675"/>
                                <a:chOff x="2659" y="0"/>
                                <a:chExt cx="2799264" cy="3556000"/>
                              </a:xfrm>
                            </wpg:grpSpPr>
                            <pic:pic xmlns:pic="http://schemas.openxmlformats.org/drawingml/2006/picture">
                              <pic:nvPicPr>
                                <pic:cNvPr id="163" name="그림 163"/>
                                <pic:cNvPicPr>
                                  <a:picLocks noChangeAspect="1"/>
                                </pic:cNvPicPr>
                              </pic:nvPicPr>
                              <pic:blipFill>
                                <a:blip r:embed="rId128" cstate="print">
                                  <a:extLst>
                                    <a:ext uri="{28A0092B-C50C-407E-A947-70E740481C1C}">
                                      <a14:useLocalDpi xmlns:a14="http://schemas.microsoft.com/office/drawing/2010/main" val="0"/>
                                    </a:ext>
                                  </a:extLst>
                                </a:blip>
                                <a:srcRect/>
                                <a:stretch/>
                              </pic:blipFill>
                              <pic:spPr bwMode="auto">
                                <a:xfrm>
                                  <a:off x="2659" y="0"/>
                                  <a:ext cx="2796300" cy="3411855"/>
                                </a:xfrm>
                                <a:prstGeom prst="rect">
                                  <a:avLst/>
                                </a:prstGeom>
                                <a:noFill/>
                                <a:ln>
                                  <a:noFill/>
                                </a:ln>
                              </pic:spPr>
                            </pic:pic>
                            <wps:wsp>
                              <wps:cNvPr id="164" name="Text Box 164"/>
                              <wps:cNvSpPr txBox="1"/>
                              <wps:spPr>
                                <a:xfrm>
                                  <a:off x="2082165" y="3409950"/>
                                  <a:ext cx="719758" cy="146050"/>
                                </a:xfrm>
                                <a:prstGeom prst="rect">
                                  <a:avLst/>
                                </a:prstGeom>
                                <a:solidFill>
                                  <a:prstClr val="white"/>
                                </a:solidFill>
                                <a:ln>
                                  <a:noFill/>
                                </a:ln>
                              </wps:spPr>
                              <wps:txbx>
                                <w:txbxContent>
                                  <w:p w14:paraId="4C325EFF"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J</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4FEC86" id="그룹 162" o:spid="_x0000_s1251" style="position:absolute;margin-left:3pt;margin-top:4.15pt;width:172.45pt;height:235.25pt;z-index:251658310;mso-width-relative:margin;mso-height-relative:margin" coordorigin="26" coordsize="27992,35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">
                      <v:shape id="그림 163" o:spid="_x0000_s1252" type="#_x0000_t75" style="position:absolute;left:26;width:27963;height:34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">
                        <v:imagedata r:id="rId129" o:title=""/>
                      </v:shape>
                      <v:shape id="Text Box 164" o:spid="_x0000_s1253" type="#_x0000_t202" style="position:absolute;left:20821;top:34099;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" stroked="f">
                        <v:textbox inset="0,0,0,0">
                          <w:txbxContent>
                            <w:p w14:paraId="4C325EFF"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J</w:t>
                              </w:r>
                            </w:p>
                          </w:txbxContent>
                        </v:textbox>
                      </v:shape>
                      <w10:wrap type="square"/>
                    </v:group>
                  </w:pict>
                </mc:Fallback>
              </mc:AlternateContent>
            </w:r>
          </w:p>
          <w:p w14:paraId="73883D8C" w14:textId="77777777" w:rsidR="00840AAB" w:rsidRPr="008E1817" w:rsidRDefault="00840AAB" w:rsidP="0030421B">
            <w:pPr>
              <w:pStyle w:val="a3"/>
              <w:numPr>
                <w:ilvl w:val="0"/>
                <w:numId w:val="129"/>
              </w:numPr>
              <w:rPr>
                <w:b/>
                <w:highlight w:val="lightGray"/>
                <w:lang w:val="sl-SI"/>
              </w:rPr>
            </w:pPr>
            <w:r w:rsidRPr="008E1817">
              <w:rPr>
                <w:rFonts w:eastAsia="Times New Roman"/>
                <w:b/>
                <w:bCs/>
                <w:highlight w:val="lightGray"/>
                <w:lang w:val="sl-SI"/>
              </w:rPr>
              <w:t>Dajte si injekcijo</w:t>
            </w:r>
          </w:p>
          <w:p w14:paraId="4CAE1500" w14:textId="77777777" w:rsidR="00840AAB" w:rsidRPr="008E1817" w:rsidRDefault="00840AAB" w:rsidP="00646E14">
            <w:pPr>
              <w:pStyle w:val="a3"/>
              <w:rPr>
                <w:highlight w:val="lightGray"/>
                <w:lang w:val="sl-SI"/>
              </w:rPr>
            </w:pPr>
          </w:p>
          <w:p w14:paraId="4D6885A1" w14:textId="77777777" w:rsidR="00840AAB" w:rsidRPr="008E1817" w:rsidRDefault="00840AAB" w:rsidP="006238AA">
            <w:pPr>
              <w:pStyle w:val="a3"/>
              <w:ind w:left="5197" w:hanging="1489"/>
              <w:rPr>
                <w:highlight w:val="lightGray"/>
                <w:lang w:val="sl-SI"/>
              </w:rPr>
            </w:pPr>
            <w:r w:rsidRPr="008E1817">
              <w:rPr>
                <w:rFonts w:eastAsia="Times New Roman"/>
                <w:b/>
                <w:bCs/>
                <w:highlight w:val="lightGray"/>
                <w:lang w:val="sl-SI"/>
              </w:rPr>
              <w:t>a.</w:t>
            </w:r>
            <w:r w:rsidRPr="008E1817">
              <w:rPr>
                <w:rFonts w:eastAsia="Times New Roman"/>
                <w:highlight w:val="lightGray"/>
                <w:lang w:val="sl-SI"/>
              </w:rPr>
              <w:t xml:space="preserve"> Ko iglo vstavite, spustite stisnjeno kožo.</w:t>
            </w:r>
          </w:p>
          <w:p w14:paraId="3DDB4928" w14:textId="77777777" w:rsidR="00840AAB" w:rsidRPr="008E1817" w:rsidRDefault="00840AAB" w:rsidP="006238AA">
            <w:pPr>
              <w:pStyle w:val="a3"/>
              <w:ind w:left="3849" w:hanging="1489"/>
              <w:rPr>
                <w:highlight w:val="lightGray"/>
                <w:lang w:val="sl-SI"/>
              </w:rPr>
            </w:pPr>
            <w:r w:rsidRPr="008E1817">
              <w:rPr>
                <w:rFonts w:eastAsia="Times New Roman"/>
                <w:b/>
                <w:bCs/>
                <w:highlight w:val="lightGray"/>
                <w:lang w:val="sl-SI"/>
              </w:rPr>
              <w:t>b.</w:t>
            </w:r>
            <w:r w:rsidRPr="008E1817">
              <w:rPr>
                <w:rFonts w:eastAsia="Times New Roman"/>
                <w:highlight w:val="lightGray"/>
                <w:lang w:val="sl-SI"/>
              </w:rPr>
              <w:t xml:space="preserve"> Počasi potisnite bat do konca, dokler ne vbrizgate celotne tekočine in je injekcijska brizga prazna.</w:t>
            </w:r>
          </w:p>
          <w:p w14:paraId="20924AF1" w14:textId="77777777" w:rsidR="00840AAB" w:rsidRPr="008E1817" w:rsidRDefault="00840AAB" w:rsidP="00646E14">
            <w:pPr>
              <w:pStyle w:val="a3"/>
              <w:rPr>
                <w:highlight w:val="lightGray"/>
                <w:lang w:val="sl-SI"/>
              </w:rPr>
            </w:pPr>
          </w:p>
          <w:p w14:paraId="2751B700" w14:textId="77777777" w:rsidR="00840AAB" w:rsidRPr="008E1817" w:rsidRDefault="00840AAB" w:rsidP="00646E14">
            <w:pPr>
              <w:pStyle w:val="a3"/>
              <w:rPr>
                <w:highlight w:val="lightGray"/>
                <w:lang w:val="sl-SI"/>
              </w:rPr>
            </w:pPr>
          </w:p>
          <w:p w14:paraId="04E63E5D" w14:textId="77777777" w:rsidR="00840AAB" w:rsidRPr="008E1817" w:rsidRDefault="00840AAB" w:rsidP="00646E14">
            <w:pPr>
              <w:pStyle w:val="a3"/>
              <w:rPr>
                <w:highlight w:val="lightGray"/>
                <w:lang w:val="sl-SI"/>
              </w:rPr>
            </w:pPr>
            <w:r w:rsidRPr="008E1817">
              <w:rPr>
                <w:rFonts w:ascii="맑은 고딕" w:eastAsia="맑은 고딕" w:hAnsi="맑은 고딕"/>
                <w:highlight w:val="lightGray"/>
                <w:lang w:val="sl-SI"/>
              </w:rPr>
              <w:t>•</w:t>
            </w:r>
            <w:r w:rsidRPr="008E1817">
              <w:rPr>
                <w:rFonts w:eastAsia="Times New Roman"/>
                <w:highlight w:val="lightGray"/>
                <w:lang w:val="sl-SI"/>
              </w:rPr>
              <w:t xml:space="preserve"> </w:t>
            </w:r>
            <w:r w:rsidRPr="008E1817">
              <w:rPr>
                <w:rFonts w:eastAsia="Times New Roman"/>
                <w:bCs/>
                <w:highlight w:val="lightGray"/>
                <w:lang w:val="sl-SI"/>
              </w:rPr>
              <w:t>Po začetku</w:t>
            </w:r>
            <w:r w:rsidRPr="008E1817">
              <w:rPr>
                <w:rFonts w:eastAsia="Times New Roman"/>
                <w:b/>
                <w:bCs/>
                <w:highlight w:val="lightGray"/>
                <w:lang w:val="sl-SI"/>
              </w:rPr>
              <w:t xml:space="preserve"> </w:t>
            </w:r>
            <w:r w:rsidRPr="008E1817">
              <w:rPr>
                <w:rFonts w:eastAsia="맑은 고딕"/>
                <w:highlight w:val="lightGray"/>
                <w:lang w:val="sl-SI"/>
              </w:rPr>
              <w:t xml:space="preserve">injiciranja </w:t>
            </w:r>
            <w:r w:rsidRPr="008E1817">
              <w:rPr>
                <w:rFonts w:eastAsia="맑은 고딕"/>
                <w:b/>
                <w:highlight w:val="lightGray"/>
                <w:lang w:val="sl-SI"/>
              </w:rPr>
              <w:t>ne</w:t>
            </w:r>
            <w:r w:rsidRPr="008E1817">
              <w:rPr>
                <w:rFonts w:eastAsia="Times New Roman"/>
                <w:highlight w:val="lightGray"/>
                <w:lang w:val="sl-SI"/>
              </w:rPr>
              <w:t xml:space="preserve"> spreminjajte položaja napolnjene injekcijske brizge.</w:t>
            </w:r>
          </w:p>
          <w:p w14:paraId="0FF33494" w14:textId="77777777" w:rsidR="00840AAB" w:rsidRPr="008E1817" w:rsidRDefault="00840AAB" w:rsidP="00646E14">
            <w:pPr>
              <w:pStyle w:val="a3"/>
              <w:rPr>
                <w:highlight w:val="lightGray"/>
                <w:lang w:val="sl-SI"/>
              </w:rPr>
            </w:pPr>
            <w:r w:rsidRPr="008E1817">
              <w:rPr>
                <w:highlight w:val="lightGray"/>
                <w:lang w:val="sl-SI"/>
              </w:rPr>
              <w:t xml:space="preserve"> </w:t>
            </w:r>
          </w:p>
        </w:tc>
      </w:tr>
      <w:tr w:rsidR="00840AAB" w14:paraId="110FFD0A" w14:textId="77777777" w:rsidTr="00646E14">
        <w:trPr>
          <w:trHeight w:val="6520"/>
        </w:trPr>
        <w:tc>
          <w:tcPr>
            <w:tcW w:w="9090" w:type="dxa"/>
          </w:tcPr>
          <w:p w14:paraId="3665B087" w14:textId="77777777" w:rsidR="00840AAB" w:rsidRPr="008E1817" w:rsidRDefault="00840AAB" w:rsidP="00646E14">
            <w:pPr>
              <w:ind w:left="104"/>
              <w:rPr>
                <w:rFonts w:ascii="Times New Roman" w:eastAsia="Times New Roman" w:hAnsi="Times New Roman" w:cs="Times New Roman"/>
                <w:b/>
                <w:bCs/>
                <w:spacing w:val="-1"/>
                <w:highlight w:val="lightGray"/>
                <w:lang w:val="sl-SI"/>
              </w:rPr>
            </w:pPr>
          </w:p>
          <w:p w14:paraId="76320A7C" w14:textId="4D6B0654" w:rsidR="00840AAB" w:rsidRPr="008E1817" w:rsidRDefault="006238AA" w:rsidP="00646E14">
            <w:pPr>
              <w:ind w:left="104"/>
              <w:rPr>
                <w:rFonts w:ascii="Times New Roman" w:eastAsia="Times New Roman" w:hAnsi="Times New Roman" w:cs="Times New Roman"/>
                <w:highlight w:val="lightGray"/>
                <w:lang w:val="sl-SI"/>
              </w:rPr>
            </w:pPr>
            <w:r w:rsidRPr="008E1817">
              <w:rPr>
                <w:noProof/>
                <w:highlight w:val="lightGray"/>
                <w:lang w:eastAsia="ko-KR"/>
              </w:rPr>
              <mc:AlternateContent>
                <mc:Choice Requires="wpg">
                  <w:drawing>
                    <wp:anchor distT="0" distB="0" distL="114300" distR="114300" simplePos="0" relativeHeight="251658311" behindDoc="0" locked="0" layoutInCell="1" allowOverlap="1" wp14:anchorId="4BC482E9" wp14:editId="3D617A78">
                      <wp:simplePos x="0" y="0"/>
                      <wp:positionH relativeFrom="column">
                        <wp:posOffset>45720</wp:posOffset>
                      </wp:positionH>
                      <wp:positionV relativeFrom="paragraph">
                        <wp:posOffset>168910</wp:posOffset>
                      </wp:positionV>
                      <wp:extent cx="2238375" cy="3171825"/>
                      <wp:effectExtent l="0" t="0" r="9525" b="9525"/>
                      <wp:wrapSquare wrapText="bothSides"/>
                      <wp:docPr id="166" name="그룹 166"/>
                      <wp:cNvGraphicFramePr/>
                      <a:graphic xmlns:a="http://schemas.openxmlformats.org/drawingml/2006/main">
                        <a:graphicData uri="http://schemas.microsoft.com/office/word/2010/wordprocessingGroup">
                          <wpg:wgp>
                            <wpg:cNvGrpSpPr/>
                            <wpg:grpSpPr>
                              <a:xfrm>
                                <a:off x="0" y="0"/>
                                <a:ext cx="2238375" cy="3171825"/>
                                <a:chOff x="0" y="99989"/>
                                <a:chExt cx="2796208" cy="3436961"/>
                              </a:xfrm>
                            </wpg:grpSpPr>
                            <pic:pic xmlns:pic="http://schemas.openxmlformats.org/drawingml/2006/picture">
                              <pic:nvPicPr>
                                <pic:cNvPr id="167" name="그림 167"/>
                                <pic:cNvPicPr>
                                  <a:picLocks noChangeAspect="1"/>
                                </pic:cNvPicPr>
                              </pic:nvPicPr>
                              <pic:blipFill>
                                <a:blip r:embed="rId130" cstate="print">
                                  <a:extLst>
                                    <a:ext uri="{28A0092B-C50C-407E-A947-70E740481C1C}">
                                      <a14:useLocalDpi xmlns:a14="http://schemas.microsoft.com/office/drawing/2010/main" val="0"/>
                                    </a:ext>
                                  </a:extLst>
                                </a:blip>
                                <a:srcRect/>
                                <a:stretch/>
                              </pic:blipFill>
                              <pic:spPr bwMode="auto">
                                <a:xfrm>
                                  <a:off x="0" y="99989"/>
                                  <a:ext cx="2794000" cy="3229021"/>
                                </a:xfrm>
                                <a:prstGeom prst="rect">
                                  <a:avLst/>
                                </a:prstGeom>
                                <a:noFill/>
                                <a:ln>
                                  <a:noFill/>
                                </a:ln>
                              </pic:spPr>
                            </pic:pic>
                            <wps:wsp>
                              <wps:cNvPr id="168" name="Text Box 168"/>
                              <wps:cNvSpPr txBox="1"/>
                              <wps:spPr>
                                <a:xfrm>
                                  <a:off x="2076450" y="3390900"/>
                                  <a:ext cx="719758" cy="146050"/>
                                </a:xfrm>
                                <a:prstGeom prst="rect">
                                  <a:avLst/>
                                </a:prstGeom>
                                <a:solidFill>
                                  <a:prstClr val="white"/>
                                </a:solidFill>
                                <a:ln>
                                  <a:noFill/>
                                </a:ln>
                              </wps:spPr>
                              <wps:txbx>
                                <w:txbxContent>
                                  <w:p w14:paraId="37E941E1"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C482E9" id="그룹 166" o:spid="_x0000_s1254" style="position:absolute;left:0;text-align:left;margin-left:3.6pt;margin-top:13.3pt;width:176.25pt;height:249.75pt;z-index:251658311;mso-width-relative:margin;mso-height-relative:margin" coordorigin=",999" coordsize="27962,34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">
                      <v:shape id="그림 167" o:spid="_x0000_s1255" type="#_x0000_t75" style="position:absolute;top:999;width:27940;height:3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">
                        <v:imagedata r:id="rId131" o:title=""/>
                      </v:shape>
                      <v:shape id="Text Box 168" o:spid="_x0000_s1256" type="#_x0000_t202" style="position:absolute;left:20764;top:33909;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" stroked="f">
                        <v:textbox inset="0,0,0,0">
                          <w:txbxContent>
                            <w:p w14:paraId="37E941E1"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K</w:t>
                              </w:r>
                            </w:p>
                          </w:txbxContent>
                        </v:textbox>
                      </v:shape>
                      <w10:wrap type="square"/>
                    </v:group>
                  </w:pict>
                </mc:Fallback>
              </mc:AlternateContent>
            </w:r>
          </w:p>
          <w:p w14:paraId="78C93021" w14:textId="3A6EF2F2" w:rsidR="00840AAB" w:rsidRPr="008E1817" w:rsidRDefault="00840AAB" w:rsidP="00646E14">
            <w:pPr>
              <w:pStyle w:val="a3"/>
              <w:rPr>
                <w:highlight w:val="lightGray"/>
                <w:lang w:val="sl-SI"/>
              </w:rPr>
            </w:pPr>
          </w:p>
          <w:p w14:paraId="59485035" w14:textId="77777777" w:rsidR="00840AAB" w:rsidRPr="008E1817" w:rsidRDefault="00840AAB" w:rsidP="006238AA">
            <w:pPr>
              <w:pStyle w:val="a3"/>
              <w:numPr>
                <w:ilvl w:val="0"/>
                <w:numId w:val="129"/>
              </w:numPr>
              <w:ind w:left="4133" w:hanging="284"/>
              <w:rPr>
                <w:highlight w:val="lightGray"/>
                <w:lang w:val="sl-SI"/>
              </w:rPr>
            </w:pPr>
            <w:r w:rsidRPr="008E1817">
              <w:rPr>
                <w:rFonts w:eastAsia="Times New Roman"/>
                <w:b/>
                <w:bCs/>
                <w:highlight w:val="lightGray"/>
                <w:lang w:val="sl-SI"/>
              </w:rPr>
              <w:t>Napolnjeno injekcijsko brizgo vzemite iz mesta injiciranja in</w:t>
            </w:r>
            <w:r w:rsidRPr="008E1817">
              <w:rPr>
                <w:rFonts w:eastAsia="Times New Roman"/>
                <w:highlight w:val="lightGray"/>
                <w:lang w:val="sl-SI"/>
              </w:rPr>
              <w:t xml:space="preserve"> </w:t>
            </w:r>
            <w:r w:rsidRPr="008E1817">
              <w:rPr>
                <w:rFonts w:eastAsia="Times New Roman"/>
                <w:b/>
                <w:bCs/>
                <w:highlight w:val="lightGray"/>
                <w:lang w:val="sl-SI"/>
              </w:rPr>
              <w:t>poskrbite za mesto injiciranja</w:t>
            </w:r>
            <w:r w:rsidRPr="008E1817">
              <w:rPr>
                <w:rFonts w:eastAsia="Times New Roman"/>
                <w:highlight w:val="lightGray"/>
                <w:lang w:val="sl-SI"/>
              </w:rPr>
              <w:t>.</w:t>
            </w:r>
          </w:p>
          <w:p w14:paraId="59ADB033" w14:textId="77777777" w:rsidR="006238AA" w:rsidRDefault="006238AA" w:rsidP="006238AA">
            <w:pPr>
              <w:pStyle w:val="a3"/>
              <w:ind w:left="4133" w:hanging="284"/>
              <w:rPr>
                <w:rFonts w:eastAsia="Times New Roman"/>
                <w:b/>
                <w:bCs/>
                <w:highlight w:val="lightGray"/>
                <w:lang w:val="sl-SI"/>
              </w:rPr>
            </w:pPr>
          </w:p>
          <w:p w14:paraId="4639E296" w14:textId="30C39165" w:rsidR="00840AAB" w:rsidRPr="008E1817" w:rsidRDefault="00840AAB" w:rsidP="006238AA">
            <w:pPr>
              <w:pStyle w:val="a3"/>
              <w:ind w:left="4133" w:hanging="284"/>
              <w:rPr>
                <w:highlight w:val="lightGray"/>
                <w:lang w:val="sl-SI"/>
              </w:rPr>
            </w:pPr>
            <w:r w:rsidRPr="008E1817">
              <w:rPr>
                <w:rFonts w:eastAsia="Times New Roman"/>
                <w:b/>
                <w:bCs/>
                <w:highlight w:val="lightGray"/>
                <w:lang w:val="sl-SI"/>
              </w:rPr>
              <w:t>a.</w:t>
            </w:r>
            <w:r w:rsidRPr="008E1817">
              <w:rPr>
                <w:rFonts w:eastAsia="Times New Roman"/>
                <w:highlight w:val="lightGray"/>
                <w:lang w:val="sl-SI"/>
              </w:rPr>
              <w:t xml:space="preserve"> Ko je napolnjena injekcijska brizga prazna, palec počasi dvignite z bata, dokler ni igla popolnoma prekrita </w:t>
            </w:r>
            <w:r>
              <w:rPr>
                <w:rFonts w:eastAsia="Times New Roman"/>
                <w:highlight w:val="lightGray"/>
                <w:lang w:val="sl-SI"/>
              </w:rPr>
              <w:t>s ščitnikom za iglo</w:t>
            </w:r>
            <w:r w:rsidRPr="008E1817">
              <w:rPr>
                <w:rFonts w:eastAsia="Times New Roman"/>
                <w:highlight w:val="lightGray"/>
                <w:lang w:val="sl-SI"/>
              </w:rPr>
              <w:t>.</w:t>
            </w:r>
          </w:p>
          <w:p w14:paraId="35B66C75" w14:textId="77777777" w:rsidR="00840AAB" w:rsidRPr="008E1817" w:rsidRDefault="00840AAB" w:rsidP="006238AA">
            <w:pPr>
              <w:pStyle w:val="a3"/>
              <w:ind w:left="4133" w:hanging="284"/>
              <w:rPr>
                <w:highlight w:val="lightGray"/>
                <w:lang w:val="sl-SI"/>
              </w:rPr>
            </w:pPr>
            <w:r w:rsidRPr="008E1817">
              <w:rPr>
                <w:rFonts w:eastAsia="Times New Roman"/>
                <w:b/>
                <w:bCs/>
                <w:highlight w:val="lightGray"/>
                <w:lang w:val="sl-SI"/>
              </w:rPr>
              <w:t>b.</w:t>
            </w:r>
            <w:r w:rsidRPr="008E1817">
              <w:rPr>
                <w:rFonts w:eastAsia="Times New Roman"/>
                <w:highlight w:val="lightGray"/>
                <w:lang w:val="sl-SI"/>
              </w:rPr>
              <w:t xml:space="preserve"> Na mesto injiciranja nežno pritisnite (ne drgnite) z vato ali z gazo na mesto vboda in nanesite lepilno obvezo, če je treba. Pojavi se lahko rahla krvavitev.</w:t>
            </w:r>
          </w:p>
          <w:p w14:paraId="326BA7C9" w14:textId="77777777" w:rsidR="00840AAB" w:rsidRPr="008E1817" w:rsidRDefault="00840AAB" w:rsidP="00646E14">
            <w:pPr>
              <w:pStyle w:val="a3"/>
              <w:rPr>
                <w:highlight w:val="lightGray"/>
                <w:lang w:val="sl-SI"/>
              </w:rPr>
            </w:pPr>
          </w:p>
          <w:p w14:paraId="67109758" w14:textId="77777777" w:rsidR="00840AAB" w:rsidRPr="008E1817" w:rsidRDefault="00840AAB" w:rsidP="00646E14">
            <w:pPr>
              <w:pStyle w:val="a3"/>
              <w:rPr>
                <w:highlight w:val="lightGray"/>
                <w:lang w:val="sl-SI"/>
              </w:rPr>
            </w:pPr>
          </w:p>
          <w:p w14:paraId="028AF632" w14:textId="77777777" w:rsidR="00840AAB" w:rsidRPr="008E1817" w:rsidRDefault="00840AAB" w:rsidP="00646E14">
            <w:pPr>
              <w:pStyle w:val="a3"/>
              <w:rPr>
                <w:highlight w:val="lightGray"/>
                <w:lang w:val="sl-SI"/>
              </w:rPr>
            </w:pPr>
            <w:r w:rsidRPr="008E1817">
              <w:rPr>
                <w:rFonts w:ascii="맑은 고딕" w:eastAsia="맑은 고딕" w:hAnsi="맑은 고딕"/>
                <w:highlight w:val="lightGray"/>
                <w:lang w:val="sl-SI"/>
              </w:rPr>
              <w:t>•</w:t>
            </w:r>
            <w:r w:rsidRPr="008E1817">
              <w:rPr>
                <w:rFonts w:eastAsia="Times New Roman"/>
                <w:highlight w:val="lightGray"/>
                <w:lang w:val="sl-SI"/>
              </w:rPr>
              <w:t xml:space="preserve"> Napolnjene injekcijske brizge</w:t>
            </w:r>
            <w:r w:rsidRPr="008E1817">
              <w:rPr>
                <w:rFonts w:ascii="맑은 고딕" w:eastAsia="맑은 고딕" w:hAnsi="맑은 고딕"/>
                <w:highlight w:val="lightGray"/>
                <w:lang w:val="sl-SI"/>
              </w:rPr>
              <w:t xml:space="preserve"> </w:t>
            </w:r>
            <w:r w:rsidRPr="008E1817">
              <w:rPr>
                <w:rFonts w:eastAsia="맑은 고딕"/>
                <w:b/>
                <w:bCs/>
                <w:highlight w:val="lightGray"/>
                <w:lang w:val="sl-SI"/>
              </w:rPr>
              <w:t>ne</w:t>
            </w:r>
            <w:r w:rsidRPr="008E1817">
              <w:rPr>
                <w:rFonts w:eastAsia="맑은 고딕"/>
                <w:highlight w:val="lightGray"/>
                <w:lang w:val="sl-SI"/>
              </w:rPr>
              <w:t xml:space="preserve"> uporabljajte ponovno</w:t>
            </w:r>
            <w:r w:rsidRPr="008E1817">
              <w:rPr>
                <w:rFonts w:eastAsia="Times New Roman"/>
                <w:highlight w:val="lightGray"/>
                <w:lang w:val="sl-SI"/>
              </w:rPr>
              <w:t>.</w:t>
            </w:r>
          </w:p>
          <w:p w14:paraId="28138CDF" w14:textId="77777777" w:rsidR="00840AAB" w:rsidRPr="008E1817" w:rsidRDefault="00840AAB" w:rsidP="00646E14">
            <w:pPr>
              <w:pStyle w:val="a3"/>
              <w:rPr>
                <w:b/>
                <w:bCs/>
                <w:spacing w:val="-1"/>
                <w:highlight w:val="lightGray"/>
                <w:lang w:val="sl-SI"/>
              </w:rPr>
            </w:pPr>
            <w:r w:rsidRPr="008E1817">
              <w:rPr>
                <w:rFonts w:ascii="맑은 고딕" w:eastAsia="맑은 고딕" w:hAnsi="맑은 고딕"/>
                <w:b/>
                <w:bCs/>
                <w:highlight w:val="lightGray"/>
                <w:lang w:val="sl-SI"/>
              </w:rPr>
              <w:t>•</w:t>
            </w:r>
            <w:r w:rsidRPr="008E1817">
              <w:rPr>
                <w:rFonts w:eastAsia="Times New Roman"/>
                <w:b/>
                <w:bCs/>
                <w:highlight w:val="lightGray"/>
                <w:lang w:val="sl-SI"/>
              </w:rPr>
              <w:t>Mesta injiciranja ne drgnite.</w:t>
            </w:r>
          </w:p>
        </w:tc>
      </w:tr>
      <w:tr w:rsidR="00840AAB" w:rsidRPr="00652F18" w14:paraId="508B700E" w14:textId="77777777" w:rsidTr="00646E14">
        <w:trPr>
          <w:trHeight w:val="6372"/>
        </w:trPr>
        <w:tc>
          <w:tcPr>
            <w:tcW w:w="9090" w:type="dxa"/>
          </w:tcPr>
          <w:p w14:paraId="2D6B31B0" w14:textId="77777777" w:rsidR="00840AAB" w:rsidRPr="008E1817" w:rsidRDefault="00840AAB" w:rsidP="00646E14">
            <w:pPr>
              <w:ind w:left="104"/>
              <w:rPr>
                <w:rFonts w:ascii="Times New Roman" w:eastAsia="Times New Roman" w:hAnsi="Times New Roman" w:cs="Times New Roman"/>
                <w:b/>
                <w:bCs/>
                <w:spacing w:val="-1"/>
                <w:highlight w:val="lightGray"/>
                <w:lang w:val="sl-SI"/>
              </w:rPr>
            </w:pPr>
          </w:p>
          <w:p w14:paraId="045E0A9A" w14:textId="77777777" w:rsidR="00840AAB" w:rsidRPr="008E1817" w:rsidRDefault="00840AAB" w:rsidP="00646E14">
            <w:pPr>
              <w:pStyle w:val="a3"/>
              <w:rPr>
                <w:highlight w:val="lightGray"/>
                <w:lang w:val="sl-SI"/>
              </w:rPr>
            </w:pPr>
          </w:p>
          <w:p w14:paraId="26C96B5F" w14:textId="77777777" w:rsidR="00840AAB" w:rsidRPr="008E1817" w:rsidRDefault="00840AAB" w:rsidP="00646E14">
            <w:pPr>
              <w:pStyle w:val="a3"/>
              <w:rPr>
                <w:highlight w:val="lightGray"/>
                <w:lang w:val="sl-SI"/>
              </w:rPr>
            </w:pPr>
            <w:r w:rsidRPr="008E1817">
              <w:rPr>
                <w:noProof/>
                <w:highlight w:val="lightGray"/>
                <w:lang w:eastAsia="ko-KR"/>
              </w:rPr>
              <mc:AlternateContent>
                <mc:Choice Requires="wpg">
                  <w:drawing>
                    <wp:anchor distT="0" distB="0" distL="114300" distR="114300" simplePos="0" relativeHeight="251658312" behindDoc="0" locked="0" layoutInCell="1" allowOverlap="1" wp14:anchorId="21573269" wp14:editId="3815F4EA">
                      <wp:simplePos x="0" y="0"/>
                      <wp:positionH relativeFrom="column">
                        <wp:posOffset>36195</wp:posOffset>
                      </wp:positionH>
                      <wp:positionV relativeFrom="paragraph">
                        <wp:posOffset>104140</wp:posOffset>
                      </wp:positionV>
                      <wp:extent cx="2266950" cy="3105150"/>
                      <wp:effectExtent l="0" t="0" r="0" b="0"/>
                      <wp:wrapSquare wrapText="bothSides"/>
                      <wp:docPr id="170" name="그룹 170"/>
                      <wp:cNvGraphicFramePr/>
                      <a:graphic xmlns:a="http://schemas.openxmlformats.org/drawingml/2006/main">
                        <a:graphicData uri="http://schemas.microsoft.com/office/word/2010/wordprocessingGroup">
                          <wpg:wgp>
                            <wpg:cNvGrpSpPr/>
                            <wpg:grpSpPr>
                              <a:xfrm>
                                <a:off x="0" y="0"/>
                                <a:ext cx="2266950" cy="3105150"/>
                                <a:chOff x="31457" y="0"/>
                                <a:chExt cx="2796423" cy="3549650"/>
                              </a:xfrm>
                            </wpg:grpSpPr>
                            <pic:pic xmlns:pic="http://schemas.openxmlformats.org/drawingml/2006/picture">
                              <pic:nvPicPr>
                                <pic:cNvPr id="174" name="그림 174"/>
                                <pic:cNvPicPr>
                                  <a:picLocks noChangeAspect="1"/>
                                </pic:cNvPicPr>
                              </pic:nvPicPr>
                              <pic:blipFill>
                                <a:blip r:embed="rId132" cstate="print">
                                  <a:extLst>
                                    <a:ext uri="{28A0092B-C50C-407E-A947-70E740481C1C}">
                                      <a14:useLocalDpi xmlns:a14="http://schemas.microsoft.com/office/drawing/2010/main" val="0"/>
                                    </a:ext>
                                  </a:extLst>
                                </a:blip>
                                <a:srcRect/>
                                <a:stretch/>
                              </pic:blipFill>
                              <pic:spPr bwMode="auto">
                                <a:xfrm>
                                  <a:off x="31457" y="0"/>
                                  <a:ext cx="2764740" cy="3403600"/>
                                </a:xfrm>
                                <a:prstGeom prst="rect">
                                  <a:avLst/>
                                </a:prstGeom>
                                <a:noFill/>
                                <a:ln>
                                  <a:noFill/>
                                </a:ln>
                              </pic:spPr>
                            </pic:pic>
                            <wps:wsp>
                              <wps:cNvPr id="175" name="Text Box 175"/>
                              <wps:cNvSpPr txBox="1"/>
                              <wps:spPr>
                                <a:xfrm>
                                  <a:off x="2108200" y="3403600"/>
                                  <a:ext cx="719680" cy="146050"/>
                                </a:xfrm>
                                <a:prstGeom prst="rect">
                                  <a:avLst/>
                                </a:prstGeom>
                                <a:solidFill>
                                  <a:prstClr val="white"/>
                                </a:solidFill>
                                <a:ln>
                                  <a:noFill/>
                                </a:ln>
                              </wps:spPr>
                              <wps:txbx>
                                <w:txbxContent>
                                  <w:p w14:paraId="7C842EA7"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573269" id="그룹 170" o:spid="_x0000_s1257" style="position:absolute;margin-left:2.85pt;margin-top:8.2pt;width:178.5pt;height:244.5pt;z-index:251658312;mso-width-relative:margin;mso-height-relative:margin" coordorigin="314" coordsize="27964,35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">
                      <v:shape id="그림 174" o:spid="_x0000_s1258" type="#_x0000_t75" style="position:absolute;left:314;width:27647;height:3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">
                        <v:imagedata r:id="rId133" o:title=""/>
                      </v:shape>
                      <v:shape id="Text Box 175" o:spid="_x0000_s1259" type="#_x0000_t202" style="position:absolute;left:21082;top:34036;width:7196;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" stroked="f">
                        <v:textbox inset="0,0,0,0">
                          <w:txbxContent>
                            <w:p w14:paraId="7C842EA7"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sl-SI"/>
                                </w:rPr>
                                <w:t>Slika L</w:t>
                              </w:r>
                            </w:p>
                          </w:txbxContent>
                        </v:textbox>
                      </v:shape>
                      <w10:wrap type="square"/>
                    </v:group>
                  </w:pict>
                </mc:Fallback>
              </mc:AlternateContent>
            </w:r>
          </w:p>
          <w:p w14:paraId="1828E28C" w14:textId="77777777" w:rsidR="00840AAB" w:rsidRPr="008E1817" w:rsidRDefault="00840AAB" w:rsidP="00646E14">
            <w:pPr>
              <w:pStyle w:val="a3"/>
              <w:rPr>
                <w:highlight w:val="lightGray"/>
                <w:lang w:val="sl-SI"/>
              </w:rPr>
            </w:pPr>
          </w:p>
          <w:p w14:paraId="7387CFD3" w14:textId="77777777" w:rsidR="00840AAB" w:rsidRPr="008E1817" w:rsidRDefault="00840AAB" w:rsidP="0030421B">
            <w:pPr>
              <w:pStyle w:val="a3"/>
              <w:numPr>
                <w:ilvl w:val="0"/>
                <w:numId w:val="129"/>
              </w:numPr>
              <w:rPr>
                <w:b/>
                <w:highlight w:val="lightGray"/>
                <w:lang w:val="sl-SI"/>
              </w:rPr>
            </w:pPr>
            <w:r w:rsidRPr="008E1817">
              <w:rPr>
                <w:rFonts w:eastAsia="Times New Roman"/>
                <w:b/>
                <w:bCs/>
                <w:highlight w:val="lightGray"/>
                <w:lang w:val="sl-SI"/>
              </w:rPr>
              <w:t xml:space="preserve"> Napolnjeno injekcijsko brizgo</w:t>
            </w:r>
            <w:r>
              <w:rPr>
                <w:rFonts w:eastAsia="Times New Roman"/>
                <w:b/>
                <w:bCs/>
                <w:highlight w:val="lightGray"/>
                <w:lang w:val="sl-SI"/>
              </w:rPr>
              <w:t xml:space="preserve"> </w:t>
            </w:r>
            <w:r w:rsidRPr="008E1817">
              <w:rPr>
                <w:rFonts w:eastAsia="Times New Roman"/>
                <w:b/>
                <w:bCs/>
                <w:highlight w:val="lightGray"/>
                <w:lang w:val="sl-SI"/>
              </w:rPr>
              <w:t>zavrzite.</w:t>
            </w:r>
          </w:p>
          <w:p w14:paraId="3C3CCFFB" w14:textId="77777777" w:rsidR="00840AAB" w:rsidRPr="008E1817" w:rsidRDefault="00840AAB" w:rsidP="00646E14">
            <w:pPr>
              <w:pStyle w:val="a3"/>
              <w:rPr>
                <w:highlight w:val="lightGray"/>
                <w:lang w:val="sl-SI"/>
              </w:rPr>
            </w:pPr>
          </w:p>
          <w:p w14:paraId="0403B39E" w14:textId="762DA19D" w:rsidR="00840AAB" w:rsidRPr="008E1817" w:rsidRDefault="00840AAB" w:rsidP="003B280A">
            <w:pPr>
              <w:pStyle w:val="a3"/>
              <w:ind w:left="3991" w:hanging="1168"/>
              <w:rPr>
                <w:highlight w:val="lightGray"/>
                <w:lang w:val="sl-SI"/>
              </w:rPr>
            </w:pPr>
            <w:r w:rsidRPr="008E1817">
              <w:rPr>
                <w:rFonts w:eastAsia="Times New Roman"/>
                <w:b/>
                <w:bCs/>
                <w:highlight w:val="lightGray"/>
                <w:lang w:val="sl-SI"/>
              </w:rPr>
              <w:t>a.</w:t>
            </w:r>
            <w:r w:rsidRPr="008E1817">
              <w:rPr>
                <w:rFonts w:eastAsia="Times New Roman"/>
                <w:highlight w:val="lightGray"/>
                <w:lang w:val="sl-SI"/>
              </w:rPr>
              <w:t xml:space="preserve"> Uporabljeno napolnjeno injekcijsko brizgo zavrzite v posebni vsebnik za ostre predmete, kot vam </w:t>
            </w:r>
            <w:r w:rsidR="00CD58CA">
              <w:rPr>
                <w:rFonts w:eastAsia="Times New Roman"/>
                <w:highlight w:val="lightGray"/>
                <w:lang w:val="sl-SI"/>
              </w:rPr>
              <w:t xml:space="preserve">je </w:t>
            </w:r>
            <w:r w:rsidRPr="008E1817">
              <w:rPr>
                <w:rFonts w:eastAsia="Times New Roman"/>
                <w:highlight w:val="lightGray"/>
                <w:lang w:val="sl-SI"/>
              </w:rPr>
              <w:t xml:space="preserve">naročili zdravnik, medicinska sestra ali farmacevt. </w:t>
            </w:r>
          </w:p>
          <w:p w14:paraId="1D0E694D" w14:textId="77777777" w:rsidR="00840AAB" w:rsidRPr="008E1817" w:rsidRDefault="00840AAB" w:rsidP="003B280A">
            <w:pPr>
              <w:pStyle w:val="a3"/>
              <w:ind w:left="3991" w:hanging="1168"/>
              <w:rPr>
                <w:highlight w:val="lightGray"/>
                <w:lang w:val="sl-SI"/>
              </w:rPr>
            </w:pPr>
          </w:p>
          <w:p w14:paraId="4CEA6B97" w14:textId="4F9E0E21" w:rsidR="00840AAB" w:rsidRPr="008E1817" w:rsidRDefault="00840AAB" w:rsidP="003B280A">
            <w:pPr>
              <w:pStyle w:val="a3"/>
              <w:ind w:left="3991" w:hanging="1168"/>
              <w:rPr>
                <w:b/>
                <w:highlight w:val="lightGray"/>
                <w:lang w:val="sl-SI"/>
              </w:rPr>
            </w:pPr>
            <w:r w:rsidRPr="008E1817">
              <w:rPr>
                <w:rFonts w:eastAsia="Times New Roman"/>
                <w:b/>
                <w:bCs/>
                <w:highlight w:val="lightGray"/>
                <w:lang w:val="sl-SI"/>
              </w:rPr>
              <w:t xml:space="preserve">b. </w:t>
            </w:r>
            <w:r w:rsidRPr="008E1817">
              <w:rPr>
                <w:rFonts w:eastAsia="Times New Roman"/>
                <w:highlight w:val="lightGray"/>
                <w:lang w:val="sl-SI"/>
              </w:rPr>
              <w:t>Alkoholni zloženec in ovojnino lahko odstranite v gospodinjske odpadke.</w:t>
            </w:r>
          </w:p>
          <w:p w14:paraId="582E57AC" w14:textId="77777777" w:rsidR="00840AAB" w:rsidRPr="008E1817" w:rsidRDefault="00840AAB" w:rsidP="003B280A">
            <w:pPr>
              <w:pStyle w:val="a3"/>
              <w:ind w:left="3991" w:hanging="1168"/>
              <w:rPr>
                <w:b/>
                <w:highlight w:val="lightGray"/>
                <w:lang w:val="sl-SI"/>
              </w:rPr>
            </w:pPr>
          </w:p>
          <w:p w14:paraId="04E636D5" w14:textId="77777777" w:rsidR="00840AAB" w:rsidRPr="008E1817" w:rsidRDefault="00840AAB" w:rsidP="003B280A">
            <w:pPr>
              <w:pStyle w:val="a3"/>
              <w:numPr>
                <w:ilvl w:val="0"/>
                <w:numId w:val="18"/>
              </w:numPr>
              <w:ind w:left="3991" w:hanging="1168"/>
              <w:rPr>
                <w:highlight w:val="lightGray"/>
                <w:lang w:val="sl-SI"/>
              </w:rPr>
            </w:pPr>
            <w:r w:rsidRPr="008E1817">
              <w:rPr>
                <w:rFonts w:eastAsia="Times New Roman"/>
                <w:highlight w:val="lightGray"/>
                <w:lang w:val="sl-SI"/>
              </w:rPr>
              <w:t>Napolnjeno injekcijsko brizgo in posebni vsebnik za ostre predmete vedno shranjujte nedosegljivo otrokom.</w:t>
            </w:r>
          </w:p>
          <w:p w14:paraId="0ED23896" w14:textId="77777777" w:rsidR="00840AAB" w:rsidRPr="008E1817" w:rsidRDefault="00840AAB" w:rsidP="00646E14">
            <w:pPr>
              <w:pStyle w:val="a3"/>
              <w:rPr>
                <w:highlight w:val="lightGray"/>
                <w:lang w:val="sl-SI"/>
              </w:rPr>
            </w:pPr>
          </w:p>
          <w:p w14:paraId="31D1969A" w14:textId="77777777" w:rsidR="00840AAB" w:rsidRPr="008E1817" w:rsidRDefault="00840AAB" w:rsidP="00646E14">
            <w:pPr>
              <w:pStyle w:val="a3"/>
              <w:rPr>
                <w:b/>
                <w:bCs/>
                <w:spacing w:val="-1"/>
                <w:highlight w:val="lightGray"/>
                <w:lang w:val="sl-SI" w:eastAsia="ko-KR"/>
              </w:rPr>
            </w:pPr>
          </w:p>
        </w:tc>
      </w:tr>
    </w:tbl>
    <w:p w14:paraId="1056A853" w14:textId="77777777" w:rsidR="00840AAB" w:rsidRDefault="00840AAB" w:rsidP="00840AAB">
      <w:pPr>
        <w:spacing w:line="241" w:lineRule="auto"/>
        <w:rPr>
          <w:lang w:val="sl-SI" w:eastAsia="ko-KR"/>
        </w:rPr>
      </w:pPr>
    </w:p>
    <w:p w14:paraId="67842675" w14:textId="77777777" w:rsidR="00840AAB" w:rsidRDefault="00840AAB" w:rsidP="00840AAB">
      <w:pPr>
        <w:rPr>
          <w:lang w:val="sl-SI" w:eastAsia="ko-KR"/>
        </w:rPr>
      </w:pPr>
      <w:r>
        <w:rPr>
          <w:lang w:val="sl-SI" w:eastAsia="ko-KR"/>
        </w:rPr>
        <w:br w:type="page"/>
      </w:r>
    </w:p>
    <w:p w14:paraId="53C43A15" w14:textId="77777777" w:rsidR="00840AAB" w:rsidRDefault="00840AAB" w:rsidP="00840AAB">
      <w:pPr>
        <w:ind w:left="2350" w:right="2268"/>
        <w:jc w:val="center"/>
        <w:rPr>
          <w:rFonts w:ascii="Times New Roman" w:eastAsia="Times New Roman" w:hAnsi="Times New Roman" w:cs="Times New Roman"/>
          <w:b/>
          <w:bCs/>
          <w:lang w:val="sl-SI"/>
        </w:rPr>
      </w:pPr>
      <w:r>
        <w:rPr>
          <w:rFonts w:ascii="Times New Roman" w:eastAsia="Times New Roman" w:hAnsi="Times New Roman" w:cs="Times New Roman"/>
          <w:b/>
          <w:bCs/>
          <w:lang w:val="sl-SI"/>
        </w:rPr>
        <w:lastRenderedPageBreak/>
        <w:t>Navodilo za uporabo</w:t>
      </w:r>
    </w:p>
    <w:p w14:paraId="29F520D4" w14:textId="77777777" w:rsidR="00840AAB" w:rsidRDefault="00840AAB" w:rsidP="00840AAB">
      <w:pPr>
        <w:spacing w:before="13" w:line="240" w:lineRule="exact"/>
        <w:rPr>
          <w:sz w:val="24"/>
          <w:szCs w:val="24"/>
          <w:lang w:val="sl-SI"/>
        </w:rPr>
      </w:pPr>
    </w:p>
    <w:p w14:paraId="3BF93FC1" w14:textId="73DEC290" w:rsidR="00840AAB" w:rsidRDefault="00840AAB" w:rsidP="00840AAB">
      <w:pPr>
        <w:ind w:left="2350" w:right="2268"/>
        <w:jc w:val="center"/>
        <w:rPr>
          <w:rFonts w:ascii="Times New Roman" w:eastAsia="Times New Roman" w:hAnsi="Times New Roman" w:cs="Times New Roman"/>
          <w:lang w:val="sl-SI"/>
        </w:rPr>
      </w:pPr>
      <w:r>
        <w:rPr>
          <w:rFonts w:ascii="Times New Roman" w:eastAsia="Times New Roman" w:hAnsi="Times New Roman" w:cs="Times New Roman"/>
          <w:b/>
          <w:bCs/>
          <w:lang w:val="sl-SI"/>
        </w:rPr>
        <w:t xml:space="preserve">Yuflyma </w:t>
      </w:r>
      <w:r w:rsidR="00717A85">
        <w:rPr>
          <w:rFonts w:ascii="Times New Roman" w:eastAsia="Times New Roman" w:hAnsi="Times New Roman" w:cs="Times New Roman"/>
          <w:b/>
          <w:bCs/>
          <w:lang w:val="sl-SI"/>
        </w:rPr>
        <w:t>8</w:t>
      </w:r>
      <w:r>
        <w:rPr>
          <w:rFonts w:ascii="Times New Roman" w:eastAsia="Times New Roman" w:hAnsi="Times New Roman" w:cs="Times New Roman"/>
          <w:b/>
          <w:bCs/>
          <w:lang w:val="sl-SI"/>
        </w:rPr>
        <w:t>0 mg raztopina za injiciranje v napolnjenem injekcijskem peresniku</w:t>
      </w:r>
    </w:p>
    <w:p w14:paraId="640FA7AD" w14:textId="77777777" w:rsidR="00840AAB" w:rsidRDefault="00840AAB" w:rsidP="00840AAB">
      <w:pPr>
        <w:pStyle w:val="a3"/>
        <w:jc w:val="center"/>
        <w:rPr>
          <w:lang w:val="sl-SI"/>
        </w:rPr>
      </w:pPr>
      <w:r>
        <w:rPr>
          <w:rFonts w:eastAsia="Times New Roman"/>
          <w:lang w:val="sl-SI"/>
        </w:rPr>
        <w:t>adalimumab</w:t>
      </w:r>
    </w:p>
    <w:p w14:paraId="47A08C83" w14:textId="77777777" w:rsidR="00840AAB" w:rsidRDefault="00840AAB" w:rsidP="00840AAB">
      <w:pPr>
        <w:spacing w:before="18" w:line="240" w:lineRule="exact"/>
        <w:rPr>
          <w:sz w:val="24"/>
          <w:szCs w:val="24"/>
          <w:lang w:val="sl-SI"/>
        </w:rPr>
      </w:pPr>
    </w:p>
    <w:p w14:paraId="753B504F" w14:textId="77777777" w:rsidR="00840AAB" w:rsidRDefault="00840AAB" w:rsidP="00840AAB">
      <w:pPr>
        <w:spacing w:before="18" w:line="240" w:lineRule="exact"/>
        <w:ind w:left="108"/>
        <w:rPr>
          <w:sz w:val="24"/>
          <w:szCs w:val="24"/>
          <w:lang w:val="sl-SI"/>
        </w:rPr>
      </w:pPr>
      <w:r>
        <w:rPr>
          <w:rFonts w:ascii="Times New Roman" w:hAnsi="Times New Roman" w:cs="Times New Roman"/>
          <w:noProof/>
          <w:lang w:eastAsia="ko-KR"/>
        </w:rPr>
        <w:drawing>
          <wp:inline distT="0" distB="0" distL="0" distR="0" wp14:anchorId="0C6F4B1B" wp14:editId="24A0F1B3">
            <wp:extent cx="203200" cy="169545"/>
            <wp:effectExtent l="0" t="0" r="6350" b="1905"/>
            <wp:docPr id="3888" name="그림 3888"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98365"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sl-SI"/>
        </w:rPr>
        <w:t>Za to zdravilo se izvaja dodatno spremljanje varnosti. Tako bodo hitreje na voljo nove informacije o njegovi varnosti. Tudi sami lahko k temu prispevate tako, da poročate o katerem koli neželenem učinku zdravila, ki bi se utegnil pojaviti pri vas. Glejte na koncu poglavja 4, kako poročati o neželenih učinkih.</w:t>
      </w:r>
    </w:p>
    <w:p w14:paraId="7F84D4EA" w14:textId="77777777" w:rsidR="00840AAB" w:rsidRDefault="00840AAB" w:rsidP="00840AAB">
      <w:pPr>
        <w:spacing w:before="18" w:line="240" w:lineRule="exact"/>
        <w:rPr>
          <w:sz w:val="24"/>
          <w:szCs w:val="24"/>
          <w:lang w:val="sl-SI"/>
        </w:rPr>
      </w:pPr>
    </w:p>
    <w:p w14:paraId="25E91CB4" w14:textId="4092FAEC" w:rsidR="00840AAB" w:rsidRDefault="00840AAB" w:rsidP="00840AAB">
      <w:pPr>
        <w:spacing w:before="18" w:line="240" w:lineRule="exact"/>
        <w:ind w:left="108"/>
        <w:rPr>
          <w:rFonts w:ascii="Times New Roman" w:hAnsi="Times New Roman" w:cs="Times New Roman"/>
          <w:b/>
          <w:lang w:val="sl-SI"/>
        </w:rPr>
      </w:pPr>
      <w:r>
        <w:rPr>
          <w:rFonts w:ascii="Times New Roman" w:eastAsia="Times New Roman" w:hAnsi="Times New Roman" w:cs="Times New Roman"/>
          <w:b/>
          <w:bCs/>
          <w:lang w:val="sl-SI"/>
        </w:rPr>
        <w:t>Pred začetkom uporabe zdravila natančno preberite navodilo, ker vsebuje za vas pomembne podatke</w:t>
      </w:r>
      <w:r w:rsidR="00840868">
        <w:rPr>
          <w:rFonts w:ascii="Times New Roman" w:eastAsia="Times New Roman" w:hAnsi="Times New Roman" w:cs="Times New Roman"/>
          <w:b/>
          <w:bCs/>
          <w:lang w:val="sl-SI"/>
        </w:rPr>
        <w:t>!</w:t>
      </w:r>
    </w:p>
    <w:p w14:paraId="7AFEFD6E" w14:textId="77777777" w:rsidR="00840AAB" w:rsidRDefault="00840AAB" w:rsidP="00840AAB">
      <w:pPr>
        <w:pStyle w:val="a3"/>
        <w:numPr>
          <w:ilvl w:val="0"/>
          <w:numId w:val="5"/>
        </w:numPr>
        <w:ind w:left="660" w:hanging="660"/>
        <w:rPr>
          <w:lang w:val="sl-SI"/>
        </w:rPr>
      </w:pPr>
      <w:r>
        <w:rPr>
          <w:rFonts w:eastAsia="Times New Roman"/>
          <w:lang w:val="sl-SI"/>
        </w:rPr>
        <w:t>Navodilo shranite. Morda ga boste želeli ponovno prebrati.</w:t>
      </w:r>
    </w:p>
    <w:p w14:paraId="234D4F36" w14:textId="77777777" w:rsidR="00840AAB" w:rsidRDefault="00840AAB" w:rsidP="00840AAB">
      <w:pPr>
        <w:pStyle w:val="a3"/>
        <w:numPr>
          <w:ilvl w:val="0"/>
          <w:numId w:val="5"/>
        </w:numPr>
        <w:ind w:left="660" w:hanging="660"/>
        <w:rPr>
          <w:lang w:val="sl-SI"/>
        </w:rPr>
      </w:pPr>
      <w:r>
        <w:rPr>
          <w:rFonts w:eastAsia="Times New Roman"/>
          <w:lang w:val="sl-SI"/>
        </w:rPr>
        <w:t xml:space="preserve">Prejeli boste </w:t>
      </w:r>
      <w:r>
        <w:rPr>
          <w:rFonts w:eastAsia="Times New Roman"/>
          <w:b/>
          <w:bCs/>
          <w:lang w:val="sl-SI"/>
        </w:rPr>
        <w:t>opozorilno kartico za bolnika</w:t>
      </w:r>
      <w:r>
        <w:rPr>
          <w:rFonts w:eastAsia="Times New Roman"/>
          <w:lang w:val="sl-SI"/>
        </w:rPr>
        <w:t xml:space="preserve">, ki vsebuje pomembne informacije o varnosti, ki jih morate poznati pred in med zdravljenjem z zdravilom Yuflyma. </w:t>
      </w:r>
      <w:r>
        <w:rPr>
          <w:rFonts w:eastAsia="Times New Roman"/>
          <w:b/>
          <w:bCs/>
          <w:lang w:val="sl-SI"/>
        </w:rPr>
        <w:t>Opozorilno kartico za bolnika</w:t>
      </w:r>
      <w:r>
        <w:rPr>
          <w:rFonts w:eastAsia="Times New Roman"/>
          <w:lang w:val="sl-SI"/>
        </w:rPr>
        <w:t xml:space="preserve"> imejte pri sebi med zdravljenjem in še 4 mesece po zadnji injekciji zdravila Yuflyma.</w:t>
      </w:r>
    </w:p>
    <w:p w14:paraId="67E493F8" w14:textId="77777777" w:rsidR="00840AAB" w:rsidRDefault="00840AAB" w:rsidP="00840AAB">
      <w:pPr>
        <w:pStyle w:val="a3"/>
        <w:numPr>
          <w:ilvl w:val="0"/>
          <w:numId w:val="5"/>
        </w:numPr>
        <w:ind w:left="660" w:hanging="660"/>
        <w:rPr>
          <w:lang w:val="sl-SI"/>
        </w:rPr>
      </w:pPr>
      <w:r>
        <w:rPr>
          <w:rFonts w:eastAsia="Times New Roman"/>
          <w:lang w:val="sl-SI"/>
        </w:rPr>
        <w:t>Če imate dodatna vprašanja, se posvetujte z zdravnikom ali farmacevtom.</w:t>
      </w:r>
    </w:p>
    <w:p w14:paraId="470D8AA1" w14:textId="77777777" w:rsidR="00840AAB" w:rsidRDefault="00840AAB" w:rsidP="00840AAB">
      <w:pPr>
        <w:pStyle w:val="a3"/>
        <w:numPr>
          <w:ilvl w:val="0"/>
          <w:numId w:val="5"/>
        </w:numPr>
        <w:ind w:left="660" w:hanging="660"/>
        <w:rPr>
          <w:lang w:val="sl-SI"/>
        </w:rPr>
      </w:pPr>
      <w:r>
        <w:rPr>
          <w:rFonts w:eastAsia="Times New Roman"/>
          <w:lang w:val="sl-SI"/>
        </w:rPr>
        <w:t>Zdravilo je bilo predpisano vam osebno in ga ne smete dajati drugim. Njim bi lahko celo škodovalo, čeprav imajo znake bolezni, podobne vašim.</w:t>
      </w:r>
    </w:p>
    <w:p w14:paraId="6D8C0DCA" w14:textId="17D424C3" w:rsidR="00840AAB" w:rsidRDefault="00840AAB" w:rsidP="00840AAB">
      <w:pPr>
        <w:pStyle w:val="a3"/>
        <w:numPr>
          <w:ilvl w:val="0"/>
          <w:numId w:val="5"/>
        </w:numPr>
        <w:ind w:left="660" w:hanging="660"/>
        <w:rPr>
          <w:lang w:val="sl-SI"/>
        </w:rPr>
      </w:pPr>
      <w:r>
        <w:rPr>
          <w:rFonts w:eastAsia="Times New Roman"/>
          <w:lang w:val="sl-SI"/>
        </w:rPr>
        <w:t>Če opazite kater</w:t>
      </w:r>
      <w:r w:rsidR="00840868">
        <w:rPr>
          <w:rFonts w:eastAsia="Times New Roman"/>
          <w:lang w:val="sl-SI"/>
        </w:rPr>
        <w:t>i</w:t>
      </w:r>
      <w:r>
        <w:rPr>
          <w:rFonts w:eastAsia="Times New Roman"/>
          <w:lang w:val="sl-SI"/>
        </w:rPr>
        <w:t> koli neželen</w:t>
      </w:r>
      <w:r w:rsidR="00840868">
        <w:rPr>
          <w:rFonts w:eastAsia="Times New Roman"/>
          <w:lang w:val="sl-SI"/>
        </w:rPr>
        <w:t>i</w:t>
      </w:r>
      <w:r>
        <w:rPr>
          <w:rFonts w:eastAsia="Times New Roman"/>
          <w:lang w:val="sl-SI"/>
        </w:rPr>
        <w:t xml:space="preserve"> učin</w:t>
      </w:r>
      <w:r w:rsidR="00840868">
        <w:rPr>
          <w:rFonts w:eastAsia="Times New Roman"/>
          <w:lang w:val="sl-SI"/>
        </w:rPr>
        <w:t>e</w:t>
      </w:r>
      <w:r>
        <w:rPr>
          <w:rFonts w:eastAsia="Times New Roman"/>
          <w:lang w:val="sl-SI"/>
        </w:rPr>
        <w:t>k, se posvetujte z zdravnikom ali farmacevtom. Posvetujte se tudi, če opazite katere koli neželene učinke, ki niso navedeni v tem navodilu. Glejte poglavje 4.</w:t>
      </w:r>
    </w:p>
    <w:p w14:paraId="30F9ED47" w14:textId="77777777" w:rsidR="00840AAB" w:rsidRDefault="00840AAB" w:rsidP="00840AAB">
      <w:pPr>
        <w:pStyle w:val="a3"/>
        <w:rPr>
          <w:lang w:val="sl-SI"/>
        </w:rPr>
      </w:pPr>
    </w:p>
    <w:p w14:paraId="7F109009" w14:textId="77777777" w:rsidR="00840AAB" w:rsidRDefault="00840AAB" w:rsidP="00840AAB">
      <w:pPr>
        <w:pStyle w:val="a3"/>
        <w:rPr>
          <w:b/>
          <w:lang w:val="sl-SI"/>
        </w:rPr>
      </w:pPr>
      <w:r>
        <w:rPr>
          <w:rFonts w:eastAsia="Times New Roman"/>
          <w:b/>
          <w:bCs/>
          <w:lang w:val="sl-SI"/>
        </w:rPr>
        <w:t>Kaj vsebuje navodilo</w:t>
      </w:r>
    </w:p>
    <w:p w14:paraId="3972A1E8" w14:textId="77777777" w:rsidR="00840AAB" w:rsidRDefault="00840AAB" w:rsidP="0030421B">
      <w:pPr>
        <w:pStyle w:val="a3"/>
        <w:numPr>
          <w:ilvl w:val="0"/>
          <w:numId w:val="132"/>
        </w:numPr>
        <w:ind w:hanging="760"/>
        <w:rPr>
          <w:lang w:val="sl-SI"/>
        </w:rPr>
      </w:pPr>
      <w:r>
        <w:rPr>
          <w:rFonts w:eastAsia="Times New Roman"/>
          <w:lang w:val="sl-SI"/>
        </w:rPr>
        <w:t>Kaj je zdravilo Yuflyma in za kaj ga uporabljamo</w:t>
      </w:r>
    </w:p>
    <w:p w14:paraId="7DBA05D6" w14:textId="77777777" w:rsidR="00840AAB" w:rsidRDefault="00840AAB" w:rsidP="0030421B">
      <w:pPr>
        <w:pStyle w:val="a3"/>
        <w:numPr>
          <w:ilvl w:val="0"/>
          <w:numId w:val="132"/>
        </w:numPr>
        <w:ind w:hanging="760"/>
        <w:rPr>
          <w:lang w:val="sl-SI"/>
        </w:rPr>
      </w:pPr>
      <w:r>
        <w:rPr>
          <w:rFonts w:eastAsia="Times New Roman"/>
          <w:lang w:val="sl-SI"/>
        </w:rPr>
        <w:t>Kaj morate vedeti, preden boste uporabili zdravilo Yuflyma</w:t>
      </w:r>
    </w:p>
    <w:p w14:paraId="647EEAA9" w14:textId="77777777" w:rsidR="00840AAB" w:rsidRDefault="00840AAB" w:rsidP="0030421B">
      <w:pPr>
        <w:pStyle w:val="a3"/>
        <w:numPr>
          <w:ilvl w:val="0"/>
          <w:numId w:val="132"/>
        </w:numPr>
        <w:ind w:hanging="760"/>
        <w:rPr>
          <w:lang w:val="sl-SI"/>
        </w:rPr>
      </w:pPr>
      <w:r>
        <w:rPr>
          <w:rFonts w:eastAsia="Times New Roman"/>
          <w:lang w:val="sl-SI"/>
        </w:rPr>
        <w:t>Kako uporabljati zdravilo Yuflyma</w:t>
      </w:r>
    </w:p>
    <w:p w14:paraId="73FD426A" w14:textId="77777777" w:rsidR="00840AAB" w:rsidRDefault="00840AAB" w:rsidP="0030421B">
      <w:pPr>
        <w:pStyle w:val="a3"/>
        <w:numPr>
          <w:ilvl w:val="0"/>
          <w:numId w:val="132"/>
        </w:numPr>
        <w:ind w:hanging="760"/>
        <w:rPr>
          <w:lang w:val="sl-SI"/>
        </w:rPr>
      </w:pPr>
      <w:r>
        <w:rPr>
          <w:rFonts w:eastAsia="Times New Roman"/>
          <w:lang w:val="sl-SI"/>
        </w:rPr>
        <w:t>Možni neželeni učinki</w:t>
      </w:r>
    </w:p>
    <w:p w14:paraId="55E9C15C" w14:textId="77777777" w:rsidR="00840AAB" w:rsidRDefault="00840AAB" w:rsidP="0030421B">
      <w:pPr>
        <w:pStyle w:val="a3"/>
        <w:numPr>
          <w:ilvl w:val="0"/>
          <w:numId w:val="132"/>
        </w:numPr>
        <w:ind w:hanging="760"/>
        <w:rPr>
          <w:lang w:val="sl-SI"/>
        </w:rPr>
      </w:pPr>
      <w:r>
        <w:rPr>
          <w:rFonts w:eastAsia="Times New Roman"/>
          <w:lang w:val="sl-SI"/>
        </w:rPr>
        <w:t>Shranjevanje zdravila Yuflyma</w:t>
      </w:r>
    </w:p>
    <w:p w14:paraId="03ABD326" w14:textId="77777777" w:rsidR="00840AAB" w:rsidRDefault="00840AAB" w:rsidP="0030421B">
      <w:pPr>
        <w:pStyle w:val="a3"/>
        <w:numPr>
          <w:ilvl w:val="0"/>
          <w:numId w:val="132"/>
        </w:numPr>
        <w:ind w:hanging="760"/>
        <w:rPr>
          <w:lang w:val="sl-SI"/>
        </w:rPr>
      </w:pPr>
      <w:r>
        <w:rPr>
          <w:rFonts w:eastAsia="Times New Roman"/>
          <w:lang w:val="sl-SI"/>
        </w:rPr>
        <w:t>Vsebina pakiranja in dodatne informacije</w:t>
      </w:r>
    </w:p>
    <w:p w14:paraId="71CFFB6B" w14:textId="77777777" w:rsidR="00840AAB" w:rsidRDefault="00840AAB" w:rsidP="0030421B">
      <w:pPr>
        <w:pStyle w:val="a3"/>
        <w:numPr>
          <w:ilvl w:val="0"/>
          <w:numId w:val="132"/>
        </w:numPr>
        <w:ind w:hanging="760"/>
        <w:rPr>
          <w:lang w:val="sl-SI"/>
        </w:rPr>
      </w:pPr>
      <w:r>
        <w:rPr>
          <w:rFonts w:eastAsia="Times New Roman"/>
          <w:lang w:val="sl-SI"/>
        </w:rPr>
        <w:t>Navodila za uporabo</w:t>
      </w:r>
    </w:p>
    <w:p w14:paraId="52ED34ED" w14:textId="77777777" w:rsidR="00840AAB" w:rsidRDefault="00840AAB" w:rsidP="00840AAB">
      <w:pPr>
        <w:spacing w:line="200" w:lineRule="exact"/>
        <w:rPr>
          <w:sz w:val="20"/>
          <w:szCs w:val="20"/>
          <w:lang w:val="sl-SI"/>
        </w:rPr>
      </w:pPr>
    </w:p>
    <w:p w14:paraId="71144814" w14:textId="77777777" w:rsidR="00840AAB" w:rsidRDefault="00840AAB" w:rsidP="00840AAB">
      <w:pPr>
        <w:spacing w:line="200" w:lineRule="exact"/>
        <w:rPr>
          <w:sz w:val="20"/>
          <w:szCs w:val="20"/>
          <w:lang w:val="sl-SI"/>
        </w:rPr>
      </w:pPr>
    </w:p>
    <w:p w14:paraId="321E1B41" w14:textId="77777777" w:rsidR="00840AAB" w:rsidRDefault="00840AAB" w:rsidP="0030421B">
      <w:pPr>
        <w:pStyle w:val="a4"/>
        <w:numPr>
          <w:ilvl w:val="0"/>
          <w:numId w:val="133"/>
        </w:numPr>
        <w:spacing w:line="240" w:lineRule="exact"/>
        <w:rPr>
          <w:rFonts w:ascii="Times New Roman" w:hAnsi="Times New Roman" w:cs="Times New Roman"/>
          <w:b/>
          <w:lang w:val="sl-SI"/>
        </w:rPr>
      </w:pPr>
      <w:r>
        <w:rPr>
          <w:rFonts w:ascii="Times New Roman" w:eastAsia="Times New Roman" w:hAnsi="Times New Roman" w:cs="Times New Roman"/>
          <w:b/>
          <w:bCs/>
          <w:lang w:val="sl-SI"/>
        </w:rPr>
        <w:t>Kaj je zdravilo Yuflyma in za kaj ga uporabljamo</w:t>
      </w:r>
    </w:p>
    <w:p w14:paraId="48086D58" w14:textId="77777777" w:rsidR="00840AAB" w:rsidRDefault="00840AAB" w:rsidP="00840AAB">
      <w:pPr>
        <w:spacing w:line="240" w:lineRule="exact"/>
        <w:rPr>
          <w:rFonts w:ascii="Times New Roman" w:hAnsi="Times New Roman" w:cs="Times New Roman"/>
          <w:b/>
          <w:lang w:val="sl-SI"/>
        </w:rPr>
      </w:pPr>
    </w:p>
    <w:p w14:paraId="0657B5EB" w14:textId="43086F76" w:rsidR="00840AAB" w:rsidRDefault="00754E39" w:rsidP="00840AAB">
      <w:pPr>
        <w:pStyle w:val="a3"/>
        <w:rPr>
          <w:lang w:val="sl-SI"/>
        </w:rPr>
      </w:pPr>
      <w:r>
        <w:rPr>
          <w:rFonts w:eastAsia="Times New Roman"/>
          <w:lang w:val="sl-SI"/>
        </w:rPr>
        <w:t xml:space="preserve">Zdravilo </w:t>
      </w:r>
      <w:r w:rsidR="00840AAB">
        <w:rPr>
          <w:rFonts w:eastAsia="Times New Roman"/>
          <w:lang w:val="sl-SI"/>
        </w:rPr>
        <w:t>Yuflyma vsebuje učinkovino adalimumab, ki deluje na imunski sistem (zaščito) vašega telesa.</w:t>
      </w:r>
    </w:p>
    <w:p w14:paraId="6DEAAFE4" w14:textId="77777777" w:rsidR="00840AAB" w:rsidRDefault="00840AAB" w:rsidP="00840AAB">
      <w:pPr>
        <w:pStyle w:val="a3"/>
        <w:rPr>
          <w:lang w:val="sl-SI"/>
        </w:rPr>
      </w:pPr>
    </w:p>
    <w:p w14:paraId="5F6AAE85" w14:textId="77777777" w:rsidR="00840AAB" w:rsidRDefault="00840AAB" w:rsidP="00840AAB">
      <w:pPr>
        <w:pStyle w:val="a3"/>
        <w:rPr>
          <w:lang w:val="sl-SI"/>
        </w:rPr>
      </w:pPr>
      <w:r>
        <w:rPr>
          <w:rFonts w:eastAsia="Times New Roman"/>
          <w:lang w:val="sl-SI"/>
        </w:rPr>
        <w:t>Zdravilo Yuflyma je namenjeno zdravljenju naslednjih vnetnih bolezni:</w:t>
      </w:r>
    </w:p>
    <w:p w14:paraId="1AB6055A" w14:textId="77777777" w:rsidR="00840AAB" w:rsidRDefault="00840AAB" w:rsidP="00840AAB">
      <w:pPr>
        <w:pStyle w:val="a3"/>
        <w:numPr>
          <w:ilvl w:val="0"/>
          <w:numId w:val="5"/>
        </w:numPr>
        <w:ind w:left="660" w:hanging="660"/>
        <w:rPr>
          <w:lang w:val="sl-SI"/>
        </w:rPr>
      </w:pPr>
      <w:r>
        <w:rPr>
          <w:rFonts w:eastAsia="Times New Roman"/>
          <w:lang w:val="sl-SI"/>
        </w:rPr>
        <w:t>revmatoidni artritis</w:t>
      </w:r>
    </w:p>
    <w:p w14:paraId="38A968FB" w14:textId="77777777" w:rsidR="00840AAB" w:rsidRDefault="00840AAB" w:rsidP="00840AAB">
      <w:pPr>
        <w:pStyle w:val="a3"/>
        <w:numPr>
          <w:ilvl w:val="0"/>
          <w:numId w:val="5"/>
        </w:numPr>
        <w:ind w:left="660" w:hanging="660"/>
        <w:rPr>
          <w:lang w:val="sl-SI"/>
        </w:rPr>
      </w:pPr>
      <w:r>
        <w:rPr>
          <w:rFonts w:eastAsia="Times New Roman"/>
          <w:lang w:val="sl-SI"/>
        </w:rPr>
        <w:t>luskavica (psoriaza) v plakih,</w:t>
      </w:r>
    </w:p>
    <w:p w14:paraId="562D374E" w14:textId="77777777" w:rsidR="00840AAB" w:rsidRDefault="00840AAB" w:rsidP="00840AAB">
      <w:pPr>
        <w:pStyle w:val="a3"/>
        <w:numPr>
          <w:ilvl w:val="0"/>
          <w:numId w:val="5"/>
        </w:numPr>
        <w:ind w:left="660" w:hanging="660"/>
        <w:rPr>
          <w:lang w:val="sl-SI"/>
        </w:rPr>
      </w:pPr>
      <w:r>
        <w:rPr>
          <w:rFonts w:eastAsia="Times New Roman"/>
          <w:lang w:val="sl-SI"/>
        </w:rPr>
        <w:t>hidradenitis suppurativa</w:t>
      </w:r>
    </w:p>
    <w:p w14:paraId="1FAF882D" w14:textId="77777777" w:rsidR="00840AAB" w:rsidRDefault="00840AAB" w:rsidP="00840AAB">
      <w:pPr>
        <w:pStyle w:val="a3"/>
        <w:numPr>
          <w:ilvl w:val="0"/>
          <w:numId w:val="5"/>
        </w:numPr>
        <w:ind w:left="660" w:hanging="660"/>
        <w:rPr>
          <w:lang w:val="sl-SI"/>
        </w:rPr>
      </w:pPr>
      <w:r>
        <w:rPr>
          <w:rFonts w:eastAsia="Times New Roman"/>
          <w:lang w:val="sl-SI"/>
        </w:rPr>
        <w:t>Crohnova bolezen</w:t>
      </w:r>
    </w:p>
    <w:p w14:paraId="2C07DBD9" w14:textId="77777777" w:rsidR="00840AAB" w:rsidRDefault="00840AAB" w:rsidP="00840AAB">
      <w:pPr>
        <w:pStyle w:val="a3"/>
        <w:numPr>
          <w:ilvl w:val="0"/>
          <w:numId w:val="5"/>
        </w:numPr>
        <w:ind w:left="660" w:hanging="660"/>
        <w:rPr>
          <w:lang w:val="sl-SI"/>
        </w:rPr>
      </w:pPr>
      <w:r>
        <w:rPr>
          <w:rFonts w:eastAsia="Times New Roman"/>
          <w:lang w:val="sl-SI"/>
        </w:rPr>
        <w:t>ulcerozni kolitis</w:t>
      </w:r>
    </w:p>
    <w:p w14:paraId="4489E1D5" w14:textId="77777777" w:rsidR="00840AAB" w:rsidRDefault="00840AAB" w:rsidP="00840AAB">
      <w:pPr>
        <w:pStyle w:val="a3"/>
        <w:numPr>
          <w:ilvl w:val="0"/>
          <w:numId w:val="5"/>
        </w:numPr>
        <w:ind w:left="660" w:hanging="660"/>
        <w:rPr>
          <w:lang w:val="sl-SI"/>
        </w:rPr>
      </w:pPr>
      <w:r>
        <w:rPr>
          <w:rFonts w:eastAsia="Times New Roman"/>
          <w:lang w:val="sl-SI"/>
        </w:rPr>
        <w:t>neinfekcijski uveitis</w:t>
      </w:r>
    </w:p>
    <w:p w14:paraId="78A98596" w14:textId="77777777" w:rsidR="00840AAB" w:rsidRDefault="00840AAB" w:rsidP="00840AAB">
      <w:pPr>
        <w:spacing w:before="10" w:line="240" w:lineRule="exact"/>
        <w:rPr>
          <w:sz w:val="24"/>
          <w:szCs w:val="24"/>
          <w:lang w:val="sl-SI"/>
        </w:rPr>
      </w:pPr>
    </w:p>
    <w:p w14:paraId="1A76CA33" w14:textId="77777777" w:rsidR="00840AAB" w:rsidRDefault="00840AAB" w:rsidP="00840AAB">
      <w:pPr>
        <w:pStyle w:val="a3"/>
        <w:rPr>
          <w:lang w:val="sl-SI"/>
        </w:rPr>
      </w:pPr>
      <w:r>
        <w:rPr>
          <w:rFonts w:eastAsia="Times New Roman"/>
          <w:lang w:val="sl-SI"/>
        </w:rPr>
        <w:t>Učinkovina v zdravilu Yuflyma, adalimumab, je humano monoklonsko protitelo. Monoklonska protitelesa so beljakovine, ki se vežejo na specifične tarče.</w:t>
      </w:r>
    </w:p>
    <w:p w14:paraId="5A37BFFF" w14:textId="77777777" w:rsidR="00840AAB" w:rsidRDefault="00840AAB" w:rsidP="00840AAB">
      <w:pPr>
        <w:spacing w:before="16" w:line="240" w:lineRule="exact"/>
        <w:rPr>
          <w:sz w:val="24"/>
          <w:szCs w:val="24"/>
          <w:lang w:val="sl-SI"/>
        </w:rPr>
      </w:pPr>
    </w:p>
    <w:p w14:paraId="27CD7FB1" w14:textId="77777777" w:rsidR="00840AAB" w:rsidRDefault="00840AAB" w:rsidP="00840AAB">
      <w:pPr>
        <w:pStyle w:val="a3"/>
        <w:rPr>
          <w:lang w:val="sl-SI"/>
        </w:rPr>
      </w:pPr>
      <w:r>
        <w:rPr>
          <w:rFonts w:eastAsia="Times New Roman"/>
          <w:lang w:val="sl-SI"/>
        </w:rPr>
        <w:t>Tarča adalimumaba je beljakovina, ki se imenuje tumor nekrotizirajoči faktor (TNFα), ki je vključen v imunski (obrambni) sistem in je prisoten v povečanih koncentracijah pri zgoraj navedenih vnetnih boleznih. Z vezavo na TNFα zdravilo Yuflyma zmanjša vnetni proces pri teh boleznih.</w:t>
      </w:r>
    </w:p>
    <w:p w14:paraId="11A86BEA" w14:textId="77777777" w:rsidR="00840AAB" w:rsidRDefault="00840AAB" w:rsidP="00840AAB">
      <w:pPr>
        <w:pStyle w:val="a3"/>
        <w:rPr>
          <w:lang w:val="sl-SI"/>
        </w:rPr>
      </w:pPr>
    </w:p>
    <w:p w14:paraId="0540B5D8" w14:textId="77777777" w:rsidR="00840AAB" w:rsidRDefault="00840AAB" w:rsidP="00840AAB">
      <w:pPr>
        <w:pStyle w:val="a3"/>
        <w:rPr>
          <w:b/>
          <w:lang w:val="sl-SI"/>
        </w:rPr>
      </w:pPr>
      <w:r>
        <w:rPr>
          <w:rFonts w:eastAsia="Times New Roman"/>
          <w:b/>
          <w:bCs/>
          <w:lang w:val="sl-SI"/>
        </w:rPr>
        <w:t>Revmatoidni artritis</w:t>
      </w:r>
    </w:p>
    <w:p w14:paraId="1E8CDE09" w14:textId="77777777" w:rsidR="00840AAB" w:rsidRDefault="00840AAB" w:rsidP="00840AAB">
      <w:pPr>
        <w:pStyle w:val="a3"/>
        <w:rPr>
          <w:u w:val="single"/>
          <w:lang w:val="sl-SI"/>
        </w:rPr>
      </w:pPr>
    </w:p>
    <w:p w14:paraId="1D2ECC73" w14:textId="77777777" w:rsidR="00840AAB" w:rsidRDefault="00840AAB" w:rsidP="00840AAB">
      <w:pPr>
        <w:pStyle w:val="a3"/>
        <w:rPr>
          <w:lang w:val="sl-SI"/>
        </w:rPr>
      </w:pPr>
      <w:r>
        <w:rPr>
          <w:rFonts w:eastAsia="Times New Roman"/>
          <w:lang w:val="sl-SI"/>
        </w:rPr>
        <w:t>Revmatoidni artritis je vnetna bolezen sklepov.</w:t>
      </w:r>
    </w:p>
    <w:p w14:paraId="27660EB4" w14:textId="77777777" w:rsidR="00840AAB" w:rsidRDefault="00840AAB" w:rsidP="00840AAB">
      <w:pPr>
        <w:spacing w:before="11" w:line="240" w:lineRule="exact"/>
        <w:rPr>
          <w:sz w:val="24"/>
          <w:szCs w:val="24"/>
          <w:lang w:val="sl-SI"/>
        </w:rPr>
      </w:pPr>
    </w:p>
    <w:p w14:paraId="114EC857" w14:textId="77777777" w:rsidR="00840AAB" w:rsidRDefault="00840AAB" w:rsidP="00840AAB">
      <w:pPr>
        <w:pStyle w:val="a3"/>
        <w:rPr>
          <w:lang w:val="sl-SI"/>
        </w:rPr>
      </w:pPr>
      <w:r>
        <w:rPr>
          <w:rFonts w:eastAsia="Times New Roman"/>
          <w:lang w:val="sl-SI"/>
        </w:rPr>
        <w:t>Zdravilo Yuflyma se uporablja za zdravljenje zmernega do hudega revmatoidnega artritisa pri odraslih. Morda boste najprej prejeli druga zdravila, ki spreminjajo potek bolezni, npr. metotreksat. Če se na ta zdravila ne odzovete dovolj dobro, boste prejeli zdravilo Yuflyma.</w:t>
      </w:r>
    </w:p>
    <w:p w14:paraId="166866E2" w14:textId="77777777" w:rsidR="00840AAB" w:rsidRDefault="00840AAB" w:rsidP="00840AAB">
      <w:pPr>
        <w:spacing w:before="17" w:line="240" w:lineRule="exact"/>
        <w:rPr>
          <w:sz w:val="24"/>
          <w:szCs w:val="24"/>
          <w:lang w:val="sl-SI"/>
        </w:rPr>
      </w:pPr>
    </w:p>
    <w:p w14:paraId="3E3FA533" w14:textId="77777777" w:rsidR="00840AAB" w:rsidRDefault="00840AAB" w:rsidP="00840AAB">
      <w:pPr>
        <w:pStyle w:val="a3"/>
        <w:rPr>
          <w:lang w:val="sl-SI"/>
        </w:rPr>
      </w:pPr>
      <w:r>
        <w:rPr>
          <w:rFonts w:eastAsia="Times New Roman"/>
          <w:lang w:val="sl-SI"/>
        </w:rPr>
        <w:t>Zdravilo Yuflyma je mogoče uporabljati tudi za zdravljenje hudega, aktivnega in napredujočega revmatoidnega artritisa brez predhodnega zdravljenja z metotreksatom.</w:t>
      </w:r>
    </w:p>
    <w:p w14:paraId="2AB158BD" w14:textId="77777777" w:rsidR="00840AAB" w:rsidRDefault="00840AAB" w:rsidP="00840AAB">
      <w:pPr>
        <w:spacing w:before="11" w:line="240" w:lineRule="exact"/>
        <w:rPr>
          <w:sz w:val="24"/>
          <w:szCs w:val="24"/>
          <w:lang w:val="sl-SI"/>
        </w:rPr>
      </w:pPr>
    </w:p>
    <w:p w14:paraId="70A621E0" w14:textId="77777777" w:rsidR="00840AAB" w:rsidRDefault="00840AAB" w:rsidP="00840AAB">
      <w:pPr>
        <w:pStyle w:val="a3"/>
        <w:rPr>
          <w:lang w:val="sl-SI"/>
        </w:rPr>
      </w:pPr>
      <w:r>
        <w:rPr>
          <w:rFonts w:eastAsia="Times New Roman"/>
          <w:lang w:val="sl-SI"/>
        </w:rPr>
        <w:t>Zdravilo Yuflyma lahko upočasni poškodbe sklepov, ki jih povzroča vnetna bolezen, in jim lahko pomaga, da se bolj prosto gibajo.</w:t>
      </w:r>
    </w:p>
    <w:p w14:paraId="306E78B3" w14:textId="77777777" w:rsidR="00840AAB" w:rsidRDefault="00840AAB" w:rsidP="00840AAB">
      <w:pPr>
        <w:spacing w:before="10" w:line="240" w:lineRule="exact"/>
        <w:rPr>
          <w:sz w:val="24"/>
          <w:szCs w:val="24"/>
          <w:lang w:val="sl-SI"/>
        </w:rPr>
      </w:pPr>
    </w:p>
    <w:p w14:paraId="19193B47" w14:textId="77777777" w:rsidR="00840AAB" w:rsidRDefault="00840AAB" w:rsidP="00840AAB">
      <w:pPr>
        <w:pStyle w:val="a3"/>
        <w:rPr>
          <w:lang w:val="sl-SI"/>
        </w:rPr>
      </w:pPr>
      <w:r>
        <w:rPr>
          <w:rFonts w:eastAsia="Times New Roman"/>
          <w:lang w:val="sl-SI"/>
        </w:rPr>
        <w:t>Vaš zdravnik se bo odločil, ali je treba zdravilo Yuflyma uporabljati skupaj z metotreksatom ali samostojno.</w:t>
      </w:r>
    </w:p>
    <w:p w14:paraId="7803DADF" w14:textId="77777777" w:rsidR="00840AAB" w:rsidRDefault="00840AAB" w:rsidP="00840AAB">
      <w:pPr>
        <w:spacing w:before="18" w:line="240" w:lineRule="exact"/>
        <w:rPr>
          <w:sz w:val="24"/>
          <w:szCs w:val="24"/>
          <w:lang w:val="sl-SI"/>
        </w:rPr>
      </w:pPr>
    </w:p>
    <w:p w14:paraId="66D2AFDB" w14:textId="77777777" w:rsidR="00840AAB" w:rsidRDefault="00840AAB" w:rsidP="00840AAB">
      <w:pPr>
        <w:pStyle w:val="a3"/>
        <w:rPr>
          <w:b/>
          <w:lang w:val="sl-SI"/>
        </w:rPr>
      </w:pPr>
      <w:r>
        <w:rPr>
          <w:rFonts w:eastAsia="Times New Roman"/>
          <w:b/>
          <w:bCs/>
          <w:lang w:val="sl-SI"/>
        </w:rPr>
        <w:t>Luskavica (psoriaza) v plakih</w:t>
      </w:r>
    </w:p>
    <w:p w14:paraId="3BB1613D" w14:textId="77777777" w:rsidR="00840AAB" w:rsidRDefault="00840AAB" w:rsidP="00840AAB">
      <w:pPr>
        <w:spacing w:before="9" w:line="240" w:lineRule="exact"/>
        <w:rPr>
          <w:sz w:val="24"/>
          <w:szCs w:val="24"/>
          <w:lang w:val="sl-SI"/>
        </w:rPr>
      </w:pPr>
    </w:p>
    <w:p w14:paraId="1EEC4498" w14:textId="77777777" w:rsidR="00840AAB" w:rsidRDefault="00840AAB" w:rsidP="00840AAB">
      <w:pPr>
        <w:pStyle w:val="a3"/>
        <w:rPr>
          <w:lang w:val="sl-SI"/>
        </w:rPr>
      </w:pPr>
      <w:r>
        <w:rPr>
          <w:rFonts w:eastAsia="Times New Roman"/>
          <w:lang w:val="sl-SI"/>
        </w:rPr>
        <w:t>Luskavica v plakih je bolezen kože, pri kateri nastajajo rdeče, kosmičaste, krastave lise na koži, pokrite s srebrnimi luskami. Luskavica v plakih lahko prizadene tudi nohte, ki postanejo krušljivi, zadebeljeni in se dvignejo od nohtne posteljice, kar je lahko boleče.</w:t>
      </w:r>
    </w:p>
    <w:p w14:paraId="6910301E" w14:textId="77777777" w:rsidR="00840AAB" w:rsidRDefault="00840AAB" w:rsidP="00840AAB">
      <w:pPr>
        <w:spacing w:before="13" w:line="240" w:lineRule="exact"/>
        <w:rPr>
          <w:sz w:val="24"/>
          <w:szCs w:val="24"/>
          <w:lang w:val="sl-SI"/>
        </w:rPr>
      </w:pPr>
    </w:p>
    <w:p w14:paraId="1B5928EF" w14:textId="647E2EDB" w:rsidR="00840AAB" w:rsidRDefault="00840AAB" w:rsidP="0030421B">
      <w:pPr>
        <w:pStyle w:val="a3"/>
        <w:rPr>
          <w:lang w:val="sl-SI"/>
        </w:rPr>
      </w:pPr>
      <w:r>
        <w:rPr>
          <w:rFonts w:eastAsia="Times New Roman"/>
          <w:lang w:val="sl-SI"/>
        </w:rPr>
        <w:t>Zdravilo Yuflyma se uporablja za zdravljenje</w:t>
      </w:r>
      <w:r w:rsidR="00B476B0">
        <w:rPr>
          <w:rFonts w:eastAsia="Times New Roman"/>
          <w:lang w:val="sl-SI"/>
        </w:rPr>
        <w:t xml:space="preserve"> </w:t>
      </w:r>
      <w:r>
        <w:rPr>
          <w:rFonts w:eastAsia="Times New Roman"/>
          <w:lang w:val="sl-SI"/>
        </w:rPr>
        <w:t>zmerne do hude kronične luskavice v plakih pri odraslih</w:t>
      </w:r>
      <w:r w:rsidR="00B476B0">
        <w:rPr>
          <w:rFonts w:eastAsia="Times New Roman"/>
          <w:lang w:val="sl-SI"/>
        </w:rPr>
        <w:t>.</w:t>
      </w:r>
    </w:p>
    <w:p w14:paraId="46840807" w14:textId="77777777" w:rsidR="00840AAB" w:rsidRDefault="00840AAB" w:rsidP="00840AAB">
      <w:pPr>
        <w:spacing w:before="15" w:line="240" w:lineRule="exact"/>
        <w:rPr>
          <w:sz w:val="24"/>
          <w:szCs w:val="24"/>
          <w:lang w:val="sl-SI"/>
        </w:rPr>
      </w:pPr>
    </w:p>
    <w:p w14:paraId="5234DF04" w14:textId="77777777" w:rsidR="00840AAB" w:rsidRDefault="00840AAB" w:rsidP="00840AAB">
      <w:pPr>
        <w:pStyle w:val="a3"/>
        <w:rPr>
          <w:b/>
          <w:lang w:val="sl-SI"/>
        </w:rPr>
      </w:pPr>
      <w:r>
        <w:rPr>
          <w:rFonts w:eastAsia="Times New Roman"/>
          <w:b/>
          <w:bCs/>
          <w:lang w:val="sl-SI"/>
        </w:rPr>
        <w:t>Hidradenitis suppurativa</w:t>
      </w:r>
    </w:p>
    <w:p w14:paraId="515C7A90" w14:textId="77777777" w:rsidR="00840AAB" w:rsidRDefault="00840AAB" w:rsidP="00840AAB">
      <w:pPr>
        <w:spacing w:before="9" w:line="240" w:lineRule="exact"/>
        <w:rPr>
          <w:sz w:val="24"/>
          <w:szCs w:val="24"/>
          <w:lang w:val="sl-SI"/>
        </w:rPr>
      </w:pPr>
    </w:p>
    <w:p w14:paraId="63D6C58B" w14:textId="77777777" w:rsidR="00840AAB" w:rsidRDefault="00840AAB" w:rsidP="00840AAB">
      <w:pPr>
        <w:pStyle w:val="a3"/>
        <w:rPr>
          <w:lang w:val="sl-SI"/>
        </w:rPr>
      </w:pPr>
      <w:r>
        <w:rPr>
          <w:rFonts w:eastAsia="Times New Roman"/>
          <w:lang w:val="sl-SI"/>
        </w:rPr>
        <w:t xml:space="preserve">Hidradenitis suppurativa (včasih imenovan tudi acne inversa) je kronična in pogosto boleča vnetna bolezen kože. Simptomi lahko vključujejo mehke nodule (vozliče) in abscese (ognojke), iz katerih lahko izteka gnoj. Najpogosteje prizadene specifične predele kože, kot je predel </w:t>
      </w:r>
      <w:hyperlink r:id="rId134" w:history="1">
        <w:r>
          <w:rPr>
            <w:rFonts w:eastAsia="Times New Roman"/>
            <w:lang w:val="sl-SI"/>
          </w:rPr>
          <w:t xml:space="preserve">pod prsmi, </w:t>
        </w:r>
      </w:hyperlink>
      <w:r>
        <w:rPr>
          <w:rFonts w:eastAsia="Times New Roman"/>
          <w:lang w:val="sl-SI"/>
        </w:rPr>
        <w:t>pod pazduhami, notranji del stegen, dimlje in zadnjico. Na prizadetih področjih se lahko pojavijo tudi brazgotine.</w:t>
      </w:r>
    </w:p>
    <w:p w14:paraId="41656087" w14:textId="77777777" w:rsidR="00840AAB" w:rsidRDefault="00840AAB" w:rsidP="00840AAB">
      <w:pPr>
        <w:spacing w:before="13" w:line="240" w:lineRule="exact"/>
        <w:rPr>
          <w:sz w:val="24"/>
          <w:szCs w:val="24"/>
          <w:lang w:val="sl-SI"/>
        </w:rPr>
      </w:pPr>
    </w:p>
    <w:p w14:paraId="6934FE9F" w14:textId="77777777" w:rsidR="00840AAB" w:rsidRDefault="00840AAB" w:rsidP="00840AAB">
      <w:pPr>
        <w:pStyle w:val="a3"/>
        <w:rPr>
          <w:lang w:val="sl-SI"/>
        </w:rPr>
      </w:pPr>
      <w:r>
        <w:rPr>
          <w:rFonts w:eastAsia="Times New Roman"/>
          <w:lang w:val="sl-SI"/>
        </w:rPr>
        <w:t>Zdravilo Yuflyma se uporablja za zdravljenje</w:t>
      </w:r>
    </w:p>
    <w:p w14:paraId="311902F6" w14:textId="77777777" w:rsidR="00840AAB" w:rsidRDefault="00840AAB" w:rsidP="00840AAB">
      <w:pPr>
        <w:pStyle w:val="a3"/>
        <w:numPr>
          <w:ilvl w:val="1"/>
          <w:numId w:val="4"/>
        </w:numPr>
        <w:ind w:left="660" w:hanging="660"/>
        <w:rPr>
          <w:lang w:val="sl-SI"/>
        </w:rPr>
      </w:pPr>
      <w:r>
        <w:rPr>
          <w:rFonts w:eastAsia="Times New Roman"/>
          <w:lang w:val="sl-SI"/>
        </w:rPr>
        <w:t>zmerne do hude hidradenitis suppurativa pri odraslih in</w:t>
      </w:r>
    </w:p>
    <w:p w14:paraId="2793721B" w14:textId="77777777" w:rsidR="00840AAB" w:rsidRDefault="00840AAB" w:rsidP="00840AAB">
      <w:pPr>
        <w:pStyle w:val="a3"/>
        <w:numPr>
          <w:ilvl w:val="1"/>
          <w:numId w:val="4"/>
        </w:numPr>
        <w:ind w:left="660" w:hanging="660"/>
        <w:rPr>
          <w:lang w:val="sl-SI"/>
        </w:rPr>
      </w:pPr>
      <w:r>
        <w:rPr>
          <w:rFonts w:eastAsia="Times New Roman"/>
          <w:lang w:val="sl-SI"/>
        </w:rPr>
        <w:t>zmerne do hude hidradenitis suppurativa pri mladostnikih, starih od 12 do 17 let.</w:t>
      </w:r>
    </w:p>
    <w:p w14:paraId="5E8D4E5F" w14:textId="77777777" w:rsidR="00840AAB" w:rsidRDefault="00840AAB" w:rsidP="00840AAB">
      <w:pPr>
        <w:spacing w:before="10" w:line="240" w:lineRule="exact"/>
        <w:rPr>
          <w:sz w:val="24"/>
          <w:szCs w:val="24"/>
          <w:lang w:val="sl-SI"/>
        </w:rPr>
      </w:pPr>
    </w:p>
    <w:p w14:paraId="6E04872C" w14:textId="77777777" w:rsidR="00840AAB" w:rsidRDefault="00840AAB" w:rsidP="00840AAB">
      <w:pPr>
        <w:pStyle w:val="a3"/>
        <w:rPr>
          <w:lang w:val="sl-SI"/>
        </w:rPr>
      </w:pPr>
      <w:r>
        <w:rPr>
          <w:rFonts w:eastAsia="Times New Roman"/>
          <w:lang w:val="sl-SI"/>
        </w:rPr>
        <w:t>Zdravilo Yuflyma lahko zmanjša število vozličev in ognojkov, ki jih povzroča bolezen in bolečino, ki je pogosto povezana s to boleznijo. Najprej boste morda prejeli druga zdravila. Če se na ta zdravila ne odzovete dovolj dobro, boste prejeli zdravilo Yuflyma.</w:t>
      </w:r>
    </w:p>
    <w:p w14:paraId="3EC29C12" w14:textId="77777777" w:rsidR="00840AAB" w:rsidRDefault="00840AAB" w:rsidP="00840AAB">
      <w:pPr>
        <w:spacing w:before="18" w:line="240" w:lineRule="exact"/>
        <w:rPr>
          <w:sz w:val="24"/>
          <w:szCs w:val="24"/>
          <w:lang w:val="sl-SI"/>
        </w:rPr>
      </w:pPr>
    </w:p>
    <w:p w14:paraId="4AEA2665" w14:textId="77777777" w:rsidR="00840AAB" w:rsidRDefault="00840AAB" w:rsidP="00840AAB">
      <w:pPr>
        <w:pStyle w:val="a3"/>
        <w:rPr>
          <w:b/>
          <w:lang w:val="sl-SI"/>
        </w:rPr>
      </w:pPr>
      <w:r>
        <w:rPr>
          <w:rFonts w:eastAsia="Times New Roman"/>
          <w:b/>
          <w:bCs/>
          <w:lang w:val="sl-SI"/>
        </w:rPr>
        <w:t>Crohnova bolezen</w:t>
      </w:r>
    </w:p>
    <w:p w14:paraId="13CFD1F4" w14:textId="77777777" w:rsidR="00840AAB" w:rsidRDefault="00840AAB" w:rsidP="00840AAB">
      <w:pPr>
        <w:pStyle w:val="a3"/>
        <w:rPr>
          <w:u w:val="single"/>
          <w:lang w:val="sl-SI"/>
        </w:rPr>
      </w:pPr>
    </w:p>
    <w:p w14:paraId="26B62847" w14:textId="77777777" w:rsidR="00840AAB" w:rsidRDefault="00840AAB" w:rsidP="00840AAB">
      <w:pPr>
        <w:pStyle w:val="a3"/>
        <w:rPr>
          <w:lang w:val="sl-SI"/>
        </w:rPr>
      </w:pPr>
      <w:r>
        <w:rPr>
          <w:rFonts w:eastAsia="Times New Roman"/>
          <w:lang w:val="sl-SI"/>
        </w:rPr>
        <w:t>Crohnova bolezen je vnetna bolezen prebavil. Zdravilo Yuflyma se uporablja za zdravljenje</w:t>
      </w:r>
    </w:p>
    <w:p w14:paraId="3533ECD5" w14:textId="77777777" w:rsidR="00840AAB" w:rsidRDefault="00840AAB" w:rsidP="00840AAB">
      <w:pPr>
        <w:pStyle w:val="a3"/>
        <w:numPr>
          <w:ilvl w:val="1"/>
          <w:numId w:val="4"/>
        </w:numPr>
        <w:ind w:left="660" w:hanging="660"/>
        <w:rPr>
          <w:lang w:val="sl-SI"/>
        </w:rPr>
      </w:pPr>
      <w:r>
        <w:rPr>
          <w:rFonts w:eastAsia="Times New Roman"/>
          <w:lang w:val="sl-SI"/>
        </w:rPr>
        <w:t>zmerne do hude Crohnove bolezni pri odraslih in</w:t>
      </w:r>
    </w:p>
    <w:p w14:paraId="24117455" w14:textId="77777777" w:rsidR="00840AAB" w:rsidRDefault="00840AAB" w:rsidP="00840AAB">
      <w:pPr>
        <w:pStyle w:val="a3"/>
        <w:numPr>
          <w:ilvl w:val="1"/>
          <w:numId w:val="4"/>
        </w:numPr>
        <w:ind w:left="660" w:hanging="660"/>
        <w:rPr>
          <w:lang w:val="sl-SI"/>
        </w:rPr>
      </w:pPr>
      <w:r>
        <w:rPr>
          <w:rFonts w:eastAsia="Times New Roman"/>
          <w:lang w:val="sl-SI"/>
        </w:rPr>
        <w:t>zmerne do hude Crohnove bolezni pri otrocih in mladostnikih, starih od 6 do 17 let.</w:t>
      </w:r>
    </w:p>
    <w:p w14:paraId="4CA8A942" w14:textId="77777777" w:rsidR="00840AAB" w:rsidRDefault="00840AAB" w:rsidP="00840AAB">
      <w:pPr>
        <w:spacing w:before="16" w:line="240" w:lineRule="exact"/>
        <w:rPr>
          <w:sz w:val="24"/>
          <w:szCs w:val="24"/>
          <w:lang w:val="sl-SI"/>
        </w:rPr>
      </w:pPr>
    </w:p>
    <w:p w14:paraId="7D7234A5" w14:textId="77777777" w:rsidR="00840AAB" w:rsidRDefault="00840AAB" w:rsidP="00840AAB">
      <w:pPr>
        <w:pStyle w:val="a3"/>
        <w:rPr>
          <w:lang w:val="sl-SI"/>
        </w:rPr>
      </w:pPr>
      <w:r>
        <w:rPr>
          <w:rFonts w:eastAsia="Times New Roman"/>
          <w:lang w:val="sl-SI"/>
        </w:rPr>
        <w:t>Najprej boste morda prejeli druga zdravila. Če se na ta zdravila ne odzovete dovolj dobro, boste prejeli zdravilo Yuflyma.</w:t>
      </w:r>
    </w:p>
    <w:p w14:paraId="215A9ED2" w14:textId="77777777" w:rsidR="00840AAB" w:rsidRDefault="00840AAB" w:rsidP="00840AAB">
      <w:pPr>
        <w:spacing w:before="15" w:line="240" w:lineRule="exact"/>
        <w:rPr>
          <w:sz w:val="24"/>
          <w:szCs w:val="24"/>
          <w:lang w:val="sl-SI"/>
        </w:rPr>
      </w:pPr>
    </w:p>
    <w:p w14:paraId="2C8BA1F3" w14:textId="77777777" w:rsidR="00840AAB" w:rsidRDefault="00840AAB" w:rsidP="00840AAB">
      <w:pPr>
        <w:pStyle w:val="a3"/>
        <w:rPr>
          <w:b/>
          <w:lang w:val="sl-SI"/>
        </w:rPr>
      </w:pPr>
      <w:r>
        <w:rPr>
          <w:rFonts w:eastAsia="Times New Roman"/>
          <w:b/>
          <w:bCs/>
          <w:lang w:val="sl-SI"/>
        </w:rPr>
        <w:t>Ulcerozni kolitis</w:t>
      </w:r>
    </w:p>
    <w:p w14:paraId="03D0C1F2" w14:textId="77777777" w:rsidR="00840AAB" w:rsidRDefault="00840AAB" w:rsidP="00840AAB">
      <w:pPr>
        <w:pStyle w:val="a3"/>
        <w:rPr>
          <w:b/>
          <w:lang w:val="sl-SI"/>
        </w:rPr>
      </w:pPr>
    </w:p>
    <w:p w14:paraId="7AAD0C25" w14:textId="77777777" w:rsidR="00840AAB" w:rsidRDefault="00840AAB" w:rsidP="00840AAB">
      <w:pPr>
        <w:pStyle w:val="a3"/>
        <w:rPr>
          <w:lang w:val="sl-SI"/>
        </w:rPr>
      </w:pPr>
      <w:r>
        <w:rPr>
          <w:rFonts w:eastAsia="Times New Roman"/>
          <w:lang w:val="sl-SI"/>
        </w:rPr>
        <w:t>Ulcerozni kolitis je vnetna bolezen debelega črevesa.</w:t>
      </w:r>
    </w:p>
    <w:p w14:paraId="5BB7E039" w14:textId="77777777" w:rsidR="00840AAB" w:rsidRDefault="00840AAB" w:rsidP="00840AAB">
      <w:pPr>
        <w:spacing w:before="17" w:line="240" w:lineRule="exact"/>
        <w:rPr>
          <w:sz w:val="24"/>
          <w:szCs w:val="24"/>
          <w:lang w:val="sl-SI"/>
        </w:rPr>
      </w:pPr>
    </w:p>
    <w:p w14:paraId="3821E36B" w14:textId="77777777" w:rsidR="00840AAB" w:rsidRDefault="00840AAB" w:rsidP="00840AAB">
      <w:pPr>
        <w:pStyle w:val="a3"/>
        <w:rPr>
          <w:rFonts w:eastAsia="Times New Roman"/>
          <w:lang w:val="sl-SI"/>
        </w:rPr>
      </w:pPr>
      <w:r>
        <w:rPr>
          <w:rFonts w:eastAsia="Times New Roman"/>
          <w:lang w:val="sl-SI"/>
        </w:rPr>
        <w:t>Zdravilo Yuflyma se uporablja za zdravljenje:</w:t>
      </w:r>
    </w:p>
    <w:p w14:paraId="071E4B41" w14:textId="35A8CF0B" w:rsidR="00840AAB" w:rsidRPr="001452D7" w:rsidRDefault="00840AAB" w:rsidP="00840AAB">
      <w:pPr>
        <w:pStyle w:val="a3"/>
        <w:numPr>
          <w:ilvl w:val="1"/>
          <w:numId w:val="4"/>
        </w:numPr>
        <w:ind w:left="660" w:hanging="660"/>
        <w:rPr>
          <w:rFonts w:eastAsia="Times New Roman"/>
          <w:lang w:val="sl-SI"/>
        </w:rPr>
      </w:pPr>
      <w:r w:rsidRPr="001452D7">
        <w:rPr>
          <w:rFonts w:eastAsia="Times New Roman"/>
          <w:lang w:val="sl-SI"/>
        </w:rPr>
        <w:t xml:space="preserve">zmernega do hudega ulceroznega kolitisa pri odraslih in </w:t>
      </w:r>
    </w:p>
    <w:p w14:paraId="3039A5C0" w14:textId="77777777" w:rsidR="00840AAB" w:rsidRPr="001452D7" w:rsidRDefault="00840AAB" w:rsidP="00840AAB">
      <w:pPr>
        <w:pStyle w:val="a3"/>
        <w:numPr>
          <w:ilvl w:val="1"/>
          <w:numId w:val="4"/>
        </w:numPr>
        <w:ind w:left="660" w:hanging="660"/>
        <w:rPr>
          <w:rFonts w:eastAsia="Times New Roman"/>
          <w:lang w:val="sl-SI"/>
        </w:rPr>
      </w:pPr>
      <w:r w:rsidRPr="001452D7">
        <w:rPr>
          <w:rFonts w:eastAsia="Times New Roman"/>
          <w:lang w:val="sl-SI"/>
        </w:rPr>
        <w:t>zmernega do hudega ulceroznega kolitisa pri otrocih in mladostnikih, starih od 6 do 17 let.</w:t>
      </w:r>
    </w:p>
    <w:p w14:paraId="2E9885E0" w14:textId="77777777" w:rsidR="00840AAB" w:rsidRDefault="00840AAB" w:rsidP="00840AAB">
      <w:pPr>
        <w:pStyle w:val="a3"/>
        <w:rPr>
          <w:rFonts w:eastAsia="Times New Roman"/>
          <w:lang w:val="sl-SI"/>
        </w:rPr>
      </w:pPr>
    </w:p>
    <w:p w14:paraId="2C54B506" w14:textId="77777777" w:rsidR="00840AAB" w:rsidRDefault="00840AAB" w:rsidP="00840AAB">
      <w:pPr>
        <w:pStyle w:val="a3"/>
        <w:rPr>
          <w:lang w:val="sl-SI"/>
        </w:rPr>
      </w:pPr>
      <w:r>
        <w:rPr>
          <w:rFonts w:eastAsia="Times New Roman"/>
          <w:lang w:val="sl-SI"/>
        </w:rPr>
        <w:t xml:space="preserve">Najprej boste morda prejeli druga zdravila. Če se na ta zdravila ne odzovete dovolj dobro, boste prejeli </w:t>
      </w:r>
      <w:r>
        <w:rPr>
          <w:rFonts w:eastAsia="Times New Roman"/>
          <w:lang w:val="sl-SI"/>
        </w:rPr>
        <w:lastRenderedPageBreak/>
        <w:t>zdravilo Yuflyma.</w:t>
      </w:r>
    </w:p>
    <w:p w14:paraId="48B16811" w14:textId="77777777" w:rsidR="00840AAB" w:rsidRDefault="00840AAB" w:rsidP="00840AAB">
      <w:pPr>
        <w:spacing w:before="15" w:line="240" w:lineRule="exact"/>
        <w:rPr>
          <w:sz w:val="24"/>
          <w:szCs w:val="24"/>
          <w:lang w:val="sl-SI"/>
        </w:rPr>
      </w:pPr>
    </w:p>
    <w:p w14:paraId="58F2398D" w14:textId="77777777" w:rsidR="00840AAB" w:rsidRDefault="00840AAB" w:rsidP="00840AAB">
      <w:pPr>
        <w:pStyle w:val="a3"/>
        <w:rPr>
          <w:b/>
          <w:lang w:val="sl-SI"/>
        </w:rPr>
      </w:pPr>
      <w:r>
        <w:rPr>
          <w:rFonts w:eastAsia="Times New Roman"/>
          <w:b/>
          <w:bCs/>
          <w:lang w:val="sl-SI"/>
        </w:rPr>
        <w:t>Neinfekcijski uveitis</w:t>
      </w:r>
    </w:p>
    <w:p w14:paraId="5F96CD35" w14:textId="77777777" w:rsidR="00840AAB" w:rsidRDefault="00840AAB" w:rsidP="00840AAB">
      <w:pPr>
        <w:pStyle w:val="a3"/>
        <w:rPr>
          <w:lang w:val="sl-SI"/>
        </w:rPr>
      </w:pPr>
    </w:p>
    <w:p w14:paraId="374B552D" w14:textId="77777777" w:rsidR="00840AAB" w:rsidRDefault="00840AAB" w:rsidP="00840AAB">
      <w:pPr>
        <w:pStyle w:val="a3"/>
        <w:rPr>
          <w:lang w:val="sl-SI"/>
        </w:rPr>
      </w:pPr>
      <w:r>
        <w:rPr>
          <w:rFonts w:eastAsia="Times New Roman"/>
          <w:lang w:val="sl-SI"/>
        </w:rPr>
        <w:t>Neinfekcijski uveitis je vnetna bolezen, ki prizadene določene dele očesa. Zdravilo Yuflyma se uporablja za zdravljenje</w:t>
      </w:r>
    </w:p>
    <w:p w14:paraId="600F80E7" w14:textId="77777777" w:rsidR="00840AAB" w:rsidRDefault="00840AAB" w:rsidP="00840AAB">
      <w:pPr>
        <w:pStyle w:val="a3"/>
        <w:numPr>
          <w:ilvl w:val="1"/>
          <w:numId w:val="4"/>
        </w:numPr>
        <w:ind w:left="660" w:hanging="660"/>
        <w:rPr>
          <w:lang w:val="sl-SI"/>
        </w:rPr>
      </w:pPr>
      <w:r>
        <w:rPr>
          <w:rFonts w:eastAsia="Times New Roman"/>
          <w:lang w:val="sl-SI"/>
        </w:rPr>
        <w:t>odraslih z neinfekcijskim uveitisom, kjer vnetje prizadene zadnji del očesa,</w:t>
      </w:r>
    </w:p>
    <w:p w14:paraId="4DD10ACA" w14:textId="77777777" w:rsidR="00840AAB" w:rsidRDefault="00840AAB" w:rsidP="00840AAB">
      <w:pPr>
        <w:pStyle w:val="a3"/>
        <w:numPr>
          <w:ilvl w:val="1"/>
          <w:numId w:val="4"/>
        </w:numPr>
        <w:ind w:left="660" w:hanging="660"/>
        <w:rPr>
          <w:lang w:val="sl-SI"/>
        </w:rPr>
      </w:pPr>
      <w:r>
        <w:rPr>
          <w:rFonts w:eastAsia="Times New Roman"/>
          <w:lang w:val="sl-SI"/>
        </w:rPr>
        <w:t>otrok, starejših od 2 let, s kroničnim neinfekcijskim uveitisom, kjer vnetje prizadene sprednji del očesa.</w:t>
      </w:r>
    </w:p>
    <w:p w14:paraId="6797BE4C" w14:textId="77777777" w:rsidR="00840AAB" w:rsidRDefault="00840AAB" w:rsidP="00840AAB">
      <w:pPr>
        <w:pStyle w:val="a3"/>
        <w:rPr>
          <w:lang w:val="sl-SI"/>
        </w:rPr>
      </w:pPr>
    </w:p>
    <w:p w14:paraId="436C5E6C" w14:textId="77777777" w:rsidR="00840AAB" w:rsidRDefault="00840AAB" w:rsidP="00840AAB">
      <w:pPr>
        <w:pStyle w:val="a3"/>
        <w:rPr>
          <w:lang w:val="sl-SI"/>
        </w:rPr>
      </w:pPr>
      <w:r>
        <w:rPr>
          <w:rFonts w:eastAsia="Times New Roman"/>
          <w:lang w:val="sl-SI"/>
        </w:rPr>
        <w:t>To vnetje lahko povzroči poslabšanje vida in/ali prisotnost delcev v očesu (črnih pik ali koprenastih črt, ki se premikajo po vidnem polju). Zdravilo Yuflyma deluje tako, da zmanjša takšno vnetje.</w:t>
      </w:r>
    </w:p>
    <w:p w14:paraId="2F6F35E5" w14:textId="77777777" w:rsidR="00840AAB" w:rsidRDefault="00840AAB" w:rsidP="00840AAB">
      <w:pPr>
        <w:spacing w:before="10" w:line="240" w:lineRule="exact"/>
        <w:rPr>
          <w:sz w:val="24"/>
          <w:szCs w:val="24"/>
          <w:lang w:val="sl-SI"/>
        </w:rPr>
      </w:pPr>
    </w:p>
    <w:p w14:paraId="587351CE" w14:textId="77777777" w:rsidR="00840AAB" w:rsidRDefault="00840AAB" w:rsidP="00840AAB">
      <w:pPr>
        <w:pStyle w:val="a3"/>
        <w:rPr>
          <w:lang w:val="sl-SI"/>
        </w:rPr>
      </w:pPr>
      <w:r>
        <w:rPr>
          <w:rFonts w:eastAsia="Times New Roman"/>
          <w:lang w:val="sl-SI"/>
        </w:rPr>
        <w:t>Najprej boste morda prejeli druga zdravila. Če se na ta zdravila ne odzovete dovolj dobro, boste prejeli zdravilo Yuflyma.</w:t>
      </w:r>
    </w:p>
    <w:p w14:paraId="5B162DD7" w14:textId="77777777" w:rsidR="00840AAB" w:rsidRDefault="00840AAB" w:rsidP="00840AAB">
      <w:pPr>
        <w:spacing w:before="18" w:line="240" w:lineRule="exact"/>
        <w:rPr>
          <w:rFonts w:ascii="Times New Roman" w:hAnsi="Times New Roman" w:cs="Times New Roman"/>
          <w:b/>
          <w:lang w:val="sl-SI"/>
        </w:rPr>
      </w:pPr>
    </w:p>
    <w:p w14:paraId="7CE9816B" w14:textId="77777777" w:rsidR="00840AAB" w:rsidRDefault="00840AAB" w:rsidP="00840AAB">
      <w:pPr>
        <w:spacing w:before="18" w:line="240" w:lineRule="exact"/>
        <w:ind w:left="108"/>
        <w:rPr>
          <w:rFonts w:ascii="Times New Roman" w:hAnsi="Times New Roman" w:cs="Times New Roman"/>
          <w:b/>
          <w:lang w:val="sl-SI"/>
        </w:rPr>
      </w:pPr>
    </w:p>
    <w:p w14:paraId="2516F0CA" w14:textId="77777777" w:rsidR="00840AAB" w:rsidRDefault="00840AAB" w:rsidP="00A75F0B">
      <w:pPr>
        <w:pStyle w:val="a4"/>
        <w:numPr>
          <w:ilvl w:val="0"/>
          <w:numId w:val="133"/>
        </w:numPr>
        <w:spacing w:line="240" w:lineRule="exact"/>
        <w:rPr>
          <w:lang w:val="sl-SI"/>
        </w:rPr>
      </w:pPr>
      <w:r>
        <w:rPr>
          <w:rFonts w:ascii="Times New Roman" w:eastAsia="Times New Roman" w:hAnsi="Times New Roman" w:cs="Times New Roman"/>
          <w:b/>
          <w:bCs/>
          <w:lang w:val="sl-SI"/>
        </w:rPr>
        <w:t>Kaj morate vedeti, preden boste uporabili zdravilo Yuflyma</w:t>
      </w:r>
    </w:p>
    <w:p w14:paraId="7C20463A" w14:textId="77777777" w:rsidR="00840AAB" w:rsidRDefault="00840AAB" w:rsidP="00840AAB">
      <w:pPr>
        <w:spacing w:before="18" w:line="240" w:lineRule="exact"/>
        <w:ind w:left="108"/>
        <w:rPr>
          <w:b/>
          <w:bCs/>
          <w:lang w:val="sl-SI"/>
        </w:rPr>
      </w:pPr>
    </w:p>
    <w:p w14:paraId="7D331EE5" w14:textId="77777777" w:rsidR="00840AAB" w:rsidRDefault="00840AAB" w:rsidP="00840AAB">
      <w:pPr>
        <w:pStyle w:val="a3"/>
        <w:rPr>
          <w:b/>
          <w:lang w:val="sl-SI"/>
        </w:rPr>
      </w:pPr>
      <w:r>
        <w:rPr>
          <w:rFonts w:eastAsia="Times New Roman"/>
          <w:b/>
          <w:bCs/>
          <w:lang w:val="sl-SI"/>
        </w:rPr>
        <w:t>Ne uporabljajte zdravila Yuflyma:</w:t>
      </w:r>
    </w:p>
    <w:p w14:paraId="2D3532E6" w14:textId="77777777" w:rsidR="00840AAB" w:rsidRDefault="00840AAB" w:rsidP="00840AAB">
      <w:pPr>
        <w:pStyle w:val="a3"/>
        <w:rPr>
          <w:b/>
          <w:lang w:val="sl-SI"/>
        </w:rPr>
      </w:pPr>
    </w:p>
    <w:p w14:paraId="6CEE7732" w14:textId="77777777" w:rsidR="00840AAB" w:rsidRDefault="00840AAB" w:rsidP="00840AAB">
      <w:pPr>
        <w:pStyle w:val="a3"/>
        <w:numPr>
          <w:ilvl w:val="1"/>
          <w:numId w:val="4"/>
        </w:numPr>
        <w:ind w:left="660" w:hanging="660"/>
        <w:rPr>
          <w:lang w:val="sl-SI"/>
        </w:rPr>
      </w:pPr>
      <w:r>
        <w:rPr>
          <w:rFonts w:eastAsia="Times New Roman"/>
          <w:lang w:val="sl-SI"/>
        </w:rPr>
        <w:t>če ste alergični na adalimumab ali katero koli sestavino tega zdravila (navedeno v poglavju 6).</w:t>
      </w:r>
    </w:p>
    <w:p w14:paraId="135FAA9C" w14:textId="77777777" w:rsidR="00840AAB" w:rsidRDefault="00840AAB" w:rsidP="00840AAB">
      <w:pPr>
        <w:pStyle w:val="a3"/>
        <w:numPr>
          <w:ilvl w:val="0"/>
          <w:numId w:val="0"/>
        </w:numPr>
        <w:ind w:left="660"/>
        <w:rPr>
          <w:lang w:val="sl-SI"/>
        </w:rPr>
      </w:pPr>
    </w:p>
    <w:p w14:paraId="5820D672" w14:textId="76568FD2" w:rsidR="00840AAB" w:rsidRDefault="00840AAB" w:rsidP="00840AAB">
      <w:pPr>
        <w:pStyle w:val="a3"/>
        <w:numPr>
          <w:ilvl w:val="1"/>
          <w:numId w:val="4"/>
        </w:numPr>
        <w:ind w:left="660" w:hanging="660"/>
        <w:rPr>
          <w:lang w:val="sl-SI"/>
        </w:rPr>
      </w:pPr>
      <w:r>
        <w:rPr>
          <w:rFonts w:eastAsia="Times New Roman"/>
          <w:lang w:val="sl-SI"/>
        </w:rPr>
        <w:t xml:space="preserve">če imate aktivno tuberkulozo ali druge hude okužbe (glejte </w:t>
      </w:r>
      <w:r w:rsidR="00840868">
        <w:rPr>
          <w:rFonts w:eastAsia="Times New Roman"/>
          <w:lang w:val="sl-SI"/>
        </w:rPr>
        <w:t>"</w:t>
      </w:r>
      <w:r>
        <w:rPr>
          <w:rFonts w:eastAsia="Times New Roman"/>
          <w:lang w:val="sl-SI"/>
        </w:rPr>
        <w:t>Opozorila in previdnostni ukrepi</w:t>
      </w:r>
      <w:r w:rsidR="00840868">
        <w:rPr>
          <w:rFonts w:eastAsia="Times New Roman"/>
          <w:lang w:val="sl-SI"/>
        </w:rPr>
        <w:t>"</w:t>
      </w:r>
      <w:r>
        <w:rPr>
          <w:rFonts w:eastAsia="Times New Roman"/>
          <w:lang w:val="sl-SI"/>
        </w:rPr>
        <w:t>); Pomembno je, da zdravniku poveste, če imate simptome okužb, npr. zvišano telesno temperaturo, rane, občutek utrujenosti ali težave z zobmi.</w:t>
      </w:r>
    </w:p>
    <w:p w14:paraId="7ECFC0F5" w14:textId="77777777" w:rsidR="00840AAB" w:rsidRDefault="00840AAB" w:rsidP="00840AAB">
      <w:pPr>
        <w:pStyle w:val="a3"/>
        <w:numPr>
          <w:ilvl w:val="0"/>
          <w:numId w:val="0"/>
        </w:numPr>
        <w:ind w:left="660"/>
        <w:rPr>
          <w:lang w:val="sl-SI"/>
        </w:rPr>
      </w:pPr>
    </w:p>
    <w:p w14:paraId="032A6647" w14:textId="77777777" w:rsidR="00840AAB" w:rsidRDefault="00840AAB" w:rsidP="00840AAB">
      <w:pPr>
        <w:pStyle w:val="a3"/>
        <w:numPr>
          <w:ilvl w:val="1"/>
          <w:numId w:val="4"/>
        </w:numPr>
        <w:ind w:left="660" w:hanging="660"/>
        <w:rPr>
          <w:lang w:val="sl-SI"/>
        </w:rPr>
      </w:pPr>
      <w:r>
        <w:rPr>
          <w:rFonts w:eastAsia="Times New Roman"/>
          <w:lang w:val="sl-SI"/>
        </w:rPr>
        <w:t>če imate zmerno ali hudo srčno popuščanje; Pomembno je, da zdravniku poveste, če ste imeli ali imate kakšno resno bolezen srca (glejte "Opozorila in previdnostni ukrepi").</w:t>
      </w:r>
    </w:p>
    <w:p w14:paraId="0CA25B3B" w14:textId="77777777" w:rsidR="00840AAB" w:rsidRDefault="00840AAB" w:rsidP="00840AAB">
      <w:pPr>
        <w:spacing w:before="13" w:line="240" w:lineRule="exact"/>
        <w:rPr>
          <w:sz w:val="24"/>
          <w:szCs w:val="24"/>
          <w:lang w:val="sl-SI"/>
        </w:rPr>
      </w:pPr>
    </w:p>
    <w:p w14:paraId="4B92AB12" w14:textId="77777777" w:rsidR="00840AAB" w:rsidRDefault="00840AAB" w:rsidP="00840AAB">
      <w:pPr>
        <w:pStyle w:val="a3"/>
        <w:rPr>
          <w:b/>
          <w:lang w:val="sl-SI"/>
        </w:rPr>
      </w:pPr>
      <w:r>
        <w:rPr>
          <w:rFonts w:eastAsia="Times New Roman"/>
          <w:b/>
          <w:bCs/>
          <w:lang w:val="sl-SI"/>
        </w:rPr>
        <w:t>Opozorila in previdnostni ukrepi</w:t>
      </w:r>
    </w:p>
    <w:p w14:paraId="54B9AAB2" w14:textId="77777777" w:rsidR="00840AAB" w:rsidRDefault="00840AAB" w:rsidP="00840AAB">
      <w:pPr>
        <w:spacing w:before="9" w:line="240" w:lineRule="exact"/>
        <w:rPr>
          <w:sz w:val="24"/>
          <w:szCs w:val="24"/>
          <w:lang w:val="sl-SI"/>
        </w:rPr>
      </w:pPr>
    </w:p>
    <w:p w14:paraId="71D63F0F" w14:textId="77777777" w:rsidR="00840AAB" w:rsidRDefault="00840AAB" w:rsidP="00840AAB">
      <w:pPr>
        <w:pStyle w:val="a3"/>
        <w:rPr>
          <w:lang w:val="sl-SI"/>
        </w:rPr>
      </w:pPr>
      <w:r>
        <w:rPr>
          <w:rFonts w:eastAsia="Times New Roman"/>
          <w:lang w:val="sl-SI"/>
        </w:rPr>
        <w:t>Pred začetkom uporabe zdravila Yuflyma se posvetujte s svojim zdravnikom ali farmacevtom.</w:t>
      </w:r>
    </w:p>
    <w:p w14:paraId="433E1ED5" w14:textId="77777777" w:rsidR="00840AAB" w:rsidRDefault="00840AAB" w:rsidP="00840AAB">
      <w:pPr>
        <w:pStyle w:val="a3"/>
        <w:rPr>
          <w:lang w:val="sl-SI"/>
        </w:rPr>
      </w:pPr>
    </w:p>
    <w:p w14:paraId="413198F0" w14:textId="77777777" w:rsidR="00840AAB" w:rsidRDefault="00840AAB" w:rsidP="00840AAB">
      <w:pPr>
        <w:pStyle w:val="a3"/>
        <w:rPr>
          <w:u w:val="single" w:color="000000"/>
          <w:lang w:val="sl-SI"/>
        </w:rPr>
      </w:pPr>
      <w:r>
        <w:rPr>
          <w:rFonts w:eastAsia="Times New Roman"/>
          <w:u w:val="single" w:color="000000"/>
          <w:lang w:val="sl-SI"/>
        </w:rPr>
        <w:t>Alergijske reakcije</w:t>
      </w:r>
    </w:p>
    <w:p w14:paraId="26C4F493" w14:textId="77777777" w:rsidR="00840AAB" w:rsidRDefault="00840AAB" w:rsidP="00840AAB">
      <w:pPr>
        <w:pStyle w:val="a3"/>
        <w:rPr>
          <w:u w:val="single"/>
          <w:lang w:val="sl-SI"/>
        </w:rPr>
      </w:pPr>
    </w:p>
    <w:p w14:paraId="6CE76685" w14:textId="77777777" w:rsidR="00840AAB" w:rsidRDefault="00840AAB" w:rsidP="00840AAB">
      <w:pPr>
        <w:pStyle w:val="a3"/>
        <w:numPr>
          <w:ilvl w:val="1"/>
          <w:numId w:val="4"/>
        </w:numPr>
        <w:ind w:left="660" w:hanging="660"/>
        <w:rPr>
          <w:lang w:val="sl-SI"/>
        </w:rPr>
      </w:pPr>
      <w:r>
        <w:rPr>
          <w:rFonts w:eastAsia="Times New Roman"/>
          <w:lang w:val="sl-SI"/>
        </w:rPr>
        <w:t>Če doživite alergijske reakcije s simptomi, kot so tiščanje v prsih, piskajoče dihanje, omotica, otekanje ali izpuščaj, zdravila Yuflyma ne injicirajte več in se takoj posvetujte s svojim zdravnikom, saj so v redkih primerih te reakcije lahko življenje ogrožajoče.</w:t>
      </w:r>
    </w:p>
    <w:p w14:paraId="0454E239" w14:textId="77777777" w:rsidR="00840AAB" w:rsidRDefault="00840AAB" w:rsidP="00840AAB">
      <w:pPr>
        <w:pStyle w:val="a3"/>
        <w:rPr>
          <w:b/>
          <w:lang w:val="sl-SI"/>
        </w:rPr>
      </w:pPr>
    </w:p>
    <w:p w14:paraId="47775962" w14:textId="77777777" w:rsidR="00840AAB" w:rsidRDefault="00840AAB" w:rsidP="00840AAB">
      <w:pPr>
        <w:pStyle w:val="a3"/>
        <w:rPr>
          <w:u w:val="single"/>
          <w:lang w:val="sl-SI"/>
        </w:rPr>
      </w:pPr>
      <w:r>
        <w:rPr>
          <w:rFonts w:eastAsia="Times New Roman"/>
          <w:u w:val="single"/>
          <w:lang w:val="sl-SI"/>
        </w:rPr>
        <w:t>Okužbe</w:t>
      </w:r>
    </w:p>
    <w:p w14:paraId="48ACD2AD" w14:textId="77777777" w:rsidR="00840AAB" w:rsidRDefault="00840AAB" w:rsidP="00840AAB">
      <w:pPr>
        <w:pStyle w:val="a3"/>
        <w:rPr>
          <w:b/>
          <w:lang w:val="sl-SI"/>
        </w:rPr>
      </w:pPr>
    </w:p>
    <w:p w14:paraId="291B1B07" w14:textId="281BB649" w:rsidR="00840AAB" w:rsidRDefault="00840AAB" w:rsidP="00840AAB">
      <w:pPr>
        <w:pStyle w:val="a3"/>
        <w:numPr>
          <w:ilvl w:val="1"/>
          <w:numId w:val="4"/>
        </w:numPr>
        <w:ind w:left="660" w:hanging="660"/>
        <w:rPr>
          <w:lang w:val="sl-SI"/>
        </w:rPr>
      </w:pPr>
      <w:r>
        <w:rPr>
          <w:rFonts w:eastAsia="Times New Roman"/>
          <w:lang w:val="sl-SI"/>
        </w:rPr>
        <w:t xml:space="preserve">Če imate kakšno okužbo, vključno z dolgotrajno ali omejeno okužbo (npr. razjedo na nogi), se pred uporabo zdravila Yuflyma posvetujte s svojim zdravnikom. Če niste </w:t>
      </w:r>
      <w:r w:rsidR="006238AA" w:rsidRPr="0027578E">
        <w:rPr>
          <w:rFonts w:eastAsia="Times New Roman"/>
          <w:lang w:val="sl-SI"/>
        </w:rPr>
        <w:t>prepričani</w:t>
      </w:r>
      <w:r>
        <w:rPr>
          <w:rFonts w:eastAsia="Times New Roman"/>
          <w:lang w:val="sl-SI"/>
        </w:rPr>
        <w:t>, se posvetujte z zdravnikom.</w:t>
      </w:r>
    </w:p>
    <w:p w14:paraId="0FE8AFC4" w14:textId="77777777" w:rsidR="00840AAB" w:rsidRDefault="00840AAB" w:rsidP="00840AAB">
      <w:pPr>
        <w:pStyle w:val="a3"/>
        <w:rPr>
          <w:lang w:val="sl-SI"/>
        </w:rPr>
      </w:pPr>
    </w:p>
    <w:p w14:paraId="6CABABF8" w14:textId="77777777" w:rsidR="00840AAB" w:rsidRDefault="00840AAB" w:rsidP="00840AAB">
      <w:pPr>
        <w:pStyle w:val="a3"/>
        <w:numPr>
          <w:ilvl w:val="1"/>
          <w:numId w:val="4"/>
        </w:numPr>
        <w:ind w:left="660" w:hanging="660"/>
        <w:rPr>
          <w:lang w:val="sl-SI"/>
        </w:rPr>
      </w:pPr>
      <w:r>
        <w:rPr>
          <w:rFonts w:eastAsia="Times New Roman"/>
          <w:lang w:val="sl-SI"/>
        </w:rPr>
        <w:t>Med zdravljenjem z zdravilom Yuflyma se lahko poveča dovzetnost za okužbe. Če imate težave s pljuči, se to tveganje lahko poveča. Te okužbe so lahko resne in vključujejo:</w:t>
      </w:r>
    </w:p>
    <w:p w14:paraId="10F14B06" w14:textId="77777777" w:rsidR="00840AAB" w:rsidRDefault="00840AAB" w:rsidP="00840AAB">
      <w:pPr>
        <w:pStyle w:val="a3"/>
        <w:numPr>
          <w:ilvl w:val="1"/>
          <w:numId w:val="4"/>
        </w:numPr>
        <w:ind w:left="660" w:firstLine="49"/>
        <w:rPr>
          <w:lang w:val="sl-SI"/>
        </w:rPr>
      </w:pPr>
      <w:r>
        <w:rPr>
          <w:rFonts w:eastAsia="Times New Roman"/>
          <w:lang w:val="sl-SI"/>
        </w:rPr>
        <w:t>tuberkulozo,</w:t>
      </w:r>
    </w:p>
    <w:p w14:paraId="13D7D776" w14:textId="77777777" w:rsidR="00840AAB" w:rsidRDefault="00840AAB" w:rsidP="00840AAB">
      <w:pPr>
        <w:pStyle w:val="a3"/>
        <w:numPr>
          <w:ilvl w:val="1"/>
          <w:numId w:val="4"/>
        </w:numPr>
        <w:ind w:left="660" w:firstLine="49"/>
        <w:rPr>
          <w:lang w:val="sl-SI"/>
        </w:rPr>
      </w:pPr>
      <w:r>
        <w:rPr>
          <w:rFonts w:eastAsia="Times New Roman"/>
          <w:lang w:val="sl-SI"/>
        </w:rPr>
        <w:t>okužbe, ki jih povzročajo virusi, glive, zajedavci ali bakterije,</w:t>
      </w:r>
    </w:p>
    <w:p w14:paraId="5A7178C5" w14:textId="77777777" w:rsidR="00840AAB" w:rsidRDefault="00840AAB" w:rsidP="00840AAB">
      <w:pPr>
        <w:pStyle w:val="a3"/>
        <w:numPr>
          <w:ilvl w:val="1"/>
          <w:numId w:val="4"/>
        </w:numPr>
        <w:ind w:left="660" w:firstLine="49"/>
        <w:rPr>
          <w:lang w:val="sl-SI"/>
        </w:rPr>
      </w:pPr>
      <w:r>
        <w:rPr>
          <w:rFonts w:eastAsia="Times New Roman"/>
          <w:lang w:val="sl-SI"/>
        </w:rPr>
        <w:t>hude okužbe krvi (sepso).</w:t>
      </w:r>
    </w:p>
    <w:p w14:paraId="4E331287" w14:textId="77777777" w:rsidR="00840AAB" w:rsidRDefault="00840AAB" w:rsidP="00840AAB">
      <w:pPr>
        <w:pStyle w:val="a3"/>
        <w:rPr>
          <w:lang w:val="sl-SI"/>
        </w:rPr>
      </w:pPr>
    </w:p>
    <w:p w14:paraId="185AB3A4" w14:textId="77777777" w:rsidR="00840AAB" w:rsidRDefault="00840AAB" w:rsidP="00840AAB">
      <w:pPr>
        <w:pStyle w:val="a3"/>
        <w:numPr>
          <w:ilvl w:val="0"/>
          <w:numId w:val="0"/>
        </w:numPr>
        <w:ind w:left="660"/>
        <w:rPr>
          <w:lang w:val="sl-SI"/>
        </w:rPr>
      </w:pPr>
      <w:r>
        <w:rPr>
          <w:rFonts w:eastAsia="Times New Roman"/>
          <w:lang w:val="sl-SI"/>
        </w:rPr>
        <w:t xml:space="preserve">V redkih primerih so lahko te okužbe smrtno nevarne. Pomembno je, da svojega zdravnika obvestite o simptomih, kot so zvišana telesna temperatura, rane, utrujenost ali težave z zobmi. Vaš zdravnik bo </w:t>
      </w:r>
      <w:r>
        <w:rPr>
          <w:rFonts w:eastAsia="Times New Roman"/>
          <w:lang w:val="sl-SI"/>
        </w:rPr>
        <w:lastRenderedPageBreak/>
        <w:t>morda priporočil začasno prenehanje uporabe zdravila Yuflyma.</w:t>
      </w:r>
    </w:p>
    <w:p w14:paraId="6AAA51F3" w14:textId="77777777" w:rsidR="00840AAB" w:rsidRDefault="00840AAB" w:rsidP="00840AAB">
      <w:pPr>
        <w:pStyle w:val="a3"/>
        <w:rPr>
          <w:lang w:val="sl-SI"/>
        </w:rPr>
      </w:pPr>
    </w:p>
    <w:p w14:paraId="2316BA09" w14:textId="77777777" w:rsidR="00840AAB" w:rsidRDefault="00840AAB" w:rsidP="00840AAB">
      <w:pPr>
        <w:pStyle w:val="a3"/>
        <w:numPr>
          <w:ilvl w:val="1"/>
          <w:numId w:val="4"/>
        </w:numPr>
        <w:ind w:left="660" w:hanging="660"/>
        <w:rPr>
          <w:lang w:val="sl-SI"/>
        </w:rPr>
      </w:pPr>
      <w:r>
        <w:rPr>
          <w:rFonts w:eastAsia="Times New Roman"/>
          <w:lang w:val="sl-SI"/>
        </w:rPr>
        <w:t>Zdravniku povejte, če živite na območju ali potujete v regije, kjer so glivične okužbe (npr. histoplazmoza, kokcidioidomikoza ali blastomikoza) zelo pogoste.</w:t>
      </w:r>
    </w:p>
    <w:p w14:paraId="39EBAE2E" w14:textId="77777777" w:rsidR="00840AAB" w:rsidRDefault="00840AAB" w:rsidP="00840AAB">
      <w:pPr>
        <w:pStyle w:val="a3"/>
        <w:rPr>
          <w:lang w:val="sl-SI"/>
        </w:rPr>
      </w:pPr>
    </w:p>
    <w:p w14:paraId="2185FC6B" w14:textId="77777777" w:rsidR="00840AAB" w:rsidRDefault="00840AAB" w:rsidP="00840AAB">
      <w:pPr>
        <w:pStyle w:val="a3"/>
        <w:numPr>
          <w:ilvl w:val="1"/>
          <w:numId w:val="4"/>
        </w:numPr>
        <w:ind w:left="660" w:hanging="660"/>
        <w:rPr>
          <w:lang w:val="sl-SI"/>
        </w:rPr>
      </w:pPr>
      <w:r>
        <w:rPr>
          <w:rFonts w:eastAsia="Times New Roman"/>
          <w:lang w:val="sl-SI"/>
        </w:rPr>
        <w:t>Zdravniku povejte, če ste imeli v preteklosti ponavljajoče se okužbe ali druga stanja, ki povečajo tveganje za okužbe.</w:t>
      </w:r>
    </w:p>
    <w:p w14:paraId="2C316951" w14:textId="77777777" w:rsidR="00840AAB" w:rsidRDefault="00840AAB" w:rsidP="00840AAB">
      <w:pPr>
        <w:pStyle w:val="a3"/>
        <w:numPr>
          <w:ilvl w:val="0"/>
          <w:numId w:val="0"/>
        </w:numPr>
        <w:rPr>
          <w:lang w:val="sl-SI"/>
        </w:rPr>
      </w:pPr>
    </w:p>
    <w:p w14:paraId="7EA21719" w14:textId="1647FF4D" w:rsidR="00840AAB" w:rsidRDefault="00840AAB" w:rsidP="00840AAB">
      <w:pPr>
        <w:pStyle w:val="a3"/>
        <w:numPr>
          <w:ilvl w:val="1"/>
          <w:numId w:val="4"/>
        </w:numPr>
        <w:ind w:left="660" w:hanging="660"/>
        <w:rPr>
          <w:lang w:val="sl-SI"/>
        </w:rPr>
      </w:pPr>
      <w:r>
        <w:rPr>
          <w:rFonts w:eastAsia="Times New Roman"/>
          <w:lang w:val="sl-SI"/>
        </w:rPr>
        <w:t xml:space="preserve">Če ste starejši od 65 let, </w:t>
      </w:r>
      <w:r w:rsidR="00D504A9">
        <w:rPr>
          <w:rFonts w:eastAsia="Times New Roman"/>
          <w:lang w:val="sl-SI"/>
        </w:rPr>
        <w:t xml:space="preserve">ste morda dovzetnejši za okužbe če jemljete </w:t>
      </w:r>
      <w:r>
        <w:rPr>
          <w:rFonts w:eastAsia="Times New Roman"/>
          <w:lang w:val="sl-SI"/>
        </w:rPr>
        <w:t>zdravil</w:t>
      </w:r>
      <w:r w:rsidR="00D504A9">
        <w:rPr>
          <w:rFonts w:eastAsia="Times New Roman"/>
          <w:lang w:val="sl-SI"/>
        </w:rPr>
        <w:t>o</w:t>
      </w:r>
      <w:r>
        <w:rPr>
          <w:rFonts w:eastAsia="Times New Roman"/>
          <w:lang w:val="sl-SI"/>
        </w:rPr>
        <w:t xml:space="preserve"> Yuflyma večja. Med zdravljenjem z zdravilom Yuflyma morate biti vi in zdravnik še posebej pozorni na znake okužbe. Pomembno je, da svojemu zdravniku poveste, če dobite znake okužbe, kot so zvišana telesna temperatura, rane, občutek utrujenosti ali težave z zobmi.</w:t>
      </w:r>
    </w:p>
    <w:p w14:paraId="2B5D0FA5" w14:textId="77777777" w:rsidR="00840AAB" w:rsidRDefault="00840AAB" w:rsidP="00840AAB">
      <w:pPr>
        <w:spacing w:before="11" w:line="240" w:lineRule="exact"/>
        <w:rPr>
          <w:sz w:val="24"/>
          <w:szCs w:val="24"/>
          <w:lang w:val="sl-SI"/>
        </w:rPr>
      </w:pPr>
    </w:p>
    <w:p w14:paraId="2C2E06A2" w14:textId="77777777" w:rsidR="00840AAB" w:rsidRDefault="00840AAB" w:rsidP="00840AAB">
      <w:pPr>
        <w:pStyle w:val="a3"/>
        <w:rPr>
          <w:u w:val="single"/>
          <w:lang w:val="sl-SI"/>
        </w:rPr>
      </w:pPr>
      <w:r>
        <w:rPr>
          <w:rFonts w:eastAsia="Times New Roman"/>
          <w:u w:val="single" w:color="000000"/>
          <w:lang w:val="sl-SI"/>
        </w:rPr>
        <w:t>Tuberkuloza</w:t>
      </w:r>
    </w:p>
    <w:p w14:paraId="1BA4B420" w14:textId="77777777" w:rsidR="00840AAB" w:rsidRDefault="00840AAB" w:rsidP="00840AAB">
      <w:pPr>
        <w:spacing w:before="12" w:line="240" w:lineRule="exact"/>
        <w:rPr>
          <w:sz w:val="24"/>
          <w:szCs w:val="24"/>
          <w:lang w:val="sl-SI"/>
        </w:rPr>
      </w:pPr>
    </w:p>
    <w:p w14:paraId="189EFD2E" w14:textId="77777777" w:rsidR="00840AAB" w:rsidRDefault="00840AAB" w:rsidP="00840AAB">
      <w:pPr>
        <w:pStyle w:val="a3"/>
        <w:numPr>
          <w:ilvl w:val="1"/>
          <w:numId w:val="4"/>
        </w:numPr>
        <w:ind w:left="660" w:hanging="660"/>
        <w:rPr>
          <w:lang w:val="sl-SI"/>
        </w:rPr>
      </w:pPr>
      <w:r>
        <w:rPr>
          <w:rFonts w:eastAsia="Times New Roman"/>
          <w:lang w:val="sl-SI"/>
        </w:rPr>
        <w:t>Zelo pomembno je, da svojemu zdravniku poveste, če ste kdaj imeli tuberkulozo ali če ste bili v tesnem stiku s kom, ki jo je imel. Če imate aktivno tuberkulozo, ne uporabljajte zdravila Yuflyma.</w:t>
      </w:r>
    </w:p>
    <w:p w14:paraId="2663811D" w14:textId="77777777" w:rsidR="00840AAB" w:rsidRDefault="00840AAB" w:rsidP="00840AAB">
      <w:pPr>
        <w:pStyle w:val="a3"/>
        <w:numPr>
          <w:ilvl w:val="1"/>
          <w:numId w:val="4"/>
        </w:numPr>
        <w:ind w:left="998" w:hanging="340"/>
        <w:rPr>
          <w:lang w:val="sl-SI"/>
        </w:rPr>
      </w:pPr>
      <w:r>
        <w:rPr>
          <w:rFonts w:eastAsia="Times New Roman"/>
          <w:lang w:val="sl-SI"/>
        </w:rPr>
        <w:t xml:space="preserve">Ker so bili pri bolnikih, zdravljenih z zdravilom Yuflyma opisani primeri tuberkuloze, vas bo zdravnik pred začetkom zdravljenja z zdravilom Yuflyma preiskal in preveril, ali imate znake in simptome tuberkuloze. To bo vključevalo natančno zdravniško oceno vključno s poizvedbo o vašem zdravju v preteklosti in ustrezne preiskave (npr. rentgensko slikanje prsnih organov in tuberkulinski test). Izvedbo in rezultate teh preiskav je treba zabeležiti na </w:t>
      </w:r>
      <w:r>
        <w:rPr>
          <w:rFonts w:eastAsia="Times New Roman"/>
          <w:b/>
          <w:bCs/>
          <w:lang w:val="sl-SI"/>
        </w:rPr>
        <w:t>opozorilno kartico za bolnika</w:t>
      </w:r>
      <w:r>
        <w:rPr>
          <w:rFonts w:eastAsia="Times New Roman"/>
          <w:lang w:val="sl-SI"/>
        </w:rPr>
        <w:t>.</w:t>
      </w:r>
    </w:p>
    <w:p w14:paraId="525D003D" w14:textId="77777777" w:rsidR="00840AAB" w:rsidRDefault="00840AAB" w:rsidP="00840AAB">
      <w:pPr>
        <w:pStyle w:val="a3"/>
        <w:numPr>
          <w:ilvl w:val="1"/>
          <w:numId w:val="4"/>
        </w:numPr>
        <w:ind w:left="998" w:hanging="340"/>
        <w:rPr>
          <w:lang w:val="sl-SI"/>
        </w:rPr>
      </w:pPr>
      <w:r>
        <w:rPr>
          <w:rFonts w:eastAsia="Times New Roman"/>
          <w:lang w:val="sl-SI"/>
        </w:rPr>
        <w:t>Tuberkuloza se lahko razvije med zdravljenjem, tudi če ste prejeli preventivno zdravljenje za tuberkulozo.</w:t>
      </w:r>
    </w:p>
    <w:p w14:paraId="54DF01AB" w14:textId="77777777" w:rsidR="00840AAB" w:rsidRDefault="00840AAB" w:rsidP="00840AAB">
      <w:pPr>
        <w:pStyle w:val="a3"/>
        <w:numPr>
          <w:ilvl w:val="1"/>
          <w:numId w:val="4"/>
        </w:numPr>
        <w:ind w:left="998" w:hanging="340"/>
        <w:rPr>
          <w:lang w:val="sl-SI"/>
        </w:rPr>
      </w:pPr>
      <w:r>
        <w:rPr>
          <w:rFonts w:eastAsia="Times New Roman"/>
          <w:lang w:val="sl-SI"/>
        </w:rPr>
        <w:t>Če se med zdravljenjem ali po njem pojavijo simptomi tuberkuloze (npr. kašelj, ki ne preneha, hujšanje, pomanjkanje energije, rahlo zvišana telesna temperatura) ali kakšne druge okužbe, to takoj povejte zdravniku.</w:t>
      </w:r>
    </w:p>
    <w:p w14:paraId="0A4FF157" w14:textId="77777777" w:rsidR="00840AAB" w:rsidRDefault="00840AAB" w:rsidP="00840AAB">
      <w:pPr>
        <w:spacing w:before="11" w:line="240" w:lineRule="exact"/>
        <w:rPr>
          <w:sz w:val="24"/>
          <w:szCs w:val="24"/>
          <w:lang w:val="sl-SI"/>
        </w:rPr>
      </w:pPr>
    </w:p>
    <w:p w14:paraId="37EA3F84" w14:textId="77777777" w:rsidR="00840AAB" w:rsidRDefault="00840AAB" w:rsidP="00840AAB">
      <w:pPr>
        <w:pStyle w:val="a3"/>
        <w:rPr>
          <w:u w:val="single"/>
          <w:lang w:val="sl-SI"/>
        </w:rPr>
      </w:pPr>
      <w:r>
        <w:rPr>
          <w:rFonts w:eastAsia="Times New Roman"/>
          <w:u w:val="single" w:color="000000"/>
          <w:lang w:val="sl-SI"/>
        </w:rPr>
        <w:t>Hepatitis B</w:t>
      </w:r>
    </w:p>
    <w:p w14:paraId="30938B89" w14:textId="77777777" w:rsidR="00840AAB" w:rsidRDefault="00840AAB" w:rsidP="00840AAB">
      <w:pPr>
        <w:spacing w:before="4" w:line="190" w:lineRule="exact"/>
        <w:rPr>
          <w:sz w:val="19"/>
          <w:szCs w:val="19"/>
          <w:lang w:val="sl-SI"/>
        </w:rPr>
      </w:pPr>
    </w:p>
    <w:p w14:paraId="275CE5C8" w14:textId="77777777" w:rsidR="00840AAB" w:rsidRDefault="00840AAB" w:rsidP="00840AAB">
      <w:pPr>
        <w:pStyle w:val="a3"/>
        <w:numPr>
          <w:ilvl w:val="1"/>
          <w:numId w:val="4"/>
        </w:numPr>
        <w:ind w:left="660" w:hanging="660"/>
        <w:rPr>
          <w:lang w:val="sl-SI"/>
        </w:rPr>
      </w:pPr>
      <w:r>
        <w:rPr>
          <w:rFonts w:eastAsia="Times New Roman"/>
          <w:lang w:val="sl-SI"/>
        </w:rPr>
        <w:t>Zdravniku morate povedati, če ste nosilec virusa hepatitisa B (HBV), če imate aktiven HBV ali če mislite, da bi lahko dobili HBV</w:t>
      </w:r>
    </w:p>
    <w:p w14:paraId="31E7E96C" w14:textId="77777777" w:rsidR="00840AAB" w:rsidRDefault="00840AAB" w:rsidP="00840AAB">
      <w:pPr>
        <w:pStyle w:val="a3"/>
        <w:numPr>
          <w:ilvl w:val="1"/>
          <w:numId w:val="4"/>
        </w:numPr>
        <w:ind w:left="998" w:hanging="340"/>
        <w:rPr>
          <w:lang w:val="sl-SI"/>
        </w:rPr>
      </w:pPr>
      <w:r>
        <w:rPr>
          <w:rFonts w:eastAsia="Times New Roman"/>
          <w:lang w:val="sl-SI"/>
        </w:rPr>
        <w:t>Vaš zdravnik vas mora testirati na HBV. Zdravilo Yuflyma lahko pri nosilcih HBV povzroči reaktivacijo tega virusa.</w:t>
      </w:r>
    </w:p>
    <w:p w14:paraId="28F29DD1" w14:textId="77777777" w:rsidR="00840AAB" w:rsidRDefault="00840AAB" w:rsidP="00840AAB">
      <w:pPr>
        <w:pStyle w:val="a3"/>
        <w:numPr>
          <w:ilvl w:val="1"/>
          <w:numId w:val="4"/>
        </w:numPr>
        <w:ind w:left="998" w:hanging="340"/>
        <w:rPr>
          <w:lang w:val="sl-SI"/>
        </w:rPr>
      </w:pPr>
      <w:r>
        <w:rPr>
          <w:rFonts w:eastAsia="Times New Roman"/>
          <w:lang w:val="sl-SI"/>
        </w:rPr>
        <w:t>V redkih primerih, zlasti če jemljete druga zdravila, ki zavirajo imunski sistem, je lahko ponovna aktivacija HBV smrtno nevarna.</w:t>
      </w:r>
    </w:p>
    <w:p w14:paraId="7E9D1CA2" w14:textId="77777777" w:rsidR="00840AAB" w:rsidRDefault="00840AAB" w:rsidP="00840AAB">
      <w:pPr>
        <w:spacing w:before="11" w:line="240" w:lineRule="exact"/>
        <w:rPr>
          <w:sz w:val="24"/>
          <w:szCs w:val="24"/>
          <w:lang w:val="sl-SI"/>
        </w:rPr>
      </w:pPr>
    </w:p>
    <w:p w14:paraId="6C607E84" w14:textId="77777777" w:rsidR="00840AAB" w:rsidRDefault="00840AAB" w:rsidP="00840AAB">
      <w:pPr>
        <w:pStyle w:val="a3"/>
        <w:rPr>
          <w:u w:val="single"/>
          <w:lang w:val="sl-SI"/>
        </w:rPr>
      </w:pPr>
      <w:r>
        <w:rPr>
          <w:rFonts w:eastAsia="Times New Roman"/>
          <w:u w:val="single" w:color="000000"/>
          <w:lang w:val="sl-SI"/>
        </w:rPr>
        <w:t>Kirurški poseg ali poseg na zobeh</w:t>
      </w:r>
    </w:p>
    <w:p w14:paraId="4CE27DF8" w14:textId="77777777" w:rsidR="00840AAB" w:rsidRDefault="00840AAB" w:rsidP="00840AAB">
      <w:pPr>
        <w:spacing w:before="4" w:line="190" w:lineRule="exact"/>
        <w:rPr>
          <w:sz w:val="19"/>
          <w:szCs w:val="19"/>
          <w:lang w:val="sl-SI"/>
        </w:rPr>
      </w:pPr>
    </w:p>
    <w:p w14:paraId="28078237" w14:textId="77777777" w:rsidR="00840AAB" w:rsidRDefault="00840AAB" w:rsidP="00840AAB">
      <w:pPr>
        <w:pStyle w:val="a3"/>
        <w:numPr>
          <w:ilvl w:val="1"/>
          <w:numId w:val="4"/>
        </w:numPr>
        <w:ind w:left="660" w:hanging="660"/>
        <w:rPr>
          <w:lang w:val="sl-SI"/>
        </w:rPr>
      </w:pPr>
      <w:r>
        <w:rPr>
          <w:rFonts w:eastAsia="Times New Roman"/>
          <w:lang w:val="sl-SI"/>
        </w:rPr>
        <w:t>Če boste imeli kirurški poseg ali poseg na zobeh, prosimo, povejte svojemu zdravniku, da jemljete zdravilo Yuflyma. Zdravnik vam bo morda priporočil začasno prekinitev zdravljenja z zdravilom Yuflyma.</w:t>
      </w:r>
    </w:p>
    <w:p w14:paraId="431B39C5" w14:textId="77777777" w:rsidR="00840AAB" w:rsidRDefault="00840AAB" w:rsidP="00840AAB">
      <w:pPr>
        <w:spacing w:before="8" w:line="240" w:lineRule="exact"/>
        <w:rPr>
          <w:sz w:val="24"/>
          <w:szCs w:val="24"/>
          <w:lang w:val="sl-SI"/>
        </w:rPr>
      </w:pPr>
    </w:p>
    <w:p w14:paraId="0684007A" w14:textId="77777777" w:rsidR="00840AAB" w:rsidRDefault="00840AAB" w:rsidP="00840AAB">
      <w:pPr>
        <w:pStyle w:val="a3"/>
        <w:rPr>
          <w:u w:val="single"/>
          <w:lang w:val="sl-SI"/>
        </w:rPr>
      </w:pPr>
      <w:r>
        <w:rPr>
          <w:rFonts w:eastAsia="Times New Roman"/>
          <w:u w:val="single" w:color="000000"/>
          <w:lang w:val="sl-SI"/>
        </w:rPr>
        <w:t>Demielinizirajoča bolezen</w:t>
      </w:r>
    </w:p>
    <w:p w14:paraId="11130DDB" w14:textId="77777777" w:rsidR="00840AAB" w:rsidRDefault="00840AAB" w:rsidP="00840AAB">
      <w:pPr>
        <w:spacing w:before="4" w:line="190" w:lineRule="exact"/>
        <w:rPr>
          <w:sz w:val="19"/>
          <w:szCs w:val="19"/>
          <w:lang w:val="sl-SI"/>
        </w:rPr>
      </w:pPr>
    </w:p>
    <w:p w14:paraId="2307539E" w14:textId="063A4288" w:rsidR="00840AAB" w:rsidRDefault="00840AAB" w:rsidP="00840AAB">
      <w:pPr>
        <w:pStyle w:val="a3"/>
        <w:numPr>
          <w:ilvl w:val="1"/>
          <w:numId w:val="4"/>
        </w:numPr>
        <w:ind w:left="660" w:hanging="660"/>
        <w:rPr>
          <w:lang w:val="sl-SI"/>
        </w:rPr>
      </w:pPr>
      <w:r>
        <w:rPr>
          <w:rFonts w:eastAsia="Times New Roman"/>
          <w:lang w:val="sl-SI"/>
        </w:rPr>
        <w:t>Če imate ali pa se pri vas razvija demielinizirajoča bolezen</w:t>
      </w:r>
      <w:r w:rsidR="00D504A9">
        <w:rPr>
          <w:rFonts w:eastAsia="Times New Roman"/>
          <w:lang w:val="sl-SI"/>
        </w:rPr>
        <w:t xml:space="preserve"> (bolezen, ki prizadene izolacijsko plast okrog živcev</w:t>
      </w:r>
      <w:r>
        <w:rPr>
          <w:rFonts w:eastAsia="Times New Roman"/>
          <w:lang w:val="sl-SI"/>
        </w:rPr>
        <w:t>, kot je multipla skleroza</w:t>
      </w:r>
      <w:r w:rsidR="00D504A9">
        <w:rPr>
          <w:rFonts w:eastAsia="Times New Roman"/>
          <w:lang w:val="sl-SI"/>
        </w:rPr>
        <w:t>)</w:t>
      </w:r>
      <w:r>
        <w:rPr>
          <w:rFonts w:eastAsia="Times New Roman"/>
          <w:lang w:val="sl-SI"/>
        </w:rPr>
        <w:t>, bo zdravnik presodil, ali lahko dobivate oziroma tudi še nadalje dobivate zdravilo Yuflyma. Če opazite simptome, kot so spremembe vida, šibkost rok ali nog, otrplost ali mravljinčenje v katerem koli delu telesa, o tem nemudoma obvestite zdravnika.</w:t>
      </w:r>
    </w:p>
    <w:p w14:paraId="6B1F8BB1" w14:textId="77777777" w:rsidR="00840AAB" w:rsidRDefault="00840AAB" w:rsidP="00840AAB">
      <w:pPr>
        <w:spacing w:before="14" w:line="240" w:lineRule="exact"/>
        <w:rPr>
          <w:sz w:val="24"/>
          <w:szCs w:val="24"/>
          <w:lang w:val="sl-SI"/>
        </w:rPr>
      </w:pPr>
    </w:p>
    <w:p w14:paraId="343F0774" w14:textId="77777777" w:rsidR="00840AAB" w:rsidRDefault="00840AAB" w:rsidP="00840AAB">
      <w:pPr>
        <w:pStyle w:val="a3"/>
        <w:rPr>
          <w:u w:val="single"/>
          <w:lang w:val="sl-SI"/>
        </w:rPr>
      </w:pPr>
      <w:r>
        <w:rPr>
          <w:rFonts w:eastAsia="Times New Roman"/>
          <w:u w:val="single" w:color="000000"/>
          <w:lang w:val="sl-SI"/>
        </w:rPr>
        <w:t>Cepljenja</w:t>
      </w:r>
    </w:p>
    <w:p w14:paraId="710DB43F" w14:textId="77777777" w:rsidR="00840AAB" w:rsidRDefault="00840AAB" w:rsidP="00840AAB">
      <w:pPr>
        <w:spacing w:before="4" w:line="190" w:lineRule="exact"/>
        <w:rPr>
          <w:sz w:val="19"/>
          <w:szCs w:val="19"/>
          <w:lang w:val="sl-SI"/>
        </w:rPr>
      </w:pPr>
    </w:p>
    <w:p w14:paraId="35C8BD30" w14:textId="77777777" w:rsidR="00840AAB" w:rsidRDefault="00840AAB" w:rsidP="00840AAB">
      <w:pPr>
        <w:pStyle w:val="a3"/>
        <w:numPr>
          <w:ilvl w:val="1"/>
          <w:numId w:val="4"/>
        </w:numPr>
        <w:ind w:left="660" w:hanging="660"/>
        <w:rPr>
          <w:lang w:val="sl-SI"/>
        </w:rPr>
      </w:pPr>
      <w:r>
        <w:rPr>
          <w:rFonts w:eastAsia="Times New Roman"/>
          <w:lang w:val="sl-SI"/>
        </w:rPr>
        <w:t xml:space="preserve">Določena cepiva lahko povzročijo okužbe, zato se jih med zdravljenjem z zdravilom Yuflyma ne </w:t>
      </w:r>
      <w:r>
        <w:rPr>
          <w:rFonts w:eastAsia="Times New Roman"/>
          <w:lang w:val="sl-SI"/>
        </w:rPr>
        <w:lastRenderedPageBreak/>
        <w:t>sme uporabljati.</w:t>
      </w:r>
    </w:p>
    <w:p w14:paraId="710EAE48" w14:textId="77777777" w:rsidR="00840AAB" w:rsidRDefault="00840AAB" w:rsidP="00840AAB">
      <w:pPr>
        <w:spacing w:before="11" w:line="240" w:lineRule="exact"/>
        <w:rPr>
          <w:sz w:val="24"/>
          <w:szCs w:val="24"/>
          <w:lang w:val="sl-SI"/>
        </w:rPr>
      </w:pPr>
    </w:p>
    <w:p w14:paraId="5B40E3CF" w14:textId="77777777" w:rsidR="00840AAB" w:rsidRDefault="00840AAB" w:rsidP="00840AAB">
      <w:pPr>
        <w:pStyle w:val="a3"/>
        <w:numPr>
          <w:ilvl w:val="1"/>
          <w:numId w:val="4"/>
        </w:numPr>
        <w:ind w:left="998" w:hanging="340"/>
        <w:rPr>
          <w:lang w:val="sl-SI"/>
        </w:rPr>
      </w:pPr>
      <w:r>
        <w:rPr>
          <w:rFonts w:eastAsia="Times New Roman"/>
          <w:lang w:val="sl-SI"/>
        </w:rPr>
        <w:t>Preden opravite kakršno koli cepljenje, se posvetujte z zdravnikom.</w:t>
      </w:r>
    </w:p>
    <w:p w14:paraId="63706C84" w14:textId="77777777" w:rsidR="00840AAB" w:rsidRDefault="00840AAB" w:rsidP="00840AAB">
      <w:pPr>
        <w:pStyle w:val="a3"/>
        <w:numPr>
          <w:ilvl w:val="1"/>
          <w:numId w:val="4"/>
        </w:numPr>
        <w:ind w:left="998" w:hanging="340"/>
        <w:rPr>
          <w:lang w:val="sl-SI"/>
        </w:rPr>
      </w:pPr>
      <w:r>
        <w:rPr>
          <w:rFonts w:eastAsia="Times New Roman"/>
          <w:lang w:val="sl-SI"/>
        </w:rPr>
        <w:t>Priporočljivo je, če je le mogoče, da otroci pred začetkom zdravljenja z zdravilom Yuflyma opravijo vsa cepljenja za svojo starost.</w:t>
      </w:r>
    </w:p>
    <w:p w14:paraId="6AFFE881" w14:textId="77777777" w:rsidR="00840AAB" w:rsidRDefault="00840AAB" w:rsidP="00840AAB">
      <w:pPr>
        <w:pStyle w:val="a3"/>
        <w:numPr>
          <w:ilvl w:val="1"/>
          <w:numId w:val="4"/>
        </w:numPr>
        <w:ind w:left="998" w:hanging="340"/>
        <w:rPr>
          <w:lang w:val="sl-SI"/>
        </w:rPr>
      </w:pPr>
      <w:r>
        <w:rPr>
          <w:rFonts w:eastAsia="Times New Roman"/>
          <w:lang w:val="sl-SI"/>
        </w:rPr>
        <w:t>Če ste prejemali zdravilo Yuflyma med nosečnostjo, obstaja večje tveganje, da bo vaš otrok dobil takšno okužbo do približno pet mesecev po zadnjem odmerku zdravila Yuflyma, ki ste ga prejeli med nosečnostjo. Pomembno je, da o uporabi zdravila Yuflyma med nosečnostjo obvestite otrokove zdravnike in druge zdravstvene delavce, da se bodo lahko odločili, kdaj bo vaš otrok prejel katero koli cepivo.</w:t>
      </w:r>
    </w:p>
    <w:p w14:paraId="768793EC" w14:textId="77777777" w:rsidR="00840AAB" w:rsidRDefault="00840AAB" w:rsidP="00840AAB">
      <w:pPr>
        <w:spacing w:before="14" w:line="240" w:lineRule="exact"/>
        <w:rPr>
          <w:sz w:val="24"/>
          <w:szCs w:val="24"/>
          <w:lang w:val="sl-SI"/>
        </w:rPr>
      </w:pPr>
    </w:p>
    <w:p w14:paraId="4A42B6B3" w14:textId="77777777" w:rsidR="00840AAB" w:rsidRDefault="00840AAB" w:rsidP="00840AAB">
      <w:pPr>
        <w:pStyle w:val="a3"/>
        <w:rPr>
          <w:u w:val="single"/>
          <w:lang w:val="sl-SI"/>
        </w:rPr>
      </w:pPr>
      <w:r>
        <w:rPr>
          <w:rFonts w:eastAsia="Times New Roman"/>
          <w:u w:val="single" w:color="000000"/>
          <w:lang w:val="sl-SI"/>
        </w:rPr>
        <w:t>Srčno popuščanje</w:t>
      </w:r>
    </w:p>
    <w:p w14:paraId="7C67D581" w14:textId="77777777" w:rsidR="00840AAB" w:rsidRDefault="00840AAB" w:rsidP="00840AAB">
      <w:pPr>
        <w:spacing w:before="4" w:line="190" w:lineRule="exact"/>
        <w:rPr>
          <w:sz w:val="19"/>
          <w:szCs w:val="19"/>
          <w:lang w:val="sl-SI"/>
        </w:rPr>
      </w:pPr>
    </w:p>
    <w:p w14:paraId="3676A5F5" w14:textId="77777777" w:rsidR="00840AAB" w:rsidRDefault="00840AAB" w:rsidP="00840AAB">
      <w:pPr>
        <w:pStyle w:val="a3"/>
        <w:numPr>
          <w:ilvl w:val="1"/>
          <w:numId w:val="4"/>
        </w:numPr>
        <w:ind w:left="660" w:hanging="660"/>
        <w:rPr>
          <w:lang w:val="sl-SI"/>
        </w:rPr>
      </w:pPr>
      <w:r>
        <w:rPr>
          <w:rFonts w:eastAsia="Times New Roman"/>
          <w:lang w:val="sl-SI"/>
        </w:rPr>
        <w:t>Če imate blago srčno popuščanje in se zdravite z zdravilom Yuflyma, mora zdravnik natančno spremljati stanje vašega srčnega popuščanja. Pomembno je, da zdravniku poveste, če ste imeli ali imate resnejše težave s srcem. Če se simptomi srčnega popuščanja (npr. težko dihanje ali otekanje nog) pojavijo na novo ali se poslabšajo, se morate takoj obrniti na svojega zdravnika. Ta bo presodil, ali lahko dobivate zdravilo Yuflyma.</w:t>
      </w:r>
    </w:p>
    <w:p w14:paraId="00C977A8" w14:textId="77777777" w:rsidR="00840AAB" w:rsidRDefault="00840AAB" w:rsidP="00840AAB">
      <w:pPr>
        <w:spacing w:before="14" w:line="240" w:lineRule="exact"/>
        <w:rPr>
          <w:sz w:val="24"/>
          <w:szCs w:val="24"/>
          <w:lang w:val="sl-SI"/>
        </w:rPr>
      </w:pPr>
    </w:p>
    <w:p w14:paraId="4C001EBA" w14:textId="77777777" w:rsidR="00840AAB" w:rsidRDefault="00840AAB" w:rsidP="00840AAB">
      <w:pPr>
        <w:pStyle w:val="a3"/>
        <w:rPr>
          <w:u w:val="single"/>
          <w:lang w:val="sl-SI"/>
        </w:rPr>
      </w:pPr>
      <w:r>
        <w:rPr>
          <w:rFonts w:eastAsia="Times New Roman"/>
          <w:u w:val="single" w:color="000000"/>
          <w:lang w:val="sl-SI"/>
        </w:rPr>
        <w:t>Zvišana telesna temperatura, podplutbe, krvavitve ali bledica</w:t>
      </w:r>
    </w:p>
    <w:p w14:paraId="3BA7B657" w14:textId="77777777" w:rsidR="00840AAB" w:rsidRDefault="00840AAB" w:rsidP="00840AAB">
      <w:pPr>
        <w:spacing w:before="4" w:line="190" w:lineRule="exact"/>
        <w:rPr>
          <w:sz w:val="19"/>
          <w:szCs w:val="19"/>
          <w:lang w:val="sl-SI"/>
        </w:rPr>
      </w:pPr>
    </w:p>
    <w:p w14:paraId="2C0AF4B5" w14:textId="77777777" w:rsidR="00840AAB" w:rsidRDefault="00840AAB" w:rsidP="00840AAB">
      <w:pPr>
        <w:pStyle w:val="a3"/>
        <w:numPr>
          <w:ilvl w:val="1"/>
          <w:numId w:val="4"/>
        </w:numPr>
        <w:ind w:left="660" w:hanging="660"/>
        <w:rPr>
          <w:lang w:val="sl-SI"/>
        </w:rPr>
      </w:pPr>
      <w:r>
        <w:rPr>
          <w:rFonts w:eastAsia="Times New Roman"/>
          <w:lang w:val="sl-SI"/>
        </w:rPr>
        <w:t>Pri nekaterih bolnikih telo ne ustvari dovolj krvnih celic, ki pomagajo pri premagovanju okužbe ali ustavitvi krvavitve. Vaš zdravnik se bo morda odločil, da vaše zdravljenje prekine. Če dobite zvišano telesno temperaturo, ki ne mine, če se vam pojavljajo podplutbe, zlahka zakrvavite ali ste zelo bledi, se takoj posvetujte z zdravnikom.</w:t>
      </w:r>
    </w:p>
    <w:p w14:paraId="3B5A9A12" w14:textId="77777777" w:rsidR="00840AAB" w:rsidRDefault="00840AAB" w:rsidP="00840AAB">
      <w:pPr>
        <w:pStyle w:val="a3"/>
        <w:rPr>
          <w:u w:val="single"/>
          <w:lang w:val="sl-SI"/>
        </w:rPr>
      </w:pPr>
    </w:p>
    <w:p w14:paraId="1DD587F9" w14:textId="77777777" w:rsidR="00840AAB" w:rsidRDefault="00840AAB" w:rsidP="00840AAB">
      <w:pPr>
        <w:pStyle w:val="a3"/>
        <w:rPr>
          <w:u w:val="single"/>
          <w:lang w:val="sl-SI"/>
        </w:rPr>
      </w:pPr>
      <w:r>
        <w:rPr>
          <w:rFonts w:eastAsia="Times New Roman"/>
          <w:u w:val="single"/>
          <w:lang w:val="sl-SI"/>
        </w:rPr>
        <w:t>Rak</w:t>
      </w:r>
    </w:p>
    <w:p w14:paraId="23CE105C" w14:textId="77777777" w:rsidR="00840AAB" w:rsidRDefault="00840AAB" w:rsidP="00840AAB">
      <w:pPr>
        <w:pStyle w:val="a3"/>
        <w:rPr>
          <w:u w:val="single"/>
          <w:lang w:val="sl-SI"/>
        </w:rPr>
      </w:pPr>
    </w:p>
    <w:p w14:paraId="3356560A" w14:textId="77777777" w:rsidR="00840AAB" w:rsidRDefault="00840AAB" w:rsidP="00840AAB">
      <w:pPr>
        <w:pStyle w:val="a3"/>
        <w:numPr>
          <w:ilvl w:val="1"/>
          <w:numId w:val="4"/>
        </w:numPr>
        <w:ind w:left="660" w:hanging="660"/>
        <w:rPr>
          <w:lang w:val="sl-SI"/>
        </w:rPr>
      </w:pPr>
      <w:r>
        <w:rPr>
          <w:rFonts w:eastAsia="Times New Roman"/>
          <w:lang w:val="sl-SI"/>
        </w:rPr>
        <w:t>Med bolniki (otroci in odraslimi), ki so jemali zdravilo Yuflyma ali druge zaviralce TNF, so se pojavili zelo redki primeri določenih vrst raka.</w:t>
      </w:r>
    </w:p>
    <w:p w14:paraId="122F9574" w14:textId="77777777" w:rsidR="00840AAB" w:rsidRDefault="00840AAB" w:rsidP="00840AAB">
      <w:pPr>
        <w:pStyle w:val="a3"/>
        <w:rPr>
          <w:lang w:val="sl-SI"/>
        </w:rPr>
      </w:pPr>
    </w:p>
    <w:p w14:paraId="4685321F" w14:textId="77777777" w:rsidR="00840AAB" w:rsidRDefault="00840AAB" w:rsidP="00840AAB">
      <w:pPr>
        <w:pStyle w:val="a3"/>
        <w:numPr>
          <w:ilvl w:val="1"/>
          <w:numId w:val="4"/>
        </w:numPr>
        <w:ind w:left="998" w:hanging="340"/>
        <w:rPr>
          <w:lang w:val="sl-SI"/>
        </w:rPr>
      </w:pPr>
      <w:r>
        <w:rPr>
          <w:rFonts w:eastAsia="Times New Roman"/>
          <w:lang w:val="sl-SI"/>
        </w:rPr>
        <w:t>Pri bolnikih z resnejšim revmatoidnim artritisom, ki imajo bolezen že dolgo, obstaja povečana verjetnost, da zbolijo za limfomom (rak, ki prizadene limfatični sistem) in levkemijo (rak, ki prizadene kri in kostni mozeg).</w:t>
      </w:r>
    </w:p>
    <w:p w14:paraId="7EE0A4D4" w14:textId="77777777" w:rsidR="00840AAB" w:rsidRDefault="00840AAB" w:rsidP="00840AAB">
      <w:pPr>
        <w:pStyle w:val="a3"/>
        <w:numPr>
          <w:ilvl w:val="1"/>
          <w:numId w:val="4"/>
        </w:numPr>
        <w:ind w:left="998" w:hanging="340"/>
        <w:rPr>
          <w:lang w:val="sl-SI"/>
        </w:rPr>
      </w:pPr>
      <w:r>
        <w:rPr>
          <w:rFonts w:eastAsia="Times New Roman"/>
          <w:lang w:val="sl-SI"/>
        </w:rPr>
        <w:t>Če uporabljate zdravilo Yuflyma, se vam lahko poveča tveganje za pojav limfoma, levkemije ali drugih vrst raka. V redkih primerih so pri bolnikih, ki dobivajo zdravilo Yuflyma, opazili specifično in resno obliko limfoma. Nekateri od teh bolnikov so bili zdravljeni tudi z azatioprinom ali 6-merkaptopurinom.</w:t>
      </w:r>
    </w:p>
    <w:p w14:paraId="0B20437E" w14:textId="77777777" w:rsidR="00840AAB" w:rsidRDefault="00840AAB" w:rsidP="00840AAB">
      <w:pPr>
        <w:pStyle w:val="a3"/>
        <w:numPr>
          <w:ilvl w:val="1"/>
          <w:numId w:val="4"/>
        </w:numPr>
        <w:ind w:left="998" w:hanging="340"/>
        <w:rPr>
          <w:lang w:val="sl-SI"/>
        </w:rPr>
      </w:pPr>
      <w:r>
        <w:rPr>
          <w:rFonts w:eastAsia="Times New Roman"/>
          <w:lang w:val="sl-SI"/>
        </w:rPr>
        <w:t>Povejte zdravniku, če prejemate azatioprin ali 6-merkaptopurin sočasno z zdravilom Yuflyma.</w:t>
      </w:r>
    </w:p>
    <w:p w14:paraId="6FC9F098" w14:textId="77777777" w:rsidR="00840AAB" w:rsidRDefault="00840AAB" w:rsidP="00840AAB">
      <w:pPr>
        <w:pStyle w:val="a3"/>
        <w:numPr>
          <w:ilvl w:val="1"/>
          <w:numId w:val="4"/>
        </w:numPr>
        <w:ind w:left="998" w:hanging="340"/>
        <w:rPr>
          <w:lang w:val="sl-SI"/>
        </w:rPr>
      </w:pPr>
      <w:r>
        <w:rPr>
          <w:rFonts w:eastAsia="Times New Roman"/>
          <w:lang w:val="sl-SI"/>
        </w:rPr>
        <w:t>Poleg tega so pri bolnikih, zdravljenih z zdravilom Yuflyma, opazili primere nemelanomskega kožnega raka.</w:t>
      </w:r>
    </w:p>
    <w:p w14:paraId="311FDD6C" w14:textId="77777777" w:rsidR="00840AAB" w:rsidRDefault="00840AAB" w:rsidP="00840AAB">
      <w:pPr>
        <w:pStyle w:val="a3"/>
        <w:numPr>
          <w:ilvl w:val="1"/>
          <w:numId w:val="4"/>
        </w:numPr>
        <w:ind w:left="998" w:hanging="340"/>
        <w:rPr>
          <w:lang w:val="sl-SI"/>
        </w:rPr>
      </w:pPr>
      <w:r>
        <w:rPr>
          <w:rFonts w:eastAsia="Times New Roman"/>
          <w:lang w:val="sl-SI"/>
        </w:rPr>
        <w:t>Če se vam med zdravljenjem ali po njem pojavijo nove spremembe na koži, ali če se vam spremeni videz obstoječih sprememb, morate to povedati zdravniku.</w:t>
      </w:r>
    </w:p>
    <w:p w14:paraId="2E7E48C9" w14:textId="77777777" w:rsidR="00840AAB" w:rsidRDefault="00840AAB" w:rsidP="00840AAB">
      <w:pPr>
        <w:pStyle w:val="a3"/>
        <w:rPr>
          <w:lang w:val="sl-SI"/>
        </w:rPr>
      </w:pPr>
    </w:p>
    <w:p w14:paraId="3DBB049C" w14:textId="77777777" w:rsidR="00840AAB" w:rsidRDefault="00840AAB" w:rsidP="00840AAB">
      <w:pPr>
        <w:pStyle w:val="a3"/>
        <w:numPr>
          <w:ilvl w:val="1"/>
          <w:numId w:val="4"/>
        </w:numPr>
        <w:ind w:left="660" w:hanging="660"/>
        <w:rPr>
          <w:lang w:val="sl-SI"/>
        </w:rPr>
      </w:pPr>
      <w:r>
        <w:rPr>
          <w:rFonts w:eastAsia="Times New Roman"/>
          <w:lang w:val="sl-SI"/>
        </w:rPr>
        <w:t>Pri bolnikih s posebno boleznijo pljuč, t.i. kronično obstruktivno pljučno boleznijo (KOPB), zdravljenih z nekim drugim zaviralcem TNF, so bili primeri rakov, ki niso bili limfomi. Če imate KOPB ali če veliko kadite, se morate z zdravnikom posvetovati, ali je zdravljenje z zaviralcem TNF za vas primerno.</w:t>
      </w:r>
    </w:p>
    <w:p w14:paraId="4AACBA59" w14:textId="77777777" w:rsidR="00840AAB" w:rsidRDefault="00840AAB" w:rsidP="00840AAB">
      <w:pPr>
        <w:spacing w:before="11" w:line="240" w:lineRule="exact"/>
        <w:rPr>
          <w:sz w:val="24"/>
          <w:szCs w:val="24"/>
          <w:lang w:val="sl-SI"/>
        </w:rPr>
      </w:pPr>
    </w:p>
    <w:p w14:paraId="5F75D4D4" w14:textId="77777777" w:rsidR="00840AAB" w:rsidRDefault="00840AAB" w:rsidP="00840AAB">
      <w:pPr>
        <w:pStyle w:val="a3"/>
        <w:rPr>
          <w:u w:val="single"/>
          <w:lang w:val="sl-SI"/>
        </w:rPr>
      </w:pPr>
      <w:r>
        <w:rPr>
          <w:rFonts w:eastAsia="Times New Roman"/>
          <w:u w:val="single" w:color="000000"/>
          <w:lang w:val="sl-SI"/>
        </w:rPr>
        <w:t>Avtoimunska bolezen</w:t>
      </w:r>
    </w:p>
    <w:p w14:paraId="4672A374" w14:textId="77777777" w:rsidR="00840AAB" w:rsidRDefault="00840AAB" w:rsidP="00840AAB">
      <w:pPr>
        <w:spacing w:before="4" w:line="190" w:lineRule="exact"/>
        <w:rPr>
          <w:sz w:val="19"/>
          <w:szCs w:val="19"/>
          <w:lang w:val="sl-SI"/>
        </w:rPr>
      </w:pPr>
    </w:p>
    <w:p w14:paraId="36F57C32" w14:textId="77777777" w:rsidR="00840AAB" w:rsidRDefault="00840AAB" w:rsidP="00840AAB">
      <w:pPr>
        <w:pStyle w:val="a3"/>
        <w:numPr>
          <w:ilvl w:val="1"/>
          <w:numId w:val="4"/>
        </w:numPr>
        <w:ind w:left="660" w:hanging="660"/>
        <w:rPr>
          <w:lang w:val="sl-SI"/>
        </w:rPr>
      </w:pPr>
      <w:r>
        <w:rPr>
          <w:rFonts w:eastAsia="Times New Roman"/>
          <w:lang w:val="sl-SI"/>
        </w:rPr>
        <w:t>V redkih primerih lahko zdravljenje z zdravilom Yuflyma povzroči lupusu podoben sindrom. Če se pojavijo simptomi, kot so trdovratni nepojasnjeni izpuščaji, zvišana telesna temperatura, bolečine v sklepih ali utrujenost, se posvetujte z zdravnikom.</w:t>
      </w:r>
    </w:p>
    <w:p w14:paraId="02AA68F4" w14:textId="77777777" w:rsidR="00840AAB" w:rsidRDefault="00840AAB" w:rsidP="00840AAB">
      <w:pPr>
        <w:spacing w:before="15" w:line="240" w:lineRule="exact"/>
        <w:rPr>
          <w:sz w:val="24"/>
          <w:szCs w:val="24"/>
          <w:lang w:val="sl-SI"/>
        </w:rPr>
      </w:pPr>
    </w:p>
    <w:p w14:paraId="5E890380" w14:textId="77777777" w:rsidR="00840AAB" w:rsidRDefault="00840AAB" w:rsidP="00840AAB">
      <w:pPr>
        <w:pStyle w:val="a3"/>
        <w:rPr>
          <w:b/>
          <w:lang w:val="sl-SI"/>
        </w:rPr>
      </w:pPr>
      <w:r>
        <w:rPr>
          <w:rFonts w:eastAsia="Times New Roman"/>
          <w:b/>
          <w:bCs/>
          <w:lang w:val="sl-SI"/>
        </w:rPr>
        <w:t>Otroci in mladostniki</w:t>
      </w:r>
    </w:p>
    <w:p w14:paraId="49581B72" w14:textId="77777777" w:rsidR="00840AAB" w:rsidRDefault="00840AAB" w:rsidP="00840AAB">
      <w:pPr>
        <w:spacing w:before="10" w:line="240" w:lineRule="exact"/>
        <w:rPr>
          <w:sz w:val="24"/>
          <w:szCs w:val="24"/>
          <w:lang w:val="sl-SI"/>
        </w:rPr>
      </w:pPr>
    </w:p>
    <w:p w14:paraId="5421BC01" w14:textId="6B15F9E7" w:rsidR="00840AAB" w:rsidRDefault="00840AAB" w:rsidP="00840AAB">
      <w:pPr>
        <w:pStyle w:val="a3"/>
        <w:numPr>
          <w:ilvl w:val="1"/>
          <w:numId w:val="4"/>
        </w:numPr>
        <w:ind w:left="660" w:hanging="660"/>
        <w:rPr>
          <w:lang w:val="sl-SI"/>
        </w:rPr>
      </w:pPr>
      <w:r>
        <w:rPr>
          <w:rFonts w:eastAsia="Times New Roman"/>
          <w:lang w:val="sl-SI"/>
        </w:rPr>
        <w:t>Cepljenje: če je mogoče, naj imajo otro</w:t>
      </w:r>
      <w:r w:rsidR="00CD58CA">
        <w:rPr>
          <w:rFonts w:eastAsia="Times New Roman"/>
          <w:lang w:val="sl-SI"/>
        </w:rPr>
        <w:t>c</w:t>
      </w:r>
      <w:r>
        <w:rPr>
          <w:rFonts w:eastAsia="Times New Roman"/>
          <w:lang w:val="sl-SI"/>
        </w:rPr>
        <w:t>i pred začetkom uporabe zdravila Yuflyma opravljena vsa potrebna cepljenja.</w:t>
      </w:r>
    </w:p>
    <w:p w14:paraId="2D36592B" w14:textId="77777777" w:rsidR="00840AAB" w:rsidRDefault="00840AAB" w:rsidP="00840AAB">
      <w:pPr>
        <w:pStyle w:val="a3"/>
        <w:rPr>
          <w:b/>
          <w:lang w:val="sl-SI"/>
        </w:rPr>
      </w:pPr>
    </w:p>
    <w:p w14:paraId="19078231" w14:textId="77777777" w:rsidR="00840AAB" w:rsidRDefault="00840AAB" w:rsidP="00840AAB">
      <w:pPr>
        <w:pStyle w:val="a3"/>
        <w:rPr>
          <w:b/>
          <w:lang w:val="sl-SI"/>
        </w:rPr>
      </w:pPr>
      <w:r>
        <w:rPr>
          <w:rFonts w:eastAsia="Times New Roman"/>
          <w:b/>
          <w:bCs/>
          <w:lang w:val="sl-SI"/>
        </w:rPr>
        <w:t>Druga zdravila in zdravilo Yuflyma</w:t>
      </w:r>
    </w:p>
    <w:p w14:paraId="501A54C9" w14:textId="77777777" w:rsidR="00840AAB" w:rsidRDefault="00840AAB" w:rsidP="00840AAB">
      <w:pPr>
        <w:pStyle w:val="a3"/>
        <w:rPr>
          <w:b/>
          <w:lang w:val="sl-SI"/>
        </w:rPr>
      </w:pPr>
    </w:p>
    <w:p w14:paraId="5D82FBFC" w14:textId="4520FDA7" w:rsidR="00840AAB" w:rsidRDefault="00840AAB" w:rsidP="00840AAB">
      <w:pPr>
        <w:pStyle w:val="a3"/>
        <w:rPr>
          <w:lang w:val="sl-SI"/>
        </w:rPr>
      </w:pPr>
      <w:r>
        <w:rPr>
          <w:rFonts w:eastAsia="Times New Roman"/>
          <w:lang w:val="sl-SI"/>
        </w:rPr>
        <w:t>Obvestite zdravnika ali farmacevta, če jemljete, ste pred kratkim jemali ali pa boste morda začeli jemati katero koli drugo zdravilo. Zdravila Yuflyma ne smete uporabljati skupaj z zdravili, ki vsebujejo naslednje učinkovine, saj lahko povečajo</w:t>
      </w:r>
      <w:r w:rsidR="00E26C15">
        <w:rPr>
          <w:rFonts w:eastAsia="Times New Roman"/>
          <w:lang w:val="sl-SI"/>
        </w:rPr>
        <w:t xml:space="preserve"> </w:t>
      </w:r>
      <w:r>
        <w:rPr>
          <w:rFonts w:eastAsia="Times New Roman"/>
          <w:lang w:val="sl-SI"/>
        </w:rPr>
        <w:t>tveganje za resno okužbo:</w:t>
      </w:r>
    </w:p>
    <w:p w14:paraId="6814940B" w14:textId="77777777" w:rsidR="00840AAB" w:rsidRDefault="00840AAB" w:rsidP="00840AAB">
      <w:pPr>
        <w:pStyle w:val="a3"/>
        <w:numPr>
          <w:ilvl w:val="1"/>
          <w:numId w:val="4"/>
        </w:numPr>
        <w:ind w:left="660" w:hanging="660"/>
        <w:rPr>
          <w:lang w:val="sl-SI"/>
        </w:rPr>
      </w:pPr>
      <w:r>
        <w:rPr>
          <w:rFonts w:eastAsia="Times New Roman"/>
          <w:lang w:val="sl-SI"/>
        </w:rPr>
        <w:t>anakinra,</w:t>
      </w:r>
    </w:p>
    <w:p w14:paraId="7880555D" w14:textId="77777777" w:rsidR="00840AAB" w:rsidRDefault="00840AAB" w:rsidP="00840AAB">
      <w:pPr>
        <w:pStyle w:val="a3"/>
        <w:numPr>
          <w:ilvl w:val="1"/>
          <w:numId w:val="4"/>
        </w:numPr>
        <w:ind w:left="660" w:hanging="660"/>
        <w:rPr>
          <w:lang w:val="sl-SI"/>
        </w:rPr>
      </w:pPr>
      <w:r>
        <w:rPr>
          <w:rFonts w:eastAsia="Times New Roman"/>
          <w:lang w:val="sl-SI"/>
        </w:rPr>
        <w:t>abatacept.</w:t>
      </w:r>
    </w:p>
    <w:p w14:paraId="6E57DC26" w14:textId="77777777" w:rsidR="00840AAB" w:rsidRDefault="00840AAB" w:rsidP="00840AAB">
      <w:pPr>
        <w:pStyle w:val="a3"/>
        <w:rPr>
          <w:lang w:val="sl-SI"/>
        </w:rPr>
      </w:pPr>
    </w:p>
    <w:p w14:paraId="3BA59850" w14:textId="77777777" w:rsidR="00840AAB" w:rsidRDefault="00840AAB" w:rsidP="00840AAB">
      <w:pPr>
        <w:pStyle w:val="a3"/>
        <w:rPr>
          <w:lang w:val="sl-SI"/>
        </w:rPr>
      </w:pPr>
      <w:r>
        <w:rPr>
          <w:rFonts w:eastAsia="Times New Roman"/>
          <w:lang w:val="sl-SI"/>
        </w:rPr>
        <w:t>Zdravilo Yuflyma se lahko jemlje skupaj z:</w:t>
      </w:r>
    </w:p>
    <w:p w14:paraId="5AD10E4D" w14:textId="77777777" w:rsidR="00840AAB" w:rsidRDefault="00840AAB" w:rsidP="00840AAB">
      <w:pPr>
        <w:pStyle w:val="a3"/>
        <w:numPr>
          <w:ilvl w:val="1"/>
          <w:numId w:val="4"/>
        </w:numPr>
        <w:ind w:left="660" w:hanging="660"/>
        <w:rPr>
          <w:lang w:val="sl-SI"/>
        </w:rPr>
      </w:pPr>
      <w:r>
        <w:rPr>
          <w:rFonts w:eastAsia="Times New Roman"/>
          <w:lang w:val="sl-SI"/>
        </w:rPr>
        <w:t>metotreksatom</w:t>
      </w:r>
    </w:p>
    <w:p w14:paraId="211E86A0" w14:textId="77777777" w:rsidR="00840AAB" w:rsidRDefault="00840AAB" w:rsidP="00840AAB">
      <w:pPr>
        <w:pStyle w:val="a3"/>
        <w:numPr>
          <w:ilvl w:val="1"/>
          <w:numId w:val="4"/>
        </w:numPr>
        <w:ind w:left="660" w:hanging="660"/>
        <w:rPr>
          <w:lang w:val="sl-SI"/>
        </w:rPr>
      </w:pPr>
      <w:r>
        <w:rPr>
          <w:rFonts w:eastAsia="Times New Roman"/>
          <w:lang w:val="sl-SI"/>
        </w:rPr>
        <w:t>nekaterimi antirevmatičnimi učinkovinami, ki spreminjajo potek bolezni (na primer sulfalasazin, hidroksiklorokin, leflunomid in pripravki zlata za injiciranje)</w:t>
      </w:r>
    </w:p>
    <w:p w14:paraId="2B1F7C1F" w14:textId="77777777" w:rsidR="00840AAB" w:rsidRDefault="00840AAB" w:rsidP="00840AAB">
      <w:pPr>
        <w:pStyle w:val="a3"/>
        <w:numPr>
          <w:ilvl w:val="1"/>
          <w:numId w:val="4"/>
        </w:numPr>
        <w:ind w:left="660" w:hanging="660"/>
        <w:rPr>
          <w:lang w:val="sl-SI"/>
        </w:rPr>
      </w:pPr>
      <w:r>
        <w:rPr>
          <w:rFonts w:eastAsia="Times New Roman"/>
          <w:lang w:val="sl-SI"/>
        </w:rPr>
        <w:t>steroidi ali zdravili proti bolečinam, vključno z nesteroidnimi protivnetnimi zdravili.</w:t>
      </w:r>
    </w:p>
    <w:p w14:paraId="71E97C7D" w14:textId="77777777" w:rsidR="00840AAB" w:rsidRDefault="00840AAB" w:rsidP="00840AAB">
      <w:pPr>
        <w:pStyle w:val="a3"/>
        <w:rPr>
          <w:lang w:val="sl-SI"/>
        </w:rPr>
      </w:pPr>
    </w:p>
    <w:p w14:paraId="2559AF56" w14:textId="77777777" w:rsidR="00840AAB" w:rsidRDefault="00840AAB" w:rsidP="00840AAB">
      <w:pPr>
        <w:pStyle w:val="a3"/>
        <w:rPr>
          <w:lang w:val="sl-SI"/>
        </w:rPr>
      </w:pPr>
      <w:r>
        <w:rPr>
          <w:rFonts w:eastAsia="Times New Roman"/>
          <w:lang w:val="sl-SI"/>
        </w:rPr>
        <w:t>Če imate dodatna vprašanja, se posvetujte z zdravnikom.</w:t>
      </w:r>
    </w:p>
    <w:p w14:paraId="7CA84DAE" w14:textId="77777777" w:rsidR="00840AAB" w:rsidRDefault="00840AAB" w:rsidP="00840AAB">
      <w:pPr>
        <w:spacing w:before="18" w:line="240" w:lineRule="exact"/>
        <w:rPr>
          <w:sz w:val="24"/>
          <w:szCs w:val="24"/>
          <w:lang w:val="sl-SI"/>
        </w:rPr>
      </w:pPr>
    </w:p>
    <w:p w14:paraId="5FB90B70" w14:textId="77777777" w:rsidR="00840AAB" w:rsidRDefault="00840AAB" w:rsidP="00840AAB">
      <w:pPr>
        <w:pStyle w:val="a3"/>
        <w:rPr>
          <w:b/>
          <w:lang w:val="sl-SI"/>
        </w:rPr>
      </w:pPr>
      <w:r>
        <w:rPr>
          <w:rFonts w:eastAsia="Times New Roman"/>
          <w:b/>
          <w:bCs/>
          <w:lang w:val="sl-SI"/>
        </w:rPr>
        <w:t>Nosečnost in dojenje</w:t>
      </w:r>
    </w:p>
    <w:p w14:paraId="58F8B202" w14:textId="77777777" w:rsidR="00840AAB" w:rsidRDefault="00840AAB" w:rsidP="00840AAB">
      <w:pPr>
        <w:spacing w:before="9" w:line="260" w:lineRule="exact"/>
        <w:rPr>
          <w:sz w:val="26"/>
          <w:szCs w:val="26"/>
          <w:lang w:val="sl-SI"/>
        </w:rPr>
      </w:pPr>
    </w:p>
    <w:p w14:paraId="57D1ED43" w14:textId="77777777" w:rsidR="00840AAB" w:rsidRDefault="00840AAB" w:rsidP="00840AAB">
      <w:pPr>
        <w:pStyle w:val="a3"/>
        <w:numPr>
          <w:ilvl w:val="1"/>
          <w:numId w:val="4"/>
        </w:numPr>
        <w:ind w:left="660" w:hanging="660"/>
        <w:rPr>
          <w:lang w:val="sl-SI"/>
        </w:rPr>
      </w:pPr>
      <w:r>
        <w:rPr>
          <w:rFonts w:eastAsia="Times New Roman"/>
          <w:lang w:val="sl-SI"/>
        </w:rPr>
        <w:t>Premisliti morate o uporabi ustrezne kontracepcijske zaščite za preprečitev nosečnosti in z njo nadaljevati vsaj še 5 mesecev po zadnjem zdravljenju z zdravilom Yuflyma.</w:t>
      </w:r>
    </w:p>
    <w:p w14:paraId="2B880AD1" w14:textId="77777777" w:rsidR="00840AAB" w:rsidRDefault="00840AAB" w:rsidP="00840AAB">
      <w:pPr>
        <w:pStyle w:val="a3"/>
        <w:numPr>
          <w:ilvl w:val="1"/>
          <w:numId w:val="4"/>
        </w:numPr>
        <w:ind w:left="660" w:hanging="660"/>
        <w:rPr>
          <w:lang w:val="sl-SI"/>
        </w:rPr>
      </w:pPr>
      <w:r>
        <w:rPr>
          <w:rFonts w:eastAsia="Times New Roman"/>
          <w:lang w:val="sl-SI"/>
        </w:rPr>
        <w:t>Če ste noseči, mislite, da bi lahko bili noseči ali načrtujete zanositev, se posvetujte z zdravnikom, preden uporabite to zdravilo.</w:t>
      </w:r>
    </w:p>
    <w:p w14:paraId="1D13C7D9" w14:textId="77777777" w:rsidR="00840AAB" w:rsidRDefault="00840AAB" w:rsidP="00840AAB">
      <w:pPr>
        <w:pStyle w:val="a3"/>
        <w:numPr>
          <w:ilvl w:val="1"/>
          <w:numId w:val="4"/>
        </w:numPr>
        <w:ind w:left="660" w:hanging="660"/>
        <w:rPr>
          <w:lang w:val="sl-SI"/>
        </w:rPr>
      </w:pPr>
      <w:r>
        <w:rPr>
          <w:rFonts w:eastAsia="Times New Roman"/>
          <w:lang w:val="sl-SI"/>
        </w:rPr>
        <w:t>Zdravilo Yuflyma se sme med nosečnostjo uporabljati le, če je to potrebno.</w:t>
      </w:r>
    </w:p>
    <w:p w14:paraId="1AE69418" w14:textId="77777777" w:rsidR="00840AAB" w:rsidRDefault="00840AAB" w:rsidP="00840AAB">
      <w:pPr>
        <w:pStyle w:val="a3"/>
        <w:numPr>
          <w:ilvl w:val="1"/>
          <w:numId w:val="4"/>
        </w:numPr>
        <w:ind w:left="660" w:hanging="660"/>
        <w:rPr>
          <w:lang w:val="sl-SI"/>
        </w:rPr>
      </w:pPr>
      <w:r>
        <w:rPr>
          <w:rFonts w:eastAsia="Times New Roman"/>
          <w:lang w:val="sl-SI"/>
        </w:rPr>
        <w:t>Glede na študijo nosečnosti ni bilo povečanega tveganja za prirojene okvare, če je mati med nosečnostjo prejemala zdravilo Yuflyma, v primerjavi z materami z isto boleznijo, ki zdravila Yuflyma niso prejemale.</w:t>
      </w:r>
    </w:p>
    <w:p w14:paraId="1ACC2268" w14:textId="77777777" w:rsidR="00840AAB" w:rsidRDefault="00840AAB" w:rsidP="00840AAB">
      <w:pPr>
        <w:pStyle w:val="a3"/>
        <w:numPr>
          <w:ilvl w:val="1"/>
          <w:numId w:val="4"/>
        </w:numPr>
        <w:ind w:left="660" w:hanging="660"/>
        <w:rPr>
          <w:lang w:val="sl-SI"/>
        </w:rPr>
      </w:pPr>
      <w:r>
        <w:rPr>
          <w:rFonts w:eastAsia="Times New Roman"/>
          <w:lang w:val="sl-SI"/>
        </w:rPr>
        <w:t>Zdravilo Yuflyma se lahko uporablja med dojenjem.</w:t>
      </w:r>
    </w:p>
    <w:p w14:paraId="2450A069" w14:textId="77777777" w:rsidR="00840AAB" w:rsidRDefault="00840AAB" w:rsidP="00840AAB">
      <w:pPr>
        <w:pStyle w:val="a3"/>
        <w:numPr>
          <w:ilvl w:val="1"/>
          <w:numId w:val="4"/>
        </w:numPr>
        <w:ind w:left="660" w:hanging="660"/>
        <w:rPr>
          <w:lang w:val="sl-SI"/>
        </w:rPr>
      </w:pPr>
      <w:r>
        <w:rPr>
          <w:rFonts w:eastAsia="Times New Roman"/>
          <w:lang w:val="sl-SI"/>
        </w:rPr>
        <w:t>Če med nosečnostjo prejemate zdravilo Yuflyma, je lahko tveganje za okužbo pri vašem otroku večje.</w:t>
      </w:r>
    </w:p>
    <w:p w14:paraId="4426B190" w14:textId="77777777" w:rsidR="00840AAB" w:rsidRDefault="00840AAB" w:rsidP="00840AAB">
      <w:pPr>
        <w:pStyle w:val="a3"/>
        <w:numPr>
          <w:ilvl w:val="1"/>
          <w:numId w:val="4"/>
        </w:numPr>
        <w:ind w:left="660" w:hanging="660"/>
        <w:rPr>
          <w:lang w:val="sl-SI"/>
        </w:rPr>
      </w:pPr>
      <w:r>
        <w:rPr>
          <w:rFonts w:eastAsia="Times New Roman"/>
          <w:lang w:val="sl-SI"/>
        </w:rPr>
        <w:t>Pomembno je, da o uporabi zdravila Yuflyma med nosečnostjo obvestite otrokove zdravnike in druge zdravstvene delavce, da se bodo lahko odločili, kdaj bo vaš otrok prejel katero koli cepivo. Za več informacij o cepivih glejte poglavje "Opozorila in previdnostni ukrepi".</w:t>
      </w:r>
    </w:p>
    <w:p w14:paraId="1B76BDDA" w14:textId="77777777" w:rsidR="00840AAB" w:rsidRDefault="00840AAB" w:rsidP="00840AAB">
      <w:pPr>
        <w:spacing w:before="15" w:line="240" w:lineRule="exact"/>
        <w:rPr>
          <w:b/>
          <w:sz w:val="24"/>
          <w:szCs w:val="24"/>
          <w:lang w:val="sl-SI"/>
        </w:rPr>
      </w:pPr>
    </w:p>
    <w:p w14:paraId="355E142F" w14:textId="77777777" w:rsidR="00840AAB" w:rsidRDefault="00840AAB" w:rsidP="00840AAB">
      <w:pPr>
        <w:pStyle w:val="a3"/>
        <w:rPr>
          <w:b/>
          <w:lang w:val="sl-SI"/>
        </w:rPr>
      </w:pPr>
      <w:r>
        <w:rPr>
          <w:rFonts w:eastAsia="Times New Roman"/>
          <w:b/>
          <w:bCs/>
          <w:lang w:val="sl-SI"/>
        </w:rPr>
        <w:t>Vpliv na sposobnost upravljanja vozil in strojev</w:t>
      </w:r>
    </w:p>
    <w:p w14:paraId="75392D8E" w14:textId="77777777" w:rsidR="00840AAB" w:rsidRDefault="00840AAB" w:rsidP="00840AAB">
      <w:pPr>
        <w:spacing w:before="12" w:line="240" w:lineRule="exact"/>
        <w:rPr>
          <w:sz w:val="24"/>
          <w:szCs w:val="24"/>
          <w:lang w:val="sl-SI"/>
        </w:rPr>
      </w:pPr>
    </w:p>
    <w:p w14:paraId="2D95A2AA" w14:textId="77777777" w:rsidR="00840AAB" w:rsidRDefault="00840AAB" w:rsidP="00840AAB">
      <w:pPr>
        <w:pStyle w:val="a3"/>
        <w:rPr>
          <w:lang w:val="sl-SI"/>
        </w:rPr>
      </w:pPr>
      <w:r>
        <w:rPr>
          <w:rFonts w:eastAsia="Times New Roman"/>
          <w:lang w:val="sl-SI"/>
        </w:rPr>
        <w:t>Zdravilo Yuflyma ima lahko blag vpliv na sposobnost vožnje, kolesarjenja ali upravljanja strojev. Po jemanju zdravila Yuflyma se lahko pojavita vrtoglavica in poslabšanje vida.</w:t>
      </w:r>
    </w:p>
    <w:p w14:paraId="608E13D2" w14:textId="77777777" w:rsidR="00840AAB" w:rsidRDefault="00840AAB" w:rsidP="00840AAB">
      <w:pPr>
        <w:spacing w:line="200" w:lineRule="exact"/>
        <w:rPr>
          <w:sz w:val="20"/>
          <w:szCs w:val="20"/>
          <w:lang w:val="sl-SI"/>
        </w:rPr>
      </w:pPr>
    </w:p>
    <w:p w14:paraId="459B44BE" w14:textId="2064EFFC" w:rsidR="00840AAB" w:rsidRDefault="00840AAB" w:rsidP="00840AAB">
      <w:pPr>
        <w:pStyle w:val="a3"/>
        <w:rPr>
          <w:b/>
          <w:lang w:val="sl-SI"/>
        </w:rPr>
      </w:pPr>
      <w:r w:rsidRPr="00366D10">
        <w:rPr>
          <w:rFonts w:eastAsia="Times New Roman"/>
          <w:b/>
          <w:lang w:val="sl-SI"/>
        </w:rPr>
        <w:t>Zdravilo</w:t>
      </w:r>
      <w:r>
        <w:rPr>
          <w:rFonts w:eastAsia="Times New Roman"/>
          <w:lang w:val="sl-SI"/>
        </w:rPr>
        <w:t xml:space="preserve"> </w:t>
      </w:r>
      <w:r w:rsidR="00FE3CB3">
        <w:rPr>
          <w:rFonts w:hint="eastAsia"/>
          <w:b/>
          <w:lang w:val="sl-SI" w:eastAsia="ko-KR"/>
        </w:rPr>
        <w:t>Yuflyma</w:t>
      </w:r>
      <w:r w:rsidR="00FE3CB3">
        <w:rPr>
          <w:rFonts w:eastAsia="Times New Roman"/>
          <w:b/>
          <w:bCs/>
          <w:lang w:val="sl-SI"/>
        </w:rPr>
        <w:t xml:space="preserve"> </w:t>
      </w:r>
      <w:r>
        <w:rPr>
          <w:rFonts w:eastAsia="Times New Roman"/>
          <w:b/>
          <w:bCs/>
          <w:lang w:val="sl-SI"/>
        </w:rPr>
        <w:t>vsebuje natrij</w:t>
      </w:r>
    </w:p>
    <w:p w14:paraId="70A9049D" w14:textId="77777777" w:rsidR="00840AAB" w:rsidRDefault="00840AAB" w:rsidP="00840AAB">
      <w:pPr>
        <w:spacing w:before="12" w:line="240" w:lineRule="exact"/>
        <w:rPr>
          <w:sz w:val="24"/>
          <w:szCs w:val="24"/>
          <w:lang w:val="sl-SI"/>
        </w:rPr>
      </w:pPr>
    </w:p>
    <w:p w14:paraId="1F22E1D7" w14:textId="33EF838D" w:rsidR="00840AAB" w:rsidRDefault="00840AAB" w:rsidP="00840AAB">
      <w:pPr>
        <w:spacing w:line="200" w:lineRule="exact"/>
        <w:rPr>
          <w:sz w:val="20"/>
          <w:szCs w:val="20"/>
          <w:lang w:val="sl-SI"/>
        </w:rPr>
      </w:pPr>
      <w:r>
        <w:rPr>
          <w:rFonts w:ascii="Times New Roman" w:eastAsia="Times New Roman" w:hAnsi="Times New Roman" w:cs="Times New Roman"/>
          <w:lang w:val="sl-SI"/>
        </w:rPr>
        <w:t>To zdravilo vsebuje manj kot 1 mmol natrija (23</w:t>
      </w:r>
      <w:r>
        <w:rPr>
          <w:rFonts w:ascii="Calibri" w:eastAsia="Calibri" w:hAnsi="Calibri" w:cs="Calibri"/>
          <w:lang w:val="sl-SI"/>
        </w:rPr>
        <w:t> </w:t>
      </w:r>
      <w:r>
        <w:rPr>
          <w:rFonts w:ascii="Times New Roman" w:eastAsia="Times New Roman" w:hAnsi="Times New Roman" w:cs="Times New Roman"/>
          <w:lang w:val="sl-SI"/>
        </w:rPr>
        <w:t>mg) na odmerek 0,</w:t>
      </w:r>
      <w:r w:rsidR="00B476B0">
        <w:rPr>
          <w:rFonts w:ascii="Times New Roman" w:eastAsia="Times New Roman" w:hAnsi="Times New Roman" w:cs="Times New Roman"/>
          <w:lang w:val="sl-SI"/>
        </w:rPr>
        <w:t>8</w:t>
      </w:r>
      <w:r>
        <w:rPr>
          <w:rFonts w:ascii="Calibri" w:eastAsia="Calibri" w:hAnsi="Calibri" w:cs="Calibri"/>
          <w:lang w:val="sl-SI"/>
        </w:rPr>
        <w:t> </w:t>
      </w:r>
      <w:r>
        <w:rPr>
          <w:rFonts w:ascii="Times New Roman" w:eastAsia="Times New Roman" w:hAnsi="Times New Roman" w:cs="Times New Roman"/>
          <w:lang w:val="sl-SI"/>
        </w:rPr>
        <w:t>ml, kar v bistvu pomeni ‛brez natrija’.</w:t>
      </w:r>
    </w:p>
    <w:p w14:paraId="183EB0AD" w14:textId="77777777" w:rsidR="00840AAB" w:rsidRDefault="00840AAB" w:rsidP="00840AAB">
      <w:pPr>
        <w:spacing w:line="200" w:lineRule="exact"/>
        <w:rPr>
          <w:sz w:val="20"/>
          <w:szCs w:val="20"/>
          <w:lang w:val="sl-SI"/>
        </w:rPr>
      </w:pPr>
    </w:p>
    <w:p w14:paraId="380C9FD6" w14:textId="77777777" w:rsidR="00840AAB" w:rsidRDefault="00840AAB" w:rsidP="00840AAB">
      <w:pPr>
        <w:spacing w:line="200" w:lineRule="exact"/>
        <w:rPr>
          <w:sz w:val="20"/>
          <w:szCs w:val="20"/>
          <w:lang w:val="sl-SI"/>
        </w:rPr>
      </w:pPr>
    </w:p>
    <w:p w14:paraId="575C970D" w14:textId="77777777" w:rsidR="00840AAB" w:rsidRDefault="00840AAB" w:rsidP="00A75F0B">
      <w:pPr>
        <w:pStyle w:val="a4"/>
        <w:numPr>
          <w:ilvl w:val="0"/>
          <w:numId w:val="133"/>
        </w:numPr>
        <w:spacing w:line="240" w:lineRule="exact"/>
        <w:rPr>
          <w:rFonts w:ascii="Times New Roman" w:hAnsi="Times New Roman" w:cs="Times New Roman"/>
          <w:b/>
          <w:lang w:val="sl-SI"/>
        </w:rPr>
      </w:pPr>
      <w:r>
        <w:rPr>
          <w:rFonts w:ascii="Times New Roman" w:eastAsia="Times New Roman" w:hAnsi="Times New Roman" w:cs="Times New Roman"/>
          <w:b/>
          <w:bCs/>
          <w:lang w:val="sl-SI"/>
        </w:rPr>
        <w:t>Kako uporabljati zdravilo Yuflyma</w:t>
      </w:r>
    </w:p>
    <w:p w14:paraId="161BC469" w14:textId="77777777" w:rsidR="00840AAB" w:rsidRDefault="00840AAB" w:rsidP="00840AAB">
      <w:pPr>
        <w:spacing w:before="9" w:line="240" w:lineRule="exact"/>
        <w:rPr>
          <w:sz w:val="24"/>
          <w:szCs w:val="24"/>
          <w:lang w:val="sl-SI"/>
        </w:rPr>
      </w:pPr>
    </w:p>
    <w:p w14:paraId="424ABF32" w14:textId="77777777" w:rsidR="00840AAB" w:rsidRDefault="00840AAB" w:rsidP="00840AAB">
      <w:pPr>
        <w:pStyle w:val="a3"/>
        <w:rPr>
          <w:lang w:val="sl-SI"/>
        </w:rPr>
      </w:pPr>
      <w:r>
        <w:rPr>
          <w:rFonts w:eastAsia="Times New Roman"/>
          <w:lang w:val="sl-SI"/>
        </w:rPr>
        <w:t>Pri uporabi tega zdravila natančno upoštevajte navodila zdravnika ali farmacevta. Če ste negotovi, se posvetujte z zdravnikom ali farmacevtom.</w:t>
      </w:r>
    </w:p>
    <w:p w14:paraId="4895ACD7" w14:textId="77777777" w:rsidR="00840AAB" w:rsidRDefault="00840AAB" w:rsidP="00840AAB">
      <w:pPr>
        <w:spacing w:before="10" w:line="240" w:lineRule="exact"/>
        <w:rPr>
          <w:sz w:val="24"/>
          <w:szCs w:val="24"/>
          <w:lang w:val="sl-SI"/>
        </w:rPr>
      </w:pPr>
    </w:p>
    <w:p w14:paraId="3659E3FE" w14:textId="77777777" w:rsidR="00BE3BDD" w:rsidRPr="00BE3BDD" w:rsidRDefault="00BE3BDD" w:rsidP="00BE3BDD">
      <w:pPr>
        <w:rPr>
          <w:rFonts w:ascii="Times New Roman" w:hAnsi="Times New Roman" w:cs="Times New Roman"/>
          <w:lang w:val="sl-SI"/>
        </w:rPr>
      </w:pPr>
      <w:r w:rsidRPr="00BE3BDD">
        <w:rPr>
          <w:rFonts w:ascii="Times New Roman" w:hAnsi="Times New Roman" w:cs="Times New Roman"/>
          <w:lang w:val="sl-SI"/>
        </w:rPr>
        <w:lastRenderedPageBreak/>
        <w:t xml:space="preserve">Priporočeni odmerki zdravila </w:t>
      </w:r>
      <w:r>
        <w:rPr>
          <w:rFonts w:ascii="Times New Roman" w:hAnsi="Times New Roman" w:cs="Times New Roman" w:hint="eastAsia"/>
          <w:lang w:val="sl-SI" w:eastAsia="ko-KR"/>
        </w:rPr>
        <w:t>Y</w:t>
      </w:r>
      <w:r>
        <w:rPr>
          <w:rFonts w:ascii="Times New Roman" w:hAnsi="Times New Roman" w:cs="Times New Roman"/>
          <w:lang w:val="sl-SI" w:eastAsia="ko-KR"/>
        </w:rPr>
        <w:t>uflyma</w:t>
      </w:r>
      <w:r w:rsidRPr="00BE3BDD">
        <w:rPr>
          <w:rFonts w:ascii="Times New Roman" w:hAnsi="Times New Roman" w:cs="Times New Roman"/>
          <w:lang w:val="sl-SI"/>
        </w:rPr>
        <w:t xml:space="preserve"> za vsako odobreno uporabo so prikazani v naslednji tabeli.</w:t>
      </w:r>
    </w:p>
    <w:p w14:paraId="31149F7B" w14:textId="67B37B2D" w:rsidR="00840AAB" w:rsidRDefault="00BE3BDD" w:rsidP="00BE3BDD">
      <w:pPr>
        <w:pStyle w:val="a3"/>
        <w:rPr>
          <w:lang w:val="sl-SI"/>
        </w:rPr>
      </w:pPr>
      <w:r w:rsidRPr="00BE3BDD">
        <w:rPr>
          <w:lang w:val="sl-SI"/>
        </w:rPr>
        <w:t xml:space="preserve">Zdravnik vam lahko predpiše drugo jakost zdravila </w:t>
      </w:r>
      <w:r>
        <w:rPr>
          <w:rFonts w:hint="eastAsia"/>
          <w:lang w:val="sl-SI" w:eastAsia="ko-KR"/>
        </w:rPr>
        <w:t>Y</w:t>
      </w:r>
      <w:r>
        <w:rPr>
          <w:lang w:val="sl-SI" w:eastAsia="ko-KR"/>
        </w:rPr>
        <w:t>uflyma</w:t>
      </w:r>
      <w:r w:rsidRPr="00BE3BDD">
        <w:rPr>
          <w:lang w:val="sl-SI"/>
        </w:rPr>
        <w:t>, če boste potrebovali drugačen odmerek.</w:t>
      </w:r>
    </w:p>
    <w:p w14:paraId="7F36F052" w14:textId="69CC8F3C" w:rsidR="00840AAB" w:rsidRDefault="00840AAB" w:rsidP="00840AAB">
      <w:pPr>
        <w:rPr>
          <w:rFonts w:ascii="Times New Roman" w:hAnsi="Times New Roman" w:cs="Times New Roman"/>
          <w:lang w:val="sl-SI"/>
        </w:rPr>
      </w:pPr>
    </w:p>
    <w:p w14:paraId="79AE744B" w14:textId="77777777" w:rsidR="00840AAB" w:rsidRDefault="00840AAB" w:rsidP="00840AAB">
      <w:pPr>
        <w:spacing w:before="7" w:line="90" w:lineRule="exact"/>
        <w:rPr>
          <w:sz w:val="9"/>
          <w:szCs w:val="9"/>
          <w:lang w:val="sl-SI"/>
        </w:rPr>
      </w:pPr>
    </w:p>
    <w:tbl>
      <w:tblPr>
        <w:tblStyle w:val="TableNormal1"/>
        <w:tblW w:w="0" w:type="auto"/>
        <w:tblInd w:w="98" w:type="dxa"/>
        <w:tblLayout w:type="fixed"/>
        <w:tblLook w:val="01E0" w:firstRow="1" w:lastRow="1" w:firstColumn="1" w:lastColumn="1" w:noHBand="0" w:noVBand="0"/>
      </w:tblPr>
      <w:tblGrid>
        <w:gridCol w:w="2731"/>
        <w:gridCol w:w="3402"/>
        <w:gridCol w:w="3155"/>
      </w:tblGrid>
      <w:tr w:rsidR="00840AAB" w14:paraId="6DDF87E9" w14:textId="77777777" w:rsidTr="00646E14">
        <w:trPr>
          <w:trHeight w:val="20"/>
        </w:trPr>
        <w:tc>
          <w:tcPr>
            <w:tcW w:w="9288" w:type="dxa"/>
            <w:gridSpan w:val="3"/>
            <w:tcBorders>
              <w:top w:val="single" w:sz="5" w:space="0" w:color="000000"/>
              <w:left w:val="single" w:sz="5" w:space="0" w:color="000000"/>
              <w:bottom w:val="single" w:sz="5" w:space="0" w:color="000000"/>
              <w:right w:val="single" w:sz="5" w:space="0" w:color="000000"/>
            </w:tcBorders>
          </w:tcPr>
          <w:p w14:paraId="6D804B8E" w14:textId="1BC6F122" w:rsidR="00840AAB" w:rsidRDefault="00840AAB" w:rsidP="0030421B">
            <w:pPr>
              <w:pStyle w:val="TableParagraph"/>
              <w:spacing w:line="251"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Revmatoidni artritis</w:t>
            </w:r>
          </w:p>
        </w:tc>
      </w:tr>
      <w:tr w:rsidR="00840AAB" w14:paraId="7220008C" w14:textId="77777777" w:rsidTr="00A75F0B">
        <w:trPr>
          <w:trHeight w:val="20"/>
        </w:trPr>
        <w:tc>
          <w:tcPr>
            <w:tcW w:w="2731" w:type="dxa"/>
            <w:tcBorders>
              <w:top w:val="single" w:sz="5" w:space="0" w:color="000000"/>
              <w:left w:val="single" w:sz="5" w:space="0" w:color="000000"/>
              <w:bottom w:val="single" w:sz="5" w:space="0" w:color="000000"/>
              <w:right w:val="single" w:sz="5" w:space="0" w:color="000000"/>
            </w:tcBorders>
          </w:tcPr>
          <w:p w14:paraId="336DE344"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402" w:type="dxa"/>
            <w:tcBorders>
              <w:top w:val="single" w:sz="5" w:space="0" w:color="000000"/>
              <w:left w:val="single" w:sz="5" w:space="0" w:color="000000"/>
              <w:bottom w:val="single" w:sz="5" w:space="0" w:color="000000"/>
              <w:right w:val="single" w:sz="5" w:space="0" w:color="000000"/>
            </w:tcBorders>
          </w:tcPr>
          <w:p w14:paraId="19B477A7"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3B5F143D" w14:textId="77777777" w:rsidR="00840AAB" w:rsidRDefault="00840AAB" w:rsidP="00646E14">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155" w:type="dxa"/>
            <w:tcBorders>
              <w:top w:val="single" w:sz="5" w:space="0" w:color="000000"/>
              <w:left w:val="single" w:sz="5" w:space="0" w:color="000000"/>
              <w:bottom w:val="single" w:sz="5" w:space="0" w:color="000000"/>
              <w:right w:val="single" w:sz="5" w:space="0" w:color="000000"/>
            </w:tcBorders>
          </w:tcPr>
          <w:p w14:paraId="49984871"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840AAB" w:rsidRPr="00475A1E" w14:paraId="1DB3661C" w14:textId="77777777" w:rsidTr="00A75F0B">
        <w:trPr>
          <w:trHeight w:val="20"/>
        </w:trPr>
        <w:tc>
          <w:tcPr>
            <w:tcW w:w="2731" w:type="dxa"/>
            <w:tcBorders>
              <w:top w:val="single" w:sz="5" w:space="0" w:color="000000"/>
              <w:left w:val="single" w:sz="5" w:space="0" w:color="000000"/>
              <w:bottom w:val="single" w:sz="5" w:space="0" w:color="000000"/>
              <w:right w:val="single" w:sz="5" w:space="0" w:color="000000"/>
            </w:tcBorders>
          </w:tcPr>
          <w:p w14:paraId="50C1F178" w14:textId="7777777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Odrasli</w:t>
            </w:r>
          </w:p>
        </w:tc>
        <w:tc>
          <w:tcPr>
            <w:tcW w:w="3402" w:type="dxa"/>
            <w:tcBorders>
              <w:top w:val="single" w:sz="5" w:space="0" w:color="000000"/>
              <w:left w:val="single" w:sz="5" w:space="0" w:color="000000"/>
              <w:bottom w:val="single" w:sz="5" w:space="0" w:color="000000"/>
              <w:right w:val="single" w:sz="5" w:space="0" w:color="000000"/>
            </w:tcBorders>
          </w:tcPr>
          <w:p w14:paraId="3B59771D" w14:textId="7777777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40 mg vsak drugi teden</w:t>
            </w:r>
          </w:p>
        </w:tc>
        <w:tc>
          <w:tcPr>
            <w:tcW w:w="3155" w:type="dxa"/>
            <w:tcBorders>
              <w:top w:val="single" w:sz="5" w:space="0" w:color="000000"/>
              <w:left w:val="single" w:sz="5" w:space="0" w:color="000000"/>
              <w:bottom w:val="single" w:sz="5" w:space="0" w:color="000000"/>
              <w:right w:val="single" w:sz="5" w:space="0" w:color="000000"/>
            </w:tcBorders>
          </w:tcPr>
          <w:p w14:paraId="723B6A4D" w14:textId="7777777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Pri revmatoidnem artritisu se uporaba metotreksata med uporabo zdravila Yuflyma nadaljuje. Če vaš zdravnik ugotovi, da metotreksat ni primeren, lahko zdravilo Yuflyma dobivate samo.</w:t>
            </w:r>
          </w:p>
          <w:p w14:paraId="6C69F2D9" w14:textId="77777777" w:rsidR="00840AAB" w:rsidRDefault="00840AAB" w:rsidP="00646E14">
            <w:pPr>
              <w:pStyle w:val="TableParagraph"/>
              <w:spacing w:before="13" w:line="240" w:lineRule="exact"/>
              <w:rPr>
                <w:sz w:val="24"/>
                <w:szCs w:val="24"/>
                <w:lang w:val="sl-SI"/>
              </w:rPr>
            </w:pPr>
          </w:p>
          <w:p w14:paraId="379657CF" w14:textId="77777777" w:rsidR="00840AAB" w:rsidRDefault="00840AAB" w:rsidP="00646E14">
            <w:pPr>
              <w:pStyle w:val="TableParagraph"/>
              <w:ind w:left="102" w:right="127"/>
              <w:rPr>
                <w:rFonts w:ascii="Times New Roman" w:eastAsia="Times New Roman" w:hAnsi="Times New Roman" w:cs="Times New Roman"/>
                <w:lang w:val="sl-SI"/>
              </w:rPr>
            </w:pPr>
            <w:r>
              <w:rPr>
                <w:rFonts w:ascii="Times New Roman" w:eastAsia="Times New Roman" w:hAnsi="Times New Roman" w:cs="Times New Roman"/>
                <w:spacing w:val="-1"/>
                <w:lang w:val="sl-SI"/>
              </w:rPr>
              <w:t>Če imate revmatoidni artritis in hkrati z zdravilom Yuflyma ne dobivate metotreksata, vam bo zdravnik morda predpisal zdravilo Yuflyma 40 mg vsak teden ali 80 mg vsak drugi teden.</w:t>
            </w:r>
          </w:p>
        </w:tc>
      </w:tr>
    </w:tbl>
    <w:p w14:paraId="751FAB36" w14:textId="77777777" w:rsidR="00840AAB" w:rsidRDefault="00840AAB" w:rsidP="00840AAB">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2731"/>
        <w:gridCol w:w="3402"/>
        <w:gridCol w:w="3155"/>
      </w:tblGrid>
      <w:tr w:rsidR="00840AAB" w14:paraId="7DFD37CF" w14:textId="77777777" w:rsidTr="00646E14">
        <w:tc>
          <w:tcPr>
            <w:tcW w:w="9288" w:type="dxa"/>
            <w:gridSpan w:val="3"/>
            <w:tcBorders>
              <w:top w:val="single" w:sz="5" w:space="0" w:color="000000"/>
              <w:left w:val="single" w:sz="5" w:space="0" w:color="000000"/>
              <w:bottom w:val="single" w:sz="5" w:space="0" w:color="000000"/>
              <w:right w:val="single" w:sz="5" w:space="0" w:color="000000"/>
            </w:tcBorders>
          </w:tcPr>
          <w:p w14:paraId="5AF82DAD" w14:textId="77777777" w:rsidR="00840AAB" w:rsidRDefault="00840AAB" w:rsidP="00646E14">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Luskavica (psoriaza) v plakih</w:t>
            </w:r>
          </w:p>
        </w:tc>
      </w:tr>
      <w:tr w:rsidR="00840AAB" w14:paraId="1C80FC94" w14:textId="77777777" w:rsidTr="00A75F0B">
        <w:tc>
          <w:tcPr>
            <w:tcW w:w="2731" w:type="dxa"/>
            <w:tcBorders>
              <w:top w:val="single" w:sz="5" w:space="0" w:color="000000"/>
              <w:left w:val="single" w:sz="5" w:space="0" w:color="000000"/>
              <w:bottom w:val="single" w:sz="5" w:space="0" w:color="000000"/>
              <w:right w:val="single" w:sz="5" w:space="0" w:color="000000"/>
            </w:tcBorders>
          </w:tcPr>
          <w:p w14:paraId="76530AF7"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402" w:type="dxa"/>
            <w:tcBorders>
              <w:top w:val="single" w:sz="5" w:space="0" w:color="000000"/>
              <w:left w:val="single" w:sz="5" w:space="0" w:color="000000"/>
              <w:bottom w:val="single" w:sz="5" w:space="0" w:color="000000"/>
              <w:right w:val="single" w:sz="5" w:space="0" w:color="000000"/>
            </w:tcBorders>
          </w:tcPr>
          <w:p w14:paraId="6AD88EDA"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10ED3B68" w14:textId="77777777" w:rsidR="00840AAB" w:rsidRDefault="00840AAB" w:rsidP="00646E14">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155" w:type="dxa"/>
            <w:tcBorders>
              <w:top w:val="single" w:sz="5" w:space="0" w:color="000000"/>
              <w:left w:val="single" w:sz="5" w:space="0" w:color="000000"/>
              <w:bottom w:val="single" w:sz="5" w:space="0" w:color="000000"/>
              <w:right w:val="single" w:sz="5" w:space="0" w:color="000000"/>
            </w:tcBorders>
          </w:tcPr>
          <w:p w14:paraId="780CC225"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840AAB" w:rsidRPr="00475A1E" w14:paraId="32A2222A" w14:textId="77777777" w:rsidTr="00A75F0B">
        <w:tc>
          <w:tcPr>
            <w:tcW w:w="2731" w:type="dxa"/>
            <w:tcBorders>
              <w:top w:val="single" w:sz="5" w:space="0" w:color="000000"/>
              <w:left w:val="single" w:sz="5" w:space="0" w:color="000000"/>
              <w:bottom w:val="single" w:sz="5" w:space="0" w:color="000000"/>
              <w:right w:val="single" w:sz="5" w:space="0" w:color="000000"/>
            </w:tcBorders>
          </w:tcPr>
          <w:p w14:paraId="1B668C6A" w14:textId="7777777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Odrasli</w:t>
            </w:r>
          </w:p>
        </w:tc>
        <w:tc>
          <w:tcPr>
            <w:tcW w:w="3402" w:type="dxa"/>
            <w:tcBorders>
              <w:top w:val="single" w:sz="5" w:space="0" w:color="000000"/>
              <w:left w:val="single" w:sz="5" w:space="0" w:color="000000"/>
              <w:bottom w:val="single" w:sz="5" w:space="0" w:color="000000"/>
              <w:right w:val="single" w:sz="5" w:space="0" w:color="000000"/>
            </w:tcBorders>
          </w:tcPr>
          <w:p w14:paraId="48257F65" w14:textId="65E9EDC4"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Prvi odmerek 80 mg (</w:t>
            </w:r>
            <w:r w:rsidR="00C82BA3" w:rsidRPr="00C82BA3">
              <w:rPr>
                <w:rFonts w:ascii="Times New Roman" w:eastAsia="Times New Roman" w:hAnsi="Times New Roman" w:cs="Times New Roman"/>
                <w:spacing w:val="-1"/>
                <w:lang w:val="sl-SI"/>
              </w:rPr>
              <w:t xml:space="preserve">ene 80 mg injekcije </w:t>
            </w:r>
            <w:r>
              <w:rPr>
                <w:rFonts w:ascii="Times New Roman" w:eastAsia="Times New Roman" w:hAnsi="Times New Roman" w:cs="Times New Roman"/>
                <w:spacing w:val="-1"/>
                <w:lang w:val="sl-SI"/>
              </w:rPr>
              <w:t>v enem dnevu), nato pa 40 mg vsak drugi teden, z začetkom en teden po začetnem odmerku.</w:t>
            </w:r>
          </w:p>
        </w:tc>
        <w:tc>
          <w:tcPr>
            <w:tcW w:w="3155" w:type="dxa"/>
            <w:tcBorders>
              <w:top w:val="single" w:sz="5" w:space="0" w:color="000000"/>
              <w:left w:val="single" w:sz="5" w:space="0" w:color="000000"/>
              <w:bottom w:val="single" w:sz="5" w:space="0" w:color="000000"/>
              <w:right w:val="single" w:sz="5" w:space="0" w:color="000000"/>
            </w:tcBorders>
          </w:tcPr>
          <w:p w14:paraId="61952B11" w14:textId="7777777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Če imate neustrezen odziv, lahko zdravnik poveča odmerek na 40 mg vsak teden ali 80 mg vsak drugi teden.</w:t>
            </w:r>
          </w:p>
        </w:tc>
      </w:tr>
    </w:tbl>
    <w:p w14:paraId="1354C1B9" w14:textId="77777777" w:rsidR="00840AAB" w:rsidRDefault="00840AAB" w:rsidP="00840AAB">
      <w:pPr>
        <w:spacing w:before="7" w:line="90" w:lineRule="exact"/>
        <w:rPr>
          <w:sz w:val="9"/>
          <w:szCs w:val="9"/>
          <w:lang w:val="sl-SI"/>
        </w:rPr>
      </w:pPr>
    </w:p>
    <w:p w14:paraId="359895D2" w14:textId="77777777" w:rsidR="00840AAB" w:rsidRDefault="00840AAB" w:rsidP="00840AAB">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2731"/>
        <w:gridCol w:w="3402"/>
        <w:gridCol w:w="3155"/>
      </w:tblGrid>
      <w:tr w:rsidR="00840AAB" w14:paraId="755EDC90" w14:textId="77777777" w:rsidTr="00646E14">
        <w:tc>
          <w:tcPr>
            <w:tcW w:w="9288" w:type="dxa"/>
            <w:gridSpan w:val="3"/>
            <w:tcBorders>
              <w:top w:val="single" w:sz="5" w:space="0" w:color="000000"/>
              <w:left w:val="single" w:sz="5" w:space="0" w:color="000000"/>
              <w:bottom w:val="single" w:sz="5" w:space="0" w:color="000000"/>
              <w:right w:val="single" w:sz="5" w:space="0" w:color="000000"/>
            </w:tcBorders>
          </w:tcPr>
          <w:p w14:paraId="39B87B4C" w14:textId="77777777" w:rsidR="00840AAB" w:rsidRDefault="00840AAB" w:rsidP="00646E14">
            <w:pPr>
              <w:pStyle w:val="TableParagraph"/>
              <w:spacing w:line="251"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Hidradenitis suppurativa</w:t>
            </w:r>
          </w:p>
        </w:tc>
      </w:tr>
      <w:tr w:rsidR="00840AAB" w14:paraId="13301724" w14:textId="77777777" w:rsidTr="00A75F0B">
        <w:tc>
          <w:tcPr>
            <w:tcW w:w="2731" w:type="dxa"/>
            <w:tcBorders>
              <w:top w:val="single" w:sz="5" w:space="0" w:color="000000"/>
              <w:left w:val="single" w:sz="5" w:space="0" w:color="000000"/>
              <w:bottom w:val="single" w:sz="5" w:space="0" w:color="000000"/>
              <w:right w:val="single" w:sz="5" w:space="0" w:color="000000"/>
            </w:tcBorders>
          </w:tcPr>
          <w:p w14:paraId="534064DE"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402" w:type="dxa"/>
            <w:tcBorders>
              <w:top w:val="single" w:sz="5" w:space="0" w:color="000000"/>
              <w:left w:val="single" w:sz="5" w:space="0" w:color="000000"/>
              <w:bottom w:val="single" w:sz="5" w:space="0" w:color="000000"/>
              <w:right w:val="single" w:sz="5" w:space="0" w:color="000000"/>
            </w:tcBorders>
          </w:tcPr>
          <w:p w14:paraId="686A697E" w14:textId="77777777" w:rsidR="00840AAB" w:rsidRDefault="00840AAB" w:rsidP="00646E14">
            <w:pPr>
              <w:pStyle w:val="TableParagraph"/>
              <w:spacing w:before="1"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 vzeti?</w:t>
            </w:r>
          </w:p>
        </w:tc>
        <w:tc>
          <w:tcPr>
            <w:tcW w:w="3155" w:type="dxa"/>
            <w:tcBorders>
              <w:top w:val="single" w:sz="5" w:space="0" w:color="000000"/>
              <w:left w:val="single" w:sz="5" w:space="0" w:color="000000"/>
              <w:bottom w:val="single" w:sz="5" w:space="0" w:color="000000"/>
              <w:right w:val="single" w:sz="5" w:space="0" w:color="000000"/>
            </w:tcBorders>
          </w:tcPr>
          <w:p w14:paraId="555E069A"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840AAB" w:rsidRPr="00475A1E" w14:paraId="582715E3" w14:textId="77777777" w:rsidTr="00A75F0B">
        <w:tc>
          <w:tcPr>
            <w:tcW w:w="2731" w:type="dxa"/>
            <w:tcBorders>
              <w:top w:val="single" w:sz="5" w:space="0" w:color="000000"/>
              <w:left w:val="single" w:sz="5" w:space="0" w:color="000000"/>
              <w:bottom w:val="single" w:sz="5" w:space="0" w:color="000000"/>
              <w:right w:val="single" w:sz="5" w:space="0" w:color="000000"/>
            </w:tcBorders>
          </w:tcPr>
          <w:p w14:paraId="36F487B6" w14:textId="77777777" w:rsidR="00840AAB" w:rsidRDefault="00840AAB" w:rsidP="00646E14">
            <w:pPr>
              <w:pStyle w:val="TableParagraph"/>
              <w:spacing w:line="248"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Odrasli</w:t>
            </w:r>
          </w:p>
        </w:tc>
        <w:tc>
          <w:tcPr>
            <w:tcW w:w="3402" w:type="dxa"/>
            <w:tcBorders>
              <w:top w:val="single" w:sz="5" w:space="0" w:color="000000"/>
              <w:left w:val="single" w:sz="5" w:space="0" w:color="000000"/>
              <w:bottom w:val="single" w:sz="5" w:space="0" w:color="000000"/>
              <w:right w:val="single" w:sz="5" w:space="0" w:color="000000"/>
            </w:tcBorders>
          </w:tcPr>
          <w:p w14:paraId="520261F4" w14:textId="1DAFD31A" w:rsidR="00840AAB" w:rsidRDefault="00840AAB" w:rsidP="004E161B">
            <w:pPr>
              <w:pStyle w:val="TableParagraph"/>
              <w:spacing w:before="2" w:line="252" w:lineRule="exact"/>
              <w:ind w:left="102" w:right="193"/>
              <w:rPr>
                <w:rFonts w:ascii="Times New Roman" w:eastAsia="Times New Roman" w:hAnsi="Times New Roman" w:cs="Times New Roman"/>
                <w:lang w:val="sl-SI"/>
              </w:rPr>
            </w:pPr>
            <w:r>
              <w:rPr>
                <w:rFonts w:ascii="Times New Roman" w:eastAsia="Times New Roman" w:hAnsi="Times New Roman" w:cs="Times New Roman"/>
                <w:spacing w:val="-1"/>
                <w:lang w:val="sl-SI"/>
              </w:rPr>
              <w:t>Prvi 160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odmerek (</w:t>
            </w:r>
            <w:r w:rsidR="00C82BA3" w:rsidRPr="00C82BA3">
              <w:rPr>
                <w:rFonts w:ascii="Times New Roman" w:eastAsia="Times New Roman" w:hAnsi="Times New Roman" w:cs="Times New Roman"/>
                <w:spacing w:val="-1"/>
                <w:lang w:val="sl-SI"/>
              </w:rPr>
              <w:t xml:space="preserve">dveh 80 mg injekcij </w:t>
            </w:r>
            <w:r>
              <w:rPr>
                <w:rFonts w:ascii="Times New Roman" w:eastAsia="Times New Roman" w:hAnsi="Times New Roman" w:cs="Times New Roman"/>
                <w:spacing w:val="-1"/>
                <w:lang w:val="sl-SI"/>
              </w:rPr>
              <w:t xml:space="preserve">v enem dnevu ali </w:t>
            </w:r>
            <w:r w:rsidR="00C82BA3" w:rsidRPr="00C82BA3">
              <w:rPr>
                <w:rFonts w:ascii="Times New Roman" w:eastAsia="Times New Roman" w:hAnsi="Times New Roman" w:cs="Times New Roman"/>
                <w:spacing w:val="-1"/>
                <w:lang w:val="sl-SI"/>
              </w:rPr>
              <w:t xml:space="preserve">ene 80 mg injekcije </w:t>
            </w:r>
            <w:r>
              <w:rPr>
                <w:rFonts w:ascii="Times New Roman" w:eastAsia="Times New Roman" w:hAnsi="Times New Roman" w:cs="Times New Roman"/>
                <w:spacing w:val="-1"/>
                <w:lang w:val="sl-SI"/>
              </w:rPr>
              <w:t>na dan v dveh zaporednih dneh), ki mu sledi odmerek 80 mg (</w:t>
            </w:r>
            <w:r w:rsidR="00C82BA3" w:rsidRPr="00C82BA3">
              <w:rPr>
                <w:rFonts w:ascii="Times New Roman" w:eastAsia="Times New Roman" w:hAnsi="Times New Roman" w:cs="Times New Roman"/>
                <w:spacing w:val="-1"/>
                <w:lang w:val="sl-SI"/>
              </w:rPr>
              <w:t xml:space="preserve">ene 80 mg injekcije </w:t>
            </w:r>
            <w:r>
              <w:rPr>
                <w:rFonts w:ascii="Times New Roman" w:eastAsia="Times New Roman" w:hAnsi="Times New Roman" w:cs="Times New Roman"/>
                <w:spacing w:val="-1"/>
                <w:lang w:val="sl-SI"/>
              </w:rPr>
              <w:t>v enem dnevu) dva tedna kasneje. Po dveh dodatnih tednih nadaljujte z odmerkom 40 mg vsak teden ali 80 mg vsak drugi teden, kot vam je predpisal zdravnik.</w:t>
            </w:r>
          </w:p>
        </w:tc>
        <w:tc>
          <w:tcPr>
            <w:tcW w:w="3155" w:type="dxa"/>
            <w:tcBorders>
              <w:top w:val="single" w:sz="5" w:space="0" w:color="000000"/>
              <w:left w:val="single" w:sz="5" w:space="0" w:color="000000"/>
              <w:bottom w:val="single" w:sz="5" w:space="0" w:color="000000"/>
              <w:right w:val="single" w:sz="5" w:space="0" w:color="000000"/>
            </w:tcBorders>
          </w:tcPr>
          <w:p w14:paraId="4074B3EB" w14:textId="58ED9E1B" w:rsidR="00840AAB" w:rsidRDefault="00840AAB" w:rsidP="00646E14">
            <w:pPr>
              <w:pStyle w:val="TableParagraph"/>
              <w:spacing w:line="248"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4"/>
                <w:lang w:val="sl-SI"/>
              </w:rPr>
              <w:t>Priporočamo</w:t>
            </w:r>
            <w:r w:rsidR="008266AE">
              <w:rPr>
                <w:rFonts w:ascii="Times New Roman" w:eastAsia="Times New Roman" w:hAnsi="Times New Roman" w:cs="Times New Roman"/>
                <w:spacing w:val="-4"/>
                <w:lang w:val="sl-SI"/>
              </w:rPr>
              <w:t>, da</w:t>
            </w:r>
            <w:r>
              <w:rPr>
                <w:rFonts w:ascii="Times New Roman" w:eastAsia="Times New Roman" w:hAnsi="Times New Roman" w:cs="Times New Roman"/>
                <w:spacing w:val="-4"/>
                <w:lang w:val="sl-SI"/>
              </w:rPr>
              <w:t xml:space="preserve"> </w:t>
            </w:r>
            <w:r>
              <w:rPr>
                <w:rFonts w:ascii="Times New Roman" w:eastAsia="Times New Roman" w:hAnsi="Times New Roman" w:cs="Times New Roman"/>
                <w:spacing w:val="-1"/>
                <w:lang w:val="sl-SI"/>
              </w:rPr>
              <w:t>na prizadetih področjih vsak dan uporabite antiseptično čistilno sredstvo.</w:t>
            </w:r>
          </w:p>
        </w:tc>
      </w:tr>
      <w:tr w:rsidR="00840AAB" w:rsidRPr="00475A1E" w14:paraId="7233C0AD" w14:textId="77777777" w:rsidTr="00A75F0B">
        <w:tc>
          <w:tcPr>
            <w:tcW w:w="2731" w:type="dxa"/>
            <w:tcBorders>
              <w:top w:val="single" w:sz="5" w:space="0" w:color="000000"/>
              <w:left w:val="single" w:sz="5" w:space="0" w:color="000000"/>
              <w:bottom w:val="single" w:sz="5" w:space="0" w:color="000000"/>
              <w:right w:val="single" w:sz="5" w:space="0" w:color="000000"/>
            </w:tcBorders>
          </w:tcPr>
          <w:p w14:paraId="6E7F854C" w14:textId="7777777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Mladostniki, stari od 12. do 17. let s telesno maso 30 kg ali več</w:t>
            </w:r>
          </w:p>
        </w:tc>
        <w:tc>
          <w:tcPr>
            <w:tcW w:w="3402" w:type="dxa"/>
            <w:tcBorders>
              <w:top w:val="single" w:sz="5" w:space="0" w:color="000000"/>
              <w:left w:val="single" w:sz="5" w:space="0" w:color="000000"/>
              <w:bottom w:val="single" w:sz="5" w:space="0" w:color="000000"/>
              <w:right w:val="single" w:sz="5" w:space="0" w:color="000000"/>
            </w:tcBorders>
          </w:tcPr>
          <w:p w14:paraId="2D299AAA" w14:textId="06F50483" w:rsidR="00840AAB" w:rsidRDefault="00840AAB" w:rsidP="004E161B">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Prvi odmerek 80 mg (</w:t>
            </w:r>
            <w:r w:rsidR="00C82BA3" w:rsidRPr="00C82BA3">
              <w:rPr>
                <w:rFonts w:ascii="Times New Roman" w:eastAsia="Times New Roman" w:hAnsi="Times New Roman" w:cs="Times New Roman"/>
                <w:spacing w:val="-1"/>
                <w:lang w:val="sl-SI"/>
              </w:rPr>
              <w:t xml:space="preserve">ene 80 mg injekcije </w:t>
            </w:r>
            <w:r>
              <w:rPr>
                <w:rFonts w:ascii="Times New Roman" w:eastAsia="Times New Roman" w:hAnsi="Times New Roman" w:cs="Times New Roman"/>
                <w:spacing w:val="-1"/>
                <w:lang w:val="sl-SI"/>
              </w:rPr>
              <w:t xml:space="preserve">v enem dnevu), </w:t>
            </w:r>
            <w:r w:rsidR="004E161B">
              <w:rPr>
                <w:rFonts w:ascii="Times New Roman" w:eastAsia="Times New Roman" w:hAnsi="Times New Roman" w:cs="Times New Roman"/>
                <w:spacing w:val="-1"/>
                <w:lang w:val="sl-SI"/>
              </w:rPr>
              <w:t xml:space="preserve">čemur sledi </w:t>
            </w:r>
            <w:r>
              <w:rPr>
                <w:rFonts w:ascii="Times New Roman" w:eastAsia="Times New Roman" w:hAnsi="Times New Roman" w:cs="Times New Roman"/>
                <w:spacing w:val="-1"/>
                <w:lang w:val="sl-SI"/>
              </w:rPr>
              <w:t xml:space="preserve"> 40 mg vsak drugi teden, z začetkom en teden po začetnem odmerku.</w:t>
            </w:r>
          </w:p>
        </w:tc>
        <w:tc>
          <w:tcPr>
            <w:tcW w:w="3155" w:type="dxa"/>
            <w:tcBorders>
              <w:top w:val="single" w:sz="5" w:space="0" w:color="000000"/>
              <w:left w:val="single" w:sz="5" w:space="0" w:color="000000"/>
              <w:bottom w:val="single" w:sz="5" w:space="0" w:color="000000"/>
              <w:right w:val="single" w:sz="5" w:space="0" w:color="000000"/>
            </w:tcBorders>
          </w:tcPr>
          <w:p w14:paraId="301F2E85" w14:textId="7777777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Če imate neustrezen </w:t>
            </w:r>
            <w:r>
              <w:rPr>
                <w:rFonts w:ascii="Times New Roman" w:eastAsia="Times New Roman" w:hAnsi="Times New Roman" w:cs="Times New Roman"/>
                <w:lang w:val="sl-SI"/>
              </w:rPr>
              <w:t xml:space="preserve">odziv na zdravilo Yuflyma 40 mg vsak drugi teden, lahko zdravnik poveča odmerek na 40 mg vsak teden ali 80 mg vsak </w:t>
            </w:r>
            <w:r>
              <w:rPr>
                <w:rFonts w:ascii="Times New Roman" w:eastAsia="Times New Roman" w:hAnsi="Times New Roman" w:cs="Times New Roman"/>
                <w:spacing w:val="-1"/>
                <w:lang w:val="sl-SI"/>
              </w:rPr>
              <w:t>drugi teden.</w:t>
            </w:r>
          </w:p>
          <w:p w14:paraId="37487816" w14:textId="77777777" w:rsidR="00840AAB" w:rsidRDefault="00840AAB" w:rsidP="00646E14">
            <w:pPr>
              <w:pStyle w:val="TableParagraph"/>
              <w:spacing w:before="1"/>
              <w:ind w:left="102" w:right="223"/>
              <w:jc w:val="both"/>
              <w:rPr>
                <w:rFonts w:ascii="Times New Roman" w:eastAsia="Times New Roman" w:hAnsi="Times New Roman" w:cs="Times New Roman"/>
                <w:lang w:val="sl-SI"/>
              </w:rPr>
            </w:pPr>
            <w:r>
              <w:rPr>
                <w:rFonts w:ascii="Times New Roman" w:eastAsia="Times New Roman" w:hAnsi="Times New Roman" w:cs="Times New Roman"/>
                <w:spacing w:val="-4"/>
                <w:lang w:val="sl-SI"/>
              </w:rPr>
              <w:t>Priporočljivo je, da na prizadetih predelih vsak dan uporabite antiseptično čistilno sredstvo.</w:t>
            </w:r>
          </w:p>
        </w:tc>
      </w:tr>
    </w:tbl>
    <w:p w14:paraId="4673A123" w14:textId="77777777" w:rsidR="00840AAB" w:rsidRDefault="00840AAB" w:rsidP="00840AAB">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2731"/>
        <w:gridCol w:w="3261"/>
        <w:gridCol w:w="3296"/>
      </w:tblGrid>
      <w:tr w:rsidR="00840AAB" w14:paraId="6D614077" w14:textId="77777777" w:rsidTr="00646E14">
        <w:tc>
          <w:tcPr>
            <w:tcW w:w="9288" w:type="dxa"/>
            <w:gridSpan w:val="3"/>
            <w:tcBorders>
              <w:top w:val="single" w:sz="5" w:space="0" w:color="000000"/>
              <w:left w:val="single" w:sz="5" w:space="0" w:color="000000"/>
              <w:bottom w:val="single" w:sz="5" w:space="0" w:color="000000"/>
              <w:right w:val="single" w:sz="5" w:space="0" w:color="000000"/>
            </w:tcBorders>
          </w:tcPr>
          <w:p w14:paraId="5CF991F5" w14:textId="77777777" w:rsidR="00840AAB" w:rsidRDefault="00840AAB" w:rsidP="00646E14">
            <w:pPr>
              <w:pStyle w:val="TableParagraph"/>
              <w:spacing w:line="251"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Crohnova bolezen</w:t>
            </w:r>
          </w:p>
        </w:tc>
      </w:tr>
      <w:tr w:rsidR="00840AAB" w14:paraId="49DD8FD9" w14:textId="77777777" w:rsidTr="00A75F0B">
        <w:tc>
          <w:tcPr>
            <w:tcW w:w="2731" w:type="dxa"/>
            <w:tcBorders>
              <w:top w:val="single" w:sz="5" w:space="0" w:color="000000"/>
              <w:left w:val="single" w:sz="5" w:space="0" w:color="000000"/>
              <w:bottom w:val="single" w:sz="5" w:space="0" w:color="000000"/>
              <w:right w:val="single" w:sz="5" w:space="0" w:color="000000"/>
            </w:tcBorders>
          </w:tcPr>
          <w:p w14:paraId="46F2F49D"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261" w:type="dxa"/>
            <w:tcBorders>
              <w:top w:val="single" w:sz="5" w:space="0" w:color="000000"/>
              <w:left w:val="single" w:sz="5" w:space="0" w:color="000000"/>
              <w:bottom w:val="single" w:sz="5" w:space="0" w:color="000000"/>
              <w:right w:val="single" w:sz="5" w:space="0" w:color="000000"/>
            </w:tcBorders>
          </w:tcPr>
          <w:p w14:paraId="719F0DB7" w14:textId="77777777" w:rsidR="00840AAB" w:rsidRDefault="00840AAB" w:rsidP="00646E14">
            <w:pPr>
              <w:pStyle w:val="TableParagraph"/>
              <w:spacing w:before="1"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 vzeti?</w:t>
            </w:r>
          </w:p>
        </w:tc>
        <w:tc>
          <w:tcPr>
            <w:tcW w:w="3296" w:type="dxa"/>
            <w:tcBorders>
              <w:top w:val="single" w:sz="5" w:space="0" w:color="000000"/>
              <w:left w:val="single" w:sz="5" w:space="0" w:color="000000"/>
              <w:bottom w:val="single" w:sz="5" w:space="0" w:color="000000"/>
              <w:right w:val="single" w:sz="5" w:space="0" w:color="000000"/>
            </w:tcBorders>
          </w:tcPr>
          <w:p w14:paraId="7DDE07C8"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840AAB" w:rsidRPr="00475A1E" w14:paraId="50D875BA" w14:textId="77777777" w:rsidTr="00A75F0B">
        <w:tc>
          <w:tcPr>
            <w:tcW w:w="2731" w:type="dxa"/>
            <w:tcBorders>
              <w:top w:val="single" w:sz="5" w:space="0" w:color="000000"/>
              <w:left w:val="single" w:sz="5" w:space="0" w:color="000000"/>
              <w:bottom w:val="single" w:sz="5" w:space="0" w:color="000000"/>
              <w:right w:val="single" w:sz="5" w:space="0" w:color="000000"/>
            </w:tcBorders>
          </w:tcPr>
          <w:p w14:paraId="53E44BFA" w14:textId="7777777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lang w:val="sl-SI"/>
              </w:rPr>
              <w:t xml:space="preserve">Otroci, mladostniki in </w:t>
            </w:r>
            <w:r>
              <w:rPr>
                <w:rFonts w:ascii="Times New Roman" w:eastAsia="Times New Roman" w:hAnsi="Times New Roman" w:cs="Times New Roman"/>
                <w:lang w:val="sl-SI"/>
              </w:rPr>
              <w:lastRenderedPageBreak/>
              <w:t xml:space="preserve">odrasli </w:t>
            </w:r>
            <w:r>
              <w:rPr>
                <w:rFonts w:ascii="Times New Roman" w:eastAsia="Times New Roman" w:hAnsi="Times New Roman" w:cs="Times New Roman"/>
                <w:spacing w:val="-1"/>
                <w:lang w:val="sl-SI"/>
              </w:rPr>
              <w:t>od starosti 6 let s telesno maso 40 kg ali več</w:t>
            </w:r>
          </w:p>
        </w:tc>
        <w:tc>
          <w:tcPr>
            <w:tcW w:w="3261" w:type="dxa"/>
            <w:tcBorders>
              <w:top w:val="single" w:sz="5" w:space="0" w:color="000000"/>
              <w:left w:val="single" w:sz="5" w:space="0" w:color="000000"/>
              <w:bottom w:val="single" w:sz="5" w:space="0" w:color="000000"/>
              <w:right w:val="single" w:sz="5" w:space="0" w:color="000000"/>
            </w:tcBorders>
          </w:tcPr>
          <w:p w14:paraId="78438EFB" w14:textId="5993F073"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lastRenderedPageBreak/>
              <w:t>Prvi odmerek 80 mg (</w:t>
            </w:r>
            <w:r w:rsidR="00C82BA3" w:rsidRPr="00C82BA3">
              <w:rPr>
                <w:rFonts w:ascii="Times New Roman" w:eastAsia="Times New Roman" w:hAnsi="Times New Roman" w:cs="Times New Roman"/>
                <w:spacing w:val="-1"/>
                <w:lang w:val="sl-SI"/>
              </w:rPr>
              <w:t xml:space="preserve">ene 80 mg </w:t>
            </w:r>
            <w:r w:rsidR="00C82BA3" w:rsidRPr="00C82BA3">
              <w:rPr>
                <w:rFonts w:ascii="Times New Roman" w:eastAsia="Times New Roman" w:hAnsi="Times New Roman" w:cs="Times New Roman"/>
                <w:spacing w:val="-1"/>
                <w:lang w:val="sl-SI"/>
              </w:rPr>
              <w:lastRenderedPageBreak/>
              <w:t xml:space="preserve">injekcije </w:t>
            </w:r>
            <w:r>
              <w:rPr>
                <w:rFonts w:ascii="Times New Roman" w:eastAsia="Times New Roman" w:hAnsi="Times New Roman" w:cs="Times New Roman"/>
                <w:spacing w:val="-1"/>
                <w:lang w:val="sl-SI"/>
              </w:rPr>
              <w:t>v enem dnevu), ki mu sledi 40 mg dva tedna kasneje.</w:t>
            </w:r>
          </w:p>
          <w:p w14:paraId="52D1393B" w14:textId="77777777" w:rsidR="00840AAB" w:rsidRDefault="00840AAB" w:rsidP="00646E14">
            <w:pPr>
              <w:pStyle w:val="TableParagraph"/>
              <w:spacing w:before="11" w:line="240" w:lineRule="exact"/>
              <w:rPr>
                <w:sz w:val="24"/>
                <w:szCs w:val="24"/>
                <w:lang w:val="sl-SI"/>
              </w:rPr>
            </w:pPr>
          </w:p>
          <w:p w14:paraId="3F8D64A0" w14:textId="7D424157" w:rsidR="00840AAB" w:rsidRDefault="00840AAB" w:rsidP="00646E14">
            <w:pPr>
              <w:pStyle w:val="TableParagraph"/>
              <w:ind w:left="102" w:right="76"/>
              <w:rPr>
                <w:rFonts w:ascii="Times New Roman" w:eastAsia="Times New Roman" w:hAnsi="Times New Roman" w:cs="Times New Roman"/>
                <w:lang w:val="sl-SI"/>
              </w:rPr>
            </w:pPr>
            <w:r>
              <w:rPr>
                <w:rFonts w:ascii="Times New Roman" w:eastAsia="Times New Roman" w:hAnsi="Times New Roman" w:cs="Times New Roman"/>
                <w:spacing w:val="-1"/>
                <w:lang w:val="sl-SI"/>
              </w:rPr>
              <w:t>Če je potreben hitrejši odziv, lahko zdravnik predpiše prvi odmerek 160 mg (</w:t>
            </w:r>
            <w:r w:rsidR="00C82BA3" w:rsidRPr="00C82BA3">
              <w:rPr>
                <w:rFonts w:ascii="Times New Roman" w:eastAsia="Times New Roman" w:hAnsi="Times New Roman" w:cs="Times New Roman"/>
                <w:spacing w:val="-1"/>
                <w:lang w:val="sl-SI"/>
              </w:rPr>
              <w:t xml:space="preserve">dveh 80 mg injekcij </w:t>
            </w:r>
            <w:r>
              <w:rPr>
                <w:rFonts w:ascii="Times New Roman" w:eastAsia="Times New Roman" w:hAnsi="Times New Roman" w:cs="Times New Roman"/>
                <w:spacing w:val="-1"/>
                <w:lang w:val="sl-SI"/>
              </w:rPr>
              <w:t xml:space="preserve">v enem dnevu ali </w:t>
            </w:r>
            <w:r w:rsidR="00C82BA3" w:rsidRPr="00C82BA3">
              <w:rPr>
                <w:rFonts w:ascii="Times New Roman" w:eastAsia="Times New Roman" w:hAnsi="Times New Roman" w:cs="Times New Roman"/>
                <w:spacing w:val="-1"/>
                <w:lang w:val="sl-SI"/>
              </w:rPr>
              <w:t xml:space="preserve">ene 80 mg injekcije </w:t>
            </w:r>
            <w:r>
              <w:rPr>
                <w:rFonts w:ascii="Times New Roman" w:eastAsia="Times New Roman" w:hAnsi="Times New Roman" w:cs="Times New Roman"/>
                <w:spacing w:val="-1"/>
                <w:lang w:val="sl-SI"/>
              </w:rPr>
              <w:t>na dan v dveh zaporednih dneh), čemur sledi 80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w:t>
            </w:r>
            <w:r w:rsidR="00C82BA3" w:rsidRPr="00C82BA3">
              <w:rPr>
                <w:rFonts w:ascii="Times New Roman" w:eastAsia="Times New Roman" w:hAnsi="Times New Roman" w:cs="Times New Roman"/>
                <w:spacing w:val="-1"/>
                <w:lang w:val="sl-SI"/>
              </w:rPr>
              <w:t xml:space="preserve">ene 80 mg injekcije </w:t>
            </w:r>
            <w:r>
              <w:rPr>
                <w:rFonts w:ascii="Times New Roman" w:eastAsia="Times New Roman" w:hAnsi="Times New Roman" w:cs="Times New Roman"/>
                <w:spacing w:val="-1"/>
                <w:lang w:val="sl-SI"/>
              </w:rPr>
              <w:t>v enem dnevu) dva tedna kasneje.</w:t>
            </w:r>
          </w:p>
          <w:p w14:paraId="2E5A1FF3" w14:textId="77777777" w:rsidR="00840AAB" w:rsidRDefault="00840AAB" w:rsidP="00646E14">
            <w:pPr>
              <w:pStyle w:val="TableParagraph"/>
              <w:spacing w:before="17" w:line="240" w:lineRule="exact"/>
              <w:rPr>
                <w:sz w:val="24"/>
                <w:szCs w:val="24"/>
                <w:lang w:val="sl-SI"/>
              </w:rPr>
            </w:pPr>
          </w:p>
          <w:p w14:paraId="52886E3D" w14:textId="71D1AFF2" w:rsidR="00840AAB" w:rsidRDefault="007B516F" w:rsidP="00646E14">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Nato</w:t>
            </w:r>
            <w:r w:rsidR="00840AAB">
              <w:rPr>
                <w:rFonts w:ascii="Times New Roman" w:eastAsia="Times New Roman" w:hAnsi="Times New Roman" w:cs="Times New Roman"/>
                <w:spacing w:val="-1"/>
                <w:lang w:val="sl-SI"/>
              </w:rPr>
              <w:t xml:space="preserve"> je običajni odmerek 40 mg vsak drugi teden.</w:t>
            </w:r>
          </w:p>
        </w:tc>
        <w:tc>
          <w:tcPr>
            <w:tcW w:w="3296" w:type="dxa"/>
            <w:tcBorders>
              <w:top w:val="single" w:sz="5" w:space="0" w:color="000000"/>
              <w:left w:val="single" w:sz="5" w:space="0" w:color="000000"/>
              <w:bottom w:val="single" w:sz="5" w:space="0" w:color="000000"/>
              <w:right w:val="single" w:sz="5" w:space="0" w:color="000000"/>
            </w:tcBorders>
          </w:tcPr>
          <w:p w14:paraId="56FA0681" w14:textId="7777777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lastRenderedPageBreak/>
              <w:t xml:space="preserve">Zdravnik vam lahko odmerek </w:t>
            </w:r>
            <w:r>
              <w:rPr>
                <w:rFonts w:ascii="Times New Roman" w:eastAsia="Times New Roman" w:hAnsi="Times New Roman" w:cs="Times New Roman"/>
                <w:spacing w:val="-1"/>
                <w:lang w:val="sl-SI"/>
              </w:rPr>
              <w:lastRenderedPageBreak/>
              <w:t>poveča na 40 mg vsak teden ali 80 mg vsak drugi teden.</w:t>
            </w:r>
          </w:p>
        </w:tc>
      </w:tr>
      <w:tr w:rsidR="00BE3BDD" w:rsidRPr="00475A1E" w14:paraId="499201AB" w14:textId="77777777" w:rsidTr="00A75F0B">
        <w:tc>
          <w:tcPr>
            <w:tcW w:w="2731" w:type="dxa"/>
            <w:tcBorders>
              <w:top w:val="single" w:sz="5" w:space="0" w:color="000000"/>
              <w:left w:val="single" w:sz="5" w:space="0" w:color="000000"/>
              <w:bottom w:val="single" w:sz="5" w:space="0" w:color="000000"/>
              <w:right w:val="single" w:sz="5" w:space="0" w:color="000000"/>
            </w:tcBorders>
          </w:tcPr>
          <w:p w14:paraId="56622BD0" w14:textId="50BCAD9D" w:rsidR="00BE3BDD" w:rsidRDefault="00BE3BDD" w:rsidP="00BE3BDD">
            <w:pPr>
              <w:pStyle w:val="TableParagraph"/>
              <w:spacing w:line="246" w:lineRule="exact"/>
              <w:ind w:left="102" w:right="57"/>
              <w:rPr>
                <w:rFonts w:ascii="Times New Roman" w:eastAsia="Times New Roman" w:hAnsi="Times New Roman" w:cs="Times New Roman"/>
                <w:lang w:val="sl-SI"/>
              </w:rPr>
            </w:pPr>
            <w:r w:rsidRPr="00CE0F3E">
              <w:rPr>
                <w:rFonts w:ascii="Times New Roman" w:eastAsia="Times New Roman" w:hAnsi="Times New Roman" w:cs="Times New Roman"/>
                <w:lang w:val="sl-SI"/>
              </w:rPr>
              <w:lastRenderedPageBreak/>
              <w:t>Otroci in mladostniki, stari od</w:t>
            </w:r>
            <w:r>
              <w:rPr>
                <w:rFonts w:ascii="Times New Roman" w:eastAsia="Times New Roman" w:hAnsi="Times New Roman" w:cs="Times New Roman"/>
                <w:lang w:val="sl-SI"/>
              </w:rPr>
              <w:t xml:space="preserve"> </w:t>
            </w:r>
            <w:r w:rsidRPr="00CE0F3E">
              <w:rPr>
                <w:rFonts w:ascii="Times New Roman" w:eastAsia="Times New Roman" w:hAnsi="Times New Roman" w:cs="Times New Roman"/>
                <w:lang w:val="sl-SI"/>
              </w:rPr>
              <w:t>6 do 17 let, ki tehtajo manj kot</w:t>
            </w:r>
            <w:r>
              <w:rPr>
                <w:rFonts w:ascii="Times New Roman" w:eastAsia="Times New Roman" w:hAnsi="Times New Roman" w:cs="Times New Roman"/>
                <w:lang w:val="sl-SI"/>
              </w:rPr>
              <w:t xml:space="preserve"> </w:t>
            </w:r>
            <w:r w:rsidRPr="00CE0F3E">
              <w:rPr>
                <w:rFonts w:ascii="Times New Roman" w:eastAsia="Times New Roman" w:hAnsi="Times New Roman" w:cs="Times New Roman"/>
                <w:lang w:val="sl-SI"/>
              </w:rPr>
              <w:t>40 kg</w:t>
            </w:r>
          </w:p>
        </w:tc>
        <w:tc>
          <w:tcPr>
            <w:tcW w:w="3261" w:type="dxa"/>
            <w:tcBorders>
              <w:top w:val="single" w:sz="5" w:space="0" w:color="000000"/>
              <w:left w:val="single" w:sz="5" w:space="0" w:color="000000"/>
              <w:bottom w:val="single" w:sz="5" w:space="0" w:color="000000"/>
              <w:right w:val="single" w:sz="5" w:space="0" w:color="000000"/>
            </w:tcBorders>
          </w:tcPr>
          <w:p w14:paraId="715D3108" w14:textId="77777777" w:rsidR="00BE3BDD" w:rsidRDefault="00BE3BDD" w:rsidP="00BE3BDD">
            <w:pPr>
              <w:pStyle w:val="TableParagraph"/>
              <w:spacing w:line="246" w:lineRule="exact"/>
              <w:ind w:left="102" w:right="57"/>
              <w:rPr>
                <w:sz w:val="24"/>
                <w:szCs w:val="24"/>
                <w:lang w:val="sl-SI"/>
              </w:rPr>
            </w:pPr>
            <w:r w:rsidRPr="00CE0F3E">
              <w:rPr>
                <w:rFonts w:ascii="Times New Roman" w:eastAsia="Times New Roman" w:hAnsi="Times New Roman" w:cs="Times New Roman"/>
                <w:spacing w:val="-1"/>
                <w:lang w:val="sl-SI"/>
              </w:rPr>
              <w:t>Prvi odmerek je 40 mg, čemur</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sledi 20 mg dva tedna kasneje.</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Če je potreben hitrejši odziv,</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lahko zdravnik predpiše začetni</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odmerek 80 mg (eno 80 mg</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injekcijo), čemur sledi 40 mg</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dva tedna kasneje.</w:t>
            </w:r>
            <w:r w:rsidRPr="00CE0F3E">
              <w:rPr>
                <w:rFonts w:ascii="Times New Roman" w:eastAsia="Times New Roman" w:hAnsi="Times New Roman" w:cs="Times New Roman"/>
                <w:spacing w:val="-1"/>
                <w:lang w:val="sl-SI"/>
              </w:rPr>
              <w:cr/>
            </w:r>
          </w:p>
          <w:p w14:paraId="0F37AAA0" w14:textId="1F2EE74F" w:rsidR="00BE3BDD" w:rsidRDefault="00BE3BDD" w:rsidP="00BE3BDD">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Zatem je običajni odmerek 20 mg vsak drugi teden.</w:t>
            </w:r>
          </w:p>
        </w:tc>
        <w:tc>
          <w:tcPr>
            <w:tcW w:w="3296" w:type="dxa"/>
            <w:tcBorders>
              <w:top w:val="single" w:sz="5" w:space="0" w:color="000000"/>
              <w:left w:val="single" w:sz="5" w:space="0" w:color="000000"/>
              <w:bottom w:val="single" w:sz="5" w:space="0" w:color="000000"/>
              <w:right w:val="single" w:sz="5" w:space="0" w:color="000000"/>
            </w:tcBorders>
          </w:tcPr>
          <w:p w14:paraId="65996A5B" w14:textId="656C8EA6" w:rsidR="00BE3BDD" w:rsidRDefault="00BE3BDD" w:rsidP="00BE3BDD">
            <w:pPr>
              <w:pStyle w:val="TableParagraph"/>
              <w:spacing w:line="246" w:lineRule="exact"/>
              <w:ind w:left="102" w:right="57"/>
              <w:rPr>
                <w:rFonts w:ascii="Times New Roman" w:eastAsia="Times New Roman" w:hAnsi="Times New Roman" w:cs="Times New Roman"/>
                <w:spacing w:val="-1"/>
                <w:lang w:val="sl-SI"/>
              </w:rPr>
            </w:pPr>
            <w:r w:rsidRPr="00CE0F3E">
              <w:rPr>
                <w:rFonts w:ascii="Times New Roman" w:eastAsia="Times New Roman" w:hAnsi="Times New Roman" w:cs="Times New Roman"/>
                <w:spacing w:val="-1"/>
                <w:lang w:val="sl-SI"/>
              </w:rPr>
              <w:t>Vaš zdravnik vam lahko</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poveča pogostnost odmerjanja</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na 20 mg vsak teden.</w:t>
            </w:r>
          </w:p>
        </w:tc>
      </w:tr>
    </w:tbl>
    <w:p w14:paraId="1B294BDF" w14:textId="77777777" w:rsidR="00840AAB" w:rsidRDefault="00840AAB" w:rsidP="00840AAB">
      <w:pPr>
        <w:spacing w:before="7" w:line="90" w:lineRule="exact"/>
        <w:rPr>
          <w:sz w:val="9"/>
          <w:szCs w:val="9"/>
          <w:lang w:val="sl-SI"/>
        </w:rPr>
      </w:pPr>
    </w:p>
    <w:p w14:paraId="1A5061B0" w14:textId="77777777" w:rsidR="00840AAB" w:rsidRDefault="00840AAB" w:rsidP="00840AAB">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2731"/>
        <w:gridCol w:w="3261"/>
        <w:gridCol w:w="3296"/>
      </w:tblGrid>
      <w:tr w:rsidR="00840AAB" w14:paraId="249D66E6" w14:textId="77777777" w:rsidTr="00646E14">
        <w:tc>
          <w:tcPr>
            <w:tcW w:w="9288" w:type="dxa"/>
            <w:gridSpan w:val="3"/>
            <w:tcBorders>
              <w:top w:val="single" w:sz="5" w:space="0" w:color="000000"/>
              <w:left w:val="single" w:sz="5" w:space="0" w:color="000000"/>
              <w:bottom w:val="single" w:sz="5" w:space="0" w:color="000000"/>
              <w:right w:val="single" w:sz="5" w:space="0" w:color="000000"/>
            </w:tcBorders>
          </w:tcPr>
          <w:p w14:paraId="18C04ED8" w14:textId="77777777" w:rsidR="00840AAB" w:rsidRDefault="00840AAB" w:rsidP="00646E14">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Ulcerozni kolitis</w:t>
            </w:r>
          </w:p>
        </w:tc>
      </w:tr>
      <w:tr w:rsidR="00840AAB" w14:paraId="7E4F3F5A" w14:textId="77777777" w:rsidTr="00A75F0B">
        <w:tc>
          <w:tcPr>
            <w:tcW w:w="2731" w:type="dxa"/>
            <w:tcBorders>
              <w:top w:val="single" w:sz="5" w:space="0" w:color="000000"/>
              <w:left w:val="single" w:sz="5" w:space="0" w:color="000000"/>
              <w:bottom w:val="single" w:sz="5" w:space="0" w:color="000000"/>
              <w:right w:val="single" w:sz="5" w:space="0" w:color="000000"/>
            </w:tcBorders>
          </w:tcPr>
          <w:p w14:paraId="45814265"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261" w:type="dxa"/>
            <w:tcBorders>
              <w:top w:val="single" w:sz="5" w:space="0" w:color="000000"/>
              <w:left w:val="single" w:sz="5" w:space="0" w:color="000000"/>
              <w:bottom w:val="single" w:sz="5" w:space="0" w:color="000000"/>
              <w:right w:val="single" w:sz="5" w:space="0" w:color="000000"/>
            </w:tcBorders>
          </w:tcPr>
          <w:p w14:paraId="0ADD096A"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5CBEF07D" w14:textId="77777777" w:rsidR="00840AAB" w:rsidRDefault="00840AAB" w:rsidP="00646E14">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296" w:type="dxa"/>
            <w:tcBorders>
              <w:top w:val="single" w:sz="5" w:space="0" w:color="000000"/>
              <w:left w:val="single" w:sz="5" w:space="0" w:color="000000"/>
              <w:bottom w:val="single" w:sz="5" w:space="0" w:color="000000"/>
              <w:right w:val="single" w:sz="5" w:space="0" w:color="000000"/>
            </w:tcBorders>
          </w:tcPr>
          <w:p w14:paraId="241CC21B"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840AAB" w:rsidRPr="00475A1E" w14:paraId="47399441" w14:textId="77777777" w:rsidTr="00A75F0B">
        <w:tc>
          <w:tcPr>
            <w:tcW w:w="2731" w:type="dxa"/>
            <w:tcBorders>
              <w:top w:val="single" w:sz="5" w:space="0" w:color="000000"/>
              <w:left w:val="single" w:sz="5" w:space="0" w:color="000000"/>
              <w:bottom w:val="single" w:sz="5" w:space="0" w:color="000000"/>
              <w:right w:val="single" w:sz="5" w:space="0" w:color="000000"/>
            </w:tcBorders>
          </w:tcPr>
          <w:p w14:paraId="413E4CB7" w14:textId="7777777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Odrasli</w:t>
            </w:r>
          </w:p>
        </w:tc>
        <w:tc>
          <w:tcPr>
            <w:tcW w:w="3261" w:type="dxa"/>
            <w:tcBorders>
              <w:top w:val="single" w:sz="5" w:space="0" w:color="000000"/>
              <w:left w:val="single" w:sz="5" w:space="0" w:color="000000"/>
              <w:bottom w:val="single" w:sz="5" w:space="0" w:color="000000"/>
              <w:right w:val="single" w:sz="5" w:space="0" w:color="000000"/>
            </w:tcBorders>
          </w:tcPr>
          <w:p w14:paraId="0E11ED6A" w14:textId="1457D52C"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Prvi 160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odmerek (</w:t>
            </w:r>
            <w:r w:rsidR="00C82BA3" w:rsidRPr="00C82BA3">
              <w:rPr>
                <w:rFonts w:ascii="Times New Roman" w:eastAsia="Times New Roman" w:hAnsi="Times New Roman" w:cs="Times New Roman"/>
                <w:spacing w:val="-1"/>
                <w:lang w:val="sl-SI"/>
              </w:rPr>
              <w:t xml:space="preserve">dveh 80 mg injekcij </w:t>
            </w:r>
            <w:r>
              <w:rPr>
                <w:rFonts w:ascii="Times New Roman" w:eastAsia="Times New Roman" w:hAnsi="Times New Roman" w:cs="Times New Roman"/>
                <w:spacing w:val="-1"/>
                <w:lang w:val="sl-SI"/>
              </w:rPr>
              <w:t xml:space="preserve">v enem dnevu ali </w:t>
            </w:r>
            <w:r w:rsidR="00C82BA3" w:rsidRPr="00C82BA3">
              <w:rPr>
                <w:rFonts w:ascii="Times New Roman" w:eastAsia="Times New Roman" w:hAnsi="Times New Roman" w:cs="Times New Roman"/>
                <w:spacing w:val="-1"/>
                <w:lang w:val="sl-SI"/>
              </w:rPr>
              <w:t xml:space="preserve">ene 80 mg injekcije </w:t>
            </w:r>
            <w:r>
              <w:rPr>
                <w:rFonts w:ascii="Times New Roman" w:eastAsia="Times New Roman" w:hAnsi="Times New Roman" w:cs="Times New Roman"/>
                <w:spacing w:val="-1"/>
                <w:lang w:val="sl-SI"/>
              </w:rPr>
              <w:t>na dan v dveh zaporednih dneh), čemur sledi 80</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mg (</w:t>
            </w:r>
            <w:r w:rsidR="00C82BA3" w:rsidRPr="00C82BA3">
              <w:rPr>
                <w:rFonts w:ascii="Times New Roman" w:eastAsia="Times New Roman" w:hAnsi="Times New Roman" w:cs="Times New Roman"/>
                <w:spacing w:val="-1"/>
                <w:lang w:val="sl-SI"/>
              </w:rPr>
              <w:t xml:space="preserve">ene 80 mg injekcije </w:t>
            </w:r>
            <w:r>
              <w:rPr>
                <w:rFonts w:ascii="Times New Roman" w:eastAsia="Times New Roman" w:hAnsi="Times New Roman" w:cs="Times New Roman"/>
                <w:spacing w:val="-1"/>
                <w:lang w:val="sl-SI"/>
              </w:rPr>
              <w:t>v enem dnevu) dva tedna kasneje.</w:t>
            </w:r>
          </w:p>
          <w:p w14:paraId="60CDA252" w14:textId="77777777" w:rsidR="00840AAB" w:rsidRDefault="00840AAB" w:rsidP="00646E14">
            <w:pPr>
              <w:pStyle w:val="TableParagraph"/>
              <w:spacing w:before="17" w:line="240" w:lineRule="exact"/>
              <w:rPr>
                <w:sz w:val="24"/>
                <w:szCs w:val="24"/>
                <w:lang w:val="sl-SI"/>
              </w:rPr>
            </w:pPr>
          </w:p>
          <w:p w14:paraId="4BD90113" w14:textId="0899AF03" w:rsidR="00840AAB" w:rsidRDefault="008266AE" w:rsidP="00646E14">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Nato</w:t>
            </w:r>
            <w:r w:rsidR="00840AAB">
              <w:rPr>
                <w:rFonts w:ascii="Times New Roman" w:eastAsia="Times New Roman" w:hAnsi="Times New Roman" w:cs="Times New Roman"/>
                <w:spacing w:val="-1"/>
                <w:lang w:val="sl-SI"/>
              </w:rPr>
              <w:t xml:space="preserve"> je običajni odmerek 40 mg vsak drugi teden.</w:t>
            </w:r>
          </w:p>
        </w:tc>
        <w:tc>
          <w:tcPr>
            <w:tcW w:w="3296" w:type="dxa"/>
            <w:tcBorders>
              <w:top w:val="single" w:sz="5" w:space="0" w:color="000000"/>
              <w:left w:val="single" w:sz="5" w:space="0" w:color="000000"/>
              <w:bottom w:val="single" w:sz="5" w:space="0" w:color="000000"/>
              <w:right w:val="single" w:sz="5" w:space="0" w:color="000000"/>
            </w:tcBorders>
          </w:tcPr>
          <w:p w14:paraId="5F0B1536" w14:textId="7777777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Zdravnik vam lahko odmerek poveča na 40 mg vsak teden ali 80 mg vsak drugi teden.</w:t>
            </w:r>
          </w:p>
        </w:tc>
      </w:tr>
      <w:tr w:rsidR="00840AAB" w:rsidRPr="00475A1E" w14:paraId="442C6961" w14:textId="77777777" w:rsidTr="00A75F0B">
        <w:tc>
          <w:tcPr>
            <w:tcW w:w="2731" w:type="dxa"/>
            <w:tcBorders>
              <w:top w:val="single" w:sz="5" w:space="0" w:color="000000"/>
              <w:left w:val="single" w:sz="5" w:space="0" w:color="000000"/>
              <w:bottom w:val="single" w:sz="5" w:space="0" w:color="000000"/>
              <w:right w:val="single" w:sz="5" w:space="0" w:color="000000"/>
            </w:tcBorders>
          </w:tcPr>
          <w:p w14:paraId="06F96113" w14:textId="77777777" w:rsidR="00840AAB" w:rsidRPr="009D62D5" w:rsidRDefault="00840AAB" w:rsidP="00646E14">
            <w:pPr>
              <w:pStyle w:val="TableParagraph"/>
              <w:spacing w:line="246" w:lineRule="exact"/>
              <w:ind w:left="102" w:right="57"/>
              <w:rPr>
                <w:rFonts w:ascii="Times New Roman" w:eastAsia="Times New Roman" w:hAnsi="Times New Roman" w:cs="Times New Roman"/>
                <w:spacing w:val="-1"/>
                <w:lang w:val="sl-SI"/>
              </w:rPr>
            </w:pPr>
            <w:r w:rsidRPr="009D62D5">
              <w:rPr>
                <w:rFonts w:ascii="Times New Roman" w:hAnsi="Times New Roman" w:cs="Times New Roman"/>
                <w:lang w:val="sl-SI"/>
              </w:rPr>
              <w:t>Otroci in mladostniki, starejši od 6 let, ki tehtajo manj kot 40 kg</w:t>
            </w:r>
          </w:p>
        </w:tc>
        <w:tc>
          <w:tcPr>
            <w:tcW w:w="3261" w:type="dxa"/>
            <w:tcBorders>
              <w:top w:val="single" w:sz="5" w:space="0" w:color="000000"/>
              <w:left w:val="single" w:sz="5" w:space="0" w:color="000000"/>
              <w:bottom w:val="single" w:sz="5" w:space="0" w:color="000000"/>
              <w:right w:val="single" w:sz="5" w:space="0" w:color="000000"/>
            </w:tcBorders>
          </w:tcPr>
          <w:p w14:paraId="280DD91D" w14:textId="0ADBB825" w:rsidR="00840AAB" w:rsidRPr="009D62D5" w:rsidRDefault="00840AAB" w:rsidP="00646E14">
            <w:pPr>
              <w:keepNext/>
              <w:numPr>
                <w:ilvl w:val="12"/>
                <w:numId w:val="0"/>
              </w:numPr>
              <w:tabs>
                <w:tab w:val="left" w:pos="708"/>
              </w:tabs>
              <w:rPr>
                <w:rFonts w:ascii="Times New Roman" w:hAnsi="Times New Roman" w:cs="Times New Roman"/>
                <w:lang w:val="sl-SI"/>
              </w:rPr>
            </w:pPr>
            <w:r w:rsidRPr="009D62D5">
              <w:rPr>
                <w:rFonts w:ascii="Times New Roman" w:hAnsi="Times New Roman" w:cs="Times New Roman"/>
                <w:lang w:val="sl-SI"/>
              </w:rPr>
              <w:t>Prvi odmerek je 80 mg (</w:t>
            </w:r>
            <w:r w:rsidR="00C82BA3" w:rsidRPr="00C82BA3">
              <w:rPr>
                <w:rFonts w:ascii="Times New Roman" w:hAnsi="Times New Roman" w:cs="Times New Roman"/>
                <w:lang w:val="sl-SI"/>
              </w:rPr>
              <w:t>ene 80 mg injekcije</w:t>
            </w:r>
            <w:r w:rsidRPr="009D62D5">
              <w:rPr>
                <w:rFonts w:ascii="Times New Roman" w:hAnsi="Times New Roman" w:cs="Times New Roman"/>
                <w:lang w:val="sl-SI"/>
              </w:rPr>
              <w:t xml:space="preserve"> enem dnevu), čemur sledi 40 mg (ena 40 mg injekcija) dva tedna pozneje.</w:t>
            </w:r>
          </w:p>
          <w:p w14:paraId="364F04C1" w14:textId="77777777" w:rsidR="00840AAB" w:rsidRPr="009D62D5" w:rsidRDefault="00840AAB" w:rsidP="00646E14">
            <w:pPr>
              <w:keepNext/>
              <w:numPr>
                <w:ilvl w:val="12"/>
                <w:numId w:val="0"/>
              </w:numPr>
              <w:tabs>
                <w:tab w:val="left" w:pos="708"/>
              </w:tabs>
              <w:rPr>
                <w:rFonts w:ascii="Times New Roman" w:hAnsi="Times New Roman" w:cs="Times New Roman"/>
                <w:lang w:val="sl-SI"/>
              </w:rPr>
            </w:pPr>
          </w:p>
          <w:p w14:paraId="10762414" w14:textId="2A3423CE" w:rsidR="00840AAB" w:rsidRPr="009D62D5" w:rsidRDefault="008266AE" w:rsidP="00646E14">
            <w:pPr>
              <w:pStyle w:val="TableParagraph"/>
              <w:spacing w:line="246" w:lineRule="exact"/>
              <w:ind w:right="57"/>
              <w:rPr>
                <w:rFonts w:ascii="Times New Roman" w:eastAsia="Times New Roman" w:hAnsi="Times New Roman" w:cs="Times New Roman"/>
                <w:spacing w:val="-1"/>
                <w:lang w:val="sl-SI"/>
              </w:rPr>
            </w:pPr>
            <w:r>
              <w:rPr>
                <w:rFonts w:ascii="Times New Roman" w:hAnsi="Times New Roman" w:cs="Times New Roman"/>
                <w:lang w:val="sl-SI"/>
              </w:rPr>
              <w:t xml:space="preserve">Nato </w:t>
            </w:r>
            <w:r w:rsidR="00840AAB" w:rsidRPr="009D62D5">
              <w:rPr>
                <w:rFonts w:ascii="Times New Roman" w:hAnsi="Times New Roman" w:cs="Times New Roman"/>
                <w:lang w:val="sl-SI"/>
              </w:rPr>
              <w:t>je običajni odmerek 40 mg vsak drugi teden.</w:t>
            </w:r>
          </w:p>
        </w:tc>
        <w:tc>
          <w:tcPr>
            <w:tcW w:w="3296" w:type="dxa"/>
            <w:tcBorders>
              <w:top w:val="single" w:sz="5" w:space="0" w:color="000000"/>
              <w:left w:val="single" w:sz="5" w:space="0" w:color="000000"/>
              <w:bottom w:val="single" w:sz="5" w:space="0" w:color="000000"/>
              <w:right w:val="single" w:sz="5" w:space="0" w:color="000000"/>
            </w:tcBorders>
          </w:tcPr>
          <w:p w14:paraId="1F52BD14" w14:textId="77777777" w:rsidR="00840AAB" w:rsidRPr="009D62D5" w:rsidRDefault="00840AAB" w:rsidP="00646E14">
            <w:pPr>
              <w:pStyle w:val="TableParagraph"/>
              <w:spacing w:line="246" w:lineRule="exact"/>
              <w:ind w:left="102" w:right="57"/>
              <w:rPr>
                <w:rFonts w:ascii="Times New Roman" w:eastAsia="Times New Roman" w:hAnsi="Times New Roman" w:cs="Times New Roman"/>
                <w:spacing w:val="-1"/>
                <w:lang w:val="sl-SI"/>
              </w:rPr>
            </w:pPr>
            <w:r w:rsidRPr="009D62D5">
              <w:rPr>
                <w:rFonts w:ascii="Times New Roman" w:hAnsi="Times New Roman" w:cs="Times New Roman"/>
                <w:lang w:val="sl-SI"/>
              </w:rPr>
              <w:t xml:space="preserve">Tudi po dopolnjenem 18. letu starosti še naprej jemljite zdravilo </w:t>
            </w:r>
            <w:r>
              <w:rPr>
                <w:rFonts w:ascii="Times New Roman" w:hAnsi="Times New Roman" w:cs="Times New Roman"/>
                <w:lang w:val="sl-SI"/>
              </w:rPr>
              <w:t>Yuflyma</w:t>
            </w:r>
            <w:r w:rsidRPr="009D62D5">
              <w:rPr>
                <w:rFonts w:ascii="Times New Roman" w:hAnsi="Times New Roman" w:cs="Times New Roman"/>
                <w:lang w:val="sl-SI"/>
              </w:rPr>
              <w:t xml:space="preserve"> v svojem običajnem odmerku.</w:t>
            </w:r>
          </w:p>
        </w:tc>
      </w:tr>
      <w:tr w:rsidR="00840AAB" w:rsidRPr="00475A1E" w14:paraId="74754A30" w14:textId="77777777" w:rsidTr="00A75F0B">
        <w:tc>
          <w:tcPr>
            <w:tcW w:w="2731" w:type="dxa"/>
            <w:tcBorders>
              <w:top w:val="single" w:sz="5" w:space="0" w:color="000000"/>
              <w:left w:val="single" w:sz="5" w:space="0" w:color="000000"/>
              <w:bottom w:val="single" w:sz="5" w:space="0" w:color="000000"/>
              <w:right w:val="single" w:sz="5" w:space="0" w:color="000000"/>
            </w:tcBorders>
          </w:tcPr>
          <w:p w14:paraId="76D38228" w14:textId="77777777" w:rsidR="00840AAB" w:rsidRPr="009D62D5" w:rsidRDefault="00840AAB" w:rsidP="00646E14">
            <w:pPr>
              <w:pStyle w:val="TableParagraph"/>
              <w:spacing w:line="246" w:lineRule="exact"/>
              <w:ind w:left="102" w:right="57"/>
              <w:rPr>
                <w:rFonts w:ascii="Times New Roman" w:eastAsia="Times New Roman" w:hAnsi="Times New Roman" w:cs="Times New Roman"/>
                <w:spacing w:val="-1"/>
                <w:lang w:val="sl-SI"/>
              </w:rPr>
            </w:pPr>
            <w:r w:rsidRPr="009D62D5">
              <w:rPr>
                <w:rFonts w:ascii="Times New Roman" w:hAnsi="Times New Roman" w:cs="Times New Roman"/>
                <w:lang w:val="sl-SI"/>
              </w:rPr>
              <w:t>Otroci in mladostniki, starejši od 6 let, ki tehtajo 40 kg ali več</w:t>
            </w:r>
          </w:p>
        </w:tc>
        <w:tc>
          <w:tcPr>
            <w:tcW w:w="3261" w:type="dxa"/>
            <w:tcBorders>
              <w:top w:val="single" w:sz="5" w:space="0" w:color="000000"/>
              <w:left w:val="single" w:sz="5" w:space="0" w:color="000000"/>
              <w:bottom w:val="single" w:sz="5" w:space="0" w:color="000000"/>
              <w:right w:val="single" w:sz="5" w:space="0" w:color="000000"/>
            </w:tcBorders>
          </w:tcPr>
          <w:p w14:paraId="2B352328" w14:textId="1C5F861C" w:rsidR="00840AAB" w:rsidRPr="009D62D5" w:rsidRDefault="00840AAB" w:rsidP="00646E14">
            <w:pPr>
              <w:keepNext/>
              <w:numPr>
                <w:ilvl w:val="12"/>
                <w:numId w:val="0"/>
              </w:numPr>
              <w:tabs>
                <w:tab w:val="left" w:pos="708"/>
              </w:tabs>
              <w:rPr>
                <w:rFonts w:ascii="Times New Roman" w:hAnsi="Times New Roman" w:cs="Times New Roman"/>
                <w:lang w:val="sl-SI"/>
              </w:rPr>
            </w:pPr>
            <w:r w:rsidRPr="009D62D5">
              <w:rPr>
                <w:rFonts w:ascii="Times New Roman" w:hAnsi="Times New Roman" w:cs="Times New Roman"/>
                <w:lang w:val="sl-SI"/>
              </w:rPr>
              <w:t>Prvi odmerek je 160 mg (</w:t>
            </w:r>
            <w:r w:rsidR="00C82BA3" w:rsidRPr="00C82BA3">
              <w:rPr>
                <w:rFonts w:ascii="Times New Roman" w:hAnsi="Times New Roman" w:cs="Times New Roman"/>
                <w:lang w:val="sl-SI"/>
              </w:rPr>
              <w:t>dveh 80 mg injekcij</w:t>
            </w:r>
            <w:r w:rsidR="00C82BA3">
              <w:rPr>
                <w:rFonts w:ascii="Times New Roman" w:hAnsi="Times New Roman" w:cs="Times New Roman"/>
                <w:lang w:val="sl-SI"/>
              </w:rPr>
              <w:t xml:space="preserve"> </w:t>
            </w:r>
            <w:r w:rsidRPr="009D62D5">
              <w:rPr>
                <w:rFonts w:ascii="Times New Roman" w:hAnsi="Times New Roman" w:cs="Times New Roman"/>
                <w:lang w:val="sl-SI"/>
              </w:rPr>
              <w:t xml:space="preserve">v enem dnevu ali </w:t>
            </w:r>
            <w:r w:rsidR="00C82BA3" w:rsidRPr="00C82BA3">
              <w:rPr>
                <w:rFonts w:ascii="Times New Roman" w:hAnsi="Times New Roman" w:cs="Times New Roman"/>
                <w:lang w:val="sl-SI"/>
              </w:rPr>
              <w:t>ene 80 mg injekcije</w:t>
            </w:r>
            <w:r w:rsidR="00C82BA3">
              <w:rPr>
                <w:rFonts w:ascii="Times New Roman" w:hAnsi="Times New Roman" w:cs="Times New Roman"/>
                <w:lang w:val="sl-SI"/>
              </w:rPr>
              <w:t xml:space="preserve"> </w:t>
            </w:r>
            <w:r w:rsidRPr="009D62D5">
              <w:rPr>
                <w:rFonts w:ascii="Times New Roman" w:hAnsi="Times New Roman" w:cs="Times New Roman"/>
                <w:lang w:val="sl-SI"/>
              </w:rPr>
              <w:t>na dan dva zaporedna dneva), čemur sledi 80 mg (</w:t>
            </w:r>
            <w:r w:rsidR="00C82BA3" w:rsidRPr="00C82BA3">
              <w:rPr>
                <w:rFonts w:ascii="Times New Roman" w:hAnsi="Times New Roman" w:cs="Times New Roman"/>
                <w:lang w:val="sl-SI"/>
              </w:rPr>
              <w:t>ene 80 mg injekcije</w:t>
            </w:r>
            <w:r w:rsidR="00C82BA3">
              <w:rPr>
                <w:rFonts w:ascii="Times New Roman" w:hAnsi="Times New Roman" w:cs="Times New Roman"/>
                <w:lang w:val="sl-SI"/>
              </w:rPr>
              <w:t xml:space="preserve"> </w:t>
            </w:r>
            <w:r w:rsidRPr="009D62D5">
              <w:rPr>
                <w:rFonts w:ascii="Times New Roman" w:hAnsi="Times New Roman" w:cs="Times New Roman"/>
                <w:lang w:val="sl-SI"/>
              </w:rPr>
              <w:t>v enem dnevu) dva tedna pozneje.</w:t>
            </w:r>
          </w:p>
          <w:p w14:paraId="30927B4A" w14:textId="77777777" w:rsidR="00840AAB" w:rsidRPr="009D62D5" w:rsidRDefault="00840AAB" w:rsidP="00646E14">
            <w:pPr>
              <w:keepNext/>
              <w:numPr>
                <w:ilvl w:val="12"/>
                <w:numId w:val="0"/>
              </w:numPr>
              <w:tabs>
                <w:tab w:val="left" w:pos="708"/>
              </w:tabs>
              <w:rPr>
                <w:rFonts w:ascii="Times New Roman" w:hAnsi="Times New Roman" w:cs="Times New Roman"/>
                <w:lang w:val="sl-SI"/>
              </w:rPr>
            </w:pPr>
          </w:p>
          <w:p w14:paraId="7E90A3D7" w14:textId="2D4E70CD" w:rsidR="00840AAB" w:rsidRPr="009D62D5" w:rsidRDefault="008266AE" w:rsidP="00646E14">
            <w:pPr>
              <w:pStyle w:val="TableParagraph"/>
              <w:spacing w:line="246" w:lineRule="exact"/>
              <w:ind w:right="57"/>
              <w:rPr>
                <w:rFonts w:ascii="Times New Roman" w:eastAsia="Times New Roman" w:hAnsi="Times New Roman" w:cs="Times New Roman"/>
                <w:spacing w:val="-1"/>
                <w:lang w:val="sl-SI"/>
              </w:rPr>
            </w:pPr>
            <w:r>
              <w:rPr>
                <w:rFonts w:ascii="Times New Roman" w:hAnsi="Times New Roman" w:cs="Times New Roman"/>
                <w:lang w:val="sl-SI"/>
              </w:rPr>
              <w:t>Nato</w:t>
            </w:r>
            <w:r w:rsidR="00840AAB" w:rsidRPr="009D62D5">
              <w:rPr>
                <w:rFonts w:ascii="Times New Roman" w:hAnsi="Times New Roman" w:cs="Times New Roman"/>
                <w:lang w:val="sl-SI"/>
              </w:rPr>
              <w:t xml:space="preserve"> je običajni odmerek 80 mg vsak drugi teden.</w:t>
            </w:r>
          </w:p>
        </w:tc>
        <w:tc>
          <w:tcPr>
            <w:tcW w:w="3296" w:type="dxa"/>
            <w:tcBorders>
              <w:top w:val="single" w:sz="5" w:space="0" w:color="000000"/>
              <w:left w:val="single" w:sz="5" w:space="0" w:color="000000"/>
              <w:bottom w:val="single" w:sz="5" w:space="0" w:color="000000"/>
              <w:right w:val="single" w:sz="5" w:space="0" w:color="000000"/>
            </w:tcBorders>
          </w:tcPr>
          <w:p w14:paraId="0DEA66C5" w14:textId="77777777" w:rsidR="00840AAB" w:rsidRPr="009D62D5" w:rsidRDefault="00840AAB" w:rsidP="00646E14">
            <w:pPr>
              <w:pStyle w:val="TableParagraph"/>
              <w:spacing w:line="246" w:lineRule="exact"/>
              <w:ind w:left="102" w:right="57"/>
              <w:rPr>
                <w:rFonts w:ascii="Times New Roman" w:eastAsia="Times New Roman" w:hAnsi="Times New Roman" w:cs="Times New Roman"/>
                <w:spacing w:val="-1"/>
                <w:lang w:val="sl-SI"/>
              </w:rPr>
            </w:pPr>
            <w:r w:rsidRPr="009D62D5">
              <w:rPr>
                <w:rFonts w:ascii="Times New Roman" w:hAnsi="Times New Roman" w:cs="Times New Roman"/>
                <w:lang w:val="sl-SI"/>
              </w:rPr>
              <w:t xml:space="preserve">Tudi po dopolnjenem 18. letu starosti še naprej jemljite zdravilo </w:t>
            </w:r>
            <w:r>
              <w:rPr>
                <w:rFonts w:ascii="Times New Roman" w:hAnsi="Times New Roman" w:cs="Times New Roman"/>
                <w:lang w:val="sl-SI"/>
              </w:rPr>
              <w:t>Yuflyma</w:t>
            </w:r>
            <w:r w:rsidRPr="009D62D5">
              <w:rPr>
                <w:rFonts w:ascii="Times New Roman" w:hAnsi="Times New Roman" w:cs="Times New Roman"/>
                <w:lang w:val="sl-SI"/>
              </w:rPr>
              <w:t xml:space="preserve"> v svojem običajnem odmerku.</w:t>
            </w:r>
          </w:p>
        </w:tc>
      </w:tr>
    </w:tbl>
    <w:p w14:paraId="52ABFD3C" w14:textId="77777777" w:rsidR="00840AAB" w:rsidRDefault="00840AAB" w:rsidP="00840AAB">
      <w:pPr>
        <w:spacing w:before="10" w:line="240" w:lineRule="exact"/>
        <w:rPr>
          <w:sz w:val="24"/>
          <w:szCs w:val="24"/>
          <w:lang w:val="sl-SI"/>
        </w:rPr>
      </w:pPr>
    </w:p>
    <w:tbl>
      <w:tblPr>
        <w:tblStyle w:val="TableNormal1"/>
        <w:tblW w:w="9252" w:type="dxa"/>
        <w:tblInd w:w="98" w:type="dxa"/>
        <w:tblLayout w:type="fixed"/>
        <w:tblLook w:val="01E0" w:firstRow="1" w:lastRow="1" w:firstColumn="1" w:lastColumn="1" w:noHBand="0" w:noVBand="0"/>
      </w:tblPr>
      <w:tblGrid>
        <w:gridCol w:w="2731"/>
        <w:gridCol w:w="3261"/>
        <w:gridCol w:w="3260"/>
      </w:tblGrid>
      <w:tr w:rsidR="00840AAB" w14:paraId="588E5F54" w14:textId="77777777" w:rsidTr="00B27685">
        <w:tc>
          <w:tcPr>
            <w:tcW w:w="9252" w:type="dxa"/>
            <w:gridSpan w:val="3"/>
            <w:tcBorders>
              <w:top w:val="single" w:sz="5" w:space="0" w:color="000000"/>
              <w:left w:val="single" w:sz="5" w:space="0" w:color="000000"/>
              <w:bottom w:val="single" w:sz="5" w:space="0" w:color="000000"/>
              <w:right w:val="single" w:sz="5" w:space="0" w:color="000000"/>
            </w:tcBorders>
          </w:tcPr>
          <w:p w14:paraId="2B1ED2EC" w14:textId="77777777" w:rsidR="00840AAB" w:rsidRDefault="00840AAB" w:rsidP="00646E14">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Neinfekcijski uveitis</w:t>
            </w:r>
          </w:p>
        </w:tc>
      </w:tr>
      <w:tr w:rsidR="00840AAB" w14:paraId="26CE6DDA" w14:textId="77777777" w:rsidTr="00B27685">
        <w:tc>
          <w:tcPr>
            <w:tcW w:w="2731" w:type="dxa"/>
            <w:tcBorders>
              <w:top w:val="single" w:sz="5" w:space="0" w:color="000000"/>
              <w:left w:val="single" w:sz="5" w:space="0" w:color="000000"/>
              <w:bottom w:val="single" w:sz="5" w:space="0" w:color="000000"/>
              <w:right w:val="single" w:sz="5" w:space="0" w:color="000000"/>
            </w:tcBorders>
          </w:tcPr>
          <w:p w14:paraId="68EC112D"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lastRenderedPageBreak/>
              <w:t>Starost ali telesna masa</w:t>
            </w:r>
          </w:p>
        </w:tc>
        <w:tc>
          <w:tcPr>
            <w:tcW w:w="3261" w:type="dxa"/>
            <w:tcBorders>
              <w:top w:val="single" w:sz="5" w:space="0" w:color="000000"/>
              <w:left w:val="single" w:sz="5" w:space="0" w:color="000000"/>
              <w:bottom w:val="single" w:sz="5" w:space="0" w:color="000000"/>
              <w:right w:val="single" w:sz="5" w:space="0" w:color="000000"/>
            </w:tcBorders>
          </w:tcPr>
          <w:p w14:paraId="435BC842"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331E6ECF" w14:textId="77777777" w:rsidR="00840AAB" w:rsidRDefault="00840AAB" w:rsidP="00646E14">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260" w:type="dxa"/>
            <w:tcBorders>
              <w:top w:val="single" w:sz="5" w:space="0" w:color="000000"/>
              <w:left w:val="single" w:sz="5" w:space="0" w:color="000000"/>
              <w:bottom w:val="single" w:sz="5" w:space="0" w:color="000000"/>
              <w:right w:val="single" w:sz="5" w:space="0" w:color="000000"/>
            </w:tcBorders>
          </w:tcPr>
          <w:p w14:paraId="318DC514" w14:textId="77777777" w:rsidR="00840AAB" w:rsidRDefault="00840AAB" w:rsidP="00646E14">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840AAB" w:rsidRPr="00475A1E" w14:paraId="53BB8BAF" w14:textId="77777777" w:rsidTr="00B27685">
        <w:tc>
          <w:tcPr>
            <w:tcW w:w="2731" w:type="dxa"/>
            <w:tcBorders>
              <w:top w:val="single" w:sz="5" w:space="0" w:color="000000"/>
              <w:left w:val="single" w:sz="5" w:space="0" w:color="000000"/>
              <w:bottom w:val="single" w:sz="5" w:space="0" w:color="000000"/>
              <w:right w:val="single" w:sz="5" w:space="0" w:color="000000"/>
            </w:tcBorders>
          </w:tcPr>
          <w:p w14:paraId="58591903" w14:textId="7777777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Odrasli</w:t>
            </w:r>
          </w:p>
        </w:tc>
        <w:tc>
          <w:tcPr>
            <w:tcW w:w="3261" w:type="dxa"/>
            <w:tcBorders>
              <w:top w:val="single" w:sz="5" w:space="0" w:color="000000"/>
              <w:left w:val="single" w:sz="5" w:space="0" w:color="000000"/>
              <w:bottom w:val="single" w:sz="5" w:space="0" w:color="000000"/>
              <w:right w:val="single" w:sz="5" w:space="0" w:color="000000"/>
            </w:tcBorders>
          </w:tcPr>
          <w:p w14:paraId="7FD3DC56" w14:textId="354A2F95" w:rsidR="00840AAB" w:rsidRDefault="00840AAB" w:rsidP="00D45531">
            <w:pPr>
              <w:pStyle w:val="TableParagraph"/>
              <w:spacing w:before="1" w:line="254" w:lineRule="exact"/>
              <w:ind w:left="102" w:right="51"/>
              <w:rPr>
                <w:rFonts w:ascii="Times New Roman" w:eastAsia="Times New Roman" w:hAnsi="Times New Roman" w:cs="Times New Roman"/>
                <w:lang w:val="sl-SI"/>
              </w:rPr>
            </w:pPr>
            <w:r>
              <w:rPr>
                <w:rFonts w:ascii="Times New Roman" w:eastAsia="Times New Roman" w:hAnsi="Times New Roman" w:cs="Times New Roman"/>
                <w:spacing w:val="-1"/>
                <w:lang w:val="sl-SI"/>
              </w:rPr>
              <w:t>Prvi odmerek 80 mg (</w:t>
            </w:r>
            <w:r w:rsidR="00C82BA3" w:rsidRPr="00C82BA3">
              <w:rPr>
                <w:rFonts w:ascii="Times New Roman" w:eastAsia="Times New Roman" w:hAnsi="Times New Roman" w:cs="Times New Roman"/>
                <w:spacing w:val="-1"/>
                <w:lang w:val="sl-SI"/>
              </w:rPr>
              <w:t>ene 80 mg injekcij</w:t>
            </w:r>
            <w:r w:rsidR="00E95755">
              <w:rPr>
                <w:rFonts w:ascii="Times New Roman" w:eastAsia="Times New Roman" w:hAnsi="Times New Roman" w:cs="Times New Roman"/>
                <w:spacing w:val="-1"/>
                <w:lang w:val="sl-SI"/>
              </w:rPr>
              <w:t>i</w:t>
            </w:r>
            <w:r>
              <w:rPr>
                <w:rFonts w:ascii="Times New Roman" w:eastAsia="Times New Roman" w:hAnsi="Times New Roman" w:cs="Times New Roman"/>
                <w:spacing w:val="-1"/>
                <w:lang w:val="sl-SI"/>
              </w:rPr>
              <w:t xml:space="preserve"> v enem dnevu), ki mu sledi 40 mg vsak drugi teden</w:t>
            </w:r>
            <w:r w:rsidR="004E161B">
              <w:rPr>
                <w:rFonts w:ascii="Times New Roman" w:eastAsia="Times New Roman" w:hAnsi="Times New Roman" w:cs="Times New Roman"/>
                <w:spacing w:val="-1"/>
                <w:lang w:val="sl-SI"/>
              </w:rPr>
              <w:t xml:space="preserve">, </w:t>
            </w:r>
            <w:r>
              <w:rPr>
                <w:rFonts w:ascii="Times New Roman" w:eastAsia="Times New Roman" w:hAnsi="Times New Roman" w:cs="Times New Roman"/>
                <w:spacing w:val="-1"/>
                <w:lang w:val="sl-SI"/>
              </w:rPr>
              <w:t>z začetkom en teden po začetnem</w:t>
            </w:r>
          </w:p>
          <w:p w14:paraId="7DB8D510" w14:textId="77777777" w:rsidR="00840AAB" w:rsidRDefault="00840AAB" w:rsidP="00646E14">
            <w:pPr>
              <w:pStyle w:val="TableParagraph"/>
              <w:spacing w:before="1"/>
              <w:ind w:left="102" w:right="57"/>
              <w:rPr>
                <w:rFonts w:ascii="Times New Roman" w:eastAsia="Times New Roman" w:hAnsi="Times New Roman" w:cs="Times New Roman"/>
                <w:lang w:val="sl-SI"/>
              </w:rPr>
            </w:pPr>
            <w:r>
              <w:rPr>
                <w:rFonts w:ascii="Times New Roman" w:eastAsia="Times New Roman" w:hAnsi="Times New Roman" w:cs="Times New Roman"/>
                <w:lang w:val="sl-SI"/>
              </w:rPr>
              <w:t>odmerku.</w:t>
            </w:r>
          </w:p>
        </w:tc>
        <w:tc>
          <w:tcPr>
            <w:tcW w:w="3260" w:type="dxa"/>
            <w:tcBorders>
              <w:top w:val="single" w:sz="5" w:space="0" w:color="000000"/>
              <w:left w:val="single" w:sz="5" w:space="0" w:color="000000"/>
              <w:bottom w:val="single" w:sz="5" w:space="0" w:color="000000"/>
              <w:right w:val="single" w:sz="5" w:space="0" w:color="000000"/>
            </w:tcBorders>
          </w:tcPr>
          <w:p w14:paraId="36D2B08A" w14:textId="7777777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Kortikosteroidi ali druga zdravila, ki vplivajo na imunski sistem, se lahko še naprej uporabljajo z zdravilom Yuflyma.</w:t>
            </w:r>
          </w:p>
          <w:p w14:paraId="4BCB5CFF" w14:textId="77777777" w:rsidR="00840AAB" w:rsidRDefault="00840AAB" w:rsidP="00646E14">
            <w:pPr>
              <w:pStyle w:val="TableParagraph"/>
              <w:spacing w:before="1"/>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Zdravilo Yuflyma se lahko daje tudi samostojno.</w:t>
            </w:r>
          </w:p>
        </w:tc>
      </w:tr>
      <w:tr w:rsidR="00840AAB" w:rsidRPr="00475A1E" w14:paraId="6944CC34" w14:textId="77777777" w:rsidTr="00B27685">
        <w:tc>
          <w:tcPr>
            <w:tcW w:w="2731" w:type="dxa"/>
            <w:tcBorders>
              <w:top w:val="single" w:sz="5" w:space="0" w:color="000000"/>
              <w:left w:val="single" w:sz="5" w:space="0" w:color="000000"/>
              <w:bottom w:val="single" w:sz="5" w:space="0" w:color="000000"/>
              <w:right w:val="single" w:sz="5" w:space="0" w:color="000000"/>
            </w:tcBorders>
          </w:tcPr>
          <w:p w14:paraId="5CEAABBD" w14:textId="250F47F1" w:rsidR="00840AAB" w:rsidRDefault="00840AAB" w:rsidP="00E95755">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Otroci in mladostniki</w:t>
            </w:r>
            <w:r w:rsidR="00E95755">
              <w:rPr>
                <w:rFonts w:ascii="Times New Roman" w:eastAsia="Times New Roman" w:hAnsi="Times New Roman" w:cs="Times New Roman"/>
                <w:spacing w:val="-1"/>
                <w:lang w:val="sl-SI"/>
              </w:rPr>
              <w:t>, starejši</w:t>
            </w:r>
            <w:r>
              <w:rPr>
                <w:rFonts w:ascii="Times New Roman" w:eastAsia="Times New Roman" w:hAnsi="Times New Roman" w:cs="Times New Roman"/>
                <w:spacing w:val="-1"/>
                <w:lang w:val="sl-SI"/>
              </w:rPr>
              <w:t xml:space="preserve"> od </w:t>
            </w:r>
            <w:r>
              <w:rPr>
                <w:rFonts w:ascii="Times New Roman" w:eastAsia="Times New Roman" w:hAnsi="Times New Roman" w:cs="Times New Roman"/>
                <w:lang w:val="sl-SI"/>
              </w:rPr>
              <w:t>2 let</w:t>
            </w:r>
            <w:r w:rsidR="00E95755">
              <w:rPr>
                <w:rFonts w:ascii="Times New Roman" w:eastAsia="Times New Roman" w:hAnsi="Times New Roman" w:cs="Times New Roman"/>
                <w:lang w:val="sl-SI"/>
              </w:rPr>
              <w:t>,</w:t>
            </w:r>
            <w:r>
              <w:rPr>
                <w:rFonts w:ascii="Times New Roman" w:eastAsia="Times New Roman" w:hAnsi="Times New Roman" w:cs="Times New Roman"/>
                <w:lang w:val="sl-SI"/>
              </w:rPr>
              <w:t xml:space="preserve"> s telesno maso vsaj 30 kg</w:t>
            </w:r>
          </w:p>
        </w:tc>
        <w:tc>
          <w:tcPr>
            <w:tcW w:w="3261" w:type="dxa"/>
            <w:tcBorders>
              <w:top w:val="single" w:sz="5" w:space="0" w:color="000000"/>
              <w:left w:val="single" w:sz="5" w:space="0" w:color="000000"/>
              <w:bottom w:val="single" w:sz="5" w:space="0" w:color="000000"/>
              <w:right w:val="single" w:sz="5" w:space="0" w:color="000000"/>
            </w:tcBorders>
          </w:tcPr>
          <w:p w14:paraId="31CB5278" w14:textId="6B895160" w:rsidR="00840AAB" w:rsidRDefault="00FB7B05"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lang w:val="sl-SI"/>
              </w:rPr>
              <w:t>2</w:t>
            </w:r>
            <w:r w:rsidR="00840AAB">
              <w:rPr>
                <w:rFonts w:ascii="Times New Roman" w:eastAsia="Times New Roman" w:hAnsi="Times New Roman" w:cs="Times New Roman"/>
                <w:lang w:val="sl-SI"/>
              </w:rPr>
              <w:t>0 mg vsak drugi teden</w:t>
            </w:r>
          </w:p>
        </w:tc>
        <w:tc>
          <w:tcPr>
            <w:tcW w:w="3260" w:type="dxa"/>
            <w:tcBorders>
              <w:top w:val="single" w:sz="5" w:space="0" w:color="000000"/>
              <w:left w:val="single" w:sz="5" w:space="0" w:color="000000"/>
              <w:bottom w:val="single" w:sz="5" w:space="0" w:color="000000"/>
              <w:right w:val="single" w:sz="5" w:space="0" w:color="000000"/>
            </w:tcBorders>
          </w:tcPr>
          <w:p w14:paraId="60279325" w14:textId="406422D7" w:rsidR="00840AAB" w:rsidRDefault="00840AAB" w:rsidP="00646E14">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 xml:space="preserve">Zdravnik lahko predpiše začetni odmerek </w:t>
            </w:r>
            <w:r w:rsidR="00FB7B05">
              <w:rPr>
                <w:rFonts w:ascii="Times New Roman" w:eastAsia="Times New Roman" w:hAnsi="Times New Roman" w:cs="Times New Roman"/>
                <w:spacing w:val="-1"/>
                <w:lang w:val="sl-SI"/>
              </w:rPr>
              <w:t>4</w:t>
            </w:r>
            <w:r>
              <w:rPr>
                <w:rFonts w:ascii="Times New Roman" w:eastAsia="Times New Roman" w:hAnsi="Times New Roman" w:cs="Times New Roman"/>
                <w:spacing w:val="-1"/>
                <w:lang w:val="sl-SI"/>
              </w:rPr>
              <w:t xml:space="preserve">0 mg, ki se da en teden pred začetkom običajnega odmerka </w:t>
            </w:r>
            <w:r w:rsidR="00FB7B05">
              <w:rPr>
                <w:rFonts w:ascii="Times New Roman" w:eastAsia="Times New Roman" w:hAnsi="Times New Roman" w:cs="Times New Roman"/>
                <w:lang w:val="sl-SI"/>
              </w:rPr>
              <w:t>2</w:t>
            </w:r>
            <w:r>
              <w:rPr>
                <w:rFonts w:ascii="Times New Roman" w:eastAsia="Times New Roman" w:hAnsi="Times New Roman" w:cs="Times New Roman"/>
                <w:lang w:val="sl-SI"/>
              </w:rPr>
              <w:t>0 mg vsak drugi teden. Zdravilo Yuflyma se priporoča za v kombinaciji z metotreksatom.</w:t>
            </w:r>
          </w:p>
        </w:tc>
      </w:tr>
      <w:tr w:rsidR="00BE3BDD" w:rsidRPr="00475A1E" w14:paraId="4A1E3BA5" w14:textId="77777777" w:rsidTr="00B27685">
        <w:tc>
          <w:tcPr>
            <w:tcW w:w="2731" w:type="dxa"/>
            <w:tcBorders>
              <w:top w:val="single" w:sz="5" w:space="0" w:color="000000"/>
              <w:left w:val="single" w:sz="5" w:space="0" w:color="000000"/>
              <w:bottom w:val="single" w:sz="5" w:space="0" w:color="000000"/>
              <w:right w:val="single" w:sz="5" w:space="0" w:color="000000"/>
            </w:tcBorders>
          </w:tcPr>
          <w:p w14:paraId="03D54D40" w14:textId="67F26837" w:rsidR="00BE3BDD" w:rsidRDefault="00BE3BDD" w:rsidP="00BE3BDD">
            <w:pPr>
              <w:pStyle w:val="TableParagraph"/>
              <w:spacing w:line="246" w:lineRule="exact"/>
              <w:ind w:left="102" w:right="57"/>
              <w:rPr>
                <w:rFonts w:ascii="Times New Roman" w:eastAsia="Times New Roman" w:hAnsi="Times New Roman" w:cs="Times New Roman"/>
                <w:spacing w:val="-1"/>
                <w:lang w:val="sl-SI"/>
              </w:rPr>
            </w:pPr>
            <w:r w:rsidRPr="00CE0F3E">
              <w:rPr>
                <w:rFonts w:ascii="Times New Roman" w:eastAsia="Times New Roman" w:hAnsi="Times New Roman" w:cs="Times New Roman"/>
                <w:spacing w:val="-1"/>
                <w:lang w:val="sl-SI"/>
              </w:rPr>
              <w:t>Otroci in mladostniki, starejši</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od 2 let, ki tehtajo 30 kg ali več</w:t>
            </w:r>
          </w:p>
        </w:tc>
        <w:tc>
          <w:tcPr>
            <w:tcW w:w="3261" w:type="dxa"/>
            <w:tcBorders>
              <w:top w:val="single" w:sz="5" w:space="0" w:color="000000"/>
              <w:left w:val="single" w:sz="5" w:space="0" w:color="000000"/>
              <w:bottom w:val="single" w:sz="5" w:space="0" w:color="000000"/>
              <w:right w:val="single" w:sz="5" w:space="0" w:color="000000"/>
            </w:tcBorders>
          </w:tcPr>
          <w:p w14:paraId="29013D0F" w14:textId="5994F88B" w:rsidR="00BE3BDD" w:rsidRDefault="00BE3BDD" w:rsidP="00BE3BDD">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lang w:val="sl-SI"/>
              </w:rPr>
              <w:t>40 mg vsak drugi teden</w:t>
            </w:r>
          </w:p>
        </w:tc>
        <w:tc>
          <w:tcPr>
            <w:tcW w:w="3260" w:type="dxa"/>
            <w:tcBorders>
              <w:top w:val="single" w:sz="5" w:space="0" w:color="000000"/>
              <w:left w:val="single" w:sz="5" w:space="0" w:color="000000"/>
              <w:bottom w:val="single" w:sz="5" w:space="0" w:color="000000"/>
              <w:right w:val="single" w:sz="5" w:space="0" w:color="000000"/>
            </w:tcBorders>
          </w:tcPr>
          <w:p w14:paraId="2F9033C1" w14:textId="430FE249" w:rsidR="00BE3BDD" w:rsidRDefault="00BE3BDD" w:rsidP="00BE3BDD">
            <w:pPr>
              <w:pStyle w:val="TableParagraph"/>
              <w:spacing w:line="246" w:lineRule="exact"/>
              <w:ind w:left="102" w:right="57"/>
              <w:rPr>
                <w:rFonts w:ascii="Times New Roman" w:eastAsia="Times New Roman" w:hAnsi="Times New Roman" w:cs="Times New Roman"/>
                <w:spacing w:val="-1"/>
                <w:lang w:val="sl-SI"/>
              </w:rPr>
            </w:pPr>
            <w:r w:rsidRPr="00CE0F3E">
              <w:rPr>
                <w:rFonts w:ascii="Times New Roman" w:eastAsia="Times New Roman" w:hAnsi="Times New Roman" w:cs="Times New Roman"/>
                <w:spacing w:val="-1"/>
                <w:lang w:val="sl-SI"/>
              </w:rPr>
              <w:t>Zdravnik lahko predpiše</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začetni odmerek 80 mg, ki ga</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otrok prejme en teden pred</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začetkom zdravljenja z</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običajnim odmerkom 40 mg</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vsak drugi teden. Priporočljiva</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 xml:space="preserve">je uporaba zdravila </w:t>
            </w:r>
            <w:r>
              <w:rPr>
                <w:rFonts w:ascii="Times New Roman" w:eastAsia="Times New Roman" w:hAnsi="Times New Roman" w:cs="Times New Roman"/>
                <w:spacing w:val="-1"/>
                <w:lang w:val="sl-SI"/>
              </w:rPr>
              <w:t>Yuflyma</w:t>
            </w:r>
            <w:r w:rsidRPr="00CE0F3E">
              <w:rPr>
                <w:rFonts w:ascii="Times New Roman" w:eastAsia="Times New Roman" w:hAnsi="Times New Roman" w:cs="Times New Roman"/>
                <w:spacing w:val="-1"/>
                <w:lang w:val="sl-SI"/>
              </w:rPr>
              <w:t xml:space="preserve"> v</w:t>
            </w:r>
            <w:r>
              <w:rPr>
                <w:rFonts w:ascii="Times New Roman" w:eastAsia="Times New Roman" w:hAnsi="Times New Roman" w:cs="Times New Roman"/>
                <w:spacing w:val="-1"/>
                <w:lang w:val="sl-SI"/>
              </w:rPr>
              <w:t xml:space="preserve"> </w:t>
            </w:r>
            <w:r w:rsidRPr="00CE0F3E">
              <w:rPr>
                <w:rFonts w:ascii="Times New Roman" w:eastAsia="Times New Roman" w:hAnsi="Times New Roman" w:cs="Times New Roman"/>
                <w:spacing w:val="-1"/>
                <w:lang w:val="sl-SI"/>
              </w:rPr>
              <w:t>kombinaciji z metotreksatom</w:t>
            </w:r>
            <w:r>
              <w:rPr>
                <w:rFonts w:ascii="Times New Roman" w:eastAsia="Times New Roman" w:hAnsi="Times New Roman" w:cs="Times New Roman"/>
                <w:spacing w:val="-1"/>
                <w:lang w:val="sl-SI"/>
              </w:rPr>
              <w:t>.</w:t>
            </w:r>
          </w:p>
        </w:tc>
      </w:tr>
    </w:tbl>
    <w:p w14:paraId="0F5AD7F6" w14:textId="77777777" w:rsidR="00840AAB" w:rsidRDefault="00840AAB" w:rsidP="00840AAB">
      <w:pPr>
        <w:pStyle w:val="a3"/>
        <w:rPr>
          <w:lang w:val="sl-SI"/>
        </w:rPr>
      </w:pPr>
    </w:p>
    <w:p w14:paraId="2B1BAF84" w14:textId="77777777" w:rsidR="00840AAB" w:rsidRDefault="00840AAB" w:rsidP="00840AAB">
      <w:pPr>
        <w:pStyle w:val="a3"/>
        <w:rPr>
          <w:b/>
          <w:lang w:val="sl-SI"/>
        </w:rPr>
      </w:pPr>
      <w:r>
        <w:rPr>
          <w:rFonts w:eastAsia="Times New Roman"/>
          <w:b/>
          <w:bCs/>
          <w:lang w:val="sl-SI"/>
        </w:rPr>
        <w:t>Postopek in pot uporabe zdravila</w:t>
      </w:r>
    </w:p>
    <w:p w14:paraId="602928CD" w14:textId="77777777" w:rsidR="00840AAB" w:rsidRDefault="00840AAB" w:rsidP="00840AAB">
      <w:pPr>
        <w:spacing w:before="9" w:line="240" w:lineRule="exact"/>
        <w:rPr>
          <w:sz w:val="24"/>
          <w:szCs w:val="24"/>
          <w:lang w:val="sl-SI"/>
        </w:rPr>
      </w:pPr>
    </w:p>
    <w:p w14:paraId="260F361D" w14:textId="77777777" w:rsidR="00840AAB" w:rsidRDefault="00840AAB" w:rsidP="00840AAB">
      <w:pPr>
        <w:pStyle w:val="a3"/>
        <w:rPr>
          <w:lang w:val="sl-SI"/>
        </w:rPr>
      </w:pPr>
      <w:r>
        <w:rPr>
          <w:rFonts w:eastAsia="Times New Roman"/>
          <w:lang w:val="sl-SI"/>
        </w:rPr>
        <w:t>Zdravilo Yuflyma se injicira pod kožo (s subkutano injekcijo).</w:t>
      </w:r>
    </w:p>
    <w:p w14:paraId="309BB0C1" w14:textId="77777777" w:rsidR="00840AAB" w:rsidRDefault="00840AAB" w:rsidP="00840AAB">
      <w:pPr>
        <w:spacing w:before="18" w:line="240" w:lineRule="exact"/>
        <w:rPr>
          <w:sz w:val="24"/>
          <w:szCs w:val="24"/>
          <w:lang w:val="sl-SI"/>
        </w:rPr>
      </w:pPr>
    </w:p>
    <w:p w14:paraId="5FD8BB1F" w14:textId="77777777" w:rsidR="00840AAB" w:rsidRDefault="00840AAB" w:rsidP="00840AAB">
      <w:pPr>
        <w:pStyle w:val="a3"/>
        <w:rPr>
          <w:b/>
          <w:lang w:val="sl-SI"/>
        </w:rPr>
      </w:pPr>
      <w:r>
        <w:rPr>
          <w:rFonts w:eastAsia="Times New Roman"/>
          <w:b/>
          <w:bCs/>
          <w:lang w:val="sl-SI"/>
        </w:rPr>
        <w:t>Podrobna navodila o tem injiciranju zdravila Yuflyma so navedena v poglavju 7 „</w:t>
      </w:r>
      <w:r w:rsidRPr="007F6B22">
        <w:rPr>
          <w:rFonts w:eastAsia="Times New Roman"/>
          <w:b/>
          <w:bCs/>
          <w:lang w:val="sl-SI"/>
        </w:rPr>
        <w:t>Navodila za uporabo</w:t>
      </w:r>
      <w:r>
        <w:rPr>
          <w:rFonts w:eastAsia="Times New Roman"/>
          <w:b/>
          <w:bCs/>
          <w:lang w:val="sl-SI"/>
        </w:rPr>
        <w:t>“.</w:t>
      </w:r>
    </w:p>
    <w:p w14:paraId="188F7A64" w14:textId="77777777" w:rsidR="00840AAB" w:rsidRDefault="00840AAB" w:rsidP="00840AAB">
      <w:pPr>
        <w:pStyle w:val="a3"/>
        <w:rPr>
          <w:b/>
          <w:lang w:val="sl-SI"/>
        </w:rPr>
      </w:pPr>
    </w:p>
    <w:p w14:paraId="535717E8" w14:textId="77777777" w:rsidR="00840AAB" w:rsidRDefault="00840AAB" w:rsidP="00840AAB">
      <w:pPr>
        <w:pStyle w:val="a3"/>
        <w:rPr>
          <w:b/>
          <w:lang w:val="sl-SI"/>
        </w:rPr>
      </w:pPr>
      <w:r>
        <w:rPr>
          <w:rFonts w:eastAsia="Times New Roman"/>
          <w:b/>
          <w:bCs/>
          <w:lang w:val="sl-SI"/>
        </w:rPr>
        <w:t>Če ste uporabili večji odmerek zdravila Yuflyma, kot bi smeli</w:t>
      </w:r>
    </w:p>
    <w:p w14:paraId="4F3D075B" w14:textId="77777777" w:rsidR="00840AAB" w:rsidRDefault="00840AAB" w:rsidP="00840AAB">
      <w:pPr>
        <w:pStyle w:val="a3"/>
        <w:rPr>
          <w:lang w:val="sl-SI"/>
        </w:rPr>
      </w:pPr>
    </w:p>
    <w:p w14:paraId="67388DA5" w14:textId="59044505" w:rsidR="000E45DA" w:rsidRDefault="000E45DA" w:rsidP="000E45DA">
      <w:pPr>
        <w:pStyle w:val="a3"/>
        <w:rPr>
          <w:lang w:val="sl-SI"/>
        </w:rPr>
      </w:pPr>
      <w:r>
        <w:rPr>
          <w:rFonts w:eastAsia="Times New Roman"/>
          <w:lang w:val="sl-SI"/>
        </w:rPr>
        <w:t xml:space="preserve">Če pomotoma injicirate zdravilo Yuflyma pogosteje, kot vam je naročil zdravnik ali farmacevt, se morate posvetovati z </w:t>
      </w:r>
      <w:r w:rsidR="008266AE">
        <w:rPr>
          <w:rFonts w:eastAsia="Times New Roman"/>
          <w:lang w:val="sl-SI"/>
        </w:rPr>
        <w:t>zdravnikom</w:t>
      </w:r>
      <w:r>
        <w:rPr>
          <w:rFonts w:eastAsia="Times New Roman"/>
          <w:lang w:val="sl-SI"/>
        </w:rPr>
        <w:t xml:space="preserve"> ali farmacevtom in mu povedati, da ste uporabili večji odmerek. Vedno vzemite s seboj zunanjo ovojnino zdravila, tudi če je prazna.</w:t>
      </w:r>
    </w:p>
    <w:p w14:paraId="7F9EF3AA" w14:textId="77777777" w:rsidR="000E45DA" w:rsidRDefault="000E45DA" w:rsidP="000E45DA">
      <w:pPr>
        <w:spacing w:before="18" w:line="240" w:lineRule="exact"/>
        <w:rPr>
          <w:b/>
          <w:sz w:val="24"/>
          <w:szCs w:val="24"/>
          <w:lang w:val="sl-SI"/>
        </w:rPr>
      </w:pPr>
    </w:p>
    <w:p w14:paraId="0FF6C336" w14:textId="77777777" w:rsidR="000E45DA" w:rsidRDefault="000E45DA" w:rsidP="000E45DA">
      <w:pPr>
        <w:pStyle w:val="a3"/>
        <w:rPr>
          <w:b/>
          <w:lang w:val="sl-SI"/>
        </w:rPr>
      </w:pPr>
      <w:r>
        <w:rPr>
          <w:rFonts w:eastAsia="Times New Roman"/>
          <w:b/>
          <w:bCs/>
          <w:lang w:val="sl-SI"/>
        </w:rPr>
        <w:t>Če ste pozabili uporabiti zdravilo Yuflyma</w:t>
      </w:r>
    </w:p>
    <w:p w14:paraId="08ABAB3D" w14:textId="77777777" w:rsidR="000E45DA" w:rsidRDefault="000E45DA" w:rsidP="000E45DA">
      <w:pPr>
        <w:spacing w:before="9" w:line="240" w:lineRule="exact"/>
        <w:rPr>
          <w:sz w:val="24"/>
          <w:szCs w:val="24"/>
          <w:lang w:val="sl-SI"/>
        </w:rPr>
      </w:pPr>
    </w:p>
    <w:p w14:paraId="3CD4F49D" w14:textId="0BEFBEE1" w:rsidR="000E45DA" w:rsidRDefault="000E45DA" w:rsidP="000E45DA">
      <w:pPr>
        <w:pStyle w:val="a3"/>
        <w:rPr>
          <w:lang w:val="sl-SI"/>
        </w:rPr>
      </w:pPr>
      <w:r>
        <w:rPr>
          <w:rFonts w:eastAsia="Times New Roman"/>
          <w:lang w:val="sl-SI"/>
        </w:rPr>
        <w:t>Če si pozabite dati injekcijo, si morate naslednji odmerek zdravila Yuflyma injicirati takoj, čim se spomnite. Nato uporabite naslednji odmerek, kot bi ga uporabili po prvotnem urniku injiciranja, če ne bi pozabili odmerka.</w:t>
      </w:r>
    </w:p>
    <w:p w14:paraId="50B90061" w14:textId="77777777" w:rsidR="000E45DA" w:rsidRDefault="000E45DA" w:rsidP="000E45DA">
      <w:pPr>
        <w:spacing w:before="18" w:line="240" w:lineRule="exact"/>
        <w:rPr>
          <w:sz w:val="24"/>
          <w:szCs w:val="24"/>
          <w:lang w:val="sl-SI"/>
        </w:rPr>
      </w:pPr>
    </w:p>
    <w:p w14:paraId="64505ECE" w14:textId="77777777" w:rsidR="000E45DA" w:rsidRDefault="000E45DA" w:rsidP="000E45DA">
      <w:pPr>
        <w:pStyle w:val="a3"/>
        <w:rPr>
          <w:b/>
          <w:lang w:val="sl-SI"/>
        </w:rPr>
      </w:pPr>
      <w:r>
        <w:rPr>
          <w:rFonts w:eastAsia="Times New Roman"/>
          <w:b/>
          <w:bCs/>
          <w:lang w:val="sl-SI"/>
        </w:rPr>
        <w:t>Če ste prenehali uporabljati zdravilo Yuflyma</w:t>
      </w:r>
    </w:p>
    <w:p w14:paraId="7A51EF4E" w14:textId="77777777" w:rsidR="000E45DA" w:rsidRDefault="000E45DA" w:rsidP="000E45DA">
      <w:pPr>
        <w:spacing w:before="6" w:line="240" w:lineRule="exact"/>
        <w:rPr>
          <w:sz w:val="24"/>
          <w:szCs w:val="24"/>
          <w:lang w:val="sl-SI"/>
        </w:rPr>
      </w:pPr>
    </w:p>
    <w:p w14:paraId="345687CF" w14:textId="77777777" w:rsidR="000E45DA" w:rsidRDefault="000E45DA" w:rsidP="000E45DA">
      <w:pPr>
        <w:pStyle w:val="a3"/>
        <w:rPr>
          <w:lang w:val="sl-SI"/>
        </w:rPr>
      </w:pPr>
      <w:r>
        <w:rPr>
          <w:rFonts w:eastAsia="Times New Roman"/>
          <w:lang w:val="sl-SI"/>
        </w:rPr>
        <w:t>O odločitvi, da bi prenehali uporabljati zdravilo Yuflyma, se morate posvetovati s svojim zdravnikom. Vaši simptomi se lahko po prekinitvi uporabe zdravila Yuflyma povrnejo.</w:t>
      </w:r>
    </w:p>
    <w:p w14:paraId="21FAEB7B" w14:textId="77777777" w:rsidR="00840AAB" w:rsidRDefault="00840AAB" w:rsidP="00840AAB">
      <w:pPr>
        <w:spacing w:before="12" w:line="240" w:lineRule="exact"/>
        <w:rPr>
          <w:sz w:val="24"/>
          <w:szCs w:val="24"/>
          <w:lang w:val="sl-SI"/>
        </w:rPr>
      </w:pPr>
    </w:p>
    <w:p w14:paraId="32288BE0" w14:textId="77777777" w:rsidR="00840AAB" w:rsidRDefault="00840AAB" w:rsidP="00840AAB">
      <w:pPr>
        <w:pStyle w:val="a3"/>
        <w:rPr>
          <w:lang w:val="sl-SI"/>
        </w:rPr>
      </w:pPr>
      <w:r>
        <w:rPr>
          <w:rFonts w:eastAsia="Times New Roman"/>
          <w:lang w:val="sl-SI"/>
        </w:rPr>
        <w:t>Če imate dodatna vprašanja o uporabi zdravila, se posvetujte z zdravnikom ali farmacevtom.</w:t>
      </w:r>
    </w:p>
    <w:p w14:paraId="588AE112" w14:textId="77777777" w:rsidR="00840AAB" w:rsidRDefault="00840AAB" w:rsidP="00840AAB">
      <w:pPr>
        <w:spacing w:line="110" w:lineRule="exact"/>
        <w:rPr>
          <w:sz w:val="11"/>
          <w:szCs w:val="11"/>
          <w:lang w:val="sl-SI"/>
        </w:rPr>
      </w:pPr>
    </w:p>
    <w:p w14:paraId="2E4B9666" w14:textId="77777777" w:rsidR="00840AAB" w:rsidRDefault="00840AAB" w:rsidP="00840AAB">
      <w:pPr>
        <w:spacing w:line="200" w:lineRule="exact"/>
        <w:rPr>
          <w:sz w:val="20"/>
          <w:szCs w:val="20"/>
          <w:lang w:val="sl-SI"/>
        </w:rPr>
      </w:pPr>
    </w:p>
    <w:p w14:paraId="24D58DF0" w14:textId="77777777" w:rsidR="00840AAB" w:rsidRDefault="00840AAB" w:rsidP="0030421B">
      <w:pPr>
        <w:pStyle w:val="a4"/>
        <w:numPr>
          <w:ilvl w:val="0"/>
          <w:numId w:val="133"/>
        </w:numPr>
        <w:spacing w:line="240" w:lineRule="exact"/>
        <w:ind w:hanging="468"/>
        <w:rPr>
          <w:rFonts w:ascii="Times New Roman" w:hAnsi="Times New Roman" w:cs="Times New Roman"/>
          <w:b/>
          <w:lang w:val="sl-SI"/>
        </w:rPr>
      </w:pPr>
      <w:r>
        <w:rPr>
          <w:rFonts w:ascii="Times New Roman" w:eastAsia="Times New Roman" w:hAnsi="Times New Roman" w:cs="Times New Roman"/>
          <w:b/>
          <w:bCs/>
          <w:lang w:val="sl-SI"/>
        </w:rPr>
        <w:t>Možni neželeni učinki</w:t>
      </w:r>
    </w:p>
    <w:p w14:paraId="2FB30396" w14:textId="77777777" w:rsidR="00840AAB" w:rsidRDefault="00840AAB" w:rsidP="00840AAB">
      <w:pPr>
        <w:spacing w:before="12" w:line="240" w:lineRule="exact"/>
        <w:rPr>
          <w:sz w:val="24"/>
          <w:szCs w:val="24"/>
          <w:lang w:val="sl-SI"/>
        </w:rPr>
      </w:pPr>
    </w:p>
    <w:p w14:paraId="019D4B57" w14:textId="35198FFC" w:rsidR="00840AAB" w:rsidRDefault="00840AAB" w:rsidP="00840AAB">
      <w:pPr>
        <w:pStyle w:val="a3"/>
        <w:rPr>
          <w:lang w:val="sl-SI"/>
        </w:rPr>
      </w:pPr>
      <w:r>
        <w:rPr>
          <w:rFonts w:eastAsia="Times New Roman"/>
          <w:lang w:val="sl-SI"/>
        </w:rPr>
        <w:t xml:space="preserve">Kot vsa zdravila ima lahko tudi to zdravilo neželene učinke, ki pa se ne pojavijo pri vseh bolnikih. Večina neželenih učinkov je blagih do zmernih. Vendar pa so lahko nekateri resni in zahtevajo zdravljenje. Neželeni učinki se lahko pojavijo </w:t>
      </w:r>
      <w:r w:rsidR="0054533C">
        <w:rPr>
          <w:rFonts w:eastAsia="Times New Roman"/>
          <w:lang w:val="sl-SI"/>
        </w:rPr>
        <w:t xml:space="preserve">vsaj še </w:t>
      </w:r>
      <w:r>
        <w:rPr>
          <w:rFonts w:eastAsia="Times New Roman"/>
          <w:lang w:val="sl-SI"/>
        </w:rPr>
        <w:t>4 mesece po zadnji injekciji zdravila Yuflyma.</w:t>
      </w:r>
    </w:p>
    <w:p w14:paraId="0A6004C7" w14:textId="77777777" w:rsidR="00840AAB" w:rsidRDefault="00840AAB" w:rsidP="00840AAB">
      <w:pPr>
        <w:spacing w:before="15" w:line="240" w:lineRule="exact"/>
        <w:rPr>
          <w:sz w:val="24"/>
          <w:szCs w:val="24"/>
          <w:lang w:val="sl-SI"/>
        </w:rPr>
      </w:pPr>
    </w:p>
    <w:p w14:paraId="20A3F44D" w14:textId="77777777" w:rsidR="00840AAB" w:rsidRDefault="00840AAB" w:rsidP="00840AAB">
      <w:pPr>
        <w:pStyle w:val="a3"/>
        <w:rPr>
          <w:b/>
          <w:lang w:val="sl-SI"/>
        </w:rPr>
      </w:pPr>
      <w:r>
        <w:rPr>
          <w:rFonts w:eastAsia="Times New Roman"/>
          <w:b/>
          <w:bCs/>
          <w:lang w:val="sl-SI"/>
        </w:rPr>
        <w:lastRenderedPageBreak/>
        <w:t>Zdravniku takoj povejte, če opazite kaj od naslednjega</w:t>
      </w:r>
    </w:p>
    <w:p w14:paraId="4CE0012E" w14:textId="77777777" w:rsidR="00840AAB" w:rsidRDefault="00840AAB" w:rsidP="00840AAB">
      <w:pPr>
        <w:spacing w:before="10" w:line="240" w:lineRule="exact"/>
        <w:rPr>
          <w:sz w:val="24"/>
          <w:szCs w:val="24"/>
          <w:lang w:val="sl-SI"/>
        </w:rPr>
      </w:pPr>
    </w:p>
    <w:p w14:paraId="489A23AE" w14:textId="3B5F97F5" w:rsidR="00840AAB" w:rsidRDefault="00840AAB" w:rsidP="00840AAB">
      <w:pPr>
        <w:pStyle w:val="a3"/>
        <w:numPr>
          <w:ilvl w:val="0"/>
          <w:numId w:val="16"/>
        </w:numPr>
        <w:ind w:left="660" w:hanging="660"/>
        <w:rPr>
          <w:lang w:val="sl-SI"/>
        </w:rPr>
      </w:pPr>
      <w:r>
        <w:rPr>
          <w:rFonts w:eastAsia="Times New Roman"/>
          <w:lang w:val="sl-SI"/>
        </w:rPr>
        <w:t>hud izpuščaj, koprivnico ali druge znake alergijske reakcije</w:t>
      </w:r>
      <w:r w:rsidR="0054533C">
        <w:rPr>
          <w:rFonts w:eastAsia="Times New Roman"/>
          <w:lang w:val="sl-SI"/>
        </w:rPr>
        <w:t>;</w:t>
      </w:r>
    </w:p>
    <w:p w14:paraId="5C57A3D3" w14:textId="7B0D62BD" w:rsidR="00840AAB" w:rsidRDefault="00840AAB" w:rsidP="00840AAB">
      <w:pPr>
        <w:pStyle w:val="a3"/>
        <w:numPr>
          <w:ilvl w:val="0"/>
          <w:numId w:val="16"/>
        </w:numPr>
        <w:ind w:left="660" w:hanging="660"/>
        <w:rPr>
          <w:lang w:val="sl-SI"/>
        </w:rPr>
      </w:pPr>
      <w:r>
        <w:rPr>
          <w:rFonts w:eastAsia="Times New Roman"/>
          <w:lang w:val="sl-SI"/>
        </w:rPr>
        <w:t>otek</w:t>
      </w:r>
      <w:r w:rsidR="0054533C">
        <w:rPr>
          <w:rFonts w:eastAsia="Times New Roman"/>
          <w:lang w:val="sl-SI"/>
        </w:rPr>
        <w:t>lost</w:t>
      </w:r>
      <w:r>
        <w:rPr>
          <w:rFonts w:eastAsia="Times New Roman"/>
          <w:lang w:val="sl-SI"/>
        </w:rPr>
        <w:t xml:space="preserve"> obraz</w:t>
      </w:r>
      <w:r w:rsidR="0054533C">
        <w:rPr>
          <w:rFonts w:eastAsia="Times New Roman"/>
          <w:lang w:val="sl-SI"/>
        </w:rPr>
        <w:t>a</w:t>
      </w:r>
      <w:r>
        <w:rPr>
          <w:rFonts w:eastAsia="Times New Roman"/>
          <w:lang w:val="sl-SI"/>
        </w:rPr>
        <w:t>, dlani</w:t>
      </w:r>
      <w:r w:rsidR="0054533C">
        <w:rPr>
          <w:rFonts w:eastAsia="Times New Roman"/>
          <w:lang w:val="sl-SI"/>
        </w:rPr>
        <w:t xml:space="preserve"> in stopal;</w:t>
      </w:r>
    </w:p>
    <w:p w14:paraId="2934B8C9" w14:textId="77777777" w:rsidR="00840AAB" w:rsidRDefault="00840AAB" w:rsidP="00840AAB">
      <w:pPr>
        <w:pStyle w:val="a3"/>
        <w:numPr>
          <w:ilvl w:val="0"/>
          <w:numId w:val="16"/>
        </w:numPr>
        <w:ind w:left="660" w:hanging="660"/>
        <w:rPr>
          <w:lang w:val="sl-SI"/>
        </w:rPr>
      </w:pPr>
      <w:r>
        <w:rPr>
          <w:rFonts w:eastAsia="Times New Roman"/>
          <w:lang w:val="sl-SI"/>
        </w:rPr>
        <w:t>težave pri dihanju, požiranju;</w:t>
      </w:r>
    </w:p>
    <w:p w14:paraId="66A1B668" w14:textId="4B91D808" w:rsidR="00840AAB" w:rsidRDefault="0054533C" w:rsidP="00840AAB">
      <w:pPr>
        <w:pStyle w:val="a3"/>
        <w:numPr>
          <w:ilvl w:val="0"/>
          <w:numId w:val="16"/>
        </w:numPr>
        <w:ind w:left="660" w:hanging="660"/>
        <w:rPr>
          <w:lang w:val="sl-SI"/>
        </w:rPr>
      </w:pPr>
      <w:r>
        <w:rPr>
          <w:rFonts w:eastAsia="Times New Roman"/>
          <w:lang w:val="sl-SI"/>
        </w:rPr>
        <w:t>težko dihanje</w:t>
      </w:r>
      <w:r w:rsidR="00840AAB">
        <w:rPr>
          <w:rFonts w:eastAsia="Times New Roman"/>
          <w:lang w:val="sl-SI"/>
        </w:rPr>
        <w:t xml:space="preserve"> ob </w:t>
      </w:r>
      <w:r>
        <w:rPr>
          <w:rFonts w:eastAsia="Times New Roman"/>
          <w:lang w:val="sl-SI"/>
        </w:rPr>
        <w:t>naporu</w:t>
      </w:r>
      <w:r w:rsidR="00840AAB">
        <w:rPr>
          <w:rFonts w:eastAsia="Times New Roman"/>
          <w:lang w:val="sl-SI"/>
        </w:rPr>
        <w:t xml:space="preserve"> ali </w:t>
      </w:r>
      <w:r>
        <w:rPr>
          <w:rFonts w:eastAsia="Times New Roman"/>
          <w:lang w:val="sl-SI"/>
        </w:rPr>
        <w:t xml:space="preserve">med ležanjem </w:t>
      </w:r>
      <w:r w:rsidR="00840AAB">
        <w:rPr>
          <w:rFonts w:eastAsia="Times New Roman"/>
          <w:lang w:val="sl-SI"/>
        </w:rPr>
        <w:t>ali otekanje stopal</w:t>
      </w:r>
    </w:p>
    <w:p w14:paraId="64DFA73E" w14:textId="77777777" w:rsidR="00840AAB" w:rsidRDefault="00840AAB" w:rsidP="00840AAB">
      <w:pPr>
        <w:spacing w:before="15" w:line="240" w:lineRule="exact"/>
        <w:rPr>
          <w:sz w:val="24"/>
          <w:szCs w:val="24"/>
          <w:lang w:val="sl-SI"/>
        </w:rPr>
      </w:pPr>
    </w:p>
    <w:p w14:paraId="731FF234" w14:textId="77777777" w:rsidR="00840AAB" w:rsidRDefault="00840AAB" w:rsidP="00840AAB">
      <w:pPr>
        <w:pStyle w:val="a3"/>
        <w:rPr>
          <w:b/>
          <w:lang w:val="sl-SI"/>
        </w:rPr>
      </w:pPr>
      <w:r>
        <w:rPr>
          <w:rFonts w:eastAsia="Times New Roman"/>
          <w:b/>
          <w:bCs/>
          <w:lang w:val="sl-SI"/>
        </w:rPr>
        <w:t>Zdravniku čim prej povejte, če opazite kaj od naslednjega:</w:t>
      </w:r>
    </w:p>
    <w:p w14:paraId="2B9B9852" w14:textId="77777777" w:rsidR="00840AAB" w:rsidRDefault="00840AAB" w:rsidP="00840AAB">
      <w:pPr>
        <w:spacing w:before="10" w:line="240" w:lineRule="exact"/>
        <w:rPr>
          <w:sz w:val="24"/>
          <w:szCs w:val="24"/>
          <w:lang w:val="sl-SI"/>
        </w:rPr>
      </w:pPr>
    </w:p>
    <w:p w14:paraId="0B2F5D21" w14:textId="77777777" w:rsidR="00840AAB" w:rsidRDefault="00840AAB" w:rsidP="00840AAB">
      <w:pPr>
        <w:pStyle w:val="a3"/>
        <w:numPr>
          <w:ilvl w:val="0"/>
          <w:numId w:val="16"/>
        </w:numPr>
        <w:ind w:left="660" w:hanging="660"/>
        <w:rPr>
          <w:lang w:val="sl-SI"/>
        </w:rPr>
      </w:pPr>
      <w:r>
        <w:rPr>
          <w:rFonts w:eastAsia="Times New Roman"/>
          <w:lang w:val="sl-SI"/>
        </w:rPr>
        <w:t>znake okužbe, npr. zvišano telesno temperaturo, splošno slabo počutje, rane, težave z zobmi, pekoč občutek med uriniranjem;</w:t>
      </w:r>
    </w:p>
    <w:p w14:paraId="33147E93" w14:textId="77777777" w:rsidR="00840AAB" w:rsidRDefault="00840AAB" w:rsidP="00840AAB">
      <w:pPr>
        <w:pStyle w:val="a3"/>
        <w:numPr>
          <w:ilvl w:val="0"/>
          <w:numId w:val="16"/>
        </w:numPr>
        <w:ind w:left="660" w:hanging="660"/>
        <w:rPr>
          <w:lang w:val="sl-SI"/>
        </w:rPr>
      </w:pPr>
      <w:r>
        <w:rPr>
          <w:rFonts w:eastAsia="Times New Roman"/>
          <w:lang w:val="sl-SI"/>
        </w:rPr>
        <w:t>občutek šibkosti ali utrujenosti;</w:t>
      </w:r>
    </w:p>
    <w:p w14:paraId="3448A119" w14:textId="77777777" w:rsidR="00840AAB" w:rsidRDefault="00840AAB" w:rsidP="00840AAB">
      <w:pPr>
        <w:pStyle w:val="a3"/>
        <w:numPr>
          <w:ilvl w:val="0"/>
          <w:numId w:val="16"/>
        </w:numPr>
        <w:ind w:left="660" w:hanging="660"/>
        <w:rPr>
          <w:lang w:val="sl-SI"/>
        </w:rPr>
      </w:pPr>
      <w:r>
        <w:rPr>
          <w:rFonts w:eastAsia="Times New Roman"/>
          <w:lang w:val="sl-SI"/>
        </w:rPr>
        <w:t>kašelj;</w:t>
      </w:r>
    </w:p>
    <w:p w14:paraId="615911CC" w14:textId="77777777" w:rsidR="00840AAB" w:rsidRDefault="00840AAB" w:rsidP="00840AAB">
      <w:pPr>
        <w:pStyle w:val="a3"/>
        <w:numPr>
          <w:ilvl w:val="0"/>
          <w:numId w:val="16"/>
        </w:numPr>
        <w:ind w:left="660" w:hanging="660"/>
        <w:rPr>
          <w:lang w:val="sl-SI"/>
        </w:rPr>
      </w:pPr>
      <w:r>
        <w:rPr>
          <w:rFonts w:eastAsia="Times New Roman"/>
          <w:lang w:val="sl-SI"/>
        </w:rPr>
        <w:t>mravljinčenje;</w:t>
      </w:r>
    </w:p>
    <w:p w14:paraId="310CB785" w14:textId="77777777" w:rsidR="00840AAB" w:rsidRDefault="00840AAB" w:rsidP="00840AAB">
      <w:pPr>
        <w:pStyle w:val="a3"/>
        <w:numPr>
          <w:ilvl w:val="0"/>
          <w:numId w:val="16"/>
        </w:numPr>
        <w:ind w:left="660" w:hanging="660"/>
        <w:rPr>
          <w:lang w:val="sl-SI"/>
        </w:rPr>
      </w:pPr>
      <w:r>
        <w:rPr>
          <w:rFonts w:eastAsia="Times New Roman"/>
          <w:lang w:val="sl-SI"/>
        </w:rPr>
        <w:t>omrtvelost;</w:t>
      </w:r>
    </w:p>
    <w:p w14:paraId="4FE93F2F" w14:textId="77777777" w:rsidR="00840AAB" w:rsidRDefault="00840AAB" w:rsidP="00840AAB">
      <w:pPr>
        <w:pStyle w:val="a3"/>
        <w:numPr>
          <w:ilvl w:val="0"/>
          <w:numId w:val="16"/>
        </w:numPr>
        <w:ind w:left="660" w:hanging="660"/>
        <w:rPr>
          <w:lang w:val="sl-SI"/>
        </w:rPr>
      </w:pPr>
      <w:r>
        <w:rPr>
          <w:rFonts w:eastAsia="Times New Roman"/>
          <w:lang w:val="sl-SI"/>
        </w:rPr>
        <w:t>dvojni vid;</w:t>
      </w:r>
    </w:p>
    <w:p w14:paraId="4229CE0F" w14:textId="77777777" w:rsidR="00840AAB" w:rsidRDefault="00840AAB" w:rsidP="00840AAB">
      <w:pPr>
        <w:pStyle w:val="a3"/>
        <w:numPr>
          <w:ilvl w:val="0"/>
          <w:numId w:val="16"/>
        </w:numPr>
        <w:ind w:left="660" w:hanging="660"/>
        <w:rPr>
          <w:lang w:val="sl-SI"/>
        </w:rPr>
      </w:pPr>
      <w:r>
        <w:rPr>
          <w:rFonts w:eastAsia="Times New Roman"/>
          <w:lang w:val="sl-SI"/>
        </w:rPr>
        <w:t>šibkost rok ali nog;</w:t>
      </w:r>
    </w:p>
    <w:p w14:paraId="58D2E313" w14:textId="77777777" w:rsidR="00840AAB" w:rsidRDefault="00840AAB" w:rsidP="00840AAB">
      <w:pPr>
        <w:pStyle w:val="a3"/>
        <w:numPr>
          <w:ilvl w:val="0"/>
          <w:numId w:val="16"/>
        </w:numPr>
        <w:ind w:left="660" w:hanging="660"/>
        <w:rPr>
          <w:lang w:val="sl-SI"/>
        </w:rPr>
      </w:pPr>
      <w:r>
        <w:rPr>
          <w:rFonts w:eastAsia="Times New Roman"/>
          <w:lang w:val="sl-SI"/>
        </w:rPr>
        <w:t>bulo ali odprto rano, ki se ne zaceli;</w:t>
      </w:r>
    </w:p>
    <w:p w14:paraId="2D5E30A3" w14:textId="77777777" w:rsidR="00840AAB" w:rsidRDefault="00840AAB" w:rsidP="00840AAB">
      <w:pPr>
        <w:pStyle w:val="a3"/>
        <w:numPr>
          <w:ilvl w:val="0"/>
          <w:numId w:val="16"/>
        </w:numPr>
        <w:ind w:left="660" w:hanging="660"/>
        <w:rPr>
          <w:lang w:val="sl-SI"/>
        </w:rPr>
      </w:pPr>
      <w:r>
        <w:rPr>
          <w:rFonts w:eastAsia="Times New Roman"/>
          <w:lang w:val="sl-SI"/>
        </w:rPr>
        <w:t>znake in simptome, ki nakazujejo bolezni krvi, npr. dolgotrajno zvišana telesna temperatura, modrice, krvavitve, bledica.</w:t>
      </w:r>
    </w:p>
    <w:p w14:paraId="117CA3CD" w14:textId="77777777" w:rsidR="00840AAB" w:rsidRDefault="00840AAB" w:rsidP="00840AAB">
      <w:pPr>
        <w:pStyle w:val="a3"/>
        <w:numPr>
          <w:ilvl w:val="0"/>
          <w:numId w:val="0"/>
        </w:numPr>
        <w:ind w:left="660"/>
        <w:rPr>
          <w:lang w:val="sl-SI"/>
        </w:rPr>
      </w:pPr>
    </w:p>
    <w:p w14:paraId="75A4A6FE" w14:textId="77777777" w:rsidR="00840AAB" w:rsidRDefault="00840AAB" w:rsidP="00840AAB">
      <w:pPr>
        <w:pStyle w:val="a3"/>
        <w:rPr>
          <w:lang w:val="sl-SI"/>
        </w:rPr>
      </w:pPr>
      <w:r>
        <w:rPr>
          <w:rFonts w:eastAsia="Times New Roman"/>
          <w:lang w:val="sl-SI"/>
        </w:rPr>
        <w:t>Zgoraj opisani simptomi so lahko znaki spodaj navedenih neželenih učinkov, ki so jih opazili med uporabo zdravila Yuflyma.</w:t>
      </w:r>
    </w:p>
    <w:p w14:paraId="48A74EF7" w14:textId="77777777" w:rsidR="00840AAB" w:rsidRDefault="00840AAB" w:rsidP="00840AAB">
      <w:pPr>
        <w:spacing w:before="10" w:line="240" w:lineRule="exact"/>
        <w:rPr>
          <w:sz w:val="24"/>
          <w:szCs w:val="24"/>
          <w:lang w:val="sl-SI"/>
        </w:rPr>
      </w:pPr>
    </w:p>
    <w:p w14:paraId="558D3AC3" w14:textId="77777777" w:rsidR="00840AAB" w:rsidRDefault="00840AAB" w:rsidP="00840AAB">
      <w:pPr>
        <w:pStyle w:val="a3"/>
        <w:rPr>
          <w:lang w:val="sl-SI"/>
        </w:rPr>
      </w:pPr>
      <w:r>
        <w:rPr>
          <w:rFonts w:eastAsia="Times New Roman"/>
          <w:b/>
          <w:bCs/>
          <w:lang w:val="sl-SI"/>
        </w:rPr>
        <w:t xml:space="preserve">Zelo pogosti </w:t>
      </w:r>
      <w:r>
        <w:rPr>
          <w:rFonts w:eastAsia="Times New Roman"/>
          <w:lang w:val="sl-SI"/>
        </w:rPr>
        <w:t>(pojavijo se lahko pri več kot 1 od 10 bolnikov)</w:t>
      </w:r>
    </w:p>
    <w:p w14:paraId="26142D4C" w14:textId="77777777" w:rsidR="00840AAB" w:rsidRDefault="00840AAB" w:rsidP="00840AAB">
      <w:pPr>
        <w:spacing w:before="14" w:line="240" w:lineRule="exact"/>
        <w:rPr>
          <w:sz w:val="24"/>
          <w:szCs w:val="24"/>
          <w:lang w:val="sl-SI"/>
        </w:rPr>
      </w:pPr>
    </w:p>
    <w:p w14:paraId="6F1A8A02" w14:textId="186F1BF0" w:rsidR="00840AAB" w:rsidRDefault="00840AAB" w:rsidP="00840AAB">
      <w:pPr>
        <w:pStyle w:val="a3"/>
        <w:numPr>
          <w:ilvl w:val="0"/>
          <w:numId w:val="16"/>
        </w:numPr>
        <w:ind w:left="660" w:hanging="660"/>
        <w:rPr>
          <w:lang w:val="sl-SI"/>
        </w:rPr>
      </w:pPr>
      <w:r>
        <w:rPr>
          <w:rFonts w:eastAsia="Times New Roman"/>
          <w:lang w:val="sl-SI"/>
        </w:rPr>
        <w:t xml:space="preserve">reakcije na mestu injiciranja (vključno z bolečino, otekanjem, </w:t>
      </w:r>
      <w:r w:rsidR="00E5320A">
        <w:rPr>
          <w:rFonts w:eastAsia="Times New Roman"/>
          <w:lang w:val="sl-SI"/>
        </w:rPr>
        <w:t xml:space="preserve">pordelostjo </w:t>
      </w:r>
      <w:r>
        <w:rPr>
          <w:rFonts w:eastAsia="Times New Roman"/>
          <w:lang w:val="sl-SI"/>
        </w:rPr>
        <w:t>ali srbenjem)</w:t>
      </w:r>
      <w:r w:rsidR="00E5320A">
        <w:rPr>
          <w:rFonts w:eastAsia="Times New Roman"/>
          <w:lang w:val="sl-SI"/>
        </w:rPr>
        <w:t>;</w:t>
      </w:r>
    </w:p>
    <w:p w14:paraId="682D60EA" w14:textId="77777777" w:rsidR="00840AAB" w:rsidRDefault="00840AAB" w:rsidP="00840AAB">
      <w:pPr>
        <w:pStyle w:val="a3"/>
        <w:numPr>
          <w:ilvl w:val="0"/>
          <w:numId w:val="16"/>
        </w:numPr>
        <w:ind w:left="660" w:hanging="660"/>
        <w:rPr>
          <w:lang w:val="sl-SI"/>
        </w:rPr>
      </w:pPr>
      <w:r>
        <w:rPr>
          <w:rFonts w:eastAsia="Times New Roman"/>
          <w:lang w:val="sl-SI"/>
        </w:rPr>
        <w:t>okužbe dihal (vključno s prehladom, izcedkom iz nosu, okužbo sinusov, pljučnico);</w:t>
      </w:r>
    </w:p>
    <w:p w14:paraId="2FEBEA51" w14:textId="77777777" w:rsidR="00840AAB" w:rsidRDefault="00840AAB" w:rsidP="00840AAB">
      <w:pPr>
        <w:pStyle w:val="a3"/>
        <w:numPr>
          <w:ilvl w:val="0"/>
          <w:numId w:val="16"/>
        </w:numPr>
        <w:ind w:left="660" w:hanging="660"/>
        <w:rPr>
          <w:lang w:val="sl-SI"/>
        </w:rPr>
      </w:pPr>
      <w:r>
        <w:rPr>
          <w:rFonts w:eastAsia="Times New Roman"/>
          <w:lang w:val="sl-SI"/>
        </w:rPr>
        <w:t>glavobol;</w:t>
      </w:r>
    </w:p>
    <w:p w14:paraId="08890231" w14:textId="77777777" w:rsidR="00840AAB" w:rsidRDefault="00840AAB" w:rsidP="00840AAB">
      <w:pPr>
        <w:pStyle w:val="a3"/>
        <w:numPr>
          <w:ilvl w:val="0"/>
          <w:numId w:val="16"/>
        </w:numPr>
        <w:ind w:left="660" w:hanging="660"/>
        <w:rPr>
          <w:lang w:val="sl-SI"/>
        </w:rPr>
      </w:pPr>
      <w:r>
        <w:rPr>
          <w:rFonts w:eastAsia="Times New Roman"/>
          <w:lang w:val="sl-SI"/>
        </w:rPr>
        <w:t>bolečine v trebuhu;</w:t>
      </w:r>
    </w:p>
    <w:p w14:paraId="0B25C056" w14:textId="77777777" w:rsidR="00840AAB" w:rsidRDefault="00840AAB" w:rsidP="00840AAB">
      <w:pPr>
        <w:pStyle w:val="a3"/>
        <w:numPr>
          <w:ilvl w:val="0"/>
          <w:numId w:val="16"/>
        </w:numPr>
        <w:ind w:left="660" w:hanging="660"/>
        <w:rPr>
          <w:lang w:val="sl-SI"/>
        </w:rPr>
      </w:pPr>
      <w:r>
        <w:rPr>
          <w:rFonts w:eastAsia="Times New Roman"/>
          <w:lang w:val="sl-SI"/>
        </w:rPr>
        <w:t>siljenje na bruhanje in bruhanje;</w:t>
      </w:r>
    </w:p>
    <w:p w14:paraId="42504F00" w14:textId="77777777" w:rsidR="00840AAB" w:rsidRDefault="00840AAB" w:rsidP="00840AAB">
      <w:pPr>
        <w:pStyle w:val="a3"/>
        <w:numPr>
          <w:ilvl w:val="0"/>
          <w:numId w:val="16"/>
        </w:numPr>
        <w:ind w:left="660" w:hanging="660"/>
        <w:rPr>
          <w:lang w:val="sl-SI"/>
        </w:rPr>
      </w:pPr>
      <w:r>
        <w:rPr>
          <w:rFonts w:eastAsia="Times New Roman"/>
          <w:lang w:val="sl-SI"/>
        </w:rPr>
        <w:t>izpuščaj;</w:t>
      </w:r>
    </w:p>
    <w:p w14:paraId="1DF38FD7" w14:textId="77777777" w:rsidR="00840AAB" w:rsidRDefault="00840AAB" w:rsidP="00840AAB">
      <w:pPr>
        <w:pStyle w:val="a3"/>
        <w:numPr>
          <w:ilvl w:val="0"/>
          <w:numId w:val="16"/>
        </w:numPr>
        <w:ind w:left="660" w:hanging="660"/>
        <w:rPr>
          <w:lang w:val="sl-SI"/>
        </w:rPr>
      </w:pPr>
      <w:r>
        <w:rPr>
          <w:rFonts w:eastAsia="Times New Roman"/>
          <w:lang w:val="sl-SI"/>
        </w:rPr>
        <w:t>mišičnoskeletne bolečine.</w:t>
      </w:r>
    </w:p>
    <w:p w14:paraId="23E1E09B" w14:textId="77777777" w:rsidR="00840AAB" w:rsidRDefault="00840AAB" w:rsidP="00840AAB">
      <w:pPr>
        <w:spacing w:before="9" w:line="220" w:lineRule="exact"/>
        <w:rPr>
          <w:lang w:val="sl-SI"/>
        </w:rPr>
      </w:pPr>
    </w:p>
    <w:p w14:paraId="2B72684F" w14:textId="77777777" w:rsidR="00840AAB" w:rsidRDefault="00840AAB" w:rsidP="00840AAB">
      <w:pPr>
        <w:pStyle w:val="a3"/>
        <w:rPr>
          <w:lang w:val="sl-SI"/>
        </w:rPr>
      </w:pPr>
      <w:r>
        <w:rPr>
          <w:rFonts w:eastAsia="Times New Roman"/>
          <w:b/>
          <w:bCs/>
          <w:lang w:val="sl-SI"/>
        </w:rPr>
        <w:t xml:space="preserve">Pogosti </w:t>
      </w:r>
      <w:r>
        <w:rPr>
          <w:rFonts w:eastAsia="Times New Roman"/>
          <w:bCs/>
          <w:lang w:val="sl-SI"/>
        </w:rPr>
        <w:t>(pojavijo se</w:t>
      </w:r>
      <w:r>
        <w:rPr>
          <w:rFonts w:eastAsia="Times New Roman"/>
          <w:b/>
          <w:bCs/>
          <w:lang w:val="sl-SI"/>
        </w:rPr>
        <w:t xml:space="preserve"> </w:t>
      </w:r>
      <w:r>
        <w:rPr>
          <w:rFonts w:eastAsia="Times New Roman"/>
          <w:lang w:val="sl-SI"/>
        </w:rPr>
        <w:t>lahko pri največ 1 od 10 bolnikov)</w:t>
      </w:r>
    </w:p>
    <w:p w14:paraId="5F187BE9" w14:textId="77777777" w:rsidR="00840AAB" w:rsidRDefault="00840AAB" w:rsidP="00840AAB">
      <w:pPr>
        <w:spacing w:before="14" w:line="240" w:lineRule="exact"/>
        <w:rPr>
          <w:sz w:val="24"/>
          <w:szCs w:val="24"/>
          <w:lang w:val="sl-SI"/>
        </w:rPr>
      </w:pPr>
    </w:p>
    <w:p w14:paraId="495671FC" w14:textId="77777777" w:rsidR="00840AAB" w:rsidRDefault="00840AAB" w:rsidP="00840AAB">
      <w:pPr>
        <w:pStyle w:val="a3"/>
        <w:numPr>
          <w:ilvl w:val="0"/>
          <w:numId w:val="16"/>
        </w:numPr>
        <w:ind w:left="660" w:hanging="660"/>
        <w:rPr>
          <w:lang w:val="sl-SI"/>
        </w:rPr>
      </w:pPr>
      <w:r>
        <w:rPr>
          <w:rFonts w:eastAsia="Times New Roman"/>
          <w:lang w:val="sl-SI"/>
        </w:rPr>
        <w:t>resne okužbe (vključno z zastrupitvijo krvi in gripo);</w:t>
      </w:r>
    </w:p>
    <w:p w14:paraId="145FB04F" w14:textId="77777777" w:rsidR="00840AAB" w:rsidRDefault="00840AAB" w:rsidP="00840AAB">
      <w:pPr>
        <w:pStyle w:val="a3"/>
        <w:numPr>
          <w:ilvl w:val="0"/>
          <w:numId w:val="16"/>
        </w:numPr>
        <w:ind w:left="660" w:hanging="660"/>
        <w:rPr>
          <w:lang w:val="sl-SI"/>
        </w:rPr>
      </w:pPr>
      <w:r>
        <w:rPr>
          <w:rFonts w:eastAsia="Times New Roman"/>
          <w:lang w:val="sl-SI"/>
        </w:rPr>
        <w:t>črevesne okužbe (vključno z gastroenteritisom);</w:t>
      </w:r>
    </w:p>
    <w:p w14:paraId="35FB7F6C" w14:textId="77777777" w:rsidR="00840AAB" w:rsidRDefault="00840AAB" w:rsidP="00840AAB">
      <w:pPr>
        <w:pStyle w:val="a3"/>
        <w:numPr>
          <w:ilvl w:val="0"/>
          <w:numId w:val="16"/>
        </w:numPr>
        <w:ind w:left="660" w:hanging="660"/>
        <w:rPr>
          <w:lang w:val="sl-SI"/>
        </w:rPr>
      </w:pPr>
      <w:r>
        <w:rPr>
          <w:rFonts w:eastAsia="Times New Roman"/>
          <w:lang w:val="sl-SI"/>
        </w:rPr>
        <w:t>okužbe kože (vključno s celulitisom in pasovcem);</w:t>
      </w:r>
    </w:p>
    <w:p w14:paraId="0C5418F8" w14:textId="77777777" w:rsidR="00840AAB" w:rsidRDefault="00840AAB" w:rsidP="00840AAB">
      <w:pPr>
        <w:pStyle w:val="a3"/>
        <w:numPr>
          <w:ilvl w:val="0"/>
          <w:numId w:val="16"/>
        </w:numPr>
        <w:ind w:left="660" w:hanging="660"/>
        <w:rPr>
          <w:lang w:val="sl-SI"/>
        </w:rPr>
      </w:pPr>
      <w:r>
        <w:rPr>
          <w:rFonts w:eastAsia="Times New Roman"/>
          <w:lang w:val="sl-SI"/>
        </w:rPr>
        <w:t>okužbe ušesa;</w:t>
      </w:r>
    </w:p>
    <w:p w14:paraId="114EA78E" w14:textId="77777777" w:rsidR="00840AAB" w:rsidRDefault="00840AAB" w:rsidP="00840AAB">
      <w:pPr>
        <w:pStyle w:val="a3"/>
        <w:numPr>
          <w:ilvl w:val="0"/>
          <w:numId w:val="16"/>
        </w:numPr>
        <w:ind w:left="660" w:hanging="660"/>
        <w:rPr>
          <w:lang w:val="sl-SI"/>
        </w:rPr>
      </w:pPr>
      <w:r>
        <w:rPr>
          <w:rFonts w:eastAsia="Times New Roman"/>
          <w:lang w:val="sl-SI"/>
        </w:rPr>
        <w:t>okužbe ustne votline (vključno z okužbami zob in herpesom);</w:t>
      </w:r>
    </w:p>
    <w:p w14:paraId="117EB4AD" w14:textId="77777777" w:rsidR="00840AAB" w:rsidRDefault="00840AAB" w:rsidP="00840AAB">
      <w:pPr>
        <w:pStyle w:val="a3"/>
        <w:numPr>
          <w:ilvl w:val="0"/>
          <w:numId w:val="16"/>
        </w:numPr>
        <w:ind w:left="660" w:hanging="660"/>
        <w:rPr>
          <w:lang w:val="sl-SI"/>
        </w:rPr>
      </w:pPr>
      <w:r>
        <w:rPr>
          <w:rFonts w:eastAsia="Times New Roman"/>
          <w:lang w:val="sl-SI"/>
        </w:rPr>
        <w:t>okužbe rodil;</w:t>
      </w:r>
    </w:p>
    <w:p w14:paraId="44E60C44" w14:textId="77777777" w:rsidR="00840AAB" w:rsidRDefault="00840AAB" w:rsidP="00840AAB">
      <w:pPr>
        <w:pStyle w:val="a3"/>
        <w:numPr>
          <w:ilvl w:val="0"/>
          <w:numId w:val="16"/>
        </w:numPr>
        <w:ind w:left="660" w:hanging="660"/>
        <w:rPr>
          <w:lang w:val="sl-SI"/>
        </w:rPr>
      </w:pPr>
      <w:r>
        <w:rPr>
          <w:rFonts w:eastAsia="Times New Roman"/>
          <w:lang w:val="sl-SI"/>
        </w:rPr>
        <w:t>okužbe sečil;</w:t>
      </w:r>
    </w:p>
    <w:p w14:paraId="4871681E" w14:textId="77777777" w:rsidR="00840AAB" w:rsidRDefault="00840AAB" w:rsidP="00840AAB">
      <w:pPr>
        <w:pStyle w:val="a3"/>
        <w:numPr>
          <w:ilvl w:val="0"/>
          <w:numId w:val="16"/>
        </w:numPr>
        <w:ind w:left="660" w:hanging="660"/>
        <w:rPr>
          <w:lang w:val="sl-SI"/>
        </w:rPr>
      </w:pPr>
      <w:r>
        <w:rPr>
          <w:rFonts w:eastAsia="Times New Roman"/>
          <w:lang w:val="sl-SI"/>
        </w:rPr>
        <w:t>glivične okužbe;</w:t>
      </w:r>
    </w:p>
    <w:p w14:paraId="41B41174" w14:textId="77777777" w:rsidR="00840AAB" w:rsidRDefault="00840AAB" w:rsidP="00840AAB">
      <w:pPr>
        <w:pStyle w:val="a3"/>
        <w:numPr>
          <w:ilvl w:val="0"/>
          <w:numId w:val="16"/>
        </w:numPr>
        <w:ind w:left="660" w:hanging="660"/>
        <w:rPr>
          <w:lang w:val="sl-SI"/>
        </w:rPr>
      </w:pPr>
      <w:r>
        <w:rPr>
          <w:rFonts w:eastAsia="Times New Roman"/>
          <w:lang w:val="sl-SI"/>
        </w:rPr>
        <w:t>okužbe sklepov;</w:t>
      </w:r>
    </w:p>
    <w:p w14:paraId="340E5EB7" w14:textId="77777777" w:rsidR="00840AAB" w:rsidRDefault="00840AAB" w:rsidP="00840AAB">
      <w:pPr>
        <w:pStyle w:val="a3"/>
        <w:numPr>
          <w:ilvl w:val="0"/>
          <w:numId w:val="16"/>
        </w:numPr>
        <w:ind w:left="660" w:hanging="660"/>
        <w:rPr>
          <w:lang w:val="sl-SI"/>
        </w:rPr>
      </w:pPr>
      <w:r>
        <w:rPr>
          <w:rFonts w:eastAsia="Times New Roman"/>
          <w:lang w:val="sl-SI"/>
        </w:rPr>
        <w:t>benigni tumorji;</w:t>
      </w:r>
    </w:p>
    <w:p w14:paraId="26546893" w14:textId="77777777" w:rsidR="00840AAB" w:rsidRDefault="00840AAB" w:rsidP="00840AAB">
      <w:pPr>
        <w:pStyle w:val="a3"/>
        <w:numPr>
          <w:ilvl w:val="0"/>
          <w:numId w:val="16"/>
        </w:numPr>
        <w:ind w:left="660" w:hanging="660"/>
        <w:rPr>
          <w:lang w:val="sl-SI"/>
        </w:rPr>
      </w:pPr>
      <w:r>
        <w:rPr>
          <w:rFonts w:eastAsia="Times New Roman"/>
          <w:lang w:val="sl-SI"/>
        </w:rPr>
        <w:t>kožni rak;</w:t>
      </w:r>
    </w:p>
    <w:p w14:paraId="0F3C9DEE" w14:textId="77777777" w:rsidR="00840AAB" w:rsidRDefault="00840AAB" w:rsidP="00840AAB">
      <w:pPr>
        <w:pStyle w:val="a3"/>
        <w:numPr>
          <w:ilvl w:val="0"/>
          <w:numId w:val="16"/>
        </w:numPr>
        <w:ind w:left="660" w:hanging="660"/>
        <w:rPr>
          <w:lang w:val="sl-SI"/>
        </w:rPr>
      </w:pPr>
      <w:r>
        <w:rPr>
          <w:rFonts w:eastAsia="Times New Roman"/>
          <w:lang w:val="sl-SI"/>
        </w:rPr>
        <w:t>alergijske reakcije (vključno s sezonskimi alergijami);</w:t>
      </w:r>
    </w:p>
    <w:p w14:paraId="238374BA" w14:textId="77777777" w:rsidR="00840AAB" w:rsidRDefault="00840AAB" w:rsidP="00840AAB">
      <w:pPr>
        <w:pStyle w:val="a3"/>
        <w:numPr>
          <w:ilvl w:val="0"/>
          <w:numId w:val="16"/>
        </w:numPr>
        <w:ind w:left="660" w:hanging="660"/>
        <w:rPr>
          <w:lang w:val="sl-SI"/>
        </w:rPr>
      </w:pPr>
      <w:r>
        <w:rPr>
          <w:rFonts w:eastAsia="Times New Roman"/>
          <w:lang w:val="sl-SI"/>
        </w:rPr>
        <w:t>dehidracija;</w:t>
      </w:r>
    </w:p>
    <w:p w14:paraId="0521BF11" w14:textId="77777777" w:rsidR="00840AAB" w:rsidRDefault="00840AAB" w:rsidP="00840AAB">
      <w:pPr>
        <w:pStyle w:val="a3"/>
        <w:numPr>
          <w:ilvl w:val="0"/>
          <w:numId w:val="16"/>
        </w:numPr>
        <w:ind w:left="660" w:hanging="660"/>
        <w:rPr>
          <w:lang w:val="sl-SI"/>
        </w:rPr>
      </w:pPr>
      <w:r>
        <w:rPr>
          <w:rFonts w:eastAsia="Times New Roman"/>
          <w:lang w:val="sl-SI"/>
        </w:rPr>
        <w:t>spremenljivo razpoloženje (vključno z depresijo);</w:t>
      </w:r>
    </w:p>
    <w:p w14:paraId="7AABAB31" w14:textId="77777777" w:rsidR="00840AAB" w:rsidRDefault="00840AAB" w:rsidP="00840AAB">
      <w:pPr>
        <w:pStyle w:val="a3"/>
        <w:numPr>
          <w:ilvl w:val="0"/>
          <w:numId w:val="16"/>
        </w:numPr>
        <w:ind w:left="660" w:hanging="660"/>
        <w:rPr>
          <w:lang w:val="sl-SI"/>
        </w:rPr>
      </w:pPr>
      <w:r>
        <w:rPr>
          <w:rFonts w:eastAsia="Times New Roman"/>
          <w:lang w:val="sl-SI"/>
        </w:rPr>
        <w:t>anksioznost;</w:t>
      </w:r>
    </w:p>
    <w:p w14:paraId="26D36399" w14:textId="77777777" w:rsidR="00840AAB" w:rsidRDefault="00840AAB" w:rsidP="00840AAB">
      <w:pPr>
        <w:pStyle w:val="a3"/>
        <w:numPr>
          <w:ilvl w:val="0"/>
          <w:numId w:val="16"/>
        </w:numPr>
        <w:ind w:left="660" w:hanging="660"/>
        <w:rPr>
          <w:lang w:val="sl-SI"/>
        </w:rPr>
      </w:pPr>
      <w:r>
        <w:rPr>
          <w:rFonts w:eastAsia="Times New Roman"/>
          <w:lang w:val="sl-SI"/>
        </w:rPr>
        <w:t>težave s spanjem;</w:t>
      </w:r>
    </w:p>
    <w:p w14:paraId="16A0B489" w14:textId="77777777" w:rsidR="00840AAB" w:rsidRDefault="00840AAB" w:rsidP="00840AAB">
      <w:pPr>
        <w:pStyle w:val="a3"/>
        <w:numPr>
          <w:ilvl w:val="0"/>
          <w:numId w:val="16"/>
        </w:numPr>
        <w:ind w:left="660" w:hanging="660"/>
        <w:rPr>
          <w:lang w:val="sl-SI"/>
        </w:rPr>
      </w:pPr>
      <w:r>
        <w:rPr>
          <w:rFonts w:eastAsia="Times New Roman"/>
          <w:lang w:val="sl-SI"/>
        </w:rPr>
        <w:lastRenderedPageBreak/>
        <w:t>motnje v občutenju kot so ščemenje, zbadanje ali omrtvelost;</w:t>
      </w:r>
    </w:p>
    <w:p w14:paraId="2E3A97FB" w14:textId="77777777" w:rsidR="00840AAB" w:rsidRDefault="00840AAB" w:rsidP="00840AAB">
      <w:pPr>
        <w:pStyle w:val="a3"/>
        <w:numPr>
          <w:ilvl w:val="0"/>
          <w:numId w:val="16"/>
        </w:numPr>
        <w:ind w:left="660" w:hanging="660"/>
        <w:rPr>
          <w:lang w:val="sl-SI"/>
        </w:rPr>
      </w:pPr>
      <w:r>
        <w:rPr>
          <w:rFonts w:eastAsia="Times New Roman"/>
          <w:lang w:val="sl-SI"/>
        </w:rPr>
        <w:t>migrena;</w:t>
      </w:r>
    </w:p>
    <w:p w14:paraId="18E5321B" w14:textId="77777777" w:rsidR="00840AAB" w:rsidRDefault="00840AAB" w:rsidP="00840AAB">
      <w:pPr>
        <w:pStyle w:val="a3"/>
        <w:numPr>
          <w:ilvl w:val="0"/>
          <w:numId w:val="16"/>
        </w:numPr>
        <w:ind w:left="660" w:hanging="660"/>
        <w:rPr>
          <w:lang w:val="sl-SI"/>
        </w:rPr>
      </w:pPr>
      <w:r>
        <w:rPr>
          <w:rFonts w:eastAsia="Times New Roman"/>
          <w:lang w:val="sl-SI"/>
        </w:rPr>
        <w:t>stisnenje živčnih korenin (vključno z bolečino v spodnjem delu hrbta in nogah);</w:t>
      </w:r>
    </w:p>
    <w:p w14:paraId="2BBFF8F2" w14:textId="77777777" w:rsidR="00840AAB" w:rsidRDefault="00840AAB" w:rsidP="00840AAB">
      <w:pPr>
        <w:pStyle w:val="a3"/>
        <w:numPr>
          <w:ilvl w:val="0"/>
          <w:numId w:val="16"/>
        </w:numPr>
        <w:ind w:left="660" w:hanging="660"/>
        <w:rPr>
          <w:lang w:val="sl-SI"/>
        </w:rPr>
      </w:pPr>
      <w:r>
        <w:rPr>
          <w:rFonts w:eastAsia="Times New Roman"/>
          <w:lang w:val="sl-SI"/>
        </w:rPr>
        <w:t>motnje vida;</w:t>
      </w:r>
    </w:p>
    <w:p w14:paraId="7EBE2C29" w14:textId="77777777" w:rsidR="00840AAB" w:rsidRDefault="00840AAB" w:rsidP="00840AAB">
      <w:pPr>
        <w:pStyle w:val="a3"/>
        <w:numPr>
          <w:ilvl w:val="0"/>
          <w:numId w:val="16"/>
        </w:numPr>
        <w:ind w:left="660" w:hanging="660"/>
        <w:rPr>
          <w:lang w:val="sl-SI"/>
        </w:rPr>
      </w:pPr>
      <w:r>
        <w:rPr>
          <w:rFonts w:eastAsia="Times New Roman"/>
          <w:lang w:val="sl-SI"/>
        </w:rPr>
        <w:t>vnetje oči;</w:t>
      </w:r>
    </w:p>
    <w:p w14:paraId="60B10F56" w14:textId="77777777" w:rsidR="00840AAB" w:rsidRDefault="00840AAB" w:rsidP="00840AAB">
      <w:pPr>
        <w:pStyle w:val="a3"/>
        <w:numPr>
          <w:ilvl w:val="0"/>
          <w:numId w:val="16"/>
        </w:numPr>
        <w:ind w:left="660" w:hanging="660"/>
        <w:rPr>
          <w:lang w:val="sl-SI"/>
        </w:rPr>
      </w:pPr>
      <w:r>
        <w:rPr>
          <w:rFonts w:eastAsia="Times New Roman"/>
          <w:lang w:val="sl-SI"/>
        </w:rPr>
        <w:t>vnetje očesnih vek in otekanje oči;</w:t>
      </w:r>
    </w:p>
    <w:p w14:paraId="03A64C8F" w14:textId="77777777" w:rsidR="00840AAB" w:rsidRDefault="00840AAB" w:rsidP="00840AAB">
      <w:pPr>
        <w:pStyle w:val="a3"/>
        <w:numPr>
          <w:ilvl w:val="0"/>
          <w:numId w:val="16"/>
        </w:numPr>
        <w:ind w:left="660" w:hanging="660"/>
        <w:rPr>
          <w:lang w:val="sl-SI"/>
        </w:rPr>
      </w:pPr>
      <w:r>
        <w:rPr>
          <w:rFonts w:eastAsia="Times New Roman"/>
          <w:lang w:val="sl-SI"/>
        </w:rPr>
        <w:t>vrtoglavica (občutek omotice ali vrtenja);</w:t>
      </w:r>
    </w:p>
    <w:p w14:paraId="1DD3B629" w14:textId="77777777" w:rsidR="00840AAB" w:rsidRDefault="00840AAB" w:rsidP="00840AAB">
      <w:pPr>
        <w:pStyle w:val="a3"/>
        <w:numPr>
          <w:ilvl w:val="0"/>
          <w:numId w:val="16"/>
        </w:numPr>
        <w:ind w:left="660" w:hanging="660"/>
        <w:rPr>
          <w:lang w:val="sl-SI"/>
        </w:rPr>
      </w:pPr>
      <w:r>
        <w:rPr>
          <w:rFonts w:eastAsia="Times New Roman"/>
          <w:lang w:val="sl-SI"/>
        </w:rPr>
        <w:t>občutek hitrega bitja srca;</w:t>
      </w:r>
    </w:p>
    <w:p w14:paraId="5DFFFCD0" w14:textId="77777777" w:rsidR="00840AAB" w:rsidRDefault="00840AAB" w:rsidP="00840AAB">
      <w:pPr>
        <w:pStyle w:val="a3"/>
        <w:numPr>
          <w:ilvl w:val="0"/>
          <w:numId w:val="16"/>
        </w:numPr>
        <w:ind w:left="660" w:hanging="660"/>
        <w:rPr>
          <w:lang w:val="sl-SI"/>
        </w:rPr>
      </w:pPr>
      <w:r>
        <w:rPr>
          <w:rFonts w:eastAsia="Times New Roman"/>
          <w:lang w:val="sl-SI"/>
        </w:rPr>
        <w:t>visok krvni tlak;</w:t>
      </w:r>
    </w:p>
    <w:p w14:paraId="4092A110" w14:textId="77777777" w:rsidR="00840AAB" w:rsidRDefault="00840AAB" w:rsidP="00840AAB">
      <w:pPr>
        <w:pStyle w:val="a3"/>
        <w:numPr>
          <w:ilvl w:val="0"/>
          <w:numId w:val="16"/>
        </w:numPr>
        <w:ind w:left="660" w:hanging="660"/>
        <w:rPr>
          <w:lang w:val="sl-SI"/>
        </w:rPr>
      </w:pPr>
      <w:r>
        <w:rPr>
          <w:rFonts w:eastAsia="Times New Roman"/>
          <w:lang w:val="sl-SI"/>
        </w:rPr>
        <w:t>zardevanje;</w:t>
      </w:r>
    </w:p>
    <w:p w14:paraId="5439B30F" w14:textId="77777777" w:rsidR="00840AAB" w:rsidRDefault="00840AAB" w:rsidP="00840AAB">
      <w:pPr>
        <w:pStyle w:val="a3"/>
        <w:numPr>
          <w:ilvl w:val="0"/>
          <w:numId w:val="16"/>
        </w:numPr>
        <w:ind w:left="660" w:hanging="660"/>
        <w:rPr>
          <w:lang w:val="sl-SI"/>
        </w:rPr>
      </w:pPr>
      <w:r>
        <w:rPr>
          <w:rFonts w:eastAsia="Times New Roman"/>
          <w:lang w:val="sl-SI"/>
        </w:rPr>
        <w:t>hematom (nabiranje krvi zunaj krvnih žil);</w:t>
      </w:r>
    </w:p>
    <w:p w14:paraId="449734E5" w14:textId="77777777" w:rsidR="00840AAB" w:rsidRDefault="00840AAB" w:rsidP="00840AAB">
      <w:pPr>
        <w:pStyle w:val="a3"/>
        <w:numPr>
          <w:ilvl w:val="0"/>
          <w:numId w:val="16"/>
        </w:numPr>
        <w:ind w:left="660" w:hanging="660"/>
        <w:rPr>
          <w:lang w:val="sl-SI"/>
        </w:rPr>
      </w:pPr>
      <w:r>
        <w:rPr>
          <w:rFonts w:eastAsia="Times New Roman"/>
          <w:lang w:val="sl-SI"/>
        </w:rPr>
        <w:t>kašelj;</w:t>
      </w:r>
    </w:p>
    <w:p w14:paraId="77D504FD" w14:textId="77777777" w:rsidR="00840AAB" w:rsidRDefault="00840AAB" w:rsidP="00840AAB">
      <w:pPr>
        <w:pStyle w:val="a3"/>
        <w:numPr>
          <w:ilvl w:val="0"/>
          <w:numId w:val="16"/>
        </w:numPr>
        <w:ind w:left="660" w:hanging="660"/>
        <w:rPr>
          <w:lang w:val="sl-SI"/>
        </w:rPr>
      </w:pPr>
      <w:r>
        <w:rPr>
          <w:rFonts w:eastAsia="Times New Roman"/>
          <w:lang w:val="sl-SI"/>
        </w:rPr>
        <w:t>astma;</w:t>
      </w:r>
    </w:p>
    <w:p w14:paraId="422D48E8" w14:textId="77777777" w:rsidR="00840AAB" w:rsidRDefault="00840AAB" w:rsidP="00840AAB">
      <w:pPr>
        <w:pStyle w:val="a3"/>
        <w:numPr>
          <w:ilvl w:val="0"/>
          <w:numId w:val="16"/>
        </w:numPr>
        <w:ind w:left="660" w:hanging="660"/>
        <w:rPr>
          <w:lang w:val="sl-SI"/>
        </w:rPr>
      </w:pPr>
      <w:r>
        <w:rPr>
          <w:rFonts w:eastAsia="Times New Roman"/>
          <w:lang w:val="sl-SI"/>
        </w:rPr>
        <w:t>kratka sapa;</w:t>
      </w:r>
    </w:p>
    <w:p w14:paraId="5E52D4CE" w14:textId="77777777" w:rsidR="00840AAB" w:rsidRDefault="00840AAB" w:rsidP="00840AAB">
      <w:pPr>
        <w:pStyle w:val="a3"/>
        <w:numPr>
          <w:ilvl w:val="0"/>
          <w:numId w:val="16"/>
        </w:numPr>
        <w:ind w:left="660" w:hanging="660"/>
        <w:rPr>
          <w:lang w:val="sl-SI"/>
        </w:rPr>
      </w:pPr>
      <w:r>
        <w:rPr>
          <w:rFonts w:eastAsia="Times New Roman"/>
          <w:lang w:val="sl-SI"/>
        </w:rPr>
        <w:t>krvavitev v prebavilih;</w:t>
      </w:r>
    </w:p>
    <w:p w14:paraId="2ABACB96" w14:textId="77777777" w:rsidR="00840AAB" w:rsidRDefault="00840AAB" w:rsidP="00840AAB">
      <w:pPr>
        <w:pStyle w:val="a3"/>
        <w:numPr>
          <w:ilvl w:val="0"/>
          <w:numId w:val="16"/>
        </w:numPr>
        <w:ind w:left="660" w:hanging="660"/>
        <w:rPr>
          <w:lang w:val="sl-SI"/>
        </w:rPr>
      </w:pPr>
      <w:r>
        <w:rPr>
          <w:rFonts w:eastAsia="Times New Roman"/>
          <w:lang w:val="sl-SI"/>
        </w:rPr>
        <w:t>dispepsija (prebavne motnje, napihnjenost, zgaga);</w:t>
      </w:r>
    </w:p>
    <w:p w14:paraId="5B2110C8" w14:textId="77777777" w:rsidR="00840AAB" w:rsidRDefault="00840AAB" w:rsidP="00840AAB">
      <w:pPr>
        <w:pStyle w:val="a3"/>
        <w:numPr>
          <w:ilvl w:val="0"/>
          <w:numId w:val="16"/>
        </w:numPr>
        <w:ind w:left="660" w:hanging="660"/>
        <w:rPr>
          <w:lang w:val="sl-SI"/>
        </w:rPr>
      </w:pPr>
      <w:r>
        <w:rPr>
          <w:rFonts w:eastAsia="Times New Roman"/>
          <w:lang w:val="sl-SI"/>
        </w:rPr>
        <w:t>bolezen refluksa kisline;</w:t>
      </w:r>
    </w:p>
    <w:p w14:paraId="1E8DB9F3" w14:textId="77777777" w:rsidR="00840AAB" w:rsidRDefault="00840AAB" w:rsidP="00840AAB">
      <w:pPr>
        <w:pStyle w:val="a3"/>
        <w:numPr>
          <w:ilvl w:val="0"/>
          <w:numId w:val="16"/>
        </w:numPr>
        <w:ind w:left="660" w:hanging="660"/>
        <w:rPr>
          <w:lang w:val="sl-SI"/>
        </w:rPr>
      </w:pPr>
      <w:r>
        <w:rPr>
          <w:rFonts w:eastAsia="Times New Roman"/>
          <w:lang w:val="sl-SI"/>
        </w:rPr>
        <w:t>Sjögrenov sindrom (vključno s suhimi očmi in suhimi usti);</w:t>
      </w:r>
    </w:p>
    <w:p w14:paraId="3E236B54" w14:textId="77777777" w:rsidR="00840AAB" w:rsidRDefault="00840AAB" w:rsidP="00840AAB">
      <w:pPr>
        <w:pStyle w:val="a3"/>
        <w:numPr>
          <w:ilvl w:val="0"/>
          <w:numId w:val="16"/>
        </w:numPr>
        <w:ind w:left="660" w:hanging="660"/>
        <w:rPr>
          <w:lang w:val="sl-SI"/>
        </w:rPr>
      </w:pPr>
      <w:r>
        <w:rPr>
          <w:rFonts w:eastAsia="Times New Roman"/>
          <w:lang w:val="sl-SI"/>
        </w:rPr>
        <w:t>srbenje;</w:t>
      </w:r>
    </w:p>
    <w:p w14:paraId="6FD95D5D" w14:textId="77777777" w:rsidR="00840AAB" w:rsidRDefault="00840AAB" w:rsidP="00840AAB">
      <w:pPr>
        <w:pStyle w:val="a3"/>
        <w:numPr>
          <w:ilvl w:val="0"/>
          <w:numId w:val="16"/>
        </w:numPr>
        <w:ind w:left="660" w:hanging="660"/>
        <w:rPr>
          <w:rFonts w:eastAsia="Times New Roman"/>
          <w:spacing w:val="-1"/>
          <w:lang w:val="sl-SI"/>
        </w:rPr>
      </w:pPr>
      <w:r>
        <w:rPr>
          <w:rFonts w:eastAsia="Times New Roman"/>
          <w:lang w:val="sl-SI"/>
        </w:rPr>
        <w:t>srbeč izpuščaj;</w:t>
      </w:r>
    </w:p>
    <w:p w14:paraId="00DFAF8D" w14:textId="77777777" w:rsidR="00840AAB" w:rsidRDefault="00840AAB" w:rsidP="00840AAB">
      <w:pPr>
        <w:pStyle w:val="a3"/>
        <w:numPr>
          <w:ilvl w:val="0"/>
          <w:numId w:val="16"/>
        </w:numPr>
        <w:ind w:left="660" w:hanging="660"/>
        <w:rPr>
          <w:lang w:val="sl-SI"/>
        </w:rPr>
      </w:pPr>
      <w:r>
        <w:rPr>
          <w:rFonts w:eastAsia="Times New Roman"/>
          <w:lang w:val="sl-SI"/>
        </w:rPr>
        <w:t>modrice;</w:t>
      </w:r>
    </w:p>
    <w:p w14:paraId="205E63F4" w14:textId="77777777" w:rsidR="00840AAB" w:rsidRDefault="00840AAB" w:rsidP="00840AAB">
      <w:pPr>
        <w:pStyle w:val="a3"/>
        <w:numPr>
          <w:ilvl w:val="0"/>
          <w:numId w:val="16"/>
        </w:numPr>
        <w:ind w:left="660" w:hanging="660"/>
        <w:rPr>
          <w:lang w:val="sl-SI"/>
        </w:rPr>
      </w:pPr>
      <w:r>
        <w:rPr>
          <w:rFonts w:eastAsia="Times New Roman"/>
          <w:lang w:val="sl-SI"/>
        </w:rPr>
        <w:t>vnetje kože (npr. ekcem);</w:t>
      </w:r>
    </w:p>
    <w:p w14:paraId="602D562A" w14:textId="77777777" w:rsidR="00840AAB" w:rsidRDefault="00840AAB" w:rsidP="00840AAB">
      <w:pPr>
        <w:pStyle w:val="a3"/>
        <w:numPr>
          <w:ilvl w:val="0"/>
          <w:numId w:val="16"/>
        </w:numPr>
        <w:ind w:left="660" w:hanging="660"/>
        <w:rPr>
          <w:lang w:val="sl-SI"/>
        </w:rPr>
      </w:pPr>
      <w:r>
        <w:rPr>
          <w:rFonts w:eastAsia="Times New Roman"/>
          <w:lang w:val="sl-SI"/>
        </w:rPr>
        <w:t>lomljivost nohtov na rokah in nogah;</w:t>
      </w:r>
    </w:p>
    <w:p w14:paraId="464F7C63" w14:textId="77777777" w:rsidR="00840AAB" w:rsidRDefault="00840AAB" w:rsidP="00840AAB">
      <w:pPr>
        <w:pStyle w:val="a3"/>
        <w:numPr>
          <w:ilvl w:val="0"/>
          <w:numId w:val="16"/>
        </w:numPr>
        <w:ind w:left="660" w:hanging="660"/>
        <w:rPr>
          <w:lang w:val="sl-SI"/>
        </w:rPr>
      </w:pPr>
      <w:r>
        <w:rPr>
          <w:rFonts w:eastAsia="Times New Roman"/>
          <w:lang w:val="sl-SI"/>
        </w:rPr>
        <w:t>povečano potenje;</w:t>
      </w:r>
    </w:p>
    <w:p w14:paraId="7263AC24" w14:textId="77777777" w:rsidR="00840AAB" w:rsidRDefault="00840AAB" w:rsidP="00840AAB">
      <w:pPr>
        <w:pStyle w:val="a3"/>
        <w:numPr>
          <w:ilvl w:val="0"/>
          <w:numId w:val="16"/>
        </w:numPr>
        <w:ind w:left="660" w:hanging="660"/>
        <w:rPr>
          <w:lang w:val="sl-SI"/>
        </w:rPr>
      </w:pPr>
      <w:r>
        <w:rPr>
          <w:rFonts w:eastAsia="Times New Roman"/>
          <w:lang w:val="sl-SI"/>
        </w:rPr>
        <w:t>izpadanje las;</w:t>
      </w:r>
    </w:p>
    <w:p w14:paraId="74CFDA89" w14:textId="77777777" w:rsidR="00840AAB" w:rsidRDefault="00840AAB" w:rsidP="00840AAB">
      <w:pPr>
        <w:pStyle w:val="a3"/>
        <w:numPr>
          <w:ilvl w:val="0"/>
          <w:numId w:val="16"/>
        </w:numPr>
        <w:ind w:left="660" w:hanging="660"/>
        <w:rPr>
          <w:lang w:val="sl-SI"/>
        </w:rPr>
      </w:pPr>
      <w:r>
        <w:rPr>
          <w:rFonts w:eastAsia="Times New Roman"/>
          <w:lang w:val="sl-SI"/>
        </w:rPr>
        <w:t>pojav ali poslabšanje psoriaze;</w:t>
      </w:r>
    </w:p>
    <w:p w14:paraId="64FFA48A" w14:textId="77777777" w:rsidR="00840AAB" w:rsidRDefault="00840AAB" w:rsidP="00840AAB">
      <w:pPr>
        <w:pStyle w:val="a3"/>
        <w:numPr>
          <w:ilvl w:val="0"/>
          <w:numId w:val="16"/>
        </w:numPr>
        <w:ind w:left="660" w:hanging="660"/>
        <w:rPr>
          <w:lang w:val="sl-SI"/>
        </w:rPr>
      </w:pPr>
      <w:r>
        <w:rPr>
          <w:rFonts w:eastAsia="Times New Roman"/>
          <w:lang w:val="sl-SI"/>
        </w:rPr>
        <w:t>mišični krči;</w:t>
      </w:r>
    </w:p>
    <w:p w14:paraId="3E583C31" w14:textId="77777777" w:rsidR="00840AAB" w:rsidRDefault="00840AAB" w:rsidP="00840AAB">
      <w:pPr>
        <w:pStyle w:val="a3"/>
        <w:numPr>
          <w:ilvl w:val="0"/>
          <w:numId w:val="16"/>
        </w:numPr>
        <w:ind w:left="660" w:hanging="660"/>
        <w:rPr>
          <w:lang w:val="sl-SI"/>
        </w:rPr>
      </w:pPr>
      <w:r>
        <w:rPr>
          <w:rFonts w:eastAsia="Times New Roman"/>
          <w:lang w:val="sl-SI"/>
        </w:rPr>
        <w:t>kri v urinu;</w:t>
      </w:r>
    </w:p>
    <w:p w14:paraId="5A09F984" w14:textId="77777777" w:rsidR="00840AAB" w:rsidRDefault="00840AAB" w:rsidP="00840AAB">
      <w:pPr>
        <w:pStyle w:val="a3"/>
        <w:numPr>
          <w:ilvl w:val="0"/>
          <w:numId w:val="16"/>
        </w:numPr>
        <w:ind w:left="660" w:hanging="660"/>
        <w:rPr>
          <w:lang w:val="sl-SI"/>
        </w:rPr>
      </w:pPr>
      <w:r>
        <w:rPr>
          <w:rFonts w:eastAsia="Times New Roman"/>
          <w:lang w:val="sl-SI"/>
        </w:rPr>
        <w:t>težave z ledvicami;</w:t>
      </w:r>
    </w:p>
    <w:p w14:paraId="4BB6355D" w14:textId="77777777" w:rsidR="00840AAB" w:rsidRDefault="00840AAB" w:rsidP="00840AAB">
      <w:pPr>
        <w:pStyle w:val="a3"/>
        <w:numPr>
          <w:ilvl w:val="0"/>
          <w:numId w:val="16"/>
        </w:numPr>
        <w:ind w:left="660" w:hanging="660"/>
        <w:rPr>
          <w:lang w:val="sl-SI"/>
        </w:rPr>
      </w:pPr>
      <w:r>
        <w:rPr>
          <w:rFonts w:eastAsia="Times New Roman"/>
          <w:lang w:val="sl-SI"/>
        </w:rPr>
        <w:t>bolečina v prsnem košu;</w:t>
      </w:r>
    </w:p>
    <w:p w14:paraId="282A06A8" w14:textId="77777777" w:rsidR="00840AAB" w:rsidRDefault="00840AAB" w:rsidP="00840AAB">
      <w:pPr>
        <w:pStyle w:val="a3"/>
        <w:numPr>
          <w:ilvl w:val="0"/>
          <w:numId w:val="16"/>
        </w:numPr>
        <w:ind w:left="660" w:hanging="660"/>
        <w:rPr>
          <w:lang w:val="sl-SI"/>
        </w:rPr>
      </w:pPr>
      <w:r>
        <w:rPr>
          <w:rFonts w:eastAsia="Times New Roman"/>
          <w:lang w:val="sl-SI"/>
        </w:rPr>
        <w:t>edem (otekanje);</w:t>
      </w:r>
    </w:p>
    <w:p w14:paraId="6F4E14A6" w14:textId="77777777" w:rsidR="00840AAB" w:rsidRDefault="00840AAB" w:rsidP="00840AAB">
      <w:pPr>
        <w:pStyle w:val="a3"/>
        <w:numPr>
          <w:ilvl w:val="0"/>
          <w:numId w:val="16"/>
        </w:numPr>
        <w:ind w:left="660" w:hanging="660"/>
        <w:rPr>
          <w:lang w:val="sl-SI"/>
        </w:rPr>
      </w:pPr>
      <w:r>
        <w:rPr>
          <w:rFonts w:eastAsia="Times New Roman"/>
          <w:lang w:val="sl-SI"/>
        </w:rPr>
        <w:t>zvišana telesna temperatura;</w:t>
      </w:r>
    </w:p>
    <w:p w14:paraId="217B184C" w14:textId="77777777" w:rsidR="00840AAB" w:rsidRDefault="00840AAB" w:rsidP="00840AAB">
      <w:pPr>
        <w:pStyle w:val="a3"/>
        <w:numPr>
          <w:ilvl w:val="0"/>
          <w:numId w:val="16"/>
        </w:numPr>
        <w:ind w:left="660" w:hanging="660"/>
        <w:rPr>
          <w:lang w:val="sl-SI"/>
        </w:rPr>
      </w:pPr>
      <w:r>
        <w:rPr>
          <w:rFonts w:eastAsia="Times New Roman"/>
          <w:lang w:val="sl-SI"/>
        </w:rPr>
        <w:t>zmanjšanje števila krvnih ploščic, kar poveča tveganje za krvavitev ali podplutbe;</w:t>
      </w:r>
    </w:p>
    <w:p w14:paraId="0A5FD5FB" w14:textId="77777777" w:rsidR="00840AAB" w:rsidRDefault="00840AAB" w:rsidP="00840AAB">
      <w:pPr>
        <w:pStyle w:val="a3"/>
        <w:numPr>
          <w:ilvl w:val="0"/>
          <w:numId w:val="16"/>
        </w:numPr>
        <w:ind w:left="660" w:hanging="660"/>
        <w:rPr>
          <w:lang w:val="sl-SI"/>
        </w:rPr>
      </w:pPr>
      <w:r>
        <w:rPr>
          <w:rFonts w:eastAsia="Times New Roman"/>
          <w:lang w:val="sl-SI"/>
        </w:rPr>
        <w:t>slabše celjenje.</w:t>
      </w:r>
    </w:p>
    <w:p w14:paraId="19A0C4C5" w14:textId="77777777" w:rsidR="00840AAB" w:rsidRDefault="00840AAB" w:rsidP="00840AAB">
      <w:pPr>
        <w:spacing w:before="10" w:line="240" w:lineRule="exact"/>
        <w:rPr>
          <w:sz w:val="24"/>
          <w:szCs w:val="24"/>
          <w:lang w:val="sl-SI"/>
        </w:rPr>
      </w:pPr>
    </w:p>
    <w:p w14:paraId="47A97117" w14:textId="77777777" w:rsidR="00840AAB" w:rsidRDefault="00840AAB" w:rsidP="00840AAB">
      <w:pPr>
        <w:pStyle w:val="a3"/>
        <w:rPr>
          <w:lang w:val="sl-SI"/>
        </w:rPr>
      </w:pPr>
      <w:r>
        <w:rPr>
          <w:rFonts w:eastAsia="Times New Roman"/>
          <w:b/>
          <w:bCs/>
          <w:lang w:val="sl-SI"/>
        </w:rPr>
        <w:t xml:space="preserve">Občasni </w:t>
      </w:r>
      <w:r>
        <w:rPr>
          <w:rFonts w:eastAsia="Times New Roman"/>
          <w:lang w:val="sl-SI"/>
        </w:rPr>
        <w:t>(pojavijo se lahko pri največ 1 od 100 bolnikov)</w:t>
      </w:r>
    </w:p>
    <w:p w14:paraId="4A6449AF" w14:textId="77777777" w:rsidR="00840AAB" w:rsidRDefault="00840AAB" w:rsidP="00840AAB">
      <w:pPr>
        <w:spacing w:before="14" w:line="260" w:lineRule="exact"/>
        <w:rPr>
          <w:sz w:val="26"/>
          <w:szCs w:val="26"/>
          <w:lang w:val="sl-SI"/>
        </w:rPr>
      </w:pPr>
    </w:p>
    <w:p w14:paraId="046B9F9C" w14:textId="77777777" w:rsidR="00840AAB" w:rsidRDefault="00840AAB" w:rsidP="00840AAB">
      <w:pPr>
        <w:pStyle w:val="a3"/>
        <w:numPr>
          <w:ilvl w:val="0"/>
          <w:numId w:val="16"/>
        </w:numPr>
        <w:ind w:left="660" w:hanging="660"/>
        <w:rPr>
          <w:lang w:val="sl-SI"/>
        </w:rPr>
      </w:pPr>
      <w:r>
        <w:rPr>
          <w:rFonts w:eastAsia="Times New Roman"/>
          <w:lang w:val="sl-SI"/>
        </w:rPr>
        <w:t>oportunistične okužbe (ki vključujejo tuberkulozo in druge okužbe, ki se pojavijo ob slabši odpornosti proti bolezni);</w:t>
      </w:r>
    </w:p>
    <w:p w14:paraId="2FD6DFC4" w14:textId="77777777" w:rsidR="00840AAB" w:rsidRDefault="00840AAB" w:rsidP="00840AAB">
      <w:pPr>
        <w:pStyle w:val="a3"/>
        <w:numPr>
          <w:ilvl w:val="0"/>
          <w:numId w:val="16"/>
        </w:numPr>
        <w:ind w:left="660" w:hanging="660"/>
        <w:rPr>
          <w:lang w:val="sl-SI"/>
        </w:rPr>
      </w:pPr>
      <w:r>
        <w:rPr>
          <w:rFonts w:eastAsia="Times New Roman"/>
          <w:lang w:val="sl-SI"/>
        </w:rPr>
        <w:t>nevrološke okužbe (vključno s virusnim meningitisom);</w:t>
      </w:r>
    </w:p>
    <w:p w14:paraId="61532F9A" w14:textId="77777777" w:rsidR="00840AAB" w:rsidRDefault="00840AAB" w:rsidP="00840AAB">
      <w:pPr>
        <w:pStyle w:val="a3"/>
        <w:numPr>
          <w:ilvl w:val="0"/>
          <w:numId w:val="16"/>
        </w:numPr>
        <w:ind w:left="660" w:hanging="660"/>
        <w:rPr>
          <w:lang w:val="sl-SI"/>
        </w:rPr>
      </w:pPr>
      <w:r>
        <w:rPr>
          <w:rFonts w:eastAsia="Times New Roman"/>
          <w:lang w:val="sl-SI"/>
        </w:rPr>
        <w:t>okužbe oči;</w:t>
      </w:r>
    </w:p>
    <w:p w14:paraId="4F561923" w14:textId="77777777" w:rsidR="00840AAB" w:rsidRDefault="00840AAB" w:rsidP="00840AAB">
      <w:pPr>
        <w:pStyle w:val="a3"/>
        <w:numPr>
          <w:ilvl w:val="0"/>
          <w:numId w:val="16"/>
        </w:numPr>
        <w:ind w:left="660" w:hanging="660"/>
        <w:rPr>
          <w:lang w:val="sl-SI"/>
        </w:rPr>
      </w:pPr>
      <w:r>
        <w:rPr>
          <w:rFonts w:eastAsia="Times New Roman"/>
          <w:lang w:val="sl-SI"/>
        </w:rPr>
        <w:t>bakterijske okužbe;</w:t>
      </w:r>
    </w:p>
    <w:p w14:paraId="350F26A9" w14:textId="77777777" w:rsidR="00840AAB" w:rsidRDefault="00840AAB" w:rsidP="00840AAB">
      <w:pPr>
        <w:pStyle w:val="a3"/>
        <w:numPr>
          <w:ilvl w:val="0"/>
          <w:numId w:val="16"/>
        </w:numPr>
        <w:ind w:left="660" w:hanging="660"/>
        <w:rPr>
          <w:lang w:val="sl-SI"/>
        </w:rPr>
      </w:pPr>
      <w:r>
        <w:rPr>
          <w:rFonts w:eastAsia="Times New Roman"/>
          <w:lang w:val="sl-SI"/>
        </w:rPr>
        <w:t>divertikulitis (vnetje in okužba debelega črevesa);</w:t>
      </w:r>
    </w:p>
    <w:p w14:paraId="214AFE28" w14:textId="77777777" w:rsidR="00840AAB" w:rsidRDefault="00840AAB" w:rsidP="00840AAB">
      <w:pPr>
        <w:pStyle w:val="a3"/>
        <w:numPr>
          <w:ilvl w:val="0"/>
          <w:numId w:val="16"/>
        </w:numPr>
        <w:ind w:left="660" w:hanging="660"/>
        <w:rPr>
          <w:lang w:val="sl-SI"/>
        </w:rPr>
      </w:pPr>
      <w:r>
        <w:rPr>
          <w:rFonts w:eastAsia="Times New Roman"/>
          <w:lang w:val="sl-SI"/>
        </w:rPr>
        <w:t>rak;</w:t>
      </w:r>
    </w:p>
    <w:p w14:paraId="5505196D" w14:textId="77777777" w:rsidR="00840AAB" w:rsidRDefault="00840AAB" w:rsidP="00840AAB">
      <w:pPr>
        <w:pStyle w:val="a3"/>
        <w:numPr>
          <w:ilvl w:val="0"/>
          <w:numId w:val="16"/>
        </w:numPr>
        <w:ind w:left="660" w:hanging="660"/>
        <w:rPr>
          <w:lang w:val="sl-SI"/>
        </w:rPr>
      </w:pPr>
      <w:r>
        <w:rPr>
          <w:rFonts w:eastAsia="Times New Roman"/>
          <w:lang w:val="sl-SI"/>
        </w:rPr>
        <w:t>rak, ki zajame limfni sistem;</w:t>
      </w:r>
    </w:p>
    <w:p w14:paraId="3FAD3CB8" w14:textId="77777777" w:rsidR="00840AAB" w:rsidRDefault="00840AAB" w:rsidP="00840AAB">
      <w:pPr>
        <w:pStyle w:val="a3"/>
        <w:numPr>
          <w:ilvl w:val="0"/>
          <w:numId w:val="16"/>
        </w:numPr>
        <w:ind w:left="660" w:hanging="660"/>
        <w:rPr>
          <w:lang w:val="sl-SI"/>
        </w:rPr>
      </w:pPr>
      <w:r>
        <w:rPr>
          <w:rFonts w:eastAsia="Times New Roman"/>
          <w:lang w:val="sl-SI"/>
        </w:rPr>
        <w:t>melanom;</w:t>
      </w:r>
    </w:p>
    <w:p w14:paraId="73FF3BAD" w14:textId="77777777" w:rsidR="00840AAB" w:rsidRDefault="00840AAB" w:rsidP="00840AAB">
      <w:pPr>
        <w:pStyle w:val="a3"/>
        <w:numPr>
          <w:ilvl w:val="0"/>
          <w:numId w:val="16"/>
        </w:numPr>
        <w:ind w:left="660" w:hanging="660"/>
        <w:rPr>
          <w:lang w:val="sl-SI"/>
        </w:rPr>
      </w:pPr>
      <w:r>
        <w:rPr>
          <w:rFonts w:eastAsia="Times New Roman"/>
          <w:lang w:val="sl-SI"/>
        </w:rPr>
        <w:t>imunske bolezni, ki lahko prizadenejo pljuča, kožo in bezgavke (najpogosteje kot sarkoidoza);</w:t>
      </w:r>
    </w:p>
    <w:p w14:paraId="21A15E13" w14:textId="77777777" w:rsidR="00840AAB" w:rsidRDefault="00840AAB" w:rsidP="00840AAB">
      <w:pPr>
        <w:pStyle w:val="a3"/>
        <w:numPr>
          <w:ilvl w:val="0"/>
          <w:numId w:val="16"/>
        </w:numPr>
        <w:ind w:left="660" w:hanging="660"/>
        <w:rPr>
          <w:lang w:val="sl-SI"/>
        </w:rPr>
      </w:pPr>
      <w:r>
        <w:rPr>
          <w:rFonts w:eastAsia="Times New Roman"/>
          <w:lang w:val="sl-SI"/>
        </w:rPr>
        <w:t>vaskulitis (vnetje krvnih žil);</w:t>
      </w:r>
    </w:p>
    <w:p w14:paraId="46A2CD0D" w14:textId="77777777" w:rsidR="00840AAB" w:rsidRDefault="00840AAB" w:rsidP="00840AAB">
      <w:pPr>
        <w:pStyle w:val="a3"/>
        <w:numPr>
          <w:ilvl w:val="0"/>
          <w:numId w:val="16"/>
        </w:numPr>
        <w:ind w:left="660" w:hanging="660"/>
        <w:rPr>
          <w:lang w:val="sl-SI"/>
        </w:rPr>
      </w:pPr>
      <w:r>
        <w:rPr>
          <w:rFonts w:eastAsia="Times New Roman"/>
          <w:lang w:val="sl-SI"/>
        </w:rPr>
        <w:t>tremor (tresenje);</w:t>
      </w:r>
    </w:p>
    <w:p w14:paraId="6EA156DE" w14:textId="77777777" w:rsidR="00840AAB" w:rsidRDefault="00840AAB" w:rsidP="00840AAB">
      <w:pPr>
        <w:pStyle w:val="a3"/>
        <w:numPr>
          <w:ilvl w:val="0"/>
          <w:numId w:val="16"/>
        </w:numPr>
        <w:ind w:left="660" w:hanging="660"/>
        <w:rPr>
          <w:lang w:val="sl-SI"/>
        </w:rPr>
      </w:pPr>
      <w:r>
        <w:rPr>
          <w:rFonts w:eastAsia="Times New Roman"/>
          <w:lang w:val="sl-SI"/>
        </w:rPr>
        <w:t>nevropatija (bolezen živcev);</w:t>
      </w:r>
    </w:p>
    <w:p w14:paraId="3E8E791C" w14:textId="77777777" w:rsidR="00840AAB" w:rsidRDefault="00840AAB" w:rsidP="00840AAB">
      <w:pPr>
        <w:pStyle w:val="a3"/>
        <w:numPr>
          <w:ilvl w:val="0"/>
          <w:numId w:val="16"/>
        </w:numPr>
        <w:ind w:left="660" w:hanging="660"/>
        <w:rPr>
          <w:lang w:val="sl-SI"/>
        </w:rPr>
      </w:pPr>
      <w:r>
        <w:rPr>
          <w:rFonts w:eastAsia="Times New Roman"/>
          <w:lang w:val="sl-SI"/>
        </w:rPr>
        <w:t>možganska kap;</w:t>
      </w:r>
    </w:p>
    <w:p w14:paraId="7AC907C0" w14:textId="77777777" w:rsidR="00840AAB" w:rsidRDefault="00840AAB" w:rsidP="00840AAB">
      <w:pPr>
        <w:pStyle w:val="a3"/>
        <w:numPr>
          <w:ilvl w:val="0"/>
          <w:numId w:val="16"/>
        </w:numPr>
        <w:ind w:left="660" w:hanging="660"/>
        <w:rPr>
          <w:lang w:val="sl-SI"/>
        </w:rPr>
      </w:pPr>
      <w:r>
        <w:rPr>
          <w:rFonts w:eastAsia="Times New Roman"/>
          <w:lang w:val="sl-SI"/>
        </w:rPr>
        <w:lastRenderedPageBreak/>
        <w:t>izguba sluha, šumenje v ušesih;</w:t>
      </w:r>
    </w:p>
    <w:p w14:paraId="0D3B5620" w14:textId="77777777" w:rsidR="00840AAB" w:rsidRDefault="00840AAB" w:rsidP="00840AAB">
      <w:pPr>
        <w:pStyle w:val="a3"/>
        <w:numPr>
          <w:ilvl w:val="0"/>
          <w:numId w:val="16"/>
        </w:numPr>
        <w:ind w:left="660" w:hanging="660"/>
        <w:rPr>
          <w:lang w:val="sl-SI"/>
        </w:rPr>
      </w:pPr>
      <w:r>
        <w:rPr>
          <w:rFonts w:eastAsia="Times New Roman"/>
          <w:lang w:val="sl-SI"/>
        </w:rPr>
        <w:t>občutek neenakomernega bitja srca kot je preskakovanje utripov;</w:t>
      </w:r>
    </w:p>
    <w:p w14:paraId="3863C964" w14:textId="77777777" w:rsidR="00840AAB" w:rsidRDefault="00840AAB" w:rsidP="00840AAB">
      <w:pPr>
        <w:pStyle w:val="a3"/>
        <w:numPr>
          <w:ilvl w:val="0"/>
          <w:numId w:val="16"/>
        </w:numPr>
        <w:ind w:left="660" w:hanging="660"/>
        <w:rPr>
          <w:lang w:val="sl-SI"/>
        </w:rPr>
      </w:pPr>
      <w:r>
        <w:rPr>
          <w:rFonts w:eastAsia="Times New Roman"/>
          <w:lang w:val="sl-SI"/>
        </w:rPr>
        <w:t>težave s srcem, ki lahko povzročijo kratko sapo ali otekanje gležnjev;</w:t>
      </w:r>
    </w:p>
    <w:p w14:paraId="6731CAE8" w14:textId="77777777" w:rsidR="00840AAB" w:rsidRDefault="00840AAB" w:rsidP="00840AAB">
      <w:pPr>
        <w:pStyle w:val="a3"/>
        <w:numPr>
          <w:ilvl w:val="0"/>
          <w:numId w:val="16"/>
        </w:numPr>
        <w:ind w:left="660" w:hanging="660"/>
        <w:rPr>
          <w:lang w:val="sl-SI"/>
        </w:rPr>
      </w:pPr>
      <w:r>
        <w:rPr>
          <w:rFonts w:eastAsia="Times New Roman"/>
          <w:lang w:val="sl-SI"/>
        </w:rPr>
        <w:t>srčni napad;</w:t>
      </w:r>
    </w:p>
    <w:p w14:paraId="7C420E5A" w14:textId="77777777" w:rsidR="00840AAB" w:rsidRDefault="00840AAB" w:rsidP="00840AAB">
      <w:pPr>
        <w:pStyle w:val="a3"/>
        <w:numPr>
          <w:ilvl w:val="0"/>
          <w:numId w:val="16"/>
        </w:numPr>
        <w:ind w:left="660" w:hanging="660"/>
        <w:rPr>
          <w:lang w:val="sl-SI"/>
        </w:rPr>
      </w:pPr>
      <w:r>
        <w:rPr>
          <w:rFonts w:eastAsia="Times New Roman"/>
          <w:lang w:val="sl-SI"/>
        </w:rPr>
        <w:t>razširitev v steni večje arterije, vnetje in krvni strdek v veni, zamašitev žile;</w:t>
      </w:r>
    </w:p>
    <w:p w14:paraId="0D2D9E5D" w14:textId="77777777" w:rsidR="00840AAB" w:rsidRDefault="00840AAB" w:rsidP="00840AAB">
      <w:pPr>
        <w:pStyle w:val="a3"/>
        <w:numPr>
          <w:ilvl w:val="0"/>
          <w:numId w:val="16"/>
        </w:numPr>
        <w:ind w:left="660" w:hanging="660"/>
        <w:rPr>
          <w:lang w:val="sl-SI"/>
        </w:rPr>
      </w:pPr>
      <w:r>
        <w:rPr>
          <w:rFonts w:eastAsia="Times New Roman"/>
          <w:lang w:val="sl-SI"/>
        </w:rPr>
        <w:t>pljučne bolezni, ki povzročajo kratko sapo (vključno z vnetjem);</w:t>
      </w:r>
    </w:p>
    <w:p w14:paraId="2A211F71" w14:textId="77777777" w:rsidR="00840AAB" w:rsidRDefault="00840AAB" w:rsidP="00840AAB">
      <w:pPr>
        <w:pStyle w:val="a3"/>
        <w:numPr>
          <w:ilvl w:val="0"/>
          <w:numId w:val="16"/>
        </w:numPr>
        <w:ind w:left="660" w:hanging="660"/>
        <w:rPr>
          <w:lang w:val="sl-SI"/>
        </w:rPr>
      </w:pPr>
      <w:r>
        <w:rPr>
          <w:rFonts w:eastAsia="Times New Roman"/>
          <w:lang w:val="sl-SI"/>
        </w:rPr>
        <w:t>pljučna embolija (zamašitev arterije v pljučih);</w:t>
      </w:r>
    </w:p>
    <w:p w14:paraId="53BFFABB" w14:textId="77777777" w:rsidR="00840AAB" w:rsidRDefault="00840AAB" w:rsidP="00840AAB">
      <w:pPr>
        <w:pStyle w:val="a3"/>
        <w:numPr>
          <w:ilvl w:val="0"/>
          <w:numId w:val="16"/>
        </w:numPr>
        <w:ind w:left="660" w:hanging="660"/>
        <w:rPr>
          <w:lang w:val="sl-SI"/>
        </w:rPr>
      </w:pPr>
      <w:r>
        <w:rPr>
          <w:rFonts w:eastAsia="Times New Roman"/>
          <w:lang w:val="sl-SI"/>
        </w:rPr>
        <w:t>plevralni izliv (nenormalno kopičenje tekočine v plevralnem prostoru);</w:t>
      </w:r>
    </w:p>
    <w:p w14:paraId="0702B91F" w14:textId="77777777" w:rsidR="00840AAB" w:rsidRDefault="00840AAB" w:rsidP="00840AAB">
      <w:pPr>
        <w:pStyle w:val="a3"/>
        <w:numPr>
          <w:ilvl w:val="0"/>
          <w:numId w:val="16"/>
        </w:numPr>
        <w:ind w:left="660" w:hanging="660"/>
        <w:rPr>
          <w:lang w:val="sl-SI"/>
        </w:rPr>
      </w:pPr>
      <w:r>
        <w:rPr>
          <w:rFonts w:eastAsia="Times New Roman"/>
          <w:lang w:val="sl-SI"/>
        </w:rPr>
        <w:t>vnetje trebušne slinavke, ki povzroča hude bolečine v trebuhu in hrbtu;</w:t>
      </w:r>
    </w:p>
    <w:p w14:paraId="0E847DEE" w14:textId="77777777" w:rsidR="00840AAB" w:rsidRDefault="00840AAB" w:rsidP="00840AAB">
      <w:pPr>
        <w:pStyle w:val="a3"/>
        <w:numPr>
          <w:ilvl w:val="0"/>
          <w:numId w:val="16"/>
        </w:numPr>
        <w:ind w:left="660" w:hanging="660"/>
        <w:rPr>
          <w:lang w:val="sl-SI"/>
        </w:rPr>
      </w:pPr>
      <w:r>
        <w:rPr>
          <w:rFonts w:eastAsia="Times New Roman"/>
          <w:lang w:val="sl-SI"/>
        </w:rPr>
        <w:t>težave s požiranjem;</w:t>
      </w:r>
    </w:p>
    <w:p w14:paraId="0BDFD8A0" w14:textId="77777777" w:rsidR="00840AAB" w:rsidRDefault="00840AAB" w:rsidP="00840AAB">
      <w:pPr>
        <w:pStyle w:val="a3"/>
        <w:numPr>
          <w:ilvl w:val="0"/>
          <w:numId w:val="16"/>
        </w:numPr>
        <w:ind w:left="660" w:hanging="660"/>
        <w:rPr>
          <w:lang w:val="sl-SI"/>
        </w:rPr>
      </w:pPr>
      <w:r>
        <w:rPr>
          <w:rFonts w:eastAsia="Times New Roman"/>
          <w:lang w:val="sl-SI"/>
        </w:rPr>
        <w:t>edem obraza (otekanje obraza);</w:t>
      </w:r>
    </w:p>
    <w:p w14:paraId="25861857" w14:textId="77777777" w:rsidR="00840AAB" w:rsidRDefault="00840AAB" w:rsidP="00840AAB">
      <w:pPr>
        <w:pStyle w:val="a3"/>
        <w:numPr>
          <w:ilvl w:val="0"/>
          <w:numId w:val="16"/>
        </w:numPr>
        <w:ind w:left="660" w:hanging="660"/>
        <w:rPr>
          <w:lang w:val="sl-SI"/>
        </w:rPr>
      </w:pPr>
      <w:r>
        <w:rPr>
          <w:rFonts w:eastAsia="Times New Roman"/>
          <w:lang w:val="sl-SI"/>
        </w:rPr>
        <w:t>vnetje žolčnika, žolčni kamni;</w:t>
      </w:r>
    </w:p>
    <w:p w14:paraId="24608D83" w14:textId="77777777" w:rsidR="00840AAB" w:rsidRDefault="00840AAB" w:rsidP="00840AAB">
      <w:pPr>
        <w:pStyle w:val="a3"/>
        <w:numPr>
          <w:ilvl w:val="0"/>
          <w:numId w:val="16"/>
        </w:numPr>
        <w:ind w:left="660" w:hanging="660"/>
        <w:rPr>
          <w:lang w:val="sl-SI"/>
        </w:rPr>
      </w:pPr>
      <w:r>
        <w:rPr>
          <w:rFonts w:eastAsia="Times New Roman"/>
          <w:lang w:val="sl-SI"/>
        </w:rPr>
        <w:t>zamaščena jetra;</w:t>
      </w:r>
    </w:p>
    <w:p w14:paraId="27218E24" w14:textId="77777777" w:rsidR="00840AAB" w:rsidRDefault="00840AAB" w:rsidP="00840AAB">
      <w:pPr>
        <w:pStyle w:val="a3"/>
        <w:numPr>
          <w:ilvl w:val="0"/>
          <w:numId w:val="16"/>
        </w:numPr>
        <w:ind w:left="660" w:hanging="660"/>
        <w:rPr>
          <w:lang w:val="sl-SI"/>
        </w:rPr>
      </w:pPr>
      <w:r>
        <w:rPr>
          <w:rFonts w:eastAsia="Times New Roman"/>
          <w:lang w:val="sl-SI"/>
        </w:rPr>
        <w:t>nočno potenje;</w:t>
      </w:r>
    </w:p>
    <w:p w14:paraId="4D56D3B8" w14:textId="77777777" w:rsidR="00840AAB" w:rsidRDefault="00840AAB" w:rsidP="00840AAB">
      <w:pPr>
        <w:pStyle w:val="a3"/>
        <w:numPr>
          <w:ilvl w:val="0"/>
          <w:numId w:val="16"/>
        </w:numPr>
        <w:ind w:left="660" w:hanging="660"/>
        <w:rPr>
          <w:lang w:val="sl-SI"/>
        </w:rPr>
      </w:pPr>
      <w:r>
        <w:rPr>
          <w:rFonts w:eastAsia="Times New Roman"/>
          <w:lang w:val="sl-SI"/>
        </w:rPr>
        <w:t>brazgotinjenje;</w:t>
      </w:r>
    </w:p>
    <w:p w14:paraId="17050F1D" w14:textId="77777777" w:rsidR="00840AAB" w:rsidRDefault="00840AAB" w:rsidP="00840AAB">
      <w:pPr>
        <w:pStyle w:val="a3"/>
        <w:numPr>
          <w:ilvl w:val="0"/>
          <w:numId w:val="16"/>
        </w:numPr>
        <w:ind w:left="660" w:hanging="660"/>
        <w:rPr>
          <w:lang w:val="sl-SI"/>
        </w:rPr>
      </w:pPr>
      <w:r>
        <w:rPr>
          <w:rFonts w:eastAsia="Times New Roman"/>
          <w:lang w:val="sl-SI"/>
        </w:rPr>
        <w:t>neobičajen razpad mišic;</w:t>
      </w:r>
    </w:p>
    <w:p w14:paraId="38219A23" w14:textId="77777777" w:rsidR="00840AAB" w:rsidRDefault="00840AAB" w:rsidP="00840AAB">
      <w:pPr>
        <w:pStyle w:val="a3"/>
        <w:numPr>
          <w:ilvl w:val="0"/>
          <w:numId w:val="16"/>
        </w:numPr>
        <w:ind w:left="660" w:hanging="660"/>
        <w:rPr>
          <w:rFonts w:eastAsia="Times New Roman"/>
          <w:spacing w:val="-1"/>
          <w:lang w:val="sl-SI"/>
        </w:rPr>
      </w:pPr>
      <w:r>
        <w:rPr>
          <w:rFonts w:eastAsia="Times New Roman"/>
          <w:lang w:val="sl-SI"/>
        </w:rPr>
        <w:t>sistemski eritematozni lupus (vključno z vnetjem kože, srca, pljuč, sklepov in drugih organskih sistemov);</w:t>
      </w:r>
    </w:p>
    <w:p w14:paraId="7C22F8F1" w14:textId="77777777" w:rsidR="00840AAB" w:rsidRDefault="00840AAB" w:rsidP="00840AAB">
      <w:pPr>
        <w:pStyle w:val="a3"/>
        <w:numPr>
          <w:ilvl w:val="0"/>
          <w:numId w:val="16"/>
        </w:numPr>
        <w:ind w:left="660" w:hanging="660"/>
        <w:rPr>
          <w:lang w:val="sl-SI"/>
        </w:rPr>
      </w:pPr>
      <w:r>
        <w:rPr>
          <w:rFonts w:eastAsia="Times New Roman"/>
          <w:lang w:val="sl-SI"/>
        </w:rPr>
        <w:t>motnje spanja;</w:t>
      </w:r>
    </w:p>
    <w:p w14:paraId="64B539A6" w14:textId="77777777" w:rsidR="00840AAB" w:rsidRDefault="00840AAB" w:rsidP="00840AAB">
      <w:pPr>
        <w:pStyle w:val="a3"/>
        <w:numPr>
          <w:ilvl w:val="0"/>
          <w:numId w:val="16"/>
        </w:numPr>
        <w:ind w:left="660" w:hanging="660"/>
        <w:rPr>
          <w:lang w:val="sl-SI"/>
        </w:rPr>
      </w:pPr>
      <w:r>
        <w:rPr>
          <w:rFonts w:eastAsia="Times New Roman"/>
          <w:lang w:val="sl-SI"/>
        </w:rPr>
        <w:t>impotenca;</w:t>
      </w:r>
    </w:p>
    <w:p w14:paraId="17717823" w14:textId="77777777" w:rsidR="00840AAB" w:rsidRDefault="00840AAB" w:rsidP="00840AAB">
      <w:pPr>
        <w:pStyle w:val="a3"/>
        <w:numPr>
          <w:ilvl w:val="0"/>
          <w:numId w:val="16"/>
        </w:numPr>
        <w:ind w:left="660" w:hanging="660"/>
        <w:rPr>
          <w:lang w:val="sl-SI"/>
        </w:rPr>
      </w:pPr>
      <w:r>
        <w:rPr>
          <w:rFonts w:eastAsia="Times New Roman"/>
          <w:lang w:val="sl-SI"/>
        </w:rPr>
        <w:t>vnetja.</w:t>
      </w:r>
    </w:p>
    <w:p w14:paraId="771AA097" w14:textId="77777777" w:rsidR="00840AAB" w:rsidRDefault="00840AAB" w:rsidP="00840AAB">
      <w:pPr>
        <w:spacing w:before="13" w:line="240" w:lineRule="exact"/>
        <w:rPr>
          <w:sz w:val="24"/>
          <w:szCs w:val="24"/>
          <w:lang w:val="sl-SI"/>
        </w:rPr>
      </w:pPr>
    </w:p>
    <w:p w14:paraId="538FC4CE" w14:textId="77777777" w:rsidR="00840AAB" w:rsidRDefault="00840AAB" w:rsidP="00840AAB">
      <w:pPr>
        <w:pStyle w:val="a3"/>
        <w:rPr>
          <w:lang w:val="sl-SI"/>
        </w:rPr>
      </w:pPr>
      <w:r>
        <w:rPr>
          <w:rFonts w:eastAsia="Times New Roman"/>
          <w:b/>
          <w:bCs/>
          <w:lang w:val="sl-SI"/>
        </w:rPr>
        <w:t xml:space="preserve">Redki </w:t>
      </w:r>
      <w:r>
        <w:rPr>
          <w:rFonts w:eastAsia="Times New Roman"/>
          <w:lang w:val="sl-SI"/>
        </w:rPr>
        <w:t>(pojavijo se lahko pri največ 1 od 1.000 bolnikov)</w:t>
      </w:r>
    </w:p>
    <w:p w14:paraId="4D7DE7BB" w14:textId="77777777" w:rsidR="00840AAB" w:rsidRDefault="00840AAB" w:rsidP="00840AAB">
      <w:pPr>
        <w:spacing w:before="12" w:line="240" w:lineRule="exact"/>
        <w:rPr>
          <w:sz w:val="24"/>
          <w:szCs w:val="24"/>
          <w:lang w:val="sl-SI"/>
        </w:rPr>
      </w:pPr>
    </w:p>
    <w:p w14:paraId="722FC30D" w14:textId="77777777" w:rsidR="00840AAB" w:rsidRDefault="00840AAB" w:rsidP="00840AAB">
      <w:pPr>
        <w:pStyle w:val="a3"/>
        <w:numPr>
          <w:ilvl w:val="0"/>
          <w:numId w:val="16"/>
        </w:numPr>
        <w:ind w:left="660" w:hanging="660"/>
        <w:rPr>
          <w:lang w:val="sl-SI"/>
        </w:rPr>
      </w:pPr>
      <w:r>
        <w:rPr>
          <w:rFonts w:eastAsia="Times New Roman"/>
          <w:lang w:val="sl-SI"/>
        </w:rPr>
        <w:t>levkemija (rak, ki prizadene kri in kostni mozeg);</w:t>
      </w:r>
    </w:p>
    <w:p w14:paraId="2D5ACCEC" w14:textId="77777777" w:rsidR="00840AAB" w:rsidRDefault="00840AAB" w:rsidP="00840AAB">
      <w:pPr>
        <w:pStyle w:val="a3"/>
        <w:numPr>
          <w:ilvl w:val="0"/>
          <w:numId w:val="16"/>
        </w:numPr>
        <w:ind w:left="660" w:hanging="660"/>
        <w:rPr>
          <w:lang w:val="sl-SI"/>
        </w:rPr>
      </w:pPr>
      <w:r>
        <w:rPr>
          <w:rFonts w:eastAsia="Times New Roman"/>
          <w:lang w:val="sl-SI"/>
        </w:rPr>
        <w:t>huda alergijska reakcija s šokom;</w:t>
      </w:r>
    </w:p>
    <w:p w14:paraId="0F7455AD" w14:textId="77777777" w:rsidR="00840AAB" w:rsidRDefault="00840AAB" w:rsidP="00840AAB">
      <w:pPr>
        <w:pStyle w:val="a3"/>
        <w:numPr>
          <w:ilvl w:val="0"/>
          <w:numId w:val="16"/>
        </w:numPr>
        <w:ind w:left="660" w:hanging="660"/>
        <w:rPr>
          <w:lang w:val="sl-SI"/>
        </w:rPr>
      </w:pPr>
      <w:r>
        <w:rPr>
          <w:rFonts w:eastAsia="Times New Roman"/>
          <w:lang w:val="sl-SI"/>
        </w:rPr>
        <w:t>multipla skleroza;</w:t>
      </w:r>
    </w:p>
    <w:p w14:paraId="7D077C73" w14:textId="77777777" w:rsidR="00840AAB" w:rsidRDefault="00840AAB" w:rsidP="00840AAB">
      <w:pPr>
        <w:pStyle w:val="a3"/>
        <w:numPr>
          <w:ilvl w:val="0"/>
          <w:numId w:val="16"/>
        </w:numPr>
        <w:ind w:left="660" w:hanging="660"/>
        <w:rPr>
          <w:lang w:val="sl-SI"/>
        </w:rPr>
      </w:pPr>
      <w:r>
        <w:rPr>
          <w:rFonts w:eastAsia="Times New Roman"/>
          <w:lang w:val="sl-SI"/>
        </w:rPr>
        <w:t>bolezni živčevja (kot je vnetje očesnega živca in sindrom Guillain-Barré, ki lahko povzroči šibkost mišic, nenormalna občutenja, mravljinčenje v rokah in zgornjem delu telesa);</w:t>
      </w:r>
    </w:p>
    <w:p w14:paraId="233E473C" w14:textId="77777777" w:rsidR="00840AAB" w:rsidRDefault="00840AAB" w:rsidP="00840AAB">
      <w:pPr>
        <w:pStyle w:val="a3"/>
        <w:numPr>
          <w:ilvl w:val="0"/>
          <w:numId w:val="16"/>
        </w:numPr>
        <w:ind w:left="660" w:hanging="660"/>
        <w:rPr>
          <w:lang w:val="sl-SI"/>
        </w:rPr>
      </w:pPr>
      <w:r>
        <w:rPr>
          <w:rFonts w:eastAsia="Times New Roman"/>
          <w:lang w:val="sl-SI"/>
        </w:rPr>
        <w:t>srce preneha črpati kri;</w:t>
      </w:r>
    </w:p>
    <w:p w14:paraId="273F7B3A" w14:textId="77777777" w:rsidR="00840AAB" w:rsidRDefault="00840AAB" w:rsidP="00840AAB">
      <w:pPr>
        <w:pStyle w:val="a3"/>
        <w:numPr>
          <w:ilvl w:val="0"/>
          <w:numId w:val="16"/>
        </w:numPr>
        <w:ind w:left="660" w:hanging="660"/>
        <w:rPr>
          <w:lang w:val="sl-SI"/>
        </w:rPr>
      </w:pPr>
      <w:r>
        <w:rPr>
          <w:rFonts w:eastAsia="Times New Roman"/>
          <w:lang w:val="sl-SI"/>
        </w:rPr>
        <w:t>pljučna fibroza (brazgotinjenje pljuč);</w:t>
      </w:r>
    </w:p>
    <w:p w14:paraId="49671CE9" w14:textId="77777777" w:rsidR="00840AAB" w:rsidRDefault="00840AAB" w:rsidP="00840AAB">
      <w:pPr>
        <w:pStyle w:val="a3"/>
        <w:numPr>
          <w:ilvl w:val="0"/>
          <w:numId w:val="16"/>
        </w:numPr>
        <w:ind w:left="660" w:hanging="660"/>
        <w:rPr>
          <w:lang w:val="sl-SI"/>
        </w:rPr>
      </w:pPr>
      <w:r>
        <w:rPr>
          <w:rFonts w:eastAsia="Times New Roman"/>
          <w:lang w:val="sl-SI"/>
        </w:rPr>
        <w:t>perforacija črevesja (luknja v črevesju);</w:t>
      </w:r>
    </w:p>
    <w:p w14:paraId="13CD035E" w14:textId="77777777" w:rsidR="00840AAB" w:rsidRDefault="00840AAB" w:rsidP="00840AAB">
      <w:pPr>
        <w:pStyle w:val="a3"/>
        <w:numPr>
          <w:ilvl w:val="0"/>
          <w:numId w:val="16"/>
        </w:numPr>
        <w:ind w:left="660" w:hanging="660"/>
        <w:rPr>
          <w:lang w:val="sl-SI"/>
        </w:rPr>
      </w:pPr>
      <w:r>
        <w:rPr>
          <w:rFonts w:eastAsia="Times New Roman"/>
          <w:lang w:val="sl-SI"/>
        </w:rPr>
        <w:t>hepatitis;</w:t>
      </w:r>
    </w:p>
    <w:p w14:paraId="3B06F621" w14:textId="77777777" w:rsidR="00840AAB" w:rsidRDefault="00840AAB" w:rsidP="00840AAB">
      <w:pPr>
        <w:pStyle w:val="a3"/>
        <w:numPr>
          <w:ilvl w:val="0"/>
          <w:numId w:val="16"/>
        </w:numPr>
        <w:ind w:left="660" w:hanging="660"/>
        <w:rPr>
          <w:lang w:val="sl-SI"/>
        </w:rPr>
      </w:pPr>
      <w:r>
        <w:rPr>
          <w:rFonts w:eastAsia="Times New Roman"/>
          <w:lang w:val="sl-SI"/>
        </w:rPr>
        <w:t>ponovna aktivacija hepatitisa B;</w:t>
      </w:r>
    </w:p>
    <w:p w14:paraId="151D26AF" w14:textId="77777777" w:rsidR="00840AAB" w:rsidRDefault="00840AAB" w:rsidP="00840AAB">
      <w:pPr>
        <w:pStyle w:val="a3"/>
        <w:numPr>
          <w:ilvl w:val="0"/>
          <w:numId w:val="16"/>
        </w:numPr>
        <w:ind w:left="660" w:hanging="660"/>
        <w:rPr>
          <w:lang w:val="sl-SI"/>
        </w:rPr>
      </w:pPr>
      <w:r>
        <w:rPr>
          <w:rFonts w:eastAsia="Times New Roman"/>
          <w:lang w:val="sl-SI"/>
        </w:rPr>
        <w:t>avtoimunski hepatitis (vnetje jeter, ki ga povzroči lastni imunski sistem);</w:t>
      </w:r>
    </w:p>
    <w:p w14:paraId="1A61C11F" w14:textId="77777777" w:rsidR="00840AAB" w:rsidRDefault="00840AAB" w:rsidP="00840AAB">
      <w:pPr>
        <w:pStyle w:val="a3"/>
        <w:numPr>
          <w:ilvl w:val="0"/>
          <w:numId w:val="16"/>
        </w:numPr>
        <w:ind w:left="660" w:hanging="660"/>
        <w:rPr>
          <w:lang w:val="sl-SI"/>
        </w:rPr>
      </w:pPr>
      <w:r>
        <w:rPr>
          <w:rFonts w:eastAsia="Times New Roman"/>
          <w:lang w:val="sl-SI"/>
        </w:rPr>
        <w:t>kožni vaskulitis (vnetje krvnih žil v koži);</w:t>
      </w:r>
    </w:p>
    <w:p w14:paraId="333A88EC" w14:textId="77777777" w:rsidR="00840AAB" w:rsidRDefault="00840AAB" w:rsidP="00840AAB">
      <w:pPr>
        <w:pStyle w:val="a3"/>
        <w:numPr>
          <w:ilvl w:val="0"/>
          <w:numId w:val="16"/>
        </w:numPr>
        <w:ind w:left="660" w:hanging="660"/>
        <w:rPr>
          <w:lang w:val="sl-SI"/>
        </w:rPr>
      </w:pPr>
      <w:r>
        <w:rPr>
          <w:rFonts w:eastAsia="Times New Roman"/>
          <w:lang w:val="sl-SI"/>
        </w:rPr>
        <w:t>Stevens-Johnsonov sindrom (zgodnji znaki vključujejo slabo počutje, povišano telesno temperaturo, glavobol in izpuščaj);</w:t>
      </w:r>
    </w:p>
    <w:p w14:paraId="67A38439" w14:textId="77777777" w:rsidR="00840AAB" w:rsidRDefault="00840AAB" w:rsidP="00840AAB">
      <w:pPr>
        <w:pStyle w:val="a3"/>
        <w:numPr>
          <w:ilvl w:val="0"/>
          <w:numId w:val="16"/>
        </w:numPr>
        <w:ind w:left="660" w:hanging="660"/>
        <w:rPr>
          <w:lang w:val="sl-SI"/>
        </w:rPr>
      </w:pPr>
      <w:r>
        <w:rPr>
          <w:rFonts w:eastAsia="Times New Roman"/>
          <w:lang w:val="sl-SI"/>
        </w:rPr>
        <w:t>edem obraza (otekanje obraza), ki je povezano z alergijskimi reakcijami;</w:t>
      </w:r>
    </w:p>
    <w:p w14:paraId="07146B48" w14:textId="77777777" w:rsidR="00840AAB" w:rsidRDefault="00840AAB" w:rsidP="00840AAB">
      <w:pPr>
        <w:pStyle w:val="a3"/>
        <w:numPr>
          <w:ilvl w:val="0"/>
          <w:numId w:val="16"/>
        </w:numPr>
        <w:ind w:left="660" w:hanging="660"/>
        <w:rPr>
          <w:lang w:val="sl-SI"/>
        </w:rPr>
      </w:pPr>
      <w:r>
        <w:rPr>
          <w:rFonts w:eastAsia="Times New Roman"/>
          <w:lang w:val="sl-SI"/>
        </w:rPr>
        <w:t>multiformni eritem (vnetni kožni izpuščaj);</w:t>
      </w:r>
    </w:p>
    <w:p w14:paraId="35646433" w14:textId="77777777" w:rsidR="00840AAB" w:rsidRDefault="00840AAB" w:rsidP="00840AAB">
      <w:pPr>
        <w:pStyle w:val="a3"/>
        <w:numPr>
          <w:ilvl w:val="0"/>
          <w:numId w:val="16"/>
        </w:numPr>
        <w:ind w:left="660" w:hanging="660"/>
        <w:rPr>
          <w:lang w:val="sl-SI"/>
        </w:rPr>
      </w:pPr>
      <w:r>
        <w:rPr>
          <w:rFonts w:eastAsia="Times New Roman"/>
          <w:lang w:val="sl-SI"/>
        </w:rPr>
        <w:t>lupusu podoben sindrom;</w:t>
      </w:r>
    </w:p>
    <w:p w14:paraId="6764D776" w14:textId="77777777" w:rsidR="00840AAB" w:rsidRDefault="00840AAB" w:rsidP="00840AAB">
      <w:pPr>
        <w:pStyle w:val="a3"/>
        <w:numPr>
          <w:ilvl w:val="0"/>
          <w:numId w:val="16"/>
        </w:numPr>
        <w:ind w:left="660" w:hanging="660"/>
        <w:rPr>
          <w:lang w:val="sl-SI"/>
        </w:rPr>
      </w:pPr>
      <w:r>
        <w:rPr>
          <w:rFonts w:eastAsia="Times New Roman"/>
          <w:lang w:val="sl-SI"/>
        </w:rPr>
        <w:t>angioedem (lokalizirano otekanje kože);</w:t>
      </w:r>
    </w:p>
    <w:p w14:paraId="22AAA907" w14:textId="77777777" w:rsidR="00840AAB" w:rsidRDefault="00840AAB" w:rsidP="00840AAB">
      <w:pPr>
        <w:pStyle w:val="a3"/>
        <w:numPr>
          <w:ilvl w:val="0"/>
          <w:numId w:val="16"/>
        </w:numPr>
        <w:ind w:left="660" w:hanging="660"/>
        <w:rPr>
          <w:lang w:val="sl-SI"/>
        </w:rPr>
      </w:pPr>
      <w:r>
        <w:rPr>
          <w:rFonts w:eastAsia="Times New Roman"/>
          <w:lang w:val="sl-SI"/>
        </w:rPr>
        <w:t>lihenoidna reakcija kože (srbeč rdeče-vijolični kožni izpuščaj).</w:t>
      </w:r>
    </w:p>
    <w:p w14:paraId="08233F3F" w14:textId="77777777" w:rsidR="00840AAB" w:rsidRDefault="00840AAB" w:rsidP="00840AAB">
      <w:pPr>
        <w:spacing w:before="10" w:line="240" w:lineRule="exact"/>
        <w:rPr>
          <w:sz w:val="24"/>
          <w:szCs w:val="24"/>
          <w:lang w:val="sl-SI"/>
        </w:rPr>
      </w:pPr>
    </w:p>
    <w:p w14:paraId="4B3E1539" w14:textId="127510B0" w:rsidR="00840AAB" w:rsidRDefault="00840AAB" w:rsidP="00840AAB">
      <w:pPr>
        <w:pStyle w:val="a3"/>
        <w:rPr>
          <w:lang w:val="sl-SI"/>
        </w:rPr>
      </w:pPr>
      <w:r>
        <w:rPr>
          <w:rFonts w:eastAsia="Times New Roman"/>
          <w:b/>
          <w:bCs/>
          <w:lang w:val="sl-SI"/>
        </w:rPr>
        <w:t>Neznana</w:t>
      </w:r>
      <w:r>
        <w:rPr>
          <w:rFonts w:eastAsia="Times New Roman"/>
          <w:lang w:val="sl-SI"/>
        </w:rPr>
        <w:t xml:space="preserve"> </w:t>
      </w:r>
      <w:r w:rsidR="006238AA" w:rsidRPr="007C415F">
        <w:rPr>
          <w:rFonts w:eastAsia="Times New Roman"/>
          <w:b/>
          <w:bCs/>
          <w:lang w:val="sl-SI"/>
        </w:rPr>
        <w:t>pogostnost</w:t>
      </w:r>
      <w:r w:rsidR="006238AA">
        <w:rPr>
          <w:rFonts w:eastAsia="Times New Roman"/>
          <w:lang w:val="sl-SI"/>
        </w:rPr>
        <w:t xml:space="preserve"> </w:t>
      </w:r>
      <w:r>
        <w:rPr>
          <w:rFonts w:eastAsia="Times New Roman"/>
          <w:lang w:val="sl-SI"/>
        </w:rPr>
        <w:t>(pogostnosti iz razpoložljivih podatkov ni mogoče oceniti)</w:t>
      </w:r>
    </w:p>
    <w:p w14:paraId="27C11489" w14:textId="77777777" w:rsidR="00840AAB" w:rsidRDefault="00840AAB" w:rsidP="00840AAB">
      <w:pPr>
        <w:spacing w:before="14" w:line="240" w:lineRule="exact"/>
        <w:rPr>
          <w:sz w:val="24"/>
          <w:szCs w:val="24"/>
          <w:lang w:val="sl-SI"/>
        </w:rPr>
      </w:pPr>
    </w:p>
    <w:p w14:paraId="353D83AB" w14:textId="77777777" w:rsidR="00840AAB" w:rsidRDefault="00840AAB" w:rsidP="00840AAB">
      <w:pPr>
        <w:pStyle w:val="a3"/>
        <w:numPr>
          <w:ilvl w:val="0"/>
          <w:numId w:val="16"/>
        </w:numPr>
        <w:ind w:left="660" w:hanging="660"/>
        <w:rPr>
          <w:lang w:val="sl-SI"/>
        </w:rPr>
      </w:pPr>
      <w:r>
        <w:rPr>
          <w:rFonts w:eastAsia="Times New Roman"/>
          <w:lang w:val="sl-SI"/>
        </w:rPr>
        <w:t>jetrnovranični limfom celic T (redka oblika krvnega raka, ki je pogosto smrtna);</w:t>
      </w:r>
    </w:p>
    <w:p w14:paraId="13F0FDEE" w14:textId="77777777" w:rsidR="00840AAB" w:rsidRDefault="00840AAB" w:rsidP="00840AAB">
      <w:pPr>
        <w:pStyle w:val="a3"/>
        <w:numPr>
          <w:ilvl w:val="0"/>
          <w:numId w:val="16"/>
        </w:numPr>
        <w:ind w:left="660" w:hanging="660"/>
        <w:rPr>
          <w:lang w:val="sl-SI"/>
        </w:rPr>
      </w:pPr>
      <w:r>
        <w:rPr>
          <w:rFonts w:eastAsia="Times New Roman"/>
          <w:lang w:val="sl-SI"/>
        </w:rPr>
        <w:t>karcinom Merklovih celic (vrsta kožnega raka);</w:t>
      </w:r>
    </w:p>
    <w:p w14:paraId="1F4A5FE4" w14:textId="77777777" w:rsidR="00840AAB" w:rsidRDefault="00840AAB" w:rsidP="00840AAB">
      <w:pPr>
        <w:pStyle w:val="a3"/>
        <w:numPr>
          <w:ilvl w:val="0"/>
          <w:numId w:val="16"/>
        </w:numPr>
        <w:ind w:left="660" w:hanging="660"/>
        <w:rPr>
          <w:lang w:val="sl-SI"/>
        </w:rPr>
      </w:pPr>
      <w:r>
        <w:rPr>
          <w:rFonts w:eastAsia="Times New Roman"/>
          <w:lang w:val="sl-SI"/>
        </w:rPr>
        <w:t>Kaposijev sarkom, redek rak, povezan z okužbo s človeškim virusom herpesa 8. Kaposijev sarkom se najpogosteje pojavlja kot vijolične lezije na koži.</w:t>
      </w:r>
    </w:p>
    <w:p w14:paraId="034D6BCC" w14:textId="77777777" w:rsidR="00840AAB" w:rsidRDefault="00840AAB" w:rsidP="00840AAB">
      <w:pPr>
        <w:pStyle w:val="a3"/>
        <w:numPr>
          <w:ilvl w:val="0"/>
          <w:numId w:val="16"/>
        </w:numPr>
        <w:ind w:left="660" w:hanging="660"/>
        <w:rPr>
          <w:lang w:val="sl-SI"/>
        </w:rPr>
      </w:pPr>
      <w:r>
        <w:rPr>
          <w:rFonts w:eastAsia="Times New Roman"/>
          <w:lang w:val="sl-SI"/>
        </w:rPr>
        <w:t>odpoved jeter;</w:t>
      </w:r>
    </w:p>
    <w:p w14:paraId="4C2D2CE7" w14:textId="77777777" w:rsidR="00840AAB" w:rsidRPr="00DA5D63" w:rsidRDefault="00840AAB" w:rsidP="00840AAB">
      <w:pPr>
        <w:pStyle w:val="a3"/>
        <w:numPr>
          <w:ilvl w:val="0"/>
          <w:numId w:val="16"/>
        </w:numPr>
        <w:ind w:left="660" w:hanging="660"/>
        <w:rPr>
          <w:lang w:val="sl-SI"/>
        </w:rPr>
      </w:pPr>
      <w:r>
        <w:rPr>
          <w:rFonts w:eastAsia="Times New Roman"/>
          <w:lang w:val="sl-SI"/>
        </w:rPr>
        <w:t xml:space="preserve">poslabšanje stanja, imenovanega dermatomiozitis (pojavi se kot kožni izpuščaj, ki spremlja šibkost </w:t>
      </w:r>
      <w:r>
        <w:rPr>
          <w:rFonts w:eastAsia="Times New Roman"/>
          <w:lang w:val="sl-SI"/>
        </w:rPr>
        <w:lastRenderedPageBreak/>
        <w:t>mišic);</w:t>
      </w:r>
    </w:p>
    <w:p w14:paraId="7C2071CF" w14:textId="77777777" w:rsidR="00840AAB" w:rsidRDefault="00840AAB" w:rsidP="00840AAB">
      <w:pPr>
        <w:pStyle w:val="a3"/>
        <w:numPr>
          <w:ilvl w:val="0"/>
          <w:numId w:val="16"/>
        </w:numPr>
        <w:ind w:left="660" w:hanging="660"/>
        <w:rPr>
          <w:lang w:val="sl-SI"/>
        </w:rPr>
      </w:pPr>
      <w:r w:rsidRPr="00BB08AA">
        <w:rPr>
          <w:rFonts w:eastAsia="Times New Roman"/>
          <w:lang w:val="sl-SI"/>
        </w:rPr>
        <w:t>povečanje telesne mase (pri večini bolnikov je bilo povečanje telesne mase majhno)</w:t>
      </w:r>
    </w:p>
    <w:p w14:paraId="03BB0585" w14:textId="77777777" w:rsidR="00840AAB" w:rsidRDefault="00840AAB" w:rsidP="00840AAB">
      <w:pPr>
        <w:spacing w:before="14" w:line="240" w:lineRule="exact"/>
        <w:rPr>
          <w:sz w:val="24"/>
          <w:szCs w:val="24"/>
          <w:lang w:val="sl-SI"/>
        </w:rPr>
      </w:pPr>
    </w:p>
    <w:p w14:paraId="38CF6169" w14:textId="77777777" w:rsidR="00840AAB" w:rsidRDefault="00840AAB" w:rsidP="00840AAB">
      <w:pPr>
        <w:pStyle w:val="a3"/>
        <w:rPr>
          <w:lang w:val="sl-SI"/>
        </w:rPr>
      </w:pPr>
      <w:r>
        <w:rPr>
          <w:rFonts w:eastAsia="Times New Roman"/>
          <w:lang w:val="sl-SI"/>
        </w:rPr>
        <w:t>Nekateri neželeni učinki, ki so bili opaženi pri uporabi zdravila Yuflyma, nimajo simptomov in se jih lahko odkrije le pri krvnih testih. Med njimi so:</w:t>
      </w:r>
    </w:p>
    <w:p w14:paraId="06D8C56D" w14:textId="77777777" w:rsidR="00840AAB" w:rsidRDefault="00840AAB" w:rsidP="00840AAB">
      <w:pPr>
        <w:pStyle w:val="a3"/>
        <w:rPr>
          <w:lang w:val="sl-SI"/>
        </w:rPr>
      </w:pPr>
    </w:p>
    <w:p w14:paraId="451A96A0" w14:textId="77777777" w:rsidR="00840AAB" w:rsidRDefault="00840AAB" w:rsidP="00840AAB">
      <w:pPr>
        <w:pStyle w:val="a3"/>
        <w:rPr>
          <w:rFonts w:eastAsia="Times New Roman"/>
          <w:lang w:val="sl-SI"/>
        </w:rPr>
      </w:pPr>
      <w:r>
        <w:rPr>
          <w:rFonts w:eastAsia="Times New Roman"/>
          <w:b/>
          <w:bCs/>
          <w:spacing w:val="-1"/>
          <w:lang w:val="sl-SI"/>
        </w:rPr>
        <w:t xml:space="preserve">Zelo pogosti </w:t>
      </w:r>
      <w:r>
        <w:rPr>
          <w:rFonts w:eastAsia="Times New Roman"/>
          <w:spacing w:val="-1"/>
          <w:lang w:val="sl-SI"/>
        </w:rPr>
        <w:t>(pojavijo se lahko pri več kot 1 od 10 bolnikov)</w:t>
      </w:r>
    </w:p>
    <w:p w14:paraId="28116286" w14:textId="77777777" w:rsidR="00840AAB" w:rsidRDefault="00840AAB" w:rsidP="00840AAB">
      <w:pPr>
        <w:pStyle w:val="a3"/>
        <w:rPr>
          <w:lang w:val="sl-SI"/>
        </w:rPr>
      </w:pPr>
    </w:p>
    <w:p w14:paraId="3DFD85D2" w14:textId="77777777" w:rsidR="00840AAB" w:rsidRDefault="00840AAB" w:rsidP="00840AAB">
      <w:pPr>
        <w:pStyle w:val="a3"/>
        <w:numPr>
          <w:ilvl w:val="0"/>
          <w:numId w:val="16"/>
        </w:numPr>
        <w:ind w:left="660" w:hanging="660"/>
        <w:rPr>
          <w:lang w:val="sl-SI"/>
        </w:rPr>
      </w:pPr>
      <w:r>
        <w:rPr>
          <w:rFonts w:eastAsia="Times New Roman"/>
          <w:lang w:val="sl-SI"/>
        </w:rPr>
        <w:t>nizke krvne vrednosti belih krvnih celic;</w:t>
      </w:r>
    </w:p>
    <w:p w14:paraId="4203ACA5" w14:textId="77777777" w:rsidR="00840AAB" w:rsidRDefault="00840AAB" w:rsidP="00840AAB">
      <w:pPr>
        <w:pStyle w:val="a3"/>
        <w:numPr>
          <w:ilvl w:val="0"/>
          <w:numId w:val="16"/>
        </w:numPr>
        <w:ind w:left="660" w:hanging="660"/>
        <w:rPr>
          <w:lang w:val="sl-SI"/>
        </w:rPr>
      </w:pPr>
      <w:r>
        <w:rPr>
          <w:rFonts w:eastAsia="Times New Roman"/>
          <w:lang w:val="sl-SI"/>
        </w:rPr>
        <w:t>nizke krvne vrednosti rdečih krvnih celic;</w:t>
      </w:r>
    </w:p>
    <w:p w14:paraId="22030A3D" w14:textId="77777777" w:rsidR="00840AAB" w:rsidRDefault="00840AAB" w:rsidP="00840AAB">
      <w:pPr>
        <w:pStyle w:val="a3"/>
        <w:numPr>
          <w:ilvl w:val="0"/>
          <w:numId w:val="16"/>
        </w:numPr>
        <w:ind w:left="660" w:hanging="660"/>
        <w:rPr>
          <w:lang w:val="sl-SI"/>
        </w:rPr>
      </w:pPr>
      <w:r>
        <w:rPr>
          <w:rFonts w:eastAsia="Times New Roman"/>
          <w:lang w:val="sl-SI"/>
        </w:rPr>
        <w:t>zvečanje vrednosti lipidov v krvi;</w:t>
      </w:r>
    </w:p>
    <w:p w14:paraId="69AC86E5" w14:textId="77777777" w:rsidR="00840AAB" w:rsidRDefault="00840AAB" w:rsidP="00840AAB">
      <w:pPr>
        <w:pStyle w:val="a3"/>
        <w:numPr>
          <w:ilvl w:val="0"/>
          <w:numId w:val="16"/>
        </w:numPr>
        <w:ind w:left="660" w:hanging="660"/>
        <w:rPr>
          <w:lang w:val="sl-SI"/>
        </w:rPr>
      </w:pPr>
      <w:r>
        <w:rPr>
          <w:rFonts w:eastAsia="Times New Roman"/>
          <w:lang w:val="sl-SI"/>
        </w:rPr>
        <w:t>zvečanje vrednosti jetrnih encimov.</w:t>
      </w:r>
    </w:p>
    <w:p w14:paraId="1ABFFD00" w14:textId="77777777" w:rsidR="00840AAB" w:rsidRDefault="00840AAB" w:rsidP="00840AAB">
      <w:pPr>
        <w:spacing w:before="10" w:line="240" w:lineRule="exact"/>
        <w:rPr>
          <w:sz w:val="24"/>
          <w:szCs w:val="24"/>
          <w:lang w:val="sl-SI"/>
        </w:rPr>
      </w:pPr>
    </w:p>
    <w:p w14:paraId="52599B80" w14:textId="77777777" w:rsidR="00840AAB" w:rsidRDefault="00840AAB" w:rsidP="00840AAB">
      <w:pPr>
        <w:pStyle w:val="a3"/>
        <w:rPr>
          <w:lang w:val="sl-SI"/>
        </w:rPr>
      </w:pPr>
      <w:r>
        <w:rPr>
          <w:rFonts w:eastAsia="Times New Roman"/>
          <w:b/>
          <w:bCs/>
          <w:lang w:val="sl-SI"/>
        </w:rPr>
        <w:t xml:space="preserve">Pogosti: </w:t>
      </w:r>
      <w:r>
        <w:rPr>
          <w:rFonts w:eastAsia="Times New Roman"/>
          <w:lang w:val="sl-SI"/>
        </w:rPr>
        <w:t>(pojavijo se lahko pri največ 1 od 10 bolnikov)</w:t>
      </w:r>
    </w:p>
    <w:p w14:paraId="52AF67AC" w14:textId="77777777" w:rsidR="00840AAB" w:rsidRDefault="00840AAB" w:rsidP="00840AAB">
      <w:pPr>
        <w:spacing w:before="14" w:line="240" w:lineRule="exact"/>
        <w:rPr>
          <w:sz w:val="24"/>
          <w:szCs w:val="24"/>
          <w:lang w:val="sl-SI"/>
        </w:rPr>
      </w:pPr>
    </w:p>
    <w:p w14:paraId="2E291A16" w14:textId="77777777" w:rsidR="00840AAB" w:rsidRDefault="00840AAB" w:rsidP="00840AAB">
      <w:pPr>
        <w:pStyle w:val="a3"/>
        <w:numPr>
          <w:ilvl w:val="0"/>
          <w:numId w:val="16"/>
        </w:numPr>
        <w:ind w:left="660" w:hanging="660"/>
        <w:rPr>
          <w:lang w:val="sl-SI"/>
        </w:rPr>
      </w:pPr>
      <w:r>
        <w:rPr>
          <w:rFonts w:eastAsia="Times New Roman"/>
          <w:lang w:val="sl-SI"/>
        </w:rPr>
        <w:t>visoke krvne vrednosti belih krvnih celic;</w:t>
      </w:r>
    </w:p>
    <w:p w14:paraId="79DA8758" w14:textId="77777777" w:rsidR="00840AAB" w:rsidRDefault="00840AAB" w:rsidP="00840AAB">
      <w:pPr>
        <w:pStyle w:val="a3"/>
        <w:numPr>
          <w:ilvl w:val="0"/>
          <w:numId w:val="16"/>
        </w:numPr>
        <w:ind w:left="660" w:hanging="660"/>
        <w:rPr>
          <w:lang w:val="sl-SI"/>
        </w:rPr>
      </w:pPr>
      <w:r>
        <w:rPr>
          <w:rFonts w:eastAsia="Times New Roman"/>
          <w:lang w:val="sl-SI"/>
        </w:rPr>
        <w:t>nizke krvne vrednosti krvnih ploščic;</w:t>
      </w:r>
    </w:p>
    <w:p w14:paraId="4F873480" w14:textId="77777777" w:rsidR="00840AAB" w:rsidRDefault="00840AAB" w:rsidP="00840AAB">
      <w:pPr>
        <w:pStyle w:val="a3"/>
        <w:numPr>
          <w:ilvl w:val="0"/>
          <w:numId w:val="16"/>
        </w:numPr>
        <w:ind w:left="660" w:hanging="660"/>
        <w:rPr>
          <w:lang w:val="sl-SI"/>
        </w:rPr>
      </w:pPr>
      <w:r>
        <w:rPr>
          <w:rFonts w:eastAsia="Times New Roman"/>
          <w:lang w:val="sl-SI"/>
        </w:rPr>
        <w:t>zvečanje vrednosti sečne kisline v krvi;</w:t>
      </w:r>
    </w:p>
    <w:p w14:paraId="10F60452" w14:textId="77777777" w:rsidR="00840AAB" w:rsidRDefault="00840AAB" w:rsidP="00840AAB">
      <w:pPr>
        <w:pStyle w:val="a3"/>
        <w:numPr>
          <w:ilvl w:val="0"/>
          <w:numId w:val="16"/>
        </w:numPr>
        <w:ind w:left="660" w:hanging="660"/>
        <w:rPr>
          <w:lang w:val="sl-SI"/>
        </w:rPr>
      </w:pPr>
      <w:r>
        <w:rPr>
          <w:rFonts w:eastAsia="Times New Roman"/>
          <w:lang w:val="sl-SI"/>
        </w:rPr>
        <w:t>nenormalne izmerjene vrednosti natrija v krvi;</w:t>
      </w:r>
    </w:p>
    <w:p w14:paraId="49106DE5" w14:textId="77777777" w:rsidR="00840AAB" w:rsidRDefault="00840AAB" w:rsidP="00840AAB">
      <w:pPr>
        <w:pStyle w:val="a3"/>
        <w:numPr>
          <w:ilvl w:val="0"/>
          <w:numId w:val="16"/>
        </w:numPr>
        <w:ind w:left="660" w:hanging="660"/>
        <w:rPr>
          <w:lang w:val="sl-SI"/>
        </w:rPr>
      </w:pPr>
      <w:r>
        <w:rPr>
          <w:rFonts w:eastAsia="Times New Roman"/>
          <w:lang w:val="sl-SI"/>
        </w:rPr>
        <w:t>nizke krvne vrednosti kalcija;</w:t>
      </w:r>
    </w:p>
    <w:p w14:paraId="1654B533" w14:textId="77777777" w:rsidR="00840AAB" w:rsidRDefault="00840AAB" w:rsidP="00840AAB">
      <w:pPr>
        <w:pStyle w:val="a3"/>
        <w:numPr>
          <w:ilvl w:val="0"/>
          <w:numId w:val="16"/>
        </w:numPr>
        <w:ind w:left="660" w:hanging="660"/>
        <w:rPr>
          <w:lang w:val="sl-SI"/>
        </w:rPr>
      </w:pPr>
      <w:r>
        <w:rPr>
          <w:rFonts w:eastAsia="Times New Roman"/>
          <w:lang w:val="sl-SI"/>
        </w:rPr>
        <w:t>nizke krvne vrednosti fosfata;</w:t>
      </w:r>
    </w:p>
    <w:p w14:paraId="4AB8122F" w14:textId="77777777" w:rsidR="00840AAB" w:rsidRDefault="00840AAB" w:rsidP="00840AAB">
      <w:pPr>
        <w:pStyle w:val="a3"/>
        <w:numPr>
          <w:ilvl w:val="0"/>
          <w:numId w:val="16"/>
        </w:numPr>
        <w:ind w:left="660" w:hanging="660"/>
        <w:rPr>
          <w:lang w:val="sl-SI"/>
        </w:rPr>
      </w:pPr>
      <w:r>
        <w:rPr>
          <w:rFonts w:eastAsia="Times New Roman"/>
          <w:lang w:val="sl-SI"/>
        </w:rPr>
        <w:t>visok krvni sladkor;</w:t>
      </w:r>
    </w:p>
    <w:p w14:paraId="129E78CF" w14:textId="77777777" w:rsidR="00840AAB" w:rsidRDefault="00840AAB" w:rsidP="00840AAB">
      <w:pPr>
        <w:pStyle w:val="a3"/>
        <w:numPr>
          <w:ilvl w:val="0"/>
          <w:numId w:val="16"/>
        </w:numPr>
        <w:ind w:left="660" w:hanging="660"/>
        <w:rPr>
          <w:lang w:val="sl-SI"/>
        </w:rPr>
      </w:pPr>
      <w:r>
        <w:rPr>
          <w:rFonts w:eastAsia="Times New Roman"/>
          <w:lang w:val="sl-SI"/>
        </w:rPr>
        <w:t>visoke krvne vrednosti laktat dehidrogenaze;</w:t>
      </w:r>
    </w:p>
    <w:p w14:paraId="648D479B" w14:textId="77777777" w:rsidR="00840AAB" w:rsidRDefault="00840AAB" w:rsidP="00840AAB">
      <w:pPr>
        <w:pStyle w:val="a3"/>
        <w:numPr>
          <w:ilvl w:val="0"/>
          <w:numId w:val="16"/>
        </w:numPr>
        <w:ind w:left="660" w:hanging="660"/>
        <w:rPr>
          <w:lang w:val="sl-SI"/>
        </w:rPr>
      </w:pPr>
      <w:r>
        <w:rPr>
          <w:rFonts w:eastAsia="Times New Roman"/>
          <w:lang w:val="sl-SI"/>
        </w:rPr>
        <w:t>prisotnost avtoprotiteles v krvi;</w:t>
      </w:r>
    </w:p>
    <w:p w14:paraId="1B00FE2C" w14:textId="77777777" w:rsidR="00840AAB" w:rsidRDefault="00840AAB" w:rsidP="00840AAB">
      <w:pPr>
        <w:pStyle w:val="a3"/>
        <w:numPr>
          <w:ilvl w:val="0"/>
          <w:numId w:val="16"/>
        </w:numPr>
        <w:ind w:left="660" w:hanging="660"/>
        <w:rPr>
          <w:lang w:val="sl-SI"/>
        </w:rPr>
      </w:pPr>
      <w:r>
        <w:rPr>
          <w:rFonts w:eastAsia="Times New Roman"/>
          <w:lang w:val="sl-SI"/>
        </w:rPr>
        <w:t>nizke krvne vrednosti kalija.</w:t>
      </w:r>
    </w:p>
    <w:p w14:paraId="102390F0" w14:textId="77777777" w:rsidR="00840AAB" w:rsidRDefault="00840AAB" w:rsidP="00840AAB">
      <w:pPr>
        <w:spacing w:before="13" w:line="240" w:lineRule="exact"/>
        <w:rPr>
          <w:sz w:val="24"/>
          <w:szCs w:val="24"/>
          <w:lang w:val="sl-SI"/>
        </w:rPr>
      </w:pPr>
    </w:p>
    <w:p w14:paraId="3F7C0E72" w14:textId="77777777" w:rsidR="00840AAB" w:rsidRDefault="00840AAB" w:rsidP="00840AAB">
      <w:pPr>
        <w:pStyle w:val="a3"/>
        <w:rPr>
          <w:lang w:val="sl-SI"/>
        </w:rPr>
      </w:pPr>
      <w:r>
        <w:rPr>
          <w:rFonts w:eastAsia="Times New Roman"/>
          <w:b/>
          <w:bCs/>
          <w:lang w:val="sl-SI"/>
        </w:rPr>
        <w:t xml:space="preserve">Občasni </w:t>
      </w:r>
      <w:r>
        <w:rPr>
          <w:rFonts w:eastAsia="Times New Roman"/>
          <w:lang w:val="sl-SI"/>
        </w:rPr>
        <w:t>(pojavijo se lahko pri največ 1 od 100 bolnikov)</w:t>
      </w:r>
    </w:p>
    <w:p w14:paraId="1542FB4A" w14:textId="77777777" w:rsidR="00840AAB" w:rsidRDefault="00840AAB" w:rsidP="00840AAB">
      <w:pPr>
        <w:spacing w:before="12" w:line="240" w:lineRule="exact"/>
        <w:rPr>
          <w:sz w:val="24"/>
          <w:szCs w:val="24"/>
          <w:lang w:val="sl-SI"/>
        </w:rPr>
      </w:pPr>
    </w:p>
    <w:p w14:paraId="45AF117C" w14:textId="77777777" w:rsidR="00840AAB" w:rsidRDefault="00840AAB" w:rsidP="00840AAB">
      <w:pPr>
        <w:pStyle w:val="a3"/>
        <w:numPr>
          <w:ilvl w:val="0"/>
          <w:numId w:val="16"/>
        </w:numPr>
        <w:ind w:left="660" w:hanging="660"/>
        <w:rPr>
          <w:lang w:val="sl-SI"/>
        </w:rPr>
      </w:pPr>
      <w:r>
        <w:rPr>
          <w:rFonts w:eastAsia="Times New Roman"/>
          <w:lang w:val="sl-SI"/>
        </w:rPr>
        <w:t>povišane vrednosti bilirubina (jetrne krvne preiskave).</w:t>
      </w:r>
    </w:p>
    <w:p w14:paraId="683EA673" w14:textId="77777777" w:rsidR="00840AAB" w:rsidRDefault="00840AAB" w:rsidP="00840AAB">
      <w:pPr>
        <w:spacing w:before="13" w:line="240" w:lineRule="exact"/>
        <w:rPr>
          <w:sz w:val="24"/>
          <w:szCs w:val="24"/>
          <w:lang w:val="sl-SI"/>
        </w:rPr>
      </w:pPr>
    </w:p>
    <w:p w14:paraId="468472E7" w14:textId="77777777" w:rsidR="00840AAB" w:rsidRDefault="00840AAB" w:rsidP="00840AAB">
      <w:pPr>
        <w:pStyle w:val="a3"/>
        <w:rPr>
          <w:lang w:val="sl-SI"/>
        </w:rPr>
      </w:pPr>
      <w:r>
        <w:rPr>
          <w:rFonts w:eastAsia="Times New Roman"/>
          <w:b/>
          <w:bCs/>
          <w:lang w:val="sl-SI"/>
        </w:rPr>
        <w:t xml:space="preserve">Redki </w:t>
      </w:r>
      <w:r>
        <w:rPr>
          <w:rFonts w:eastAsia="Times New Roman"/>
          <w:lang w:val="sl-SI"/>
        </w:rPr>
        <w:t>(pojavijo se lahko pri največ 1 od 1.000 bolnikov)</w:t>
      </w:r>
    </w:p>
    <w:p w14:paraId="6238DBB0" w14:textId="77777777" w:rsidR="00840AAB" w:rsidRDefault="00840AAB" w:rsidP="00840AAB">
      <w:pPr>
        <w:spacing w:before="14" w:line="240" w:lineRule="exact"/>
        <w:rPr>
          <w:sz w:val="24"/>
          <w:szCs w:val="24"/>
          <w:lang w:val="sl-SI"/>
        </w:rPr>
      </w:pPr>
    </w:p>
    <w:p w14:paraId="3A50CBA0" w14:textId="77777777" w:rsidR="00840AAB" w:rsidRDefault="00840AAB" w:rsidP="00840AAB">
      <w:pPr>
        <w:pStyle w:val="a3"/>
        <w:numPr>
          <w:ilvl w:val="0"/>
          <w:numId w:val="16"/>
        </w:numPr>
        <w:ind w:left="660" w:hanging="660"/>
        <w:rPr>
          <w:lang w:val="sl-SI"/>
        </w:rPr>
      </w:pPr>
      <w:r>
        <w:rPr>
          <w:rFonts w:eastAsia="Times New Roman"/>
          <w:lang w:val="sl-SI"/>
        </w:rPr>
        <w:t>nizke krvne vrednosti števila belih krvnih celic, rdečih krvnih celic in krvnih ploščic,</w:t>
      </w:r>
    </w:p>
    <w:p w14:paraId="48A0870D" w14:textId="77777777" w:rsidR="00840AAB" w:rsidRDefault="00840AAB" w:rsidP="00840AAB">
      <w:pPr>
        <w:spacing w:before="15" w:line="240" w:lineRule="exact"/>
        <w:rPr>
          <w:sz w:val="24"/>
          <w:szCs w:val="24"/>
          <w:lang w:val="sl-SI"/>
        </w:rPr>
      </w:pPr>
    </w:p>
    <w:p w14:paraId="5169D3F7" w14:textId="77777777" w:rsidR="00840AAB" w:rsidRDefault="00840AAB" w:rsidP="00840AAB">
      <w:pPr>
        <w:pStyle w:val="a3"/>
        <w:rPr>
          <w:b/>
          <w:lang w:val="sl-SI"/>
        </w:rPr>
      </w:pPr>
      <w:r>
        <w:rPr>
          <w:rFonts w:eastAsia="Times New Roman"/>
          <w:b/>
          <w:bCs/>
          <w:lang w:val="sl-SI"/>
        </w:rPr>
        <w:t>Poročanje o neželenih učinkih</w:t>
      </w:r>
    </w:p>
    <w:p w14:paraId="63F58731" w14:textId="77777777" w:rsidR="00840AAB" w:rsidRDefault="00840AAB" w:rsidP="00840AAB">
      <w:pPr>
        <w:pStyle w:val="a3"/>
        <w:rPr>
          <w:sz w:val="10"/>
          <w:szCs w:val="10"/>
          <w:lang w:val="sl-SI"/>
        </w:rPr>
      </w:pPr>
    </w:p>
    <w:p w14:paraId="5D50422F" w14:textId="77777777" w:rsidR="00840AAB" w:rsidRDefault="00840AAB" w:rsidP="00840AAB">
      <w:pPr>
        <w:pStyle w:val="a3"/>
        <w:rPr>
          <w:lang w:val="sl-SI"/>
        </w:rPr>
      </w:pPr>
      <w:r>
        <w:rPr>
          <w:rFonts w:eastAsia="Times New Roman"/>
          <w:lang w:val="sl-SI"/>
        </w:rPr>
        <w:t xml:space="preserve">Če opazite katerega koli izmed neželenih učinkov, se posvetujte z zdravnikom ali farmacevtom. </w:t>
      </w:r>
      <w:r>
        <w:rPr>
          <w:lang w:val="sl-SI"/>
        </w:rPr>
        <w:t xml:space="preserve">Posvetujte se tudi, če opazite neželene učinke, ki niso navedeni v tem navodilu. O neželenih učinkih lahko poročate tudi neposredno </w:t>
      </w:r>
      <w:r w:rsidRPr="008E1817">
        <w:rPr>
          <w:highlight w:val="lightGray"/>
          <w:lang w:val="sl-SI"/>
        </w:rPr>
        <w:t xml:space="preserve">na nacionalni center za poročanje, ki je naveden v </w:t>
      </w:r>
      <w:hyperlink r:id="rId135" w:history="1">
        <w:r w:rsidRPr="008E1817">
          <w:rPr>
            <w:rStyle w:val="Hiperpovezava1"/>
            <w:highlight w:val="lightGray"/>
            <w:lang w:val="sl-SI"/>
          </w:rPr>
          <w:t>Prilogi V</w:t>
        </w:r>
      </w:hyperlink>
      <w:r>
        <w:rPr>
          <w:rFonts w:eastAsia="Times New Roman"/>
          <w:lang w:val="sl-SI"/>
        </w:rPr>
        <w:t>. S tem, ko poročate o neželenih učinkih, lahko prispevate k zagotovitvi več informacij o varnosti tega zdravila.</w:t>
      </w:r>
    </w:p>
    <w:p w14:paraId="6B07E7AD" w14:textId="77777777" w:rsidR="00840AAB" w:rsidRDefault="00840AAB" w:rsidP="00840AAB">
      <w:pPr>
        <w:spacing w:line="200" w:lineRule="exact"/>
        <w:rPr>
          <w:sz w:val="20"/>
          <w:szCs w:val="20"/>
          <w:lang w:val="sl-SI"/>
        </w:rPr>
      </w:pPr>
    </w:p>
    <w:p w14:paraId="294FD98D" w14:textId="77777777" w:rsidR="00840AAB" w:rsidRDefault="00840AAB" w:rsidP="0030421B">
      <w:pPr>
        <w:pStyle w:val="a4"/>
        <w:numPr>
          <w:ilvl w:val="0"/>
          <w:numId w:val="133"/>
        </w:numPr>
        <w:spacing w:line="240" w:lineRule="exact"/>
        <w:ind w:left="357" w:hanging="357"/>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Shranjevanje zdravila Yuflyma</w:t>
      </w:r>
    </w:p>
    <w:p w14:paraId="7759B9E1" w14:textId="77777777" w:rsidR="00840AAB" w:rsidRDefault="00840AAB" w:rsidP="00840AAB">
      <w:pPr>
        <w:pStyle w:val="a3"/>
        <w:rPr>
          <w:lang w:val="sl-SI"/>
        </w:rPr>
      </w:pPr>
    </w:p>
    <w:p w14:paraId="483CEDC4" w14:textId="77777777" w:rsidR="00840AAB" w:rsidRDefault="00840AAB" w:rsidP="00840AAB">
      <w:pPr>
        <w:pStyle w:val="a3"/>
        <w:rPr>
          <w:lang w:val="sl-SI"/>
        </w:rPr>
      </w:pPr>
      <w:r>
        <w:rPr>
          <w:rFonts w:eastAsia="Times New Roman"/>
          <w:lang w:val="sl-SI"/>
        </w:rPr>
        <w:t>Zdravilo shranjujte nedosegljivo otrokom!</w:t>
      </w:r>
    </w:p>
    <w:p w14:paraId="647A49F3" w14:textId="77777777" w:rsidR="00840AAB" w:rsidRDefault="00840AAB" w:rsidP="00840AAB">
      <w:pPr>
        <w:pStyle w:val="a3"/>
        <w:rPr>
          <w:lang w:val="sl-SI"/>
        </w:rPr>
      </w:pPr>
    </w:p>
    <w:p w14:paraId="4273CFA3" w14:textId="77777777" w:rsidR="00840AAB" w:rsidRDefault="00840AAB" w:rsidP="00840AAB">
      <w:pPr>
        <w:pStyle w:val="a3"/>
        <w:rPr>
          <w:lang w:val="sl-SI"/>
        </w:rPr>
      </w:pPr>
      <w:r>
        <w:rPr>
          <w:rFonts w:eastAsia="Times New Roman"/>
          <w:lang w:val="sl-SI"/>
        </w:rPr>
        <w:t>Tega zdravila ne smete uporabljati po datumu izteka roka uporabnosti, ki je naveden na nalepki/škatli poleg oznake EXP.</w:t>
      </w:r>
    </w:p>
    <w:p w14:paraId="6FF16A51" w14:textId="77777777" w:rsidR="00840AAB" w:rsidRDefault="00840AAB" w:rsidP="00840AAB">
      <w:pPr>
        <w:pStyle w:val="a3"/>
        <w:rPr>
          <w:lang w:val="sl-SI"/>
        </w:rPr>
      </w:pPr>
    </w:p>
    <w:p w14:paraId="1B8897EB" w14:textId="77777777" w:rsidR="00840AAB" w:rsidRDefault="00840AAB" w:rsidP="00840AAB">
      <w:pPr>
        <w:pStyle w:val="a3"/>
        <w:rPr>
          <w:lang w:val="sl-SI"/>
        </w:rPr>
      </w:pPr>
      <w:r>
        <w:rPr>
          <w:rFonts w:eastAsia="Times New Roman"/>
          <w:lang w:val="sl-SI"/>
        </w:rPr>
        <w:t>Shranjujte v hladilniku (2 °C–8 °C). Ne zamrzujte.</w:t>
      </w:r>
    </w:p>
    <w:p w14:paraId="6238DAD3" w14:textId="77777777" w:rsidR="00840AAB" w:rsidRDefault="00840AAB" w:rsidP="00840AAB">
      <w:pPr>
        <w:pStyle w:val="a3"/>
        <w:rPr>
          <w:lang w:val="sl-SI"/>
        </w:rPr>
      </w:pPr>
    </w:p>
    <w:p w14:paraId="3A2FC34B" w14:textId="77777777" w:rsidR="00840AAB" w:rsidRDefault="00840AAB" w:rsidP="00840AAB">
      <w:pPr>
        <w:pStyle w:val="a3"/>
        <w:rPr>
          <w:lang w:val="sl-SI"/>
        </w:rPr>
      </w:pPr>
      <w:r>
        <w:rPr>
          <w:rFonts w:eastAsia="Times New Roman"/>
          <w:lang w:val="sl-SI"/>
        </w:rPr>
        <w:t>Napolnjen injekcijski peresnik shranjujte v zunanji ovojnini za zagotovitev zaščite pred svetlobo.</w:t>
      </w:r>
    </w:p>
    <w:p w14:paraId="5563EAA3" w14:textId="77777777" w:rsidR="00840AAB" w:rsidRDefault="00840AAB" w:rsidP="00840AAB">
      <w:pPr>
        <w:spacing w:before="13" w:line="240" w:lineRule="exact"/>
        <w:rPr>
          <w:sz w:val="24"/>
          <w:szCs w:val="24"/>
          <w:lang w:val="sl-SI"/>
        </w:rPr>
      </w:pPr>
    </w:p>
    <w:p w14:paraId="752D599C" w14:textId="77777777" w:rsidR="00840AAB" w:rsidRDefault="00840AAB" w:rsidP="00840AAB">
      <w:pPr>
        <w:pStyle w:val="a3"/>
        <w:rPr>
          <w:lang w:val="sl-SI"/>
        </w:rPr>
      </w:pPr>
      <w:r>
        <w:rPr>
          <w:rFonts w:eastAsia="Times New Roman"/>
          <w:lang w:val="sl-SI"/>
        </w:rPr>
        <w:t>Druga možnost shranjevanja:</w:t>
      </w:r>
    </w:p>
    <w:p w14:paraId="67D3B32D" w14:textId="77777777" w:rsidR="00840AAB" w:rsidRDefault="00840AAB" w:rsidP="00840AAB">
      <w:pPr>
        <w:spacing w:before="14" w:line="240" w:lineRule="exact"/>
        <w:rPr>
          <w:sz w:val="24"/>
          <w:szCs w:val="24"/>
          <w:lang w:val="sl-SI"/>
        </w:rPr>
      </w:pPr>
    </w:p>
    <w:p w14:paraId="3F8DA8C7" w14:textId="7FECD012" w:rsidR="00840AAB" w:rsidRDefault="00840AAB" w:rsidP="00840AAB">
      <w:pPr>
        <w:pStyle w:val="a3"/>
        <w:rPr>
          <w:lang w:val="sl-SI"/>
        </w:rPr>
      </w:pPr>
      <w:r>
        <w:rPr>
          <w:rFonts w:eastAsia="Times New Roman"/>
          <w:lang w:val="sl-SI"/>
        </w:rPr>
        <w:lastRenderedPageBreak/>
        <w:t xml:space="preserve">Če je treba (na primer kadar potujete), lahko posamezen napolnjen injekcijski peresnik zdravila Yuflyma shranjujete pri sobni temperaturi (do 25 °C) največ </w:t>
      </w:r>
      <w:r w:rsidR="005D729C">
        <w:rPr>
          <w:rFonts w:eastAsia="Times New Roman"/>
          <w:lang w:val="sl-SI"/>
        </w:rPr>
        <w:t xml:space="preserve">31 </w:t>
      </w:r>
      <w:r>
        <w:rPr>
          <w:rFonts w:eastAsia="Times New Roman"/>
          <w:lang w:val="sl-SI"/>
        </w:rPr>
        <w:t xml:space="preserve">dni – zagotovite, da bo zaščiten pred svetlobo. Ko injekcijski peresnik vzamete iz hladilnika za shranjevanje pri sobni temperaturi, ga morate </w:t>
      </w:r>
      <w:r>
        <w:rPr>
          <w:rFonts w:eastAsia="Times New Roman"/>
          <w:b/>
          <w:bCs/>
          <w:lang w:val="sl-SI"/>
        </w:rPr>
        <w:t xml:space="preserve">porabiti v </w:t>
      </w:r>
      <w:r w:rsidR="005D729C">
        <w:rPr>
          <w:rFonts w:eastAsia="Times New Roman"/>
          <w:b/>
          <w:bCs/>
          <w:lang w:val="sl-SI"/>
        </w:rPr>
        <w:t>31 </w:t>
      </w:r>
      <w:r>
        <w:rPr>
          <w:rFonts w:eastAsia="Times New Roman"/>
          <w:b/>
          <w:bCs/>
          <w:lang w:val="sl-SI"/>
        </w:rPr>
        <w:t>dneh ali zavreči</w:t>
      </w:r>
      <w:r>
        <w:rPr>
          <w:rFonts w:eastAsia="Times New Roman"/>
          <w:lang w:val="sl-SI"/>
        </w:rPr>
        <w:t>, tudi če ga vrnete v hladilnik.</w:t>
      </w:r>
    </w:p>
    <w:p w14:paraId="3890B58E" w14:textId="77777777" w:rsidR="00840AAB" w:rsidRDefault="00840AAB" w:rsidP="00840AAB">
      <w:pPr>
        <w:spacing w:before="17" w:line="240" w:lineRule="exact"/>
        <w:rPr>
          <w:sz w:val="24"/>
          <w:szCs w:val="24"/>
          <w:lang w:val="sl-SI"/>
        </w:rPr>
      </w:pPr>
    </w:p>
    <w:p w14:paraId="2291EB91" w14:textId="77777777" w:rsidR="00840AAB" w:rsidRDefault="00840AAB" w:rsidP="00840AAB">
      <w:pPr>
        <w:pStyle w:val="a3"/>
        <w:rPr>
          <w:lang w:val="sl-SI"/>
        </w:rPr>
      </w:pPr>
      <w:r>
        <w:rPr>
          <w:rFonts w:eastAsia="Times New Roman"/>
          <w:lang w:val="sl-SI"/>
        </w:rPr>
        <w:t>Zapisati si morate datum, ko ste injekcijski peresnik vzeli iz hladilnika, in datum, po katerem ga morate zavreči.</w:t>
      </w:r>
    </w:p>
    <w:p w14:paraId="5306F17E" w14:textId="77777777" w:rsidR="00840AAB" w:rsidRDefault="00840AAB" w:rsidP="00840AAB">
      <w:pPr>
        <w:spacing w:before="14" w:line="240" w:lineRule="exact"/>
        <w:rPr>
          <w:sz w:val="24"/>
          <w:szCs w:val="24"/>
          <w:lang w:val="sl-SI"/>
        </w:rPr>
      </w:pPr>
    </w:p>
    <w:p w14:paraId="4C6B441E" w14:textId="77777777" w:rsidR="00840AAB" w:rsidRDefault="00840AAB" w:rsidP="00840AAB">
      <w:pPr>
        <w:pStyle w:val="a3"/>
        <w:rPr>
          <w:lang w:val="sl-SI"/>
        </w:rPr>
      </w:pPr>
      <w:r>
        <w:rPr>
          <w:rFonts w:eastAsia="Times New Roman"/>
          <w:lang w:val="sl-SI"/>
        </w:rPr>
        <w:t>Zdravila ne smete odvreči v odpadne vode ali med gospodinjske odpadke. O načinu odstranjevanja zdravila, ki ga ne uporabljate več, se posvetujte z zdravnikom ali farmacevtom. Taki ukrepi pomagajo varovati okolje.</w:t>
      </w:r>
    </w:p>
    <w:p w14:paraId="4A210877" w14:textId="77777777" w:rsidR="00840AAB" w:rsidRDefault="00840AAB" w:rsidP="00840AAB">
      <w:pPr>
        <w:spacing w:before="7" w:line="100" w:lineRule="exact"/>
        <w:rPr>
          <w:sz w:val="10"/>
          <w:szCs w:val="10"/>
          <w:lang w:val="sl-SI"/>
        </w:rPr>
      </w:pPr>
    </w:p>
    <w:p w14:paraId="704EA7B3" w14:textId="77777777" w:rsidR="00840AAB" w:rsidRDefault="00840AAB" w:rsidP="00840AAB">
      <w:pPr>
        <w:spacing w:line="200" w:lineRule="exact"/>
        <w:rPr>
          <w:sz w:val="20"/>
          <w:szCs w:val="20"/>
          <w:lang w:val="sl-SI"/>
        </w:rPr>
      </w:pPr>
    </w:p>
    <w:p w14:paraId="14848281" w14:textId="77777777" w:rsidR="00840AAB" w:rsidRDefault="00840AAB" w:rsidP="00840AAB">
      <w:pPr>
        <w:spacing w:line="200" w:lineRule="exact"/>
        <w:rPr>
          <w:sz w:val="20"/>
          <w:szCs w:val="20"/>
          <w:lang w:val="sl-SI"/>
        </w:rPr>
      </w:pPr>
    </w:p>
    <w:p w14:paraId="3A8F47BC" w14:textId="77777777" w:rsidR="00840AAB" w:rsidRDefault="00840AAB" w:rsidP="0030421B">
      <w:pPr>
        <w:pStyle w:val="a4"/>
        <w:numPr>
          <w:ilvl w:val="0"/>
          <w:numId w:val="133"/>
        </w:numPr>
        <w:spacing w:line="240" w:lineRule="exact"/>
        <w:ind w:left="357" w:hanging="357"/>
        <w:rPr>
          <w:rFonts w:ascii="Times New Roman" w:eastAsia="Times New Roman" w:hAnsi="Times New Roman" w:cs="Times New Roman"/>
          <w:b/>
          <w:noProof/>
          <w:lang w:val="sl-SI"/>
        </w:rPr>
      </w:pPr>
      <w:r>
        <w:rPr>
          <w:rFonts w:ascii="Times New Roman" w:eastAsia="Times New Roman" w:hAnsi="Times New Roman" w:cs="Times New Roman"/>
          <w:b/>
          <w:bCs/>
          <w:noProof/>
          <w:lang w:val="sl-SI"/>
        </w:rPr>
        <w:t>Vsebina pakiranja in dodatne informacije</w:t>
      </w:r>
    </w:p>
    <w:p w14:paraId="25BFCBF8" w14:textId="77777777" w:rsidR="00840AAB" w:rsidRDefault="00840AAB" w:rsidP="00840AAB">
      <w:pPr>
        <w:widowControl/>
        <w:tabs>
          <w:tab w:val="left" w:pos="567"/>
        </w:tabs>
        <w:spacing w:line="260" w:lineRule="exact"/>
        <w:ind w:left="360"/>
        <w:rPr>
          <w:rFonts w:ascii="Times New Roman" w:eastAsia="Times New Roman" w:hAnsi="Times New Roman" w:cs="Times New Roman"/>
          <w:b/>
          <w:noProof/>
          <w:lang w:val="sl-SI"/>
        </w:rPr>
      </w:pPr>
    </w:p>
    <w:p w14:paraId="4A00A64F" w14:textId="77777777" w:rsidR="00840AAB" w:rsidRDefault="00840AAB" w:rsidP="00840AAB">
      <w:pPr>
        <w:pStyle w:val="a3"/>
        <w:rPr>
          <w:b/>
          <w:lang w:val="sl-SI"/>
        </w:rPr>
      </w:pPr>
      <w:r>
        <w:rPr>
          <w:rFonts w:eastAsia="Times New Roman"/>
          <w:b/>
          <w:bCs/>
          <w:lang w:val="sl-SI"/>
        </w:rPr>
        <w:t>Kaj vsebuje zdravilo Yuflyma</w:t>
      </w:r>
    </w:p>
    <w:p w14:paraId="15F90DE7" w14:textId="77777777" w:rsidR="00840AAB" w:rsidRDefault="00840AAB" w:rsidP="00840AAB">
      <w:pPr>
        <w:pStyle w:val="a3"/>
        <w:rPr>
          <w:b/>
          <w:bCs/>
          <w:lang w:val="sl-SI"/>
        </w:rPr>
      </w:pPr>
    </w:p>
    <w:p w14:paraId="0E970B4C" w14:textId="77777777" w:rsidR="00840AAB" w:rsidRDefault="00840AAB" w:rsidP="00840AAB">
      <w:pPr>
        <w:pStyle w:val="a3"/>
        <w:rPr>
          <w:lang w:val="sl-SI"/>
        </w:rPr>
      </w:pPr>
      <w:r>
        <w:rPr>
          <w:rFonts w:eastAsia="Times New Roman"/>
          <w:lang w:val="sl-SI"/>
        </w:rPr>
        <w:t>Učinkovina je adalimumab.</w:t>
      </w:r>
    </w:p>
    <w:p w14:paraId="539914CF" w14:textId="77777777" w:rsidR="00840AAB" w:rsidRDefault="00840AAB" w:rsidP="00840AAB">
      <w:pPr>
        <w:pStyle w:val="a3"/>
        <w:rPr>
          <w:lang w:val="sl-SI"/>
        </w:rPr>
      </w:pPr>
      <w:r>
        <w:rPr>
          <w:rFonts w:eastAsia="Times New Roman"/>
          <w:lang w:val="sl-SI"/>
        </w:rPr>
        <w:t>Druge sestavine zdravila so ocetna kislina, natrijev acetat trihidrat, glicin, polisorbat 80 in voda za injekcije.</w:t>
      </w:r>
    </w:p>
    <w:p w14:paraId="32C03DDD" w14:textId="77777777" w:rsidR="00840AAB" w:rsidRDefault="00840AAB" w:rsidP="00840AAB">
      <w:pPr>
        <w:pStyle w:val="a3"/>
        <w:rPr>
          <w:lang w:val="sl-SI"/>
        </w:rPr>
      </w:pPr>
    </w:p>
    <w:p w14:paraId="14121A02" w14:textId="77777777" w:rsidR="00840AAB" w:rsidRDefault="00840AAB" w:rsidP="00840AAB">
      <w:pPr>
        <w:pStyle w:val="a3"/>
        <w:rPr>
          <w:b/>
          <w:bCs/>
          <w:lang w:val="sl-SI"/>
        </w:rPr>
      </w:pPr>
      <w:r>
        <w:rPr>
          <w:rFonts w:eastAsia="Times New Roman"/>
          <w:b/>
          <w:bCs/>
          <w:lang w:val="sl-SI"/>
        </w:rPr>
        <w:t>Izgled zdravila Yuflyma napolnjen injekcijski peresnik in vsebina pakiranja</w:t>
      </w:r>
    </w:p>
    <w:p w14:paraId="157C8696" w14:textId="77777777" w:rsidR="00840AAB" w:rsidRDefault="00840AAB" w:rsidP="00840AAB">
      <w:pPr>
        <w:spacing w:before="12" w:line="240" w:lineRule="exact"/>
        <w:rPr>
          <w:sz w:val="24"/>
          <w:szCs w:val="24"/>
          <w:lang w:val="sl-SI"/>
        </w:rPr>
      </w:pPr>
    </w:p>
    <w:p w14:paraId="6543E362" w14:textId="383AA033" w:rsidR="00840AAB" w:rsidRDefault="00840AAB" w:rsidP="00840AAB">
      <w:pPr>
        <w:pStyle w:val="a3"/>
        <w:rPr>
          <w:lang w:val="sl-SI"/>
        </w:rPr>
      </w:pPr>
      <w:r>
        <w:rPr>
          <w:rFonts w:eastAsia="Times New Roman"/>
          <w:lang w:val="sl-SI"/>
        </w:rPr>
        <w:t xml:space="preserve">Zdravilo Yuflyma </w:t>
      </w:r>
      <w:r w:rsidR="00C82BA3">
        <w:rPr>
          <w:rFonts w:eastAsia="Times New Roman"/>
          <w:lang w:val="sl-SI"/>
        </w:rPr>
        <w:t>8</w:t>
      </w:r>
      <w:r>
        <w:rPr>
          <w:rFonts w:eastAsia="Times New Roman"/>
          <w:lang w:val="sl-SI"/>
        </w:rPr>
        <w:t xml:space="preserve">0 mg raztopina za injiciranje v napolnjenem injekcijskem peresniku je na voljo kot sterilna raztopina </w:t>
      </w:r>
      <w:r w:rsidR="00C82BA3">
        <w:rPr>
          <w:rFonts w:eastAsia="Times New Roman"/>
          <w:lang w:val="sl-SI"/>
        </w:rPr>
        <w:t>8</w:t>
      </w:r>
      <w:r>
        <w:rPr>
          <w:rFonts w:eastAsia="Times New Roman"/>
          <w:lang w:val="sl-SI"/>
        </w:rPr>
        <w:t>0 mg adalimumaba, raztopljenega v 0,</w:t>
      </w:r>
      <w:r w:rsidR="00C82BA3">
        <w:rPr>
          <w:rFonts w:eastAsia="Times New Roman"/>
          <w:lang w:val="sl-SI"/>
        </w:rPr>
        <w:t>8</w:t>
      </w:r>
      <w:r>
        <w:rPr>
          <w:rFonts w:eastAsia="Times New Roman"/>
          <w:lang w:val="sl-SI"/>
        </w:rPr>
        <w:t> ml raztopine.</w:t>
      </w:r>
    </w:p>
    <w:p w14:paraId="78771DF6" w14:textId="77777777" w:rsidR="00840AAB" w:rsidRDefault="00840AAB" w:rsidP="00840AAB">
      <w:pPr>
        <w:spacing w:before="11" w:line="240" w:lineRule="exact"/>
        <w:rPr>
          <w:sz w:val="24"/>
          <w:szCs w:val="24"/>
          <w:lang w:val="sl-SI"/>
        </w:rPr>
      </w:pPr>
    </w:p>
    <w:p w14:paraId="0CC54DC6" w14:textId="77777777" w:rsidR="00840AAB" w:rsidRDefault="00840AAB" w:rsidP="00840AAB">
      <w:pPr>
        <w:pStyle w:val="a3"/>
        <w:rPr>
          <w:lang w:val="sl-SI"/>
        </w:rPr>
      </w:pPr>
      <w:r>
        <w:rPr>
          <w:rFonts w:eastAsia="Times New Roman"/>
          <w:lang w:val="sl-SI"/>
        </w:rPr>
        <w:t>Zdravilo Yuflyma napolnjen injekcijski peresnik je sistem za injiciranje na podlagi igel za enkratno uporabo z avtomatiziranim delovanjem. Na vsaki strani injekcijskega peresnika je okence, skozi katerega lahko vidite raztopino zdravila Yuflyma v injekcijskem peresniku.</w:t>
      </w:r>
    </w:p>
    <w:p w14:paraId="08454B86" w14:textId="77777777" w:rsidR="00840AAB" w:rsidRDefault="00840AAB" w:rsidP="00840AAB">
      <w:pPr>
        <w:spacing w:before="13" w:line="240" w:lineRule="exact"/>
        <w:rPr>
          <w:sz w:val="24"/>
          <w:szCs w:val="24"/>
          <w:lang w:val="sl-SI"/>
        </w:rPr>
      </w:pPr>
    </w:p>
    <w:p w14:paraId="512B5D3A" w14:textId="77777777" w:rsidR="00646E14" w:rsidRPr="00646E14" w:rsidRDefault="00646E14" w:rsidP="00646E14">
      <w:pPr>
        <w:pStyle w:val="a3"/>
        <w:rPr>
          <w:rFonts w:eastAsia="Times New Roman"/>
          <w:lang w:val="sl-SI"/>
        </w:rPr>
      </w:pPr>
      <w:r w:rsidRPr="00646E14">
        <w:rPr>
          <w:rFonts w:eastAsia="Times New Roman"/>
          <w:lang w:val="sl-SI"/>
        </w:rPr>
        <w:t>Zdravilo Yuflyma napolnjen injekcijski peresnik je na voljo v pakiranjih, ki vsebujejo:</w:t>
      </w:r>
    </w:p>
    <w:p w14:paraId="07A45AF5" w14:textId="13D8B48D" w:rsidR="00646E14" w:rsidRPr="00366D10" w:rsidRDefault="00646E14" w:rsidP="0030421B">
      <w:pPr>
        <w:pStyle w:val="a3"/>
        <w:ind w:left="800" w:hanging="400"/>
        <w:rPr>
          <w:lang w:val="sl-SI"/>
        </w:rPr>
      </w:pPr>
      <w:r w:rsidRPr="00366D10">
        <w:rPr>
          <w:rFonts w:hint="eastAsia"/>
          <w:lang w:val="sl-SI"/>
        </w:rPr>
        <w:t>•</w:t>
      </w:r>
      <w:r w:rsidRPr="00366D10">
        <w:rPr>
          <w:lang w:val="sl-SI"/>
        </w:rPr>
        <w:t xml:space="preserve"> 1 napolnjen injekcijski peresnik za pacientovo uporabo z 2 alkoholnima blazinicama (1 rezervn</w:t>
      </w:r>
      <w:r w:rsidR="008266AE" w:rsidRPr="00366D10">
        <w:rPr>
          <w:lang w:val="sl-SI"/>
        </w:rPr>
        <w:t>a</w:t>
      </w:r>
      <w:r w:rsidRPr="00366D10">
        <w:rPr>
          <w:lang w:val="sl-SI"/>
        </w:rPr>
        <w:t>)</w:t>
      </w:r>
    </w:p>
    <w:p w14:paraId="656EF5B2" w14:textId="58972C59" w:rsidR="00840AAB" w:rsidRDefault="00646E14" w:rsidP="0030421B">
      <w:pPr>
        <w:pStyle w:val="a3"/>
        <w:ind w:left="800" w:hanging="400"/>
        <w:rPr>
          <w:lang w:val="sl-SI"/>
        </w:rPr>
      </w:pPr>
      <w:r w:rsidRPr="00366D10">
        <w:rPr>
          <w:rFonts w:hint="eastAsia"/>
          <w:lang w:val="sl-SI"/>
        </w:rPr>
        <w:t>•</w:t>
      </w:r>
      <w:r w:rsidRPr="00366D10">
        <w:rPr>
          <w:lang w:val="sl-SI"/>
        </w:rPr>
        <w:t xml:space="preserve"> 3 napolnjeni injekcijski peresniki za pacientovo uporabo s 4 alkoholnimi </w:t>
      </w:r>
      <w:r w:rsidR="008266AE" w:rsidRPr="00366D10">
        <w:rPr>
          <w:lang w:val="sl-SI"/>
        </w:rPr>
        <w:t>blazinicami</w:t>
      </w:r>
      <w:r w:rsidRPr="00366D10">
        <w:rPr>
          <w:lang w:val="sl-SI"/>
        </w:rPr>
        <w:t xml:space="preserve"> (1 rezervn</w:t>
      </w:r>
      <w:r w:rsidR="008266AE" w:rsidRPr="00366D10">
        <w:rPr>
          <w:lang w:val="sl-SI"/>
        </w:rPr>
        <w:t>a</w:t>
      </w:r>
      <w:r w:rsidRPr="00366D10">
        <w:rPr>
          <w:lang w:val="sl-SI"/>
        </w:rPr>
        <w:t>)</w:t>
      </w:r>
    </w:p>
    <w:p w14:paraId="6CD49955" w14:textId="77777777" w:rsidR="00840AAB" w:rsidRDefault="00840AAB" w:rsidP="00840AAB">
      <w:pPr>
        <w:spacing w:before="11" w:line="240" w:lineRule="exact"/>
        <w:rPr>
          <w:sz w:val="24"/>
          <w:szCs w:val="24"/>
          <w:lang w:val="sl-SI"/>
        </w:rPr>
      </w:pPr>
    </w:p>
    <w:p w14:paraId="330B52C2" w14:textId="77777777" w:rsidR="00840AAB" w:rsidRDefault="00840AAB" w:rsidP="00840AAB">
      <w:pPr>
        <w:pStyle w:val="a3"/>
        <w:rPr>
          <w:lang w:val="sl-SI"/>
        </w:rPr>
      </w:pPr>
      <w:r>
        <w:rPr>
          <w:rFonts w:eastAsia="Times New Roman"/>
          <w:lang w:val="sl-SI"/>
        </w:rPr>
        <w:t>Na trgu morda ni vseh navedenih pakiranj.</w:t>
      </w:r>
    </w:p>
    <w:p w14:paraId="5472A023" w14:textId="77777777" w:rsidR="00840AAB" w:rsidRDefault="00840AAB" w:rsidP="00840AAB">
      <w:pPr>
        <w:spacing w:before="13" w:line="240" w:lineRule="exact"/>
        <w:rPr>
          <w:sz w:val="24"/>
          <w:szCs w:val="24"/>
          <w:lang w:val="sl-SI"/>
        </w:rPr>
      </w:pPr>
    </w:p>
    <w:p w14:paraId="4C763961" w14:textId="7F46158B" w:rsidR="00840AAB" w:rsidRDefault="00840AAB" w:rsidP="00840AAB">
      <w:pPr>
        <w:pStyle w:val="a3"/>
        <w:rPr>
          <w:lang w:val="sl-SI"/>
        </w:rPr>
      </w:pPr>
      <w:r>
        <w:rPr>
          <w:rFonts w:eastAsia="Times New Roman"/>
          <w:lang w:val="sl-SI"/>
        </w:rPr>
        <w:t xml:space="preserve">Zdravilo Yuflyma je na voljo kot napolnjena injekcijska brizgai </w:t>
      </w:r>
      <w:r w:rsidR="008266AE">
        <w:rPr>
          <w:rFonts w:eastAsia="Times New Roman"/>
          <w:lang w:val="sl-SI"/>
        </w:rPr>
        <w:t>i</w:t>
      </w:r>
      <w:r>
        <w:rPr>
          <w:rFonts w:eastAsia="Times New Roman"/>
          <w:lang w:val="sl-SI"/>
        </w:rPr>
        <w:t>n/ali napolnjen injekcijski peresnik.</w:t>
      </w:r>
    </w:p>
    <w:p w14:paraId="6E840FD5" w14:textId="77777777" w:rsidR="00840AAB" w:rsidRDefault="00840AAB" w:rsidP="00840AAB">
      <w:pPr>
        <w:spacing w:before="18" w:line="240" w:lineRule="exact"/>
        <w:rPr>
          <w:sz w:val="24"/>
          <w:szCs w:val="24"/>
          <w:lang w:val="sl-SI"/>
        </w:rPr>
      </w:pPr>
    </w:p>
    <w:p w14:paraId="5B605729" w14:textId="77777777" w:rsidR="00840AAB" w:rsidRDefault="00840AAB" w:rsidP="00840AAB">
      <w:pPr>
        <w:pStyle w:val="a3"/>
        <w:rPr>
          <w:b/>
          <w:bCs/>
          <w:lang w:val="sl-SI"/>
        </w:rPr>
      </w:pPr>
      <w:r>
        <w:rPr>
          <w:rFonts w:eastAsia="Times New Roman"/>
          <w:b/>
          <w:bCs/>
          <w:lang w:val="sl-SI"/>
        </w:rPr>
        <w:t>Imetnik dovoljenja za promet z zdravilom</w:t>
      </w:r>
    </w:p>
    <w:p w14:paraId="19FCB89B" w14:textId="77777777" w:rsidR="00840AAB" w:rsidRDefault="00840AAB" w:rsidP="00840AAB">
      <w:pPr>
        <w:spacing w:before="12" w:line="240" w:lineRule="exact"/>
        <w:rPr>
          <w:sz w:val="24"/>
          <w:szCs w:val="24"/>
          <w:lang w:val="sl-SI"/>
        </w:rPr>
      </w:pPr>
    </w:p>
    <w:p w14:paraId="0F42DDB1" w14:textId="77777777" w:rsidR="00840AAB" w:rsidRDefault="00840AAB" w:rsidP="00840AAB">
      <w:pPr>
        <w:pStyle w:val="a3"/>
        <w:rPr>
          <w:lang w:val="sl-SI"/>
        </w:rPr>
      </w:pPr>
      <w:r>
        <w:rPr>
          <w:lang w:val="sl-SI"/>
        </w:rPr>
        <w:t xml:space="preserve">Celltrion Healthcare Hungary Kft. </w:t>
      </w:r>
    </w:p>
    <w:p w14:paraId="133F7871" w14:textId="77777777" w:rsidR="00840AAB" w:rsidRDefault="00840AAB" w:rsidP="00840AAB">
      <w:pPr>
        <w:pStyle w:val="a3"/>
        <w:rPr>
          <w:lang w:val="sl-SI"/>
        </w:rPr>
      </w:pPr>
      <w:r>
        <w:rPr>
          <w:lang w:val="sl-SI"/>
        </w:rPr>
        <w:t>1062 Budapest</w:t>
      </w:r>
    </w:p>
    <w:p w14:paraId="04FC2FD1" w14:textId="77777777" w:rsidR="00840AAB" w:rsidRDefault="00840AAB" w:rsidP="00840AAB">
      <w:pPr>
        <w:pStyle w:val="a3"/>
        <w:rPr>
          <w:lang w:val="sl-SI"/>
        </w:rPr>
      </w:pPr>
      <w:r>
        <w:rPr>
          <w:lang w:val="sl-SI"/>
        </w:rPr>
        <w:t>Váci út 1-3. WestEnd Office Building B torony</w:t>
      </w:r>
    </w:p>
    <w:p w14:paraId="59C31135" w14:textId="77777777" w:rsidR="00840AAB" w:rsidRDefault="00840AAB" w:rsidP="00840AAB">
      <w:pPr>
        <w:pStyle w:val="a3"/>
        <w:rPr>
          <w:lang w:val="sl-SI"/>
        </w:rPr>
      </w:pPr>
      <w:r>
        <w:rPr>
          <w:rFonts w:eastAsia="Times New Roman"/>
          <w:lang w:val="sl-SI"/>
        </w:rPr>
        <w:t>Madžarska</w:t>
      </w:r>
    </w:p>
    <w:p w14:paraId="2B780582" w14:textId="77777777" w:rsidR="00840AAB" w:rsidRDefault="00840AAB" w:rsidP="00840AAB">
      <w:pPr>
        <w:spacing w:before="15" w:line="240" w:lineRule="exact"/>
        <w:rPr>
          <w:sz w:val="24"/>
          <w:szCs w:val="24"/>
          <w:lang w:val="sl-SI"/>
        </w:rPr>
      </w:pPr>
    </w:p>
    <w:p w14:paraId="36780B3E" w14:textId="77777777" w:rsidR="00840AAB" w:rsidRDefault="00840AAB" w:rsidP="00840AAB">
      <w:pPr>
        <w:pStyle w:val="a3"/>
        <w:rPr>
          <w:b/>
          <w:bCs/>
          <w:lang w:val="sl-SI"/>
        </w:rPr>
      </w:pPr>
      <w:r>
        <w:rPr>
          <w:rFonts w:eastAsia="Times New Roman"/>
          <w:b/>
          <w:bCs/>
          <w:lang w:val="sl-SI"/>
        </w:rPr>
        <w:t>Proizvajalec</w:t>
      </w:r>
    </w:p>
    <w:p w14:paraId="36541A26" w14:textId="77777777" w:rsidR="00840AAB" w:rsidRDefault="00840AAB" w:rsidP="00840AAB">
      <w:pPr>
        <w:spacing w:before="12" w:line="240" w:lineRule="exact"/>
        <w:rPr>
          <w:sz w:val="24"/>
          <w:szCs w:val="24"/>
          <w:lang w:val="sl-SI"/>
        </w:rPr>
      </w:pPr>
    </w:p>
    <w:p w14:paraId="537BE85D" w14:textId="3CA33996" w:rsidR="00840AAB" w:rsidRPr="001B02C1" w:rsidDel="001B02C1" w:rsidRDefault="00840AAB" w:rsidP="00840AAB">
      <w:pPr>
        <w:pStyle w:val="a3"/>
        <w:rPr>
          <w:del w:id="139" w:author="만든 이"/>
          <w:lang w:val="sl-SI"/>
        </w:rPr>
      </w:pPr>
      <w:del w:id="140" w:author="만든 이">
        <w:r w:rsidRPr="001B02C1" w:rsidDel="001B02C1">
          <w:rPr>
            <w:lang w:val="sl-SI"/>
          </w:rPr>
          <w:delText>Millmount Healthcare Ltd.</w:delText>
        </w:r>
      </w:del>
    </w:p>
    <w:p w14:paraId="538E1957" w14:textId="57E92777" w:rsidR="00840AAB" w:rsidRPr="001B02C1" w:rsidDel="001B02C1" w:rsidRDefault="00840AAB" w:rsidP="00840AAB">
      <w:pPr>
        <w:pStyle w:val="a3"/>
        <w:rPr>
          <w:del w:id="141" w:author="만든 이"/>
          <w:lang w:val="sl-SI"/>
        </w:rPr>
      </w:pPr>
      <w:del w:id="142" w:author="만든 이">
        <w:r w:rsidRPr="001B02C1" w:rsidDel="001B02C1">
          <w:rPr>
            <w:lang w:val="sl-SI"/>
          </w:rPr>
          <w:delText>Block 7</w:delText>
        </w:r>
      </w:del>
    </w:p>
    <w:p w14:paraId="0D6F0B7B" w14:textId="47179309" w:rsidR="00840AAB" w:rsidRPr="001B02C1" w:rsidDel="001B02C1" w:rsidRDefault="00840AAB" w:rsidP="00840AAB">
      <w:pPr>
        <w:pStyle w:val="a3"/>
        <w:rPr>
          <w:del w:id="143" w:author="만든 이"/>
          <w:lang w:val="sl-SI"/>
        </w:rPr>
      </w:pPr>
      <w:del w:id="144" w:author="만든 이">
        <w:r w:rsidRPr="001B02C1" w:rsidDel="001B02C1">
          <w:rPr>
            <w:lang w:val="sl-SI"/>
          </w:rPr>
          <w:delText xml:space="preserve">City North Business Campus </w:delText>
        </w:r>
      </w:del>
    </w:p>
    <w:p w14:paraId="78181E3C" w14:textId="6F81C51A" w:rsidR="00840AAB" w:rsidRPr="001B02C1" w:rsidDel="001B02C1" w:rsidRDefault="00840AAB" w:rsidP="00840AAB">
      <w:pPr>
        <w:pStyle w:val="a3"/>
        <w:rPr>
          <w:del w:id="145" w:author="만든 이"/>
          <w:lang w:val="sl-SI"/>
        </w:rPr>
      </w:pPr>
      <w:del w:id="146" w:author="만든 이">
        <w:r w:rsidRPr="001B02C1" w:rsidDel="001B02C1">
          <w:rPr>
            <w:lang w:val="sl-SI"/>
          </w:rPr>
          <w:delText>Stamullen, Co. Meath K32 YD60</w:delText>
        </w:r>
      </w:del>
    </w:p>
    <w:p w14:paraId="504CD89C" w14:textId="46AD264C" w:rsidR="00840AAB" w:rsidRPr="001B02C1" w:rsidDel="001B02C1" w:rsidRDefault="00840AAB" w:rsidP="00840AAB">
      <w:pPr>
        <w:pStyle w:val="a3"/>
        <w:rPr>
          <w:del w:id="147" w:author="만든 이"/>
          <w:lang w:val="sl-SI"/>
        </w:rPr>
      </w:pPr>
      <w:del w:id="148" w:author="만든 이">
        <w:r w:rsidRPr="001B02C1" w:rsidDel="001B02C1">
          <w:rPr>
            <w:rFonts w:eastAsia="Times New Roman"/>
            <w:lang w:val="sl-SI"/>
          </w:rPr>
          <w:delText>Irska</w:delText>
        </w:r>
      </w:del>
    </w:p>
    <w:p w14:paraId="2F1EB968" w14:textId="7BA2FDE2" w:rsidR="00840AAB" w:rsidRPr="001B02C1" w:rsidDel="001B02C1" w:rsidRDefault="00840AAB" w:rsidP="00840AAB">
      <w:pPr>
        <w:spacing w:before="14" w:line="240" w:lineRule="exact"/>
        <w:rPr>
          <w:del w:id="149" w:author="만든 이"/>
          <w:sz w:val="24"/>
          <w:szCs w:val="24"/>
          <w:lang w:val="sl-SI"/>
        </w:rPr>
      </w:pPr>
    </w:p>
    <w:p w14:paraId="7661FBF4" w14:textId="77777777" w:rsidR="002153A2" w:rsidRPr="001B02C1" w:rsidRDefault="002153A2" w:rsidP="002153A2">
      <w:pPr>
        <w:spacing w:before="10" w:line="240" w:lineRule="exact"/>
        <w:rPr>
          <w:moveTo w:id="150" w:author="만든 이" w16du:dateUtc="2025-09-09T06:34:00Z"/>
          <w:rFonts w:ascii="Times New Roman" w:eastAsia="Times New Roman" w:hAnsi="Times New Roman" w:cs="Times New Roman"/>
          <w:lang w:val="de-DE"/>
        </w:rPr>
      </w:pPr>
      <w:moveToRangeStart w:id="151" w:author="만든 이" w:name="move208324475"/>
      <w:moveTo w:id="152" w:author="만든 이" w16du:dateUtc="2025-09-09T06:34:00Z">
        <w:r w:rsidRPr="001B02C1">
          <w:rPr>
            <w:rFonts w:ascii="Times New Roman" w:eastAsia="Times New Roman" w:hAnsi="Times New Roman" w:cs="Times New Roman"/>
            <w:lang w:val="de-DE"/>
          </w:rPr>
          <w:t>Nuvisan France SARL</w:t>
        </w:r>
      </w:moveTo>
    </w:p>
    <w:p w14:paraId="280BB355" w14:textId="77777777" w:rsidR="002153A2" w:rsidRPr="001B02C1" w:rsidRDefault="002153A2" w:rsidP="002153A2">
      <w:pPr>
        <w:spacing w:before="10" w:line="240" w:lineRule="exact"/>
        <w:rPr>
          <w:moveTo w:id="153" w:author="만든 이" w16du:dateUtc="2025-09-09T06:34:00Z"/>
          <w:rFonts w:ascii="Times New Roman" w:eastAsia="Times New Roman" w:hAnsi="Times New Roman" w:cs="Times New Roman"/>
          <w:lang w:val="de-DE"/>
        </w:rPr>
      </w:pPr>
      <w:moveTo w:id="154" w:author="만든 이" w16du:dateUtc="2025-09-09T06:34:00Z">
        <w:r w:rsidRPr="001B02C1">
          <w:rPr>
            <w:rFonts w:ascii="Times New Roman" w:eastAsia="Times New Roman" w:hAnsi="Times New Roman" w:cs="Times New Roman"/>
            <w:lang w:val="de-DE"/>
          </w:rPr>
          <w:t>2400, Route des Colles</w:t>
        </w:r>
      </w:moveTo>
    </w:p>
    <w:p w14:paraId="63EB88BC" w14:textId="77777777" w:rsidR="002153A2" w:rsidRPr="001B02C1" w:rsidRDefault="002153A2" w:rsidP="002153A2">
      <w:pPr>
        <w:spacing w:before="10" w:line="240" w:lineRule="exact"/>
        <w:rPr>
          <w:moveTo w:id="155" w:author="만든 이" w16du:dateUtc="2025-09-09T06:34:00Z"/>
          <w:rFonts w:ascii="Times New Roman" w:eastAsia="Times New Roman" w:hAnsi="Times New Roman" w:cs="Times New Roman"/>
          <w:lang w:val="de-DE"/>
        </w:rPr>
      </w:pPr>
      <w:moveTo w:id="156" w:author="만든 이" w16du:dateUtc="2025-09-09T06:34:00Z">
        <w:r w:rsidRPr="001B02C1">
          <w:rPr>
            <w:rFonts w:ascii="Times New Roman" w:eastAsia="Times New Roman" w:hAnsi="Times New Roman" w:cs="Times New Roman"/>
            <w:lang w:val="de-DE"/>
          </w:rPr>
          <w:t>06410, Biot</w:t>
        </w:r>
      </w:moveTo>
    </w:p>
    <w:p w14:paraId="5DE991BA" w14:textId="77777777" w:rsidR="002153A2" w:rsidRPr="001B02C1" w:rsidRDefault="002153A2" w:rsidP="002153A2">
      <w:pPr>
        <w:autoSpaceDE w:val="0"/>
        <w:autoSpaceDN w:val="0"/>
        <w:adjustRightInd w:val="0"/>
        <w:rPr>
          <w:moveTo w:id="157" w:author="만든 이" w16du:dateUtc="2025-09-09T06:34:00Z"/>
          <w:rFonts w:ascii="Times New Roman" w:eastAsia="Times New Roman" w:hAnsi="Times New Roman" w:cs="Times New Roman"/>
          <w:lang w:val="de-DE"/>
        </w:rPr>
      </w:pPr>
      <w:moveTo w:id="158" w:author="만든 이" w16du:dateUtc="2025-09-09T06:34:00Z">
        <w:r w:rsidRPr="001B02C1">
          <w:rPr>
            <w:rFonts w:ascii="Times New Roman" w:eastAsia="Times New Roman" w:hAnsi="Times New Roman" w:cs="Times New Roman"/>
            <w:lang w:val="de-DE"/>
          </w:rPr>
          <w:t>Francija</w:t>
        </w:r>
      </w:moveTo>
    </w:p>
    <w:p w14:paraId="648868F4" w14:textId="77777777" w:rsidR="002153A2" w:rsidRPr="001B02C1" w:rsidRDefault="002153A2" w:rsidP="002153A2">
      <w:pPr>
        <w:pStyle w:val="a3"/>
        <w:rPr>
          <w:moveTo w:id="159" w:author="만든 이" w16du:dateUtc="2025-09-09T06:34:00Z"/>
          <w:color w:val="000000"/>
          <w:lang w:val="es-ES_tradnl"/>
        </w:rPr>
      </w:pPr>
    </w:p>
    <w:moveToRangeEnd w:id="151"/>
    <w:p w14:paraId="48BB915D" w14:textId="77777777" w:rsidR="00840AAB" w:rsidRPr="001B02C1" w:rsidRDefault="00840AAB" w:rsidP="00840AAB">
      <w:pPr>
        <w:keepNext/>
        <w:spacing w:before="10" w:line="240" w:lineRule="exact"/>
        <w:rPr>
          <w:rFonts w:ascii="Times New Roman" w:eastAsia="Times New Roman" w:hAnsi="Times New Roman" w:cs="Times New Roman"/>
          <w:shd w:val="pct15" w:color="auto" w:fill="FFFFFF"/>
        </w:rPr>
      </w:pPr>
      <w:r w:rsidRPr="001B02C1">
        <w:rPr>
          <w:rFonts w:ascii="Times New Roman" w:eastAsia="Times New Roman" w:hAnsi="Times New Roman" w:cs="Times New Roman"/>
          <w:shd w:val="pct15" w:color="auto" w:fill="FFFFFF"/>
        </w:rPr>
        <w:lastRenderedPageBreak/>
        <w:t>Nuvisan GmbH</w:t>
      </w:r>
    </w:p>
    <w:p w14:paraId="5EC47AAB" w14:textId="2021BA12" w:rsidR="00840AAB" w:rsidRPr="001B02C1" w:rsidRDefault="00840AAB" w:rsidP="00840AAB">
      <w:pPr>
        <w:keepNext/>
        <w:spacing w:before="10" w:line="240" w:lineRule="exact"/>
        <w:rPr>
          <w:rFonts w:ascii="Times New Roman" w:eastAsia="Times New Roman" w:hAnsi="Times New Roman" w:cs="Times New Roman"/>
          <w:shd w:val="pct15" w:color="auto" w:fill="FFFFFF"/>
          <w:lang w:val="de-CH"/>
        </w:rPr>
      </w:pPr>
      <w:r w:rsidRPr="001B02C1">
        <w:rPr>
          <w:rFonts w:ascii="Times New Roman" w:eastAsia="Times New Roman" w:hAnsi="Times New Roman" w:cs="Times New Roman"/>
          <w:shd w:val="pct15" w:color="auto" w:fill="FFFFFF"/>
          <w:lang w:val="de-CH"/>
        </w:rPr>
        <w:t>Wegenerstraße 13</w:t>
      </w:r>
    </w:p>
    <w:p w14:paraId="32A2E2D0" w14:textId="20D5D49D" w:rsidR="00840AAB" w:rsidRPr="001B02C1" w:rsidRDefault="00840AAB" w:rsidP="00840AAB">
      <w:pPr>
        <w:keepNext/>
        <w:spacing w:before="10" w:line="240" w:lineRule="exact"/>
        <w:rPr>
          <w:rFonts w:ascii="Times New Roman" w:eastAsia="Times New Roman" w:hAnsi="Times New Roman" w:cs="Times New Roman"/>
          <w:shd w:val="pct15" w:color="auto" w:fill="FFFFFF"/>
          <w:lang w:val="de-CH"/>
        </w:rPr>
      </w:pPr>
      <w:r w:rsidRPr="001B02C1">
        <w:rPr>
          <w:rFonts w:ascii="Times New Roman" w:eastAsia="Times New Roman" w:hAnsi="Times New Roman" w:cs="Times New Roman"/>
          <w:shd w:val="pct15" w:color="auto" w:fill="FFFFFF"/>
          <w:lang w:val="de-CH"/>
        </w:rPr>
        <w:t>89231 Neu</w:t>
      </w:r>
      <w:r w:rsidR="00F00F96" w:rsidRPr="001B02C1">
        <w:rPr>
          <w:rFonts w:ascii="Times New Roman" w:hAnsi="Times New Roman" w:cs="Times New Roman" w:hint="eastAsia"/>
          <w:shd w:val="pct15" w:color="auto" w:fill="FFFFFF"/>
          <w:lang w:val="de-CH" w:eastAsia="ko-KR"/>
        </w:rPr>
        <w:t>-</w:t>
      </w:r>
      <w:r w:rsidRPr="001B02C1">
        <w:rPr>
          <w:rFonts w:ascii="Times New Roman" w:eastAsia="Times New Roman" w:hAnsi="Times New Roman" w:cs="Times New Roman"/>
          <w:shd w:val="pct15" w:color="auto" w:fill="FFFFFF"/>
          <w:lang w:val="de-CH"/>
        </w:rPr>
        <w:t>Ulm</w:t>
      </w:r>
    </w:p>
    <w:p w14:paraId="2DE42699" w14:textId="77777777" w:rsidR="00840AAB" w:rsidRPr="001B02C1" w:rsidRDefault="00840AAB" w:rsidP="00840AAB">
      <w:pPr>
        <w:keepNext/>
        <w:spacing w:before="10" w:line="240" w:lineRule="exact"/>
        <w:rPr>
          <w:rFonts w:ascii="Times New Roman" w:eastAsia="Times New Roman" w:hAnsi="Times New Roman" w:cs="Times New Roman"/>
          <w:shd w:val="pct15" w:color="auto" w:fill="FFFFFF"/>
          <w:lang w:val="de-DE"/>
        </w:rPr>
      </w:pPr>
      <w:r w:rsidRPr="001B02C1">
        <w:rPr>
          <w:rFonts w:ascii="Times New Roman" w:eastAsia="Times New Roman" w:hAnsi="Times New Roman" w:cs="Times New Roman"/>
          <w:shd w:val="pct15" w:color="auto" w:fill="FFFFFF"/>
          <w:lang w:val="de-DE"/>
        </w:rPr>
        <w:t>Nemčija</w:t>
      </w:r>
    </w:p>
    <w:p w14:paraId="24A977AD" w14:textId="77777777" w:rsidR="00840AAB" w:rsidRPr="001B02C1" w:rsidRDefault="00840AAB" w:rsidP="00840AAB">
      <w:pPr>
        <w:spacing w:before="10" w:line="240" w:lineRule="exact"/>
        <w:rPr>
          <w:rFonts w:ascii="Times New Roman" w:eastAsia="Times New Roman" w:hAnsi="Times New Roman" w:cs="Times New Roman"/>
          <w:shd w:val="pct15" w:color="auto" w:fill="FFFFFF"/>
          <w:lang w:val="de-DE"/>
        </w:rPr>
      </w:pPr>
    </w:p>
    <w:p w14:paraId="1460F540" w14:textId="7B5A5A12" w:rsidR="00840AAB" w:rsidRPr="001B02C1" w:rsidDel="002153A2" w:rsidRDefault="00840AAB" w:rsidP="00840AAB">
      <w:pPr>
        <w:spacing w:before="10" w:line="240" w:lineRule="exact"/>
        <w:rPr>
          <w:moveFrom w:id="160" w:author="만든 이" w16du:dateUtc="2025-09-09T06:34:00Z"/>
          <w:rFonts w:ascii="Times New Roman" w:eastAsia="Times New Roman" w:hAnsi="Times New Roman" w:cs="Times New Roman"/>
          <w:shd w:val="pct15" w:color="auto" w:fill="FFFFFF"/>
          <w:lang w:val="de-DE"/>
        </w:rPr>
      </w:pPr>
      <w:moveFromRangeStart w:id="161" w:author="만든 이" w:name="move208324475"/>
      <w:moveFrom w:id="162" w:author="만든 이" w16du:dateUtc="2025-09-09T06:34:00Z">
        <w:r w:rsidRPr="001B02C1" w:rsidDel="002153A2">
          <w:rPr>
            <w:rFonts w:ascii="Times New Roman" w:eastAsia="Times New Roman" w:hAnsi="Times New Roman" w:cs="Times New Roman"/>
            <w:shd w:val="pct15" w:color="auto" w:fill="FFFFFF"/>
            <w:lang w:val="de-DE"/>
          </w:rPr>
          <w:t>Nuvisan France SARL</w:t>
        </w:r>
      </w:moveFrom>
    </w:p>
    <w:p w14:paraId="66AD6413" w14:textId="79C27226" w:rsidR="00840AAB" w:rsidRPr="001B02C1" w:rsidDel="002153A2" w:rsidRDefault="00840AAB" w:rsidP="00840AAB">
      <w:pPr>
        <w:spacing w:before="10" w:line="240" w:lineRule="exact"/>
        <w:rPr>
          <w:moveFrom w:id="163" w:author="만든 이" w16du:dateUtc="2025-09-09T06:34:00Z"/>
          <w:rFonts w:ascii="Times New Roman" w:eastAsia="Times New Roman" w:hAnsi="Times New Roman" w:cs="Times New Roman"/>
          <w:shd w:val="pct15" w:color="auto" w:fill="FFFFFF"/>
          <w:lang w:val="de-DE"/>
        </w:rPr>
      </w:pPr>
      <w:moveFrom w:id="164" w:author="만든 이" w16du:dateUtc="2025-09-09T06:34:00Z">
        <w:r w:rsidRPr="001B02C1" w:rsidDel="002153A2">
          <w:rPr>
            <w:rFonts w:ascii="Times New Roman" w:eastAsia="Times New Roman" w:hAnsi="Times New Roman" w:cs="Times New Roman"/>
            <w:shd w:val="pct15" w:color="auto" w:fill="FFFFFF"/>
            <w:lang w:val="de-DE"/>
          </w:rPr>
          <w:t>2400, Route des Colles</w:t>
        </w:r>
      </w:moveFrom>
    </w:p>
    <w:p w14:paraId="24E52637" w14:textId="6A9E0721" w:rsidR="00840AAB" w:rsidRPr="001B02C1" w:rsidDel="002153A2" w:rsidRDefault="00840AAB" w:rsidP="00840AAB">
      <w:pPr>
        <w:spacing w:before="10" w:line="240" w:lineRule="exact"/>
        <w:rPr>
          <w:moveFrom w:id="165" w:author="만든 이" w16du:dateUtc="2025-09-09T06:34:00Z"/>
          <w:rFonts w:ascii="Times New Roman" w:eastAsia="Times New Roman" w:hAnsi="Times New Roman" w:cs="Times New Roman"/>
          <w:shd w:val="pct15" w:color="auto" w:fill="FFFFFF"/>
          <w:lang w:val="de-DE"/>
        </w:rPr>
      </w:pPr>
      <w:moveFrom w:id="166" w:author="만든 이" w16du:dateUtc="2025-09-09T06:34:00Z">
        <w:r w:rsidRPr="001B02C1" w:rsidDel="002153A2">
          <w:rPr>
            <w:rFonts w:ascii="Times New Roman" w:eastAsia="Times New Roman" w:hAnsi="Times New Roman" w:cs="Times New Roman"/>
            <w:shd w:val="pct15" w:color="auto" w:fill="FFFFFF"/>
            <w:lang w:val="de-DE"/>
          </w:rPr>
          <w:t>06410, Biot</w:t>
        </w:r>
      </w:moveFrom>
    </w:p>
    <w:p w14:paraId="05F7C262" w14:textId="2F8AEE9C" w:rsidR="00840AAB" w:rsidRPr="001B02C1" w:rsidDel="002153A2" w:rsidRDefault="00840AAB" w:rsidP="00840AAB">
      <w:pPr>
        <w:autoSpaceDE w:val="0"/>
        <w:autoSpaceDN w:val="0"/>
        <w:adjustRightInd w:val="0"/>
        <w:rPr>
          <w:moveFrom w:id="167" w:author="만든 이" w16du:dateUtc="2025-09-09T06:34:00Z"/>
          <w:rFonts w:ascii="Times New Roman" w:eastAsia="Times New Roman" w:hAnsi="Times New Roman" w:cs="Times New Roman"/>
          <w:shd w:val="pct15" w:color="auto" w:fill="FFFFFF"/>
          <w:lang w:val="de-DE"/>
        </w:rPr>
      </w:pPr>
      <w:moveFrom w:id="168" w:author="만든 이" w16du:dateUtc="2025-09-09T06:34:00Z">
        <w:r w:rsidRPr="001B02C1" w:rsidDel="002153A2">
          <w:rPr>
            <w:rFonts w:ascii="Times New Roman" w:eastAsia="Times New Roman" w:hAnsi="Times New Roman" w:cs="Times New Roman"/>
            <w:shd w:val="pct15" w:color="auto" w:fill="FFFFFF"/>
            <w:lang w:val="de-DE"/>
          </w:rPr>
          <w:t>Francija</w:t>
        </w:r>
      </w:moveFrom>
    </w:p>
    <w:p w14:paraId="4360BEFB" w14:textId="7FF0AE2F" w:rsidR="002F4B1E" w:rsidRPr="001B02C1" w:rsidDel="002153A2" w:rsidRDefault="002F4B1E" w:rsidP="002F4B1E">
      <w:pPr>
        <w:pStyle w:val="a3"/>
        <w:rPr>
          <w:moveFrom w:id="169" w:author="만든 이" w16du:dateUtc="2025-09-09T06:34:00Z"/>
          <w:color w:val="000000"/>
          <w:shd w:val="pct15" w:color="auto" w:fill="FFFFFF"/>
          <w:lang w:val="es-ES_tradnl"/>
        </w:rPr>
      </w:pPr>
    </w:p>
    <w:moveFromRangeEnd w:id="161"/>
    <w:p w14:paraId="718B7707" w14:textId="77777777" w:rsidR="002F4B1E" w:rsidRPr="001B02C1" w:rsidRDefault="002F4B1E" w:rsidP="002F4B1E">
      <w:pPr>
        <w:pStyle w:val="a3"/>
        <w:rPr>
          <w:color w:val="000000"/>
          <w:shd w:val="pct15" w:color="auto" w:fill="FFFFFF"/>
          <w:lang w:val="de-DE"/>
        </w:rPr>
      </w:pPr>
      <w:r w:rsidRPr="001B02C1">
        <w:rPr>
          <w:color w:val="000000"/>
          <w:shd w:val="pct15" w:color="auto" w:fill="FFFFFF"/>
          <w:lang w:val="de-DE"/>
        </w:rPr>
        <w:t>Midas Pharma GmbH</w:t>
      </w:r>
    </w:p>
    <w:p w14:paraId="0E622B33" w14:textId="57F53DFD" w:rsidR="002F4B1E" w:rsidRPr="001B02C1" w:rsidRDefault="002F4B1E" w:rsidP="002F4B1E">
      <w:pPr>
        <w:pStyle w:val="a3"/>
        <w:rPr>
          <w:color w:val="000000"/>
          <w:shd w:val="pct15" w:color="auto" w:fill="FFFFFF"/>
          <w:lang w:val="de-DE"/>
        </w:rPr>
      </w:pPr>
      <w:r w:rsidRPr="001B02C1">
        <w:rPr>
          <w:color w:val="000000"/>
          <w:shd w:val="pct15" w:color="auto" w:fill="FFFFFF"/>
          <w:lang w:val="de-DE"/>
        </w:rPr>
        <w:t>Rheinstr. 49</w:t>
      </w:r>
    </w:p>
    <w:p w14:paraId="67200D7B" w14:textId="41875A03" w:rsidR="002F4B1E" w:rsidRPr="001B02C1" w:rsidRDefault="002F4B1E" w:rsidP="002F4B1E">
      <w:pPr>
        <w:pStyle w:val="a3"/>
        <w:rPr>
          <w:color w:val="000000"/>
          <w:shd w:val="pct15" w:color="auto" w:fill="FFFFFF"/>
          <w:lang w:val="de-DE"/>
        </w:rPr>
      </w:pPr>
      <w:r w:rsidRPr="001B02C1">
        <w:rPr>
          <w:color w:val="000000"/>
          <w:shd w:val="pct15" w:color="auto" w:fill="FFFFFF"/>
          <w:lang w:val="de-DE"/>
        </w:rPr>
        <w:t>55218 Ingelheim</w:t>
      </w:r>
    </w:p>
    <w:p w14:paraId="53B20C3D" w14:textId="77777777" w:rsidR="002F4B1E" w:rsidRPr="001B02C1" w:rsidRDefault="002F4B1E" w:rsidP="002F4B1E">
      <w:pPr>
        <w:pStyle w:val="a3"/>
        <w:rPr>
          <w:color w:val="000000"/>
          <w:shd w:val="pct15" w:color="auto" w:fill="FFFFFF"/>
          <w:lang w:val="de-CH"/>
        </w:rPr>
      </w:pPr>
      <w:r w:rsidRPr="001B02C1">
        <w:rPr>
          <w:color w:val="000000"/>
          <w:shd w:val="pct15" w:color="auto" w:fill="FFFFFF"/>
          <w:lang w:val="de-CH"/>
        </w:rPr>
        <w:t>Nemčija</w:t>
      </w:r>
    </w:p>
    <w:p w14:paraId="708C50DB" w14:textId="77777777" w:rsidR="002F4B1E" w:rsidRPr="001B02C1" w:rsidRDefault="002F4B1E" w:rsidP="002F4B1E">
      <w:pPr>
        <w:pStyle w:val="a3"/>
        <w:rPr>
          <w:color w:val="000000"/>
          <w:shd w:val="pct15" w:color="auto" w:fill="FFFFFF"/>
          <w:lang w:val="de-DE"/>
        </w:rPr>
      </w:pPr>
    </w:p>
    <w:p w14:paraId="5206D373" w14:textId="77777777" w:rsidR="002F4B1E" w:rsidRPr="001B02C1" w:rsidRDefault="002F4B1E" w:rsidP="002F4B1E">
      <w:pPr>
        <w:pStyle w:val="a3"/>
        <w:rPr>
          <w:color w:val="000000"/>
          <w:shd w:val="pct15" w:color="auto" w:fill="FFFFFF"/>
          <w:lang w:val="fr-FR"/>
        </w:rPr>
      </w:pPr>
      <w:r w:rsidRPr="001B02C1">
        <w:rPr>
          <w:color w:val="000000"/>
          <w:shd w:val="pct15" w:color="auto" w:fill="FFFFFF"/>
          <w:lang w:val="fr-FR"/>
        </w:rPr>
        <w:t xml:space="preserve">KYMOS S.L. </w:t>
      </w:r>
    </w:p>
    <w:p w14:paraId="6AEAC036" w14:textId="42E85743" w:rsidR="002F4B1E" w:rsidRPr="001B02C1" w:rsidRDefault="002F4B1E" w:rsidP="002F4B1E">
      <w:pPr>
        <w:pStyle w:val="a3"/>
        <w:rPr>
          <w:color w:val="000000"/>
          <w:shd w:val="pct15" w:color="auto" w:fill="FFFFFF"/>
          <w:lang w:val="fr-FR"/>
        </w:rPr>
      </w:pPr>
      <w:r w:rsidRPr="001B02C1">
        <w:rPr>
          <w:color w:val="000000"/>
          <w:shd w:val="pct15" w:color="auto" w:fill="FFFFFF"/>
          <w:lang w:val="fr-FR"/>
        </w:rPr>
        <w:t>Ronda Can Fatjó, 7B.</w:t>
      </w:r>
    </w:p>
    <w:p w14:paraId="4ADCC4DD" w14:textId="6B563C7A" w:rsidR="002F4B1E" w:rsidRPr="001B02C1" w:rsidRDefault="002F4B1E" w:rsidP="002F4B1E">
      <w:pPr>
        <w:pStyle w:val="a3"/>
        <w:rPr>
          <w:color w:val="000000"/>
          <w:shd w:val="pct15" w:color="auto" w:fill="FFFFFF"/>
          <w:lang w:val="fr-FR"/>
        </w:rPr>
      </w:pPr>
      <w:r w:rsidRPr="001B02C1">
        <w:rPr>
          <w:color w:val="000000"/>
          <w:shd w:val="pct15" w:color="auto" w:fill="FFFFFF"/>
          <w:lang w:val="fr-FR"/>
        </w:rPr>
        <w:t>08290 Cerdanyola del Vallès</w:t>
      </w:r>
    </w:p>
    <w:p w14:paraId="127925D5" w14:textId="3438ADDC" w:rsidR="002F4B1E" w:rsidRPr="001B02C1" w:rsidRDefault="002F4B1E" w:rsidP="002F4B1E">
      <w:pPr>
        <w:pStyle w:val="a3"/>
        <w:rPr>
          <w:color w:val="000000"/>
          <w:shd w:val="pct15" w:color="auto" w:fill="FFFFFF"/>
          <w:lang w:val="fr-FR"/>
        </w:rPr>
      </w:pPr>
      <w:r w:rsidRPr="001B02C1">
        <w:rPr>
          <w:color w:val="000000"/>
          <w:shd w:val="pct15" w:color="auto" w:fill="FFFFFF"/>
          <w:lang w:val="fr-FR"/>
        </w:rPr>
        <w:t>Barcelona</w:t>
      </w:r>
    </w:p>
    <w:p w14:paraId="4CAD2429" w14:textId="77777777" w:rsidR="002F4B1E" w:rsidRPr="001B02C1" w:rsidRDefault="002F4B1E" w:rsidP="002F4B1E">
      <w:pPr>
        <w:pStyle w:val="a3"/>
        <w:rPr>
          <w:color w:val="000000"/>
          <w:shd w:val="pct15" w:color="auto" w:fill="FFFFFF"/>
          <w:lang w:val="fr-FR"/>
        </w:rPr>
      </w:pPr>
      <w:r w:rsidRPr="001B02C1">
        <w:rPr>
          <w:color w:val="000000"/>
          <w:shd w:val="pct15" w:color="auto" w:fill="FFFFFF"/>
          <w:lang w:val="fr-FR"/>
        </w:rPr>
        <w:t>Španija</w:t>
      </w:r>
    </w:p>
    <w:p w14:paraId="3673F7E8" w14:textId="77777777" w:rsidR="00B27685" w:rsidRDefault="00B27685" w:rsidP="00840AAB">
      <w:pPr>
        <w:spacing w:before="14" w:line="240" w:lineRule="exact"/>
        <w:rPr>
          <w:sz w:val="24"/>
          <w:szCs w:val="24"/>
          <w:lang w:val="sl-SI"/>
        </w:rPr>
      </w:pPr>
    </w:p>
    <w:p w14:paraId="5BB86279" w14:textId="77777777" w:rsidR="00840AAB" w:rsidRDefault="00840AAB" w:rsidP="00840AAB">
      <w:pPr>
        <w:pStyle w:val="a3"/>
        <w:rPr>
          <w:lang w:val="sl-SI"/>
        </w:rPr>
      </w:pPr>
      <w:r>
        <w:rPr>
          <w:rFonts w:eastAsia="Times New Roman"/>
          <w:lang w:val="sl-SI"/>
        </w:rPr>
        <w:t>Za vse morebitne nadaljnje informacije o tem zdravilu se lahko obrnete na predstavništvo imetnika dovoljenja za promet z zdravilom:</w:t>
      </w:r>
    </w:p>
    <w:p w14:paraId="4BA698CB" w14:textId="77777777" w:rsidR="00840AAB" w:rsidRDefault="00840AAB" w:rsidP="00840AAB">
      <w:pPr>
        <w:numPr>
          <w:ilvl w:val="12"/>
          <w:numId w:val="0"/>
        </w:numPr>
        <w:ind w:right="-2"/>
        <w:rPr>
          <w:rFonts w:ascii="Times New Roman" w:hAnsi="Times New Roman" w:cs="Times New Roman"/>
          <w:b/>
          <w:noProof/>
          <w:lang w:val="sl-SI"/>
        </w:rPr>
      </w:pPr>
    </w:p>
    <w:tbl>
      <w:tblPr>
        <w:tblW w:w="5000" w:type="pct"/>
        <w:tblLook w:val="04A0" w:firstRow="1" w:lastRow="0" w:firstColumn="1" w:lastColumn="0" w:noHBand="0" w:noVBand="1"/>
      </w:tblPr>
      <w:tblGrid>
        <w:gridCol w:w="4800"/>
        <w:gridCol w:w="4800"/>
      </w:tblGrid>
      <w:tr w:rsidR="00840AAB" w14:paraId="10C4A378" w14:textId="77777777" w:rsidTr="00646E14">
        <w:tc>
          <w:tcPr>
            <w:tcW w:w="2500" w:type="pct"/>
            <w:hideMark/>
          </w:tcPr>
          <w:p w14:paraId="51407F9C" w14:textId="77777777" w:rsidR="00840AAB" w:rsidRDefault="00840AAB" w:rsidP="00646E14">
            <w:pPr>
              <w:rPr>
                <w:rFonts w:ascii="Times New Roman" w:hAnsi="Times New Roman" w:cs="Times New Roman"/>
                <w:b/>
                <w:noProof/>
                <w:lang w:val="sl-SI" w:eastAsia="fr-FR"/>
              </w:rPr>
            </w:pPr>
            <w:r>
              <w:rPr>
                <w:rFonts w:ascii="Times New Roman" w:eastAsia="맑은 고딕" w:hAnsi="Times New Roman" w:cs="Times New Roman"/>
                <w:b/>
                <w:noProof/>
                <w:lang w:val="sl-SI" w:eastAsia="fr-FR"/>
              </w:rPr>
              <w:t>België/Belgique/Belgien</w:t>
            </w:r>
          </w:p>
          <w:p w14:paraId="326C51AC"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Belgium BVBA</w:t>
            </w:r>
          </w:p>
          <w:p w14:paraId="008610B3"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Tél/Tel: + 32 1528 7418</w:t>
            </w:r>
          </w:p>
          <w:p w14:paraId="323B5501" w14:textId="77777777" w:rsidR="00840AAB" w:rsidRDefault="00840AAB" w:rsidP="00646E14">
            <w:pPr>
              <w:rPr>
                <w:rFonts w:ascii="Times New Roman" w:eastAsia="맑은 고딕" w:hAnsi="Times New Roman" w:cs="Times New Roman"/>
                <w:noProof/>
                <w:lang w:val="sl-SI" w:eastAsia="ko-KR"/>
              </w:rPr>
            </w:pPr>
          </w:p>
        </w:tc>
        <w:tc>
          <w:tcPr>
            <w:tcW w:w="2500" w:type="pct"/>
          </w:tcPr>
          <w:p w14:paraId="2938E720" w14:textId="77777777" w:rsidR="00840AAB" w:rsidRDefault="00840AAB" w:rsidP="00646E14">
            <w:pPr>
              <w:tabs>
                <w:tab w:val="left" w:pos="-720"/>
              </w:tabs>
              <w:suppressAutoHyphens/>
              <w:rPr>
                <w:rFonts w:ascii="Times New Roman" w:hAnsi="Times New Roman" w:cs="Times New Roman"/>
                <w:b/>
                <w:noProof/>
                <w:lang w:val="sl-SI" w:eastAsia="fr-FR"/>
              </w:rPr>
            </w:pPr>
            <w:r>
              <w:rPr>
                <w:rFonts w:ascii="Times New Roman" w:hAnsi="Times New Roman" w:cs="Times New Roman"/>
                <w:b/>
                <w:noProof/>
                <w:lang w:val="sl-SI" w:eastAsia="fr-FR"/>
              </w:rPr>
              <w:t>Lietuva</w:t>
            </w:r>
          </w:p>
          <w:p w14:paraId="07077ADA"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4500AC36"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45DB7FDA" w14:textId="77777777" w:rsidR="00840AAB" w:rsidRPr="00601584" w:rsidRDefault="00840AAB" w:rsidP="00646E14">
            <w:pPr>
              <w:autoSpaceDE w:val="0"/>
              <w:autoSpaceDN w:val="0"/>
              <w:adjustRightInd w:val="0"/>
              <w:rPr>
                <w:rFonts w:ascii="Times New Roman" w:hAnsi="Times New Roman" w:cs="Times New Roman"/>
                <w:noProof/>
                <w:lang w:val="sl-SI" w:eastAsia="fr-FR"/>
              </w:rPr>
            </w:pPr>
          </w:p>
        </w:tc>
      </w:tr>
      <w:tr w:rsidR="00840AAB" w14:paraId="25B41A59" w14:textId="77777777" w:rsidTr="00646E14">
        <w:trPr>
          <w:trHeight w:val="619"/>
        </w:trPr>
        <w:tc>
          <w:tcPr>
            <w:tcW w:w="2500" w:type="pct"/>
          </w:tcPr>
          <w:p w14:paraId="62BFDAD4" w14:textId="77777777" w:rsidR="00840AAB" w:rsidRDefault="00840AAB" w:rsidP="00646E14">
            <w:pPr>
              <w:rPr>
                <w:rFonts w:ascii="Times New Roman" w:eastAsia="맑은 고딕" w:hAnsi="Times New Roman" w:cs="Times New Roman"/>
                <w:b/>
                <w:noProof/>
                <w:lang w:val="sl-SI" w:eastAsia="fr-FR"/>
              </w:rPr>
            </w:pPr>
            <w:r>
              <w:rPr>
                <w:rFonts w:ascii="Times New Roman" w:hAnsi="Times New Roman" w:cs="Times New Roman"/>
                <w:b/>
                <w:bCs/>
                <w:lang w:val="sl-SI"/>
              </w:rPr>
              <w:t>България</w:t>
            </w:r>
          </w:p>
          <w:p w14:paraId="753AE59B"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6F876F68"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sidRPr="00276580">
              <w:rPr>
                <w:rFonts w:ascii="Times New Roman" w:eastAsia="맑은 고딕" w:hAnsi="Times New Roman" w:cs="Times New Roman"/>
                <w:noProof/>
                <w:lang w:val="sl-SI" w:eastAsia="fr-FR"/>
              </w:rPr>
              <w:t xml:space="preserve">Teл.: </w:t>
            </w:r>
            <w:r>
              <w:rPr>
                <w:rFonts w:ascii="Times New Roman" w:eastAsia="맑은 고딕" w:hAnsi="Times New Roman" w:cs="Times New Roman"/>
                <w:noProof/>
                <w:lang w:val="sl-SI" w:eastAsia="fr-FR"/>
              </w:rPr>
              <w:t>+36 1 231 0493</w:t>
            </w:r>
          </w:p>
          <w:p w14:paraId="39C9CB9D" w14:textId="77777777" w:rsidR="00840AAB" w:rsidRPr="00601584" w:rsidRDefault="00840AAB" w:rsidP="00646E14">
            <w:pPr>
              <w:rPr>
                <w:rFonts w:ascii="Times New Roman" w:hAnsi="Times New Roman" w:cs="Times New Roman"/>
                <w:noProof/>
                <w:lang w:val="sl-SI" w:eastAsia="fr-FR"/>
              </w:rPr>
            </w:pPr>
          </w:p>
        </w:tc>
        <w:tc>
          <w:tcPr>
            <w:tcW w:w="2500" w:type="pct"/>
            <w:hideMark/>
          </w:tcPr>
          <w:p w14:paraId="0D950FFE" w14:textId="77777777" w:rsidR="00840AAB" w:rsidRDefault="00840AAB" w:rsidP="00646E14">
            <w:pPr>
              <w:tabs>
                <w:tab w:val="left" w:pos="-720"/>
              </w:tabs>
              <w:suppressAutoHyphens/>
              <w:rPr>
                <w:rFonts w:ascii="Times New Roman" w:hAnsi="Times New Roman" w:cs="Times New Roman"/>
                <w:noProof/>
                <w:lang w:val="sl-SI" w:eastAsia="fr-FR"/>
              </w:rPr>
            </w:pPr>
            <w:r>
              <w:rPr>
                <w:rFonts w:ascii="Times New Roman" w:eastAsia="맑은 고딕" w:hAnsi="Times New Roman" w:cs="Times New Roman"/>
                <w:b/>
                <w:noProof/>
                <w:lang w:val="sl-SI" w:eastAsia="fr-FR"/>
              </w:rPr>
              <w:t>Luxembourg/Luxemburg</w:t>
            </w:r>
          </w:p>
          <w:p w14:paraId="2A934177"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Belgium BVBA</w:t>
            </w:r>
          </w:p>
          <w:p w14:paraId="6E4342ED" w14:textId="77777777" w:rsidR="00840AAB" w:rsidRDefault="00840AAB" w:rsidP="00646E14">
            <w:pPr>
              <w:tabs>
                <w:tab w:val="left" w:pos="-720"/>
              </w:tabs>
              <w:suppressAutoHyphens/>
              <w:rPr>
                <w:rFonts w:ascii="Times New Roman" w:eastAsia="맑은 고딕" w:hAnsi="Times New Roman" w:cs="Times New Roman"/>
                <w:lang w:val="sl-SI" w:eastAsia="ko-KR"/>
              </w:rPr>
            </w:pPr>
            <w:r>
              <w:rPr>
                <w:rFonts w:ascii="Times New Roman" w:eastAsia="맑은 고딕" w:hAnsi="Times New Roman" w:cs="Times New Roman"/>
                <w:noProof/>
                <w:lang w:val="sl-SI" w:eastAsia="fr-FR"/>
              </w:rPr>
              <w:t>Tél/Tel: + 32 1528 7418</w:t>
            </w:r>
          </w:p>
          <w:p w14:paraId="256B6FFE" w14:textId="77777777" w:rsidR="00840AAB" w:rsidRDefault="00840AAB" w:rsidP="00646E14">
            <w:pPr>
              <w:tabs>
                <w:tab w:val="left" w:pos="-720"/>
              </w:tabs>
              <w:suppressAutoHyphens/>
              <w:rPr>
                <w:rFonts w:ascii="Times New Roman" w:eastAsia="맑은 고딕" w:hAnsi="Times New Roman" w:cs="Times New Roman"/>
                <w:lang w:val="sl-SI" w:eastAsia="ko-KR"/>
              </w:rPr>
            </w:pPr>
          </w:p>
        </w:tc>
      </w:tr>
      <w:tr w:rsidR="00840AAB" w14:paraId="0805C740" w14:textId="77777777" w:rsidTr="00646E14">
        <w:tc>
          <w:tcPr>
            <w:tcW w:w="2500" w:type="pct"/>
            <w:hideMark/>
          </w:tcPr>
          <w:p w14:paraId="09638F38" w14:textId="77777777" w:rsidR="00840AAB" w:rsidRDefault="00840AAB" w:rsidP="00646E14">
            <w:pPr>
              <w:tabs>
                <w:tab w:val="left" w:pos="-720"/>
              </w:tabs>
              <w:suppressAutoHyphens/>
              <w:rPr>
                <w:rFonts w:ascii="Times New Roman" w:eastAsia="맑은 고딕" w:hAnsi="Times New Roman" w:cs="Times New Roman"/>
                <w:b/>
                <w:noProof/>
                <w:lang w:val="sl-SI" w:eastAsia="fr-FR"/>
              </w:rPr>
            </w:pPr>
            <w:r>
              <w:rPr>
                <w:rFonts w:ascii="Times New Roman" w:eastAsia="맑은 고딕" w:hAnsi="Times New Roman" w:cs="Times New Roman"/>
                <w:b/>
                <w:noProof/>
                <w:lang w:val="sl-SI" w:eastAsia="fr-FR"/>
              </w:rPr>
              <w:t>Česká republika</w:t>
            </w:r>
          </w:p>
          <w:p w14:paraId="4B7A0460"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2306B716"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53AA8329" w14:textId="77777777" w:rsidR="00840AAB" w:rsidRPr="00601584" w:rsidRDefault="00840AAB" w:rsidP="00646E14">
            <w:pPr>
              <w:tabs>
                <w:tab w:val="left" w:pos="-720"/>
              </w:tabs>
              <w:suppressAutoHyphens/>
              <w:rPr>
                <w:rFonts w:ascii="Times New Roman" w:hAnsi="Times New Roman" w:cs="Times New Roman"/>
                <w:noProof/>
                <w:lang w:val="sl-SI" w:eastAsia="fr-FR"/>
              </w:rPr>
            </w:pPr>
          </w:p>
        </w:tc>
        <w:tc>
          <w:tcPr>
            <w:tcW w:w="2500" w:type="pct"/>
          </w:tcPr>
          <w:p w14:paraId="4F769043" w14:textId="77777777" w:rsidR="00840AAB" w:rsidRDefault="00840AAB" w:rsidP="00646E14">
            <w:pPr>
              <w:rPr>
                <w:rFonts w:ascii="Times New Roman" w:eastAsia="맑은 고딕" w:hAnsi="Times New Roman" w:cs="Times New Roman"/>
                <w:b/>
                <w:noProof/>
                <w:lang w:val="sl-SI" w:eastAsia="fr-FR"/>
              </w:rPr>
            </w:pPr>
            <w:r>
              <w:rPr>
                <w:rFonts w:ascii="Times New Roman" w:hAnsi="Times New Roman" w:cs="Times New Roman"/>
                <w:b/>
                <w:noProof/>
                <w:lang w:val="sl-SI"/>
              </w:rPr>
              <w:t>Magyarország</w:t>
            </w:r>
          </w:p>
          <w:p w14:paraId="1289486A"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37ABB777"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51AA2978" w14:textId="77777777" w:rsidR="00840AAB" w:rsidRPr="00601584" w:rsidRDefault="00840AAB" w:rsidP="00646E14">
            <w:pPr>
              <w:rPr>
                <w:rFonts w:ascii="Times New Roman" w:eastAsia="맑은 고딕" w:hAnsi="Times New Roman" w:cs="Times New Roman"/>
                <w:noProof/>
                <w:lang w:val="sl-SI" w:eastAsia="ko-KR"/>
              </w:rPr>
            </w:pPr>
          </w:p>
        </w:tc>
      </w:tr>
      <w:tr w:rsidR="00660341" w14:paraId="56972BA9" w14:textId="77777777" w:rsidTr="00646E14">
        <w:tc>
          <w:tcPr>
            <w:tcW w:w="2500" w:type="pct"/>
            <w:hideMark/>
          </w:tcPr>
          <w:p w14:paraId="50F5A79D" w14:textId="77777777" w:rsidR="00660341" w:rsidRPr="00660341" w:rsidRDefault="00660341" w:rsidP="00660341">
            <w:pPr>
              <w:tabs>
                <w:tab w:val="left" w:pos="-720"/>
              </w:tabs>
              <w:suppressAutoHyphens/>
              <w:rPr>
                <w:rFonts w:ascii="Times New Roman" w:hAnsi="Times New Roman" w:cs="Times New Roman"/>
                <w:b/>
                <w:bCs/>
                <w:i/>
                <w:iCs/>
                <w:noProof/>
                <w:lang w:eastAsia="fr-FR"/>
              </w:rPr>
            </w:pPr>
            <w:r w:rsidRPr="00660341">
              <w:rPr>
                <w:rFonts w:ascii="Times New Roman" w:hAnsi="Times New Roman" w:cs="Times New Roman"/>
                <w:b/>
                <w:noProof/>
              </w:rPr>
              <w:t>Danmark</w:t>
            </w:r>
          </w:p>
          <w:p w14:paraId="7B2C07E6" w14:textId="1232F8CF" w:rsidR="00660341" w:rsidRPr="00660341" w:rsidRDefault="00660341" w:rsidP="00660341">
            <w:pPr>
              <w:tabs>
                <w:tab w:val="left" w:pos="-720"/>
              </w:tabs>
              <w:suppressAutoHyphens/>
              <w:rPr>
                <w:rFonts w:ascii="Times New Roman" w:eastAsia="맑은 고딕" w:hAnsi="Times New Roman" w:cs="Times New Roman"/>
                <w:noProof/>
                <w:lang w:eastAsia="fr-FR"/>
              </w:rPr>
            </w:pPr>
            <w:r w:rsidRPr="00660341">
              <w:rPr>
                <w:rFonts w:ascii="Times New Roman" w:eastAsia="맑은 고딕" w:hAnsi="Times New Roman" w:cs="Times New Roman"/>
                <w:noProof/>
                <w:lang w:eastAsia="fr-FR"/>
              </w:rPr>
              <w:t>Celltrion Healthcare Denmark ApS</w:t>
            </w:r>
          </w:p>
          <w:p w14:paraId="39B6F3B3" w14:textId="77777777" w:rsidR="005642C7" w:rsidRPr="00047596" w:rsidRDefault="005642C7" w:rsidP="005642C7">
            <w:pPr>
              <w:tabs>
                <w:tab w:val="left" w:pos="-720"/>
              </w:tabs>
              <w:suppressAutoHyphens/>
              <w:rPr>
                <w:rFonts w:ascii="Times New Roman" w:eastAsia="맑은 고딕" w:hAnsi="Times New Roman" w:cs="Times New Roman"/>
                <w:noProof/>
                <w:lang w:eastAsia="fr-FR"/>
              </w:rPr>
            </w:pPr>
            <w:r w:rsidRPr="00047596">
              <w:rPr>
                <w:rFonts w:ascii="Times New Roman" w:eastAsia="맑은 고딕" w:hAnsi="Times New Roman" w:cs="Times New Roman"/>
                <w:noProof/>
                <w:lang w:eastAsia="fr-FR"/>
              </w:rPr>
              <w:t>Tlf: +</w:t>
            </w:r>
            <w:r w:rsidRPr="00047596">
              <w:rPr>
                <w:rFonts w:ascii="Times New Roman" w:eastAsia="맑은 고딕" w:hAnsi="Times New Roman" w:cs="Times New Roman"/>
                <w:noProof/>
                <w:lang w:eastAsia="ko-KR"/>
              </w:rPr>
              <w:t>45 35352989</w:t>
            </w:r>
          </w:p>
          <w:p w14:paraId="4226BC19" w14:textId="77777777" w:rsidR="00660341" w:rsidRPr="00660341" w:rsidRDefault="00660341" w:rsidP="00660341">
            <w:pPr>
              <w:tabs>
                <w:tab w:val="left" w:pos="-720"/>
              </w:tabs>
              <w:suppressAutoHyphens/>
              <w:rPr>
                <w:rStyle w:val="ad"/>
                <w:rFonts w:ascii="Times New Roman" w:hAnsi="Times New Roman" w:cs="Times New Roman"/>
                <w:lang w:eastAsia="ko-KR"/>
              </w:rPr>
            </w:pPr>
            <w:r w:rsidRPr="00660341">
              <w:rPr>
                <w:rStyle w:val="ad"/>
                <w:rFonts w:ascii="Times New Roman" w:eastAsia="맑은 고딕" w:hAnsi="Times New Roman" w:cs="Times New Roman"/>
                <w:noProof/>
                <w:lang w:eastAsia="ko-KR"/>
              </w:rPr>
              <w:t>Contact_dk@celltrionhc.com</w:t>
            </w:r>
          </w:p>
          <w:p w14:paraId="363BE98B" w14:textId="77777777" w:rsidR="00660341" w:rsidRPr="00660341" w:rsidRDefault="00660341" w:rsidP="00660341">
            <w:pPr>
              <w:tabs>
                <w:tab w:val="left" w:pos="-720"/>
              </w:tabs>
              <w:suppressAutoHyphens/>
              <w:rPr>
                <w:rFonts w:ascii="Times New Roman" w:eastAsia="맑은 고딕" w:hAnsi="Times New Roman" w:cs="Times New Roman"/>
                <w:noProof/>
                <w:lang w:eastAsia="fr-FR"/>
              </w:rPr>
            </w:pPr>
          </w:p>
          <w:p w14:paraId="09672A72" w14:textId="4FA390C5" w:rsidR="00660341" w:rsidRPr="00660341" w:rsidRDefault="00660341" w:rsidP="00660341">
            <w:pPr>
              <w:tabs>
                <w:tab w:val="left" w:pos="-720"/>
              </w:tabs>
              <w:suppressAutoHyphens/>
              <w:rPr>
                <w:rFonts w:ascii="Times New Roman" w:eastAsia="맑은 고딕" w:hAnsi="Times New Roman" w:cs="Times New Roman"/>
                <w:noProof/>
                <w:lang w:val="sl-SI" w:eastAsia="fr-FR"/>
              </w:rPr>
            </w:pPr>
          </w:p>
        </w:tc>
        <w:tc>
          <w:tcPr>
            <w:tcW w:w="2500" w:type="pct"/>
          </w:tcPr>
          <w:p w14:paraId="337B404E" w14:textId="77777777" w:rsidR="00660341" w:rsidRPr="00660341" w:rsidRDefault="00660341" w:rsidP="00660341">
            <w:pPr>
              <w:rPr>
                <w:rFonts w:ascii="Times New Roman" w:hAnsi="Times New Roman" w:cs="Times New Roman"/>
                <w:noProof/>
                <w:lang w:eastAsia="fr-FR"/>
              </w:rPr>
            </w:pPr>
            <w:r w:rsidRPr="00660341">
              <w:rPr>
                <w:rFonts w:ascii="Times New Roman" w:eastAsia="맑은 고딕" w:hAnsi="Times New Roman" w:cs="Times New Roman"/>
                <w:b/>
                <w:noProof/>
                <w:lang w:eastAsia="fr-FR"/>
              </w:rPr>
              <w:t>Malta</w:t>
            </w:r>
          </w:p>
          <w:p w14:paraId="1A5EBCC4" w14:textId="77777777" w:rsidR="00660341" w:rsidRPr="00660341" w:rsidRDefault="00660341" w:rsidP="00660341">
            <w:pPr>
              <w:tabs>
                <w:tab w:val="left" w:pos="-720"/>
              </w:tabs>
              <w:suppressAutoHyphens/>
              <w:rPr>
                <w:rFonts w:ascii="Times New Roman" w:eastAsia="맑은 고딕" w:hAnsi="Times New Roman" w:cs="Times New Roman"/>
                <w:noProof/>
                <w:lang w:eastAsia="fr-FR"/>
              </w:rPr>
            </w:pPr>
            <w:r w:rsidRPr="00660341">
              <w:rPr>
                <w:rFonts w:ascii="Times New Roman" w:eastAsia="맑은 고딕" w:hAnsi="Times New Roman" w:cs="Times New Roman"/>
                <w:noProof/>
                <w:lang w:eastAsia="fr-FR"/>
              </w:rPr>
              <w:t>Mint Health Ltd.</w:t>
            </w:r>
          </w:p>
          <w:p w14:paraId="3F7C692B" w14:textId="77777777" w:rsidR="00660341" w:rsidRPr="00660341" w:rsidRDefault="00660341" w:rsidP="00660341">
            <w:pPr>
              <w:rPr>
                <w:rFonts w:ascii="Times New Roman" w:eastAsia="맑은 고딕" w:hAnsi="Times New Roman" w:cs="Times New Roman"/>
                <w:noProof/>
                <w:lang w:eastAsia="ko-KR"/>
              </w:rPr>
            </w:pPr>
            <w:r w:rsidRPr="00660341">
              <w:rPr>
                <w:rFonts w:ascii="Times New Roman" w:eastAsia="맑은 고딕" w:hAnsi="Times New Roman" w:cs="Times New Roman"/>
                <w:noProof/>
                <w:lang w:eastAsia="fr-FR"/>
              </w:rPr>
              <w:t>Tel: +356 2093 9800</w:t>
            </w:r>
          </w:p>
          <w:p w14:paraId="68E93B5C" w14:textId="77777777" w:rsidR="00660341" w:rsidRPr="00660341" w:rsidRDefault="00660341" w:rsidP="00660341">
            <w:pPr>
              <w:rPr>
                <w:rFonts w:ascii="Times New Roman" w:eastAsia="맑은 고딕" w:hAnsi="Times New Roman" w:cs="Times New Roman"/>
                <w:noProof/>
                <w:lang w:val="sl-SI" w:eastAsia="ko-KR"/>
              </w:rPr>
            </w:pPr>
          </w:p>
        </w:tc>
      </w:tr>
      <w:tr w:rsidR="00660341" w14:paraId="5008C93D" w14:textId="77777777" w:rsidTr="00646E14">
        <w:tc>
          <w:tcPr>
            <w:tcW w:w="2500" w:type="pct"/>
            <w:hideMark/>
          </w:tcPr>
          <w:p w14:paraId="22DB78C7" w14:textId="77777777" w:rsidR="00660341" w:rsidRPr="00660341" w:rsidRDefault="00660341" w:rsidP="00660341">
            <w:pPr>
              <w:rPr>
                <w:rFonts w:ascii="Times New Roman" w:hAnsi="Times New Roman" w:cs="Times New Roman"/>
                <w:b/>
                <w:noProof/>
                <w:lang w:eastAsia="fr-FR"/>
              </w:rPr>
            </w:pPr>
            <w:r w:rsidRPr="00660341">
              <w:rPr>
                <w:rFonts w:ascii="Times New Roman" w:eastAsia="맑은 고딕" w:hAnsi="Times New Roman" w:cs="Times New Roman"/>
                <w:b/>
                <w:noProof/>
                <w:lang w:eastAsia="fr-FR"/>
              </w:rPr>
              <w:t>Deutschland</w:t>
            </w:r>
          </w:p>
          <w:p w14:paraId="58B5422F" w14:textId="77777777" w:rsidR="00660341" w:rsidRPr="00660341" w:rsidRDefault="00660341" w:rsidP="00660341">
            <w:pPr>
              <w:rPr>
                <w:rFonts w:ascii="Times New Roman" w:hAnsi="Times New Roman" w:cs="Times New Roman"/>
                <w:noProof/>
                <w:lang w:eastAsia="ko-KR"/>
              </w:rPr>
            </w:pPr>
            <w:r w:rsidRPr="00660341">
              <w:rPr>
                <w:rFonts w:ascii="Times New Roman" w:hAnsi="Times New Roman" w:cs="Times New Roman"/>
                <w:noProof/>
                <w:lang w:eastAsia="ko-KR"/>
              </w:rPr>
              <w:t xml:space="preserve">Celltrion Healthcare Deutschland </w:t>
            </w:r>
            <w:r w:rsidRPr="00660341">
              <w:rPr>
                <w:rFonts w:ascii="Times New Roman" w:eastAsia="바탕" w:hAnsi="Times New Roman" w:cs="Times New Roman"/>
                <w:noProof/>
                <w:lang w:eastAsia="ko-KR"/>
              </w:rPr>
              <w:t>GmbH</w:t>
            </w:r>
          </w:p>
          <w:p w14:paraId="3CB8E163" w14:textId="6317D289" w:rsidR="00660341" w:rsidRPr="00660341" w:rsidRDefault="00660341" w:rsidP="00660341">
            <w:pPr>
              <w:tabs>
                <w:tab w:val="left" w:pos="-720"/>
              </w:tabs>
              <w:suppressAutoHyphens/>
              <w:rPr>
                <w:rFonts w:ascii="Times New Roman" w:hAnsi="Times New Roman" w:cs="Times New Roman"/>
                <w:noProof/>
                <w:lang w:eastAsia="ko-KR"/>
              </w:rPr>
            </w:pPr>
            <w:r w:rsidRPr="00660341">
              <w:rPr>
                <w:rFonts w:ascii="Times New Roman" w:hAnsi="Times New Roman" w:cs="Times New Roman"/>
                <w:noProof/>
                <w:lang w:eastAsia="ko-KR"/>
              </w:rPr>
              <w:t>T</w:t>
            </w:r>
            <w:r w:rsidR="006A2BD8">
              <w:rPr>
                <w:rFonts w:ascii="Times New Roman" w:hAnsi="Times New Roman" w:cs="Times New Roman" w:hint="eastAsia"/>
                <w:noProof/>
                <w:lang w:eastAsia="ko-KR"/>
              </w:rPr>
              <w:t>e</w:t>
            </w:r>
            <w:r w:rsidRPr="00660341">
              <w:rPr>
                <w:rFonts w:ascii="Times New Roman" w:hAnsi="Times New Roman" w:cs="Times New Roman"/>
                <w:noProof/>
                <w:lang w:eastAsia="ko-KR"/>
              </w:rPr>
              <w:t>l.: +49 (0)30 346494150</w:t>
            </w:r>
          </w:p>
          <w:p w14:paraId="1BAB646A" w14:textId="77777777" w:rsidR="00660341" w:rsidRPr="00660341" w:rsidRDefault="00660341" w:rsidP="00660341">
            <w:pPr>
              <w:tabs>
                <w:tab w:val="left" w:pos="-720"/>
              </w:tabs>
              <w:suppressAutoHyphens/>
              <w:rPr>
                <w:rFonts w:ascii="Times New Roman" w:eastAsia="맑은 고딕" w:hAnsi="Times New Roman" w:cs="Times New Roman"/>
                <w:noProof/>
                <w:lang w:eastAsia="ko-KR"/>
              </w:rPr>
            </w:pPr>
            <w:hyperlink r:id="rId136" w:history="1">
              <w:r w:rsidRPr="00660341">
                <w:rPr>
                  <w:rStyle w:val="ad"/>
                  <w:rFonts w:ascii="Times New Roman" w:eastAsia="맑은 고딕" w:hAnsi="Times New Roman" w:cs="Times New Roman"/>
                  <w:noProof/>
                  <w:lang w:eastAsia="ko-KR"/>
                </w:rPr>
                <w:t>infoDE@celltrionhc.com</w:t>
              </w:r>
            </w:hyperlink>
          </w:p>
          <w:p w14:paraId="1937FAFF" w14:textId="77777777" w:rsidR="00660341" w:rsidRPr="00660341" w:rsidRDefault="00660341" w:rsidP="00660341">
            <w:pPr>
              <w:tabs>
                <w:tab w:val="left" w:pos="-720"/>
              </w:tabs>
              <w:suppressAutoHyphens/>
              <w:rPr>
                <w:rFonts w:ascii="Times New Roman" w:eastAsia="맑은 고딕" w:hAnsi="Times New Roman" w:cs="Times New Roman"/>
                <w:noProof/>
                <w:lang w:eastAsia="ko-KR"/>
              </w:rPr>
            </w:pPr>
          </w:p>
          <w:p w14:paraId="12E069F4" w14:textId="77777777" w:rsidR="00660341" w:rsidRPr="00660341" w:rsidRDefault="00660341" w:rsidP="00660341">
            <w:pPr>
              <w:tabs>
                <w:tab w:val="left" w:pos="-720"/>
              </w:tabs>
              <w:suppressAutoHyphens/>
              <w:rPr>
                <w:rFonts w:ascii="Times New Roman" w:eastAsia="맑은 고딕" w:hAnsi="Times New Roman" w:cs="Times New Roman"/>
                <w:noProof/>
                <w:lang w:val="sl-SI" w:eastAsia="fr-FR"/>
              </w:rPr>
            </w:pPr>
          </w:p>
        </w:tc>
        <w:tc>
          <w:tcPr>
            <w:tcW w:w="2500" w:type="pct"/>
          </w:tcPr>
          <w:p w14:paraId="13A4BCDD" w14:textId="77777777" w:rsidR="00660341" w:rsidRPr="00660341" w:rsidRDefault="00660341" w:rsidP="00660341">
            <w:pPr>
              <w:rPr>
                <w:rFonts w:ascii="Times New Roman" w:hAnsi="Times New Roman" w:cs="Times New Roman"/>
                <w:noProof/>
                <w:lang w:eastAsia="fr-FR"/>
              </w:rPr>
            </w:pPr>
            <w:r w:rsidRPr="00660341">
              <w:rPr>
                <w:rFonts w:ascii="Times New Roman" w:eastAsia="맑은 고딕" w:hAnsi="Times New Roman" w:cs="Times New Roman"/>
                <w:b/>
                <w:noProof/>
                <w:lang w:eastAsia="fr-FR"/>
              </w:rPr>
              <w:t>Nederland</w:t>
            </w:r>
          </w:p>
          <w:p w14:paraId="31EE34EA" w14:textId="77777777" w:rsidR="00660341" w:rsidRPr="00660341" w:rsidRDefault="00660341" w:rsidP="00660341">
            <w:pPr>
              <w:rPr>
                <w:rFonts w:ascii="Times New Roman" w:eastAsia="맑은 고딕" w:hAnsi="Times New Roman" w:cs="Times New Roman"/>
                <w:noProof/>
                <w:lang w:eastAsia="fr-FR"/>
              </w:rPr>
            </w:pPr>
            <w:r w:rsidRPr="00660341">
              <w:rPr>
                <w:rFonts w:ascii="Times New Roman" w:eastAsia="맑은 고딕" w:hAnsi="Times New Roman" w:cs="Times New Roman"/>
                <w:noProof/>
                <w:lang w:eastAsia="fr-FR"/>
              </w:rPr>
              <w:t>Celltrion Healthcare Netherlands B.V.</w:t>
            </w:r>
          </w:p>
          <w:p w14:paraId="1A70CB8D" w14:textId="77777777" w:rsidR="00660341" w:rsidRPr="00660341" w:rsidRDefault="00660341" w:rsidP="00660341">
            <w:pPr>
              <w:rPr>
                <w:rFonts w:ascii="Times New Roman" w:eastAsia="맑은 고딕" w:hAnsi="Times New Roman" w:cs="Times New Roman"/>
                <w:noProof/>
                <w:lang w:eastAsia="fr-FR"/>
              </w:rPr>
            </w:pPr>
            <w:r w:rsidRPr="00660341">
              <w:rPr>
                <w:rFonts w:ascii="Times New Roman" w:eastAsia="맑은 고딕" w:hAnsi="Times New Roman" w:cs="Times New Roman"/>
                <w:noProof/>
                <w:lang w:eastAsia="fr-FR"/>
              </w:rPr>
              <w:t>Tel: + 31 20 888 7300</w:t>
            </w:r>
          </w:p>
          <w:p w14:paraId="09E5CD7C" w14:textId="77777777" w:rsidR="00660341" w:rsidRPr="00660341" w:rsidRDefault="00660341" w:rsidP="00660341">
            <w:pPr>
              <w:rPr>
                <w:rFonts w:ascii="Times New Roman" w:eastAsia="맑은 고딕" w:hAnsi="Times New Roman" w:cs="Times New Roman"/>
                <w:noProof/>
                <w:lang w:val="sl-SI" w:eastAsia="fr-FR"/>
              </w:rPr>
            </w:pPr>
          </w:p>
        </w:tc>
      </w:tr>
      <w:tr w:rsidR="00660341" w14:paraId="20E5AE19" w14:textId="77777777" w:rsidTr="00646E14">
        <w:tc>
          <w:tcPr>
            <w:tcW w:w="2500" w:type="pct"/>
            <w:hideMark/>
          </w:tcPr>
          <w:p w14:paraId="743DB231" w14:textId="77777777" w:rsidR="00660341" w:rsidRPr="00660341" w:rsidRDefault="00660341" w:rsidP="00660341">
            <w:pPr>
              <w:tabs>
                <w:tab w:val="left" w:pos="-720"/>
                <w:tab w:val="left" w:pos="4536"/>
              </w:tabs>
              <w:suppressAutoHyphens/>
              <w:rPr>
                <w:rFonts w:ascii="Times New Roman" w:hAnsi="Times New Roman" w:cs="Times New Roman"/>
                <w:b/>
                <w:noProof/>
                <w:lang w:val="en-GB" w:eastAsia="fr-FR"/>
              </w:rPr>
            </w:pPr>
            <w:r w:rsidRPr="00660341">
              <w:rPr>
                <w:rFonts w:ascii="Times New Roman" w:eastAsia="맑은 고딕" w:hAnsi="Times New Roman" w:cs="Times New Roman"/>
                <w:b/>
                <w:noProof/>
                <w:lang w:val="en-GB" w:eastAsia="fr-FR"/>
              </w:rPr>
              <w:t>Eesti</w:t>
            </w:r>
          </w:p>
          <w:p w14:paraId="7DE9F70F" w14:textId="77777777" w:rsidR="00660341" w:rsidRPr="00660341" w:rsidRDefault="00660341" w:rsidP="00660341">
            <w:pPr>
              <w:rPr>
                <w:rFonts w:ascii="Times New Roman" w:eastAsia="맑은 고딕" w:hAnsi="Times New Roman" w:cs="Times New Roman"/>
                <w:noProof/>
                <w:lang w:val="en-GB" w:eastAsia="fr-FR"/>
              </w:rPr>
            </w:pPr>
            <w:r w:rsidRPr="00660341">
              <w:rPr>
                <w:rFonts w:ascii="Times New Roman" w:eastAsia="맑은 고딕" w:hAnsi="Times New Roman" w:cs="Times New Roman"/>
                <w:noProof/>
                <w:lang w:val="en-GB" w:eastAsia="fr-FR"/>
              </w:rPr>
              <w:t>Celltrion Healthcare Hungary Kft.</w:t>
            </w:r>
          </w:p>
          <w:p w14:paraId="13B804FF" w14:textId="77777777" w:rsidR="00660341" w:rsidRPr="00660341" w:rsidRDefault="00660341" w:rsidP="00660341">
            <w:pPr>
              <w:tabs>
                <w:tab w:val="left" w:pos="-720"/>
              </w:tabs>
              <w:suppressAutoHyphens/>
              <w:rPr>
                <w:rFonts w:ascii="Times New Roman" w:eastAsia="맑은 고딕" w:hAnsi="Times New Roman" w:cs="Times New Roman"/>
                <w:noProof/>
                <w:lang w:val="fi-FI" w:eastAsia="fr-FR"/>
              </w:rPr>
            </w:pPr>
            <w:r w:rsidRPr="00660341">
              <w:rPr>
                <w:rFonts w:ascii="Times New Roman" w:eastAsia="맑은 고딕" w:hAnsi="Times New Roman" w:cs="Times New Roman"/>
                <w:noProof/>
                <w:lang w:eastAsia="fr-FR"/>
              </w:rPr>
              <w:t xml:space="preserve">Tel: </w:t>
            </w:r>
            <w:r w:rsidRPr="00660341">
              <w:rPr>
                <w:rFonts w:ascii="Times New Roman" w:eastAsia="맑은 고딕" w:hAnsi="Times New Roman" w:cs="Times New Roman"/>
                <w:noProof/>
                <w:lang w:val="fi-FI" w:eastAsia="fr-FR"/>
              </w:rPr>
              <w:t>+36 1 231 0493</w:t>
            </w:r>
          </w:p>
          <w:p w14:paraId="2BCDDE1B" w14:textId="77777777" w:rsidR="00660341" w:rsidRPr="00660341" w:rsidRDefault="00660341" w:rsidP="00660341">
            <w:pPr>
              <w:tabs>
                <w:tab w:val="left" w:pos="-720"/>
              </w:tabs>
              <w:suppressAutoHyphens/>
              <w:rPr>
                <w:rFonts w:ascii="Times New Roman" w:eastAsia="맑은 고딕" w:hAnsi="Times New Roman" w:cs="Times New Roman"/>
                <w:noProof/>
                <w:lang w:val="sl-SI" w:eastAsia="ko-KR"/>
              </w:rPr>
            </w:pPr>
          </w:p>
        </w:tc>
        <w:tc>
          <w:tcPr>
            <w:tcW w:w="2500" w:type="pct"/>
          </w:tcPr>
          <w:p w14:paraId="15A45892" w14:textId="77777777" w:rsidR="00660341" w:rsidRPr="00660341" w:rsidRDefault="00660341" w:rsidP="00660341">
            <w:pPr>
              <w:tabs>
                <w:tab w:val="left" w:pos="-720"/>
              </w:tabs>
              <w:suppressAutoHyphens/>
              <w:rPr>
                <w:rFonts w:ascii="Times New Roman" w:hAnsi="Times New Roman" w:cs="Times New Roman"/>
                <w:noProof/>
                <w:lang w:eastAsia="fr-FR"/>
              </w:rPr>
            </w:pPr>
            <w:r w:rsidRPr="00660341">
              <w:rPr>
                <w:rFonts w:ascii="Times New Roman" w:eastAsia="맑은 고딕" w:hAnsi="Times New Roman" w:cs="Times New Roman"/>
                <w:b/>
                <w:noProof/>
                <w:lang w:eastAsia="fr-FR"/>
              </w:rPr>
              <w:t>Norge</w:t>
            </w:r>
          </w:p>
          <w:p w14:paraId="5CE699C7" w14:textId="6BFC3CEE" w:rsidR="00660341" w:rsidRPr="00660341" w:rsidRDefault="00660341" w:rsidP="00660341">
            <w:pPr>
              <w:rPr>
                <w:rFonts w:ascii="Times New Roman" w:eastAsia="맑은 고딕" w:hAnsi="Times New Roman" w:cs="Times New Roman"/>
                <w:noProof/>
                <w:lang w:eastAsia="fr-FR"/>
              </w:rPr>
            </w:pPr>
            <w:r w:rsidRPr="00660341">
              <w:rPr>
                <w:rFonts w:ascii="Times New Roman" w:eastAsia="맑은 고딕" w:hAnsi="Times New Roman" w:cs="Times New Roman"/>
                <w:noProof/>
                <w:lang w:eastAsia="fr-FR"/>
              </w:rPr>
              <w:t xml:space="preserve">Celltrion Healthcare </w:t>
            </w:r>
            <w:r w:rsidRPr="00660341">
              <w:rPr>
                <w:rFonts w:ascii="Times New Roman" w:eastAsia="맑은 고딕" w:hAnsi="Times New Roman" w:cs="Times New Roman"/>
                <w:noProof/>
                <w:lang w:eastAsia="ko-KR"/>
              </w:rPr>
              <w:t>Norway AS</w:t>
            </w:r>
          </w:p>
          <w:p w14:paraId="0D048E12" w14:textId="76D512A1" w:rsidR="00660341" w:rsidRPr="00660341" w:rsidRDefault="00660341" w:rsidP="00660341">
            <w:pPr>
              <w:tabs>
                <w:tab w:val="left" w:pos="-720"/>
              </w:tabs>
              <w:suppressAutoHyphens/>
              <w:rPr>
                <w:rStyle w:val="ad"/>
                <w:rFonts w:ascii="Times New Roman" w:hAnsi="Times New Roman" w:cs="Times New Roman"/>
                <w:lang w:eastAsia="ko-KR"/>
              </w:rPr>
            </w:pPr>
            <w:hyperlink r:id="rId137" w:history="1">
              <w:r w:rsidRPr="00660341">
                <w:rPr>
                  <w:rStyle w:val="ad"/>
                  <w:rFonts w:ascii="Times New Roman" w:eastAsia="맑은 고딕" w:hAnsi="Times New Roman" w:cs="Times New Roman"/>
                  <w:noProof/>
                  <w:lang w:eastAsia="ko-KR"/>
                </w:rPr>
                <w:t>Contact_no@celltrionhc.com</w:t>
              </w:r>
            </w:hyperlink>
          </w:p>
          <w:p w14:paraId="6A502D45" w14:textId="77777777" w:rsidR="00660341" w:rsidRPr="00660341" w:rsidRDefault="00660341" w:rsidP="00660341">
            <w:pPr>
              <w:tabs>
                <w:tab w:val="left" w:pos="-720"/>
              </w:tabs>
              <w:suppressAutoHyphens/>
              <w:rPr>
                <w:rFonts w:ascii="Times New Roman" w:eastAsia="맑은 고딕" w:hAnsi="Times New Roman" w:cs="Times New Roman"/>
                <w:noProof/>
                <w:lang w:val="sl-SI" w:eastAsia="ko-KR"/>
              </w:rPr>
            </w:pPr>
          </w:p>
        </w:tc>
      </w:tr>
      <w:tr w:rsidR="00840AAB" w:rsidRPr="00AC7013" w14:paraId="32BF3495" w14:textId="77777777" w:rsidTr="00646E14">
        <w:tc>
          <w:tcPr>
            <w:tcW w:w="2500" w:type="pct"/>
            <w:hideMark/>
          </w:tcPr>
          <w:p w14:paraId="2654BC7E" w14:textId="77777777" w:rsidR="00840AAB" w:rsidRDefault="00840AAB" w:rsidP="00646E14">
            <w:pPr>
              <w:rPr>
                <w:rFonts w:ascii="Times New Roman" w:hAnsi="Times New Roman" w:cs="Times New Roman"/>
                <w:noProof/>
                <w:lang w:val="sl-SI" w:eastAsia="fr-FR"/>
              </w:rPr>
            </w:pPr>
            <w:r>
              <w:rPr>
                <w:rFonts w:ascii="Times New Roman" w:hAnsi="Times New Roman" w:cs="Times New Roman"/>
                <w:b/>
                <w:noProof/>
                <w:lang w:val="sl-SI"/>
              </w:rPr>
              <w:t>España</w:t>
            </w:r>
          </w:p>
          <w:p w14:paraId="1BCFE539"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Kern Pharma, S.L.</w:t>
            </w:r>
          </w:p>
          <w:p w14:paraId="11997F12"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+34 93 700 2525</w:t>
            </w:r>
          </w:p>
          <w:p w14:paraId="48AC9454" w14:textId="77777777" w:rsidR="00840AAB" w:rsidRDefault="00840AAB" w:rsidP="00646E14">
            <w:pPr>
              <w:rPr>
                <w:rFonts w:ascii="Times New Roman" w:hAnsi="Times New Roman" w:cs="Times New Roman"/>
                <w:b/>
                <w:noProof/>
                <w:lang w:val="sl-SI" w:eastAsia="fr-FR"/>
              </w:rPr>
            </w:pPr>
          </w:p>
        </w:tc>
        <w:tc>
          <w:tcPr>
            <w:tcW w:w="2500" w:type="pct"/>
          </w:tcPr>
          <w:p w14:paraId="1FC33C99" w14:textId="77777777" w:rsidR="00840AAB" w:rsidRDefault="00840AAB" w:rsidP="00646E14">
            <w:pPr>
              <w:rPr>
                <w:rFonts w:ascii="Times New Roman" w:hAnsi="Times New Roman" w:cs="Times New Roman"/>
                <w:noProof/>
                <w:lang w:val="sl-SI" w:eastAsia="fr-FR"/>
              </w:rPr>
            </w:pPr>
            <w:r>
              <w:rPr>
                <w:rFonts w:ascii="Times New Roman" w:hAnsi="Times New Roman" w:cs="Times New Roman"/>
                <w:b/>
                <w:noProof/>
                <w:lang w:val="sl-SI"/>
              </w:rPr>
              <w:t>Österreich</w:t>
            </w:r>
          </w:p>
          <w:p w14:paraId="1FF88A82" w14:textId="77777777" w:rsidR="00840AAB" w:rsidRDefault="00840AAB" w:rsidP="00646E14">
            <w:pPr>
              <w:rPr>
                <w:rFonts w:ascii="Times New Roman" w:eastAsia="맑은 고딕" w:hAnsi="Times New Roman" w:cs="Times New Roman"/>
                <w:noProof/>
                <w:lang w:val="sl-SI" w:eastAsia="ko-KR"/>
              </w:rPr>
            </w:pPr>
            <w:r>
              <w:rPr>
                <w:rFonts w:ascii="Times New Roman" w:eastAsia="맑은 고딕" w:hAnsi="Times New Roman" w:cs="Times New Roman"/>
                <w:noProof/>
                <w:lang w:val="sl-SI" w:eastAsia="fr-FR"/>
              </w:rPr>
              <w:t>Astro-Pharma GmbH</w:t>
            </w:r>
          </w:p>
          <w:p w14:paraId="1CE6574C"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+43 1 97 99 860</w:t>
            </w:r>
          </w:p>
          <w:p w14:paraId="4BAFCFAE" w14:textId="77777777" w:rsidR="00840AAB" w:rsidRDefault="00840AAB" w:rsidP="00646E14">
            <w:pPr>
              <w:tabs>
                <w:tab w:val="left" w:pos="-720"/>
              </w:tabs>
              <w:suppressAutoHyphens/>
              <w:rPr>
                <w:rFonts w:ascii="Times New Roman" w:hAnsi="Times New Roman" w:cs="Times New Roman"/>
                <w:noProof/>
                <w:lang w:val="sl-SI" w:eastAsia="fr-FR"/>
              </w:rPr>
            </w:pPr>
          </w:p>
        </w:tc>
      </w:tr>
      <w:tr w:rsidR="00840AAB" w14:paraId="6483906B" w14:textId="77777777" w:rsidTr="00646E14">
        <w:tc>
          <w:tcPr>
            <w:tcW w:w="2500" w:type="pct"/>
          </w:tcPr>
          <w:p w14:paraId="6C5100F5" w14:textId="77777777" w:rsidR="00840AAB" w:rsidRDefault="00840AAB" w:rsidP="00646E14">
            <w:pPr>
              <w:rPr>
                <w:rFonts w:ascii="Times New Roman" w:hAnsi="Times New Roman" w:cs="Times New Roman"/>
                <w:b/>
                <w:noProof/>
                <w:lang w:val="sl-SI" w:eastAsia="fr-FR"/>
              </w:rPr>
            </w:pPr>
            <w:r>
              <w:rPr>
                <w:rFonts w:ascii="Times New Roman" w:hAnsi="Times New Roman" w:cs="Times New Roman"/>
                <w:b/>
                <w:noProof/>
                <w:lang w:val="sl-SI" w:eastAsia="fr-FR"/>
              </w:rPr>
              <w:t>Ελλάδα</w:t>
            </w:r>
          </w:p>
          <w:p w14:paraId="7A9EA61F" w14:textId="77777777" w:rsidR="00840AAB" w:rsidRDefault="00840AAB" w:rsidP="00646E14">
            <w:pPr>
              <w:rPr>
                <w:rFonts w:ascii="Times New Roman" w:hAnsi="Times New Roman" w:cs="Times New Roman"/>
                <w:noProof/>
                <w:lang w:val="sl-SI" w:eastAsia="fr-FR"/>
              </w:rPr>
            </w:pPr>
            <w:r>
              <w:rPr>
                <w:rFonts w:ascii="Times New Roman" w:hAnsi="Times New Roman" w:cs="Times New Roman"/>
                <w:noProof/>
                <w:lang w:val="sl-SI" w:eastAsia="fr-FR"/>
              </w:rPr>
              <w:t>ΒΙΑΝΕΞ Α.Ε.</w:t>
            </w:r>
          </w:p>
          <w:p w14:paraId="3357DB7D" w14:textId="0A8C1C63" w:rsidR="00840AAB" w:rsidRDefault="00840AAB" w:rsidP="00646E14">
            <w:pPr>
              <w:rPr>
                <w:rFonts w:ascii="Times New Roman" w:hAnsi="Times New Roman" w:cs="Times New Roman"/>
                <w:noProof/>
                <w:lang w:val="sl-SI" w:eastAsia="fr-FR"/>
              </w:rPr>
            </w:pPr>
            <w:r>
              <w:rPr>
                <w:rFonts w:ascii="Times New Roman" w:hAnsi="Times New Roman" w:cs="Times New Roman"/>
                <w:noProof/>
                <w:lang w:val="sl-SI" w:eastAsia="fr-FR"/>
              </w:rPr>
              <w:t>Τηλ: +30 210 8009111</w:t>
            </w:r>
          </w:p>
          <w:p w14:paraId="4C8C175C" w14:textId="77777777" w:rsidR="00840AAB" w:rsidRDefault="00840AAB" w:rsidP="00646E14">
            <w:pPr>
              <w:rPr>
                <w:rFonts w:ascii="Times New Roman" w:eastAsia="맑은 고딕" w:hAnsi="Times New Roman" w:cs="Times New Roman"/>
                <w:noProof/>
                <w:lang w:val="sl-SI" w:eastAsia="fr-FR"/>
              </w:rPr>
            </w:pPr>
          </w:p>
        </w:tc>
        <w:tc>
          <w:tcPr>
            <w:tcW w:w="2500" w:type="pct"/>
          </w:tcPr>
          <w:p w14:paraId="3569132B" w14:textId="77777777" w:rsidR="00840AAB" w:rsidRDefault="00840AAB" w:rsidP="00646E14">
            <w:pPr>
              <w:rPr>
                <w:rFonts w:ascii="Times New Roman" w:eastAsia="맑은 고딕" w:hAnsi="Times New Roman" w:cs="Times New Roman"/>
                <w:b/>
                <w:noProof/>
                <w:lang w:val="sl-SI" w:eastAsia="fr-FR"/>
              </w:rPr>
            </w:pPr>
            <w:r>
              <w:rPr>
                <w:rFonts w:ascii="Times New Roman" w:eastAsia="맑은 고딕" w:hAnsi="Times New Roman" w:cs="Times New Roman"/>
                <w:b/>
                <w:noProof/>
                <w:lang w:val="sl-SI" w:eastAsia="fr-FR"/>
              </w:rPr>
              <w:t>Polska</w:t>
            </w:r>
          </w:p>
          <w:p w14:paraId="1B111DEF"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7AB60DF9"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3542F37B" w14:textId="77777777" w:rsidR="00840AAB" w:rsidRPr="00601584" w:rsidRDefault="00840AAB" w:rsidP="00646E14">
            <w:pPr>
              <w:rPr>
                <w:rFonts w:ascii="Times New Roman" w:hAnsi="Times New Roman" w:cs="Times New Roman"/>
                <w:b/>
                <w:noProof/>
                <w:lang w:val="sl-SI"/>
              </w:rPr>
            </w:pPr>
          </w:p>
        </w:tc>
      </w:tr>
      <w:tr w:rsidR="00840AAB" w:rsidRPr="00475A1E" w14:paraId="34DD3AF8" w14:textId="77777777" w:rsidTr="00646E14">
        <w:tc>
          <w:tcPr>
            <w:tcW w:w="2500" w:type="pct"/>
          </w:tcPr>
          <w:p w14:paraId="264857CD" w14:textId="77777777" w:rsidR="00840AAB" w:rsidRDefault="00840AAB" w:rsidP="001B02C1">
            <w:pPr>
              <w:keepNext/>
              <w:keepLines/>
              <w:rPr>
                <w:rFonts w:ascii="Times New Roman" w:hAnsi="Times New Roman" w:cs="Times New Roman"/>
                <w:b/>
                <w:noProof/>
                <w:lang w:val="sl-SI" w:eastAsia="ko-KR"/>
              </w:rPr>
            </w:pPr>
            <w:r>
              <w:rPr>
                <w:rFonts w:ascii="Times New Roman" w:hAnsi="Times New Roman" w:cs="Times New Roman"/>
                <w:b/>
                <w:noProof/>
                <w:lang w:val="sl-SI" w:eastAsia="ko-KR"/>
              </w:rPr>
              <w:lastRenderedPageBreak/>
              <w:t>France</w:t>
            </w:r>
          </w:p>
          <w:p w14:paraId="405D21C6" w14:textId="3B5E30C2" w:rsidR="00840AAB" w:rsidRDefault="000518B8" w:rsidP="001B02C1">
            <w:pPr>
              <w:keepNext/>
              <w:keepLines/>
              <w:rPr>
                <w:rFonts w:ascii="Times New Roman" w:hAnsi="Times New Roman" w:cs="Times New Roman"/>
                <w:noProof/>
                <w:lang w:val="sl-SI" w:eastAsia="ko-KR"/>
              </w:rPr>
            </w:pPr>
            <w:r w:rsidRPr="000518B8">
              <w:rPr>
                <w:rFonts w:ascii="Times New Roman" w:hAnsi="Times New Roman" w:cs="Times New Roman"/>
                <w:noProof/>
                <w:lang w:val="sl-SI" w:eastAsia="ko-KR"/>
              </w:rPr>
              <w:t>Celltrion Healthcare France SAS</w:t>
            </w:r>
          </w:p>
          <w:p w14:paraId="4FE57BA6" w14:textId="77777777" w:rsidR="00840AAB" w:rsidRDefault="00840AAB" w:rsidP="001B02C1">
            <w:pPr>
              <w:keepNext/>
              <w:keepLines/>
              <w:rPr>
                <w:rFonts w:ascii="Times New Roman" w:eastAsia="맑은 고딕" w:hAnsi="Times New Roman" w:cs="Times New Roman"/>
                <w:noProof/>
                <w:lang w:val="sl-SI" w:eastAsia="ko-KR"/>
              </w:rPr>
            </w:pPr>
            <w:r>
              <w:rPr>
                <w:rFonts w:ascii="Times New Roman" w:hAnsi="Times New Roman" w:cs="Times New Roman"/>
                <w:noProof/>
                <w:lang w:val="sl-SI" w:eastAsia="ko-KR"/>
              </w:rPr>
              <w:t>T</w:t>
            </w:r>
            <w:r>
              <w:rPr>
                <w:rFonts w:ascii="Times New Roman" w:hAnsi="Times New Roman" w:cs="Times New Roman"/>
                <w:lang w:val="sl-SI"/>
              </w:rPr>
              <w:t>é</w:t>
            </w:r>
            <w:r>
              <w:rPr>
                <w:rFonts w:ascii="Times New Roman" w:hAnsi="Times New Roman" w:cs="Times New Roman"/>
                <w:noProof/>
                <w:lang w:val="sl-SI" w:eastAsia="ko-KR"/>
              </w:rPr>
              <w:t>l.: +33 (0)1 71 25 27 00</w:t>
            </w:r>
          </w:p>
          <w:p w14:paraId="31C57D87" w14:textId="77777777" w:rsidR="00840AAB" w:rsidRDefault="00840AAB" w:rsidP="001B02C1">
            <w:pPr>
              <w:keepNext/>
              <w:keepLines/>
              <w:rPr>
                <w:rFonts w:ascii="Times New Roman" w:eastAsia="맑은 고딕" w:hAnsi="Times New Roman" w:cs="Times New Roman"/>
                <w:noProof/>
                <w:lang w:val="sl-SI" w:eastAsia="fr-FR"/>
              </w:rPr>
            </w:pPr>
          </w:p>
        </w:tc>
        <w:tc>
          <w:tcPr>
            <w:tcW w:w="2500" w:type="pct"/>
          </w:tcPr>
          <w:p w14:paraId="11974A21" w14:textId="77777777" w:rsidR="004D5EDF" w:rsidRPr="002F72A3" w:rsidRDefault="004D5EDF" w:rsidP="001B02C1">
            <w:pPr>
              <w:keepNext/>
              <w:keepLines/>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74038FDA" w14:textId="23D9E593" w:rsidR="004D5EDF" w:rsidRDefault="004D5EDF" w:rsidP="001B02C1">
            <w:pPr>
              <w:keepNext/>
              <w:keepLines/>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47B2A36B" w14:textId="7949080C" w:rsidR="004D5EDF" w:rsidRPr="00323C29" w:rsidRDefault="004D5EDF" w:rsidP="001B02C1">
            <w:pPr>
              <w:keepNext/>
              <w:keepLines/>
              <w:rPr>
                <w:rFonts w:ascii="Times New Roman" w:eastAsia="맑은 고딕" w:hAnsi="Times New Roman" w:cs="Times New Roman"/>
                <w:noProof/>
                <w:lang w:val="fr-CA" w:eastAsia="fr-FR"/>
              </w:rPr>
            </w:pPr>
            <w:r w:rsidRPr="00323C29">
              <w:rPr>
                <w:rFonts w:ascii="Times New Roman" w:eastAsia="맑은 고딕" w:hAnsi="Times New Roman" w:cs="Times New Roman"/>
                <w:noProof/>
                <w:lang w:val="fr-CA" w:eastAsia="fr-FR"/>
              </w:rPr>
              <w:t>Tel: +351 21 936 8542</w:t>
            </w:r>
          </w:p>
          <w:p w14:paraId="69D1E8CF" w14:textId="77777777" w:rsidR="00840AAB" w:rsidRDefault="00840AAB" w:rsidP="001B02C1">
            <w:pPr>
              <w:keepNext/>
              <w:keepLines/>
              <w:rPr>
                <w:rFonts w:ascii="Times New Roman" w:hAnsi="Times New Roman" w:cs="Times New Roman"/>
                <w:b/>
                <w:noProof/>
                <w:lang w:val="sl-SI"/>
              </w:rPr>
            </w:pPr>
          </w:p>
        </w:tc>
      </w:tr>
      <w:tr w:rsidR="00840AAB" w14:paraId="3E98CB05" w14:textId="77777777" w:rsidTr="00646E14">
        <w:tc>
          <w:tcPr>
            <w:tcW w:w="2500" w:type="pct"/>
          </w:tcPr>
          <w:p w14:paraId="262C19E8" w14:textId="77777777" w:rsidR="00840AAB" w:rsidRDefault="00840AAB" w:rsidP="00646E14">
            <w:pPr>
              <w:rPr>
                <w:rFonts w:ascii="Times New Roman" w:hAnsi="Times New Roman" w:cs="Times New Roman"/>
                <w:b/>
                <w:noProof/>
                <w:lang w:val="sl-SI" w:eastAsia="ko-KR"/>
              </w:rPr>
            </w:pPr>
            <w:r>
              <w:rPr>
                <w:rFonts w:ascii="Times New Roman" w:hAnsi="Times New Roman" w:cs="Times New Roman"/>
                <w:b/>
                <w:noProof/>
                <w:lang w:val="sl-SI" w:eastAsia="ko-KR"/>
              </w:rPr>
              <w:t>Hrvatska</w:t>
            </w:r>
          </w:p>
          <w:p w14:paraId="04EA9CA5" w14:textId="77777777" w:rsidR="00840AAB" w:rsidRDefault="00840AAB" w:rsidP="00646E14">
            <w:pPr>
              <w:rPr>
                <w:rFonts w:ascii="Times New Roman" w:hAnsi="Times New Roman" w:cs="Times New Roman"/>
                <w:noProof/>
                <w:lang w:val="sl-SI" w:eastAsia="ko-KR"/>
              </w:rPr>
            </w:pPr>
            <w:r>
              <w:rPr>
                <w:rFonts w:ascii="Times New Roman" w:hAnsi="Times New Roman" w:cs="Times New Roman"/>
                <w:noProof/>
                <w:lang w:val="sl-SI" w:eastAsia="ko-KR"/>
              </w:rPr>
              <w:t>Oktal Pharma d.o.o.</w:t>
            </w:r>
          </w:p>
          <w:p w14:paraId="378824BB" w14:textId="77777777" w:rsidR="00840AAB" w:rsidRDefault="00840AAB" w:rsidP="00646E14">
            <w:pPr>
              <w:rPr>
                <w:rFonts w:ascii="Times New Roman" w:hAnsi="Times New Roman" w:cs="Times New Roman"/>
                <w:noProof/>
                <w:lang w:val="sl-SI" w:eastAsia="ko-KR"/>
              </w:rPr>
            </w:pPr>
            <w:r>
              <w:rPr>
                <w:rFonts w:ascii="Times New Roman" w:hAnsi="Times New Roman" w:cs="Times New Roman"/>
                <w:noProof/>
                <w:lang w:val="sl-SI" w:eastAsia="ko-KR"/>
              </w:rPr>
              <w:t>Tel: +385 1 6595 777</w:t>
            </w:r>
          </w:p>
          <w:p w14:paraId="7CF5FC03" w14:textId="77777777" w:rsidR="00840AAB" w:rsidRDefault="00840AAB" w:rsidP="00646E14">
            <w:pPr>
              <w:rPr>
                <w:rFonts w:ascii="Times New Roman" w:eastAsia="맑은 고딕" w:hAnsi="Times New Roman" w:cs="Times New Roman"/>
                <w:noProof/>
                <w:lang w:val="sl-SI" w:eastAsia="fr-FR"/>
              </w:rPr>
            </w:pPr>
          </w:p>
        </w:tc>
        <w:tc>
          <w:tcPr>
            <w:tcW w:w="2500" w:type="pct"/>
          </w:tcPr>
          <w:p w14:paraId="03D1F661" w14:textId="77777777" w:rsidR="00840AAB" w:rsidRDefault="00840AAB" w:rsidP="00646E14">
            <w:pPr>
              <w:tabs>
                <w:tab w:val="left" w:pos="-720"/>
              </w:tabs>
              <w:suppressAutoHyphens/>
              <w:rPr>
                <w:rFonts w:ascii="Times New Roman" w:eastAsia="맑은 고딕" w:hAnsi="Times New Roman" w:cs="Times New Roman"/>
                <w:b/>
                <w:noProof/>
                <w:lang w:val="sl-SI" w:eastAsia="fr-FR"/>
              </w:rPr>
            </w:pPr>
            <w:r>
              <w:rPr>
                <w:rFonts w:ascii="Times New Roman" w:hAnsi="Times New Roman" w:cs="Times New Roman"/>
                <w:b/>
                <w:noProof/>
                <w:lang w:val="sl-SI"/>
              </w:rPr>
              <w:t>România</w:t>
            </w:r>
          </w:p>
          <w:p w14:paraId="28E5A14F"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0C6A24C6"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5F1187EF" w14:textId="77777777" w:rsidR="00840AAB" w:rsidRPr="00601584" w:rsidRDefault="00840AAB" w:rsidP="00646E14">
            <w:pPr>
              <w:rPr>
                <w:rFonts w:ascii="Times New Roman" w:hAnsi="Times New Roman" w:cs="Times New Roman"/>
                <w:b/>
                <w:noProof/>
                <w:lang w:val="sl-SI"/>
              </w:rPr>
            </w:pPr>
          </w:p>
        </w:tc>
      </w:tr>
      <w:tr w:rsidR="00840AAB" w14:paraId="3E0C9C2D" w14:textId="77777777" w:rsidTr="00646E14">
        <w:tc>
          <w:tcPr>
            <w:tcW w:w="2500" w:type="pct"/>
          </w:tcPr>
          <w:p w14:paraId="06B14793" w14:textId="77777777" w:rsidR="00840AAB" w:rsidRDefault="00840AAB" w:rsidP="00646E14">
            <w:pPr>
              <w:tabs>
                <w:tab w:val="left" w:pos="-720"/>
              </w:tabs>
              <w:suppressAutoHyphens/>
              <w:rPr>
                <w:rFonts w:ascii="Times New Roman" w:hAnsi="Times New Roman" w:cs="Times New Roman"/>
                <w:noProof/>
                <w:lang w:val="sl-SI" w:eastAsia="fr-FR"/>
              </w:rPr>
            </w:pPr>
            <w:r>
              <w:rPr>
                <w:rFonts w:ascii="Times New Roman" w:eastAsia="맑은 고딕" w:hAnsi="Times New Roman" w:cs="Times New Roman"/>
                <w:b/>
                <w:noProof/>
                <w:lang w:val="sl-SI" w:eastAsia="fr-FR"/>
              </w:rPr>
              <w:t>Ireland</w:t>
            </w:r>
          </w:p>
          <w:p w14:paraId="5A139430"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Ireland Limited</w:t>
            </w:r>
          </w:p>
          <w:p w14:paraId="3C28E1B6"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+353 1 223 4026</w:t>
            </w:r>
          </w:p>
          <w:p w14:paraId="0767C8A8" w14:textId="77777777" w:rsidR="00840AAB" w:rsidRDefault="00840AAB" w:rsidP="00646E14">
            <w:pPr>
              <w:rPr>
                <w:rFonts w:ascii="Times New Roman" w:eastAsia="맑은 고딕" w:hAnsi="Times New Roman" w:cs="Times New Roman"/>
                <w:noProof/>
                <w:lang w:val="sl-SI" w:eastAsia="fr-FR"/>
              </w:rPr>
            </w:pPr>
          </w:p>
        </w:tc>
        <w:tc>
          <w:tcPr>
            <w:tcW w:w="2500" w:type="pct"/>
          </w:tcPr>
          <w:p w14:paraId="338977B9" w14:textId="77777777" w:rsidR="00840AAB" w:rsidRDefault="00840AAB" w:rsidP="00646E14">
            <w:pPr>
              <w:rPr>
                <w:rFonts w:ascii="Times New Roman" w:eastAsia="맑은 고딕" w:hAnsi="Times New Roman" w:cs="Times New Roman"/>
                <w:b/>
                <w:noProof/>
                <w:lang w:val="sl-SI" w:eastAsia="fr-FR"/>
              </w:rPr>
            </w:pPr>
            <w:r>
              <w:rPr>
                <w:rFonts w:ascii="Times New Roman" w:eastAsia="맑은 고딕" w:hAnsi="Times New Roman" w:cs="Times New Roman"/>
                <w:b/>
                <w:noProof/>
                <w:lang w:val="sl-SI" w:eastAsia="fr-FR"/>
              </w:rPr>
              <w:t>Slovenija</w:t>
            </w:r>
          </w:p>
          <w:p w14:paraId="3BC2D1DE"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OPH Oktal Pharma d.o.o.</w:t>
            </w:r>
          </w:p>
          <w:p w14:paraId="3BFA0D70"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+386 1 519 29 22</w:t>
            </w:r>
          </w:p>
          <w:p w14:paraId="02E248B9" w14:textId="77777777" w:rsidR="00840AAB" w:rsidRDefault="00840AAB" w:rsidP="00646E14">
            <w:pPr>
              <w:rPr>
                <w:rFonts w:ascii="Times New Roman" w:hAnsi="Times New Roman" w:cs="Times New Roman"/>
                <w:b/>
                <w:noProof/>
                <w:lang w:val="sl-SI"/>
              </w:rPr>
            </w:pPr>
          </w:p>
        </w:tc>
      </w:tr>
      <w:tr w:rsidR="00840AAB" w14:paraId="21AAC03C" w14:textId="77777777" w:rsidTr="00646E14">
        <w:tc>
          <w:tcPr>
            <w:tcW w:w="2500" w:type="pct"/>
          </w:tcPr>
          <w:p w14:paraId="04D04252"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b/>
                <w:noProof/>
                <w:lang w:val="sl-SI" w:eastAsia="fr-FR"/>
              </w:rPr>
              <w:t>Ísland</w:t>
            </w:r>
          </w:p>
          <w:p w14:paraId="448CF158"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6E13A797" w14:textId="77777777"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Sími: +36 1 231 0493</w:t>
            </w:r>
          </w:p>
          <w:p w14:paraId="031137E8" w14:textId="77777777" w:rsidR="00840AAB" w:rsidRDefault="00840AAB" w:rsidP="00646E14">
            <w:pPr>
              <w:rPr>
                <w:rFonts w:ascii="Times New Roman" w:eastAsia="맑은 고딕" w:hAnsi="Times New Roman" w:cs="Times New Roman"/>
                <w:noProof/>
                <w:lang w:val="sl-SI" w:eastAsia="fr-FR"/>
              </w:rPr>
            </w:pPr>
          </w:p>
        </w:tc>
        <w:tc>
          <w:tcPr>
            <w:tcW w:w="2500" w:type="pct"/>
          </w:tcPr>
          <w:p w14:paraId="469A700F" w14:textId="77777777" w:rsidR="00840AAB" w:rsidRDefault="00840AAB" w:rsidP="00646E14">
            <w:pPr>
              <w:rPr>
                <w:rFonts w:ascii="Times New Roman" w:eastAsia="맑은 고딕" w:hAnsi="Times New Roman" w:cs="Times New Roman"/>
                <w:b/>
                <w:noProof/>
                <w:lang w:val="sl-SI" w:eastAsia="fr-FR"/>
              </w:rPr>
            </w:pPr>
            <w:r>
              <w:rPr>
                <w:rFonts w:ascii="Times New Roman" w:hAnsi="Times New Roman" w:cs="Times New Roman"/>
                <w:b/>
                <w:noProof/>
                <w:lang w:val="sl-SI"/>
              </w:rPr>
              <w:t>Slovenská republika</w:t>
            </w:r>
          </w:p>
          <w:p w14:paraId="2DC9D2CF"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32A91422"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1B763A64" w14:textId="77777777" w:rsidR="00840AAB" w:rsidRPr="00601584" w:rsidRDefault="00840AAB" w:rsidP="00646E14">
            <w:pPr>
              <w:rPr>
                <w:rFonts w:ascii="Times New Roman" w:eastAsia="맑은 고딕" w:hAnsi="Times New Roman" w:cs="Times New Roman"/>
                <w:b/>
                <w:noProof/>
                <w:lang w:val="sl-SI" w:eastAsia="fr-FR"/>
              </w:rPr>
            </w:pPr>
          </w:p>
        </w:tc>
      </w:tr>
      <w:tr w:rsidR="00840AAB" w14:paraId="1CE66027" w14:textId="77777777" w:rsidTr="00646E14">
        <w:tc>
          <w:tcPr>
            <w:tcW w:w="2500" w:type="pct"/>
          </w:tcPr>
          <w:p w14:paraId="2E9D703A" w14:textId="77777777" w:rsidR="00840AAB" w:rsidRDefault="00840AAB" w:rsidP="00646E14">
            <w:pPr>
              <w:rPr>
                <w:rFonts w:ascii="Times New Roman" w:hAnsi="Times New Roman" w:cs="Times New Roman"/>
                <w:noProof/>
                <w:lang w:val="sl-SI" w:eastAsia="fr-FR"/>
              </w:rPr>
            </w:pPr>
            <w:r>
              <w:rPr>
                <w:rFonts w:ascii="Times New Roman" w:eastAsia="맑은 고딕" w:hAnsi="Times New Roman" w:cs="Times New Roman"/>
                <w:b/>
                <w:noProof/>
                <w:lang w:val="sl-SI" w:eastAsia="fr-FR"/>
              </w:rPr>
              <w:t>Italia</w:t>
            </w:r>
          </w:p>
          <w:p w14:paraId="68E71DE9" w14:textId="27E7CACD"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Italy S.</w:t>
            </w:r>
            <w:r w:rsidR="000518B8">
              <w:rPr>
                <w:rFonts w:ascii="Times New Roman" w:eastAsia="맑은 고딕" w:hAnsi="Times New Roman" w:cs="Times New Roman"/>
                <w:noProof/>
                <w:lang w:val="sl-SI" w:eastAsia="fr-FR"/>
              </w:rPr>
              <w:t>r</w:t>
            </w:r>
            <w:r>
              <w:rPr>
                <w:rFonts w:ascii="Times New Roman" w:eastAsia="맑은 고딕" w:hAnsi="Times New Roman" w:cs="Times New Roman"/>
                <w:noProof/>
                <w:lang w:val="sl-SI" w:eastAsia="fr-FR"/>
              </w:rPr>
              <w:t>.</w:t>
            </w:r>
            <w:r w:rsidR="000518B8">
              <w:rPr>
                <w:rFonts w:ascii="Times New Roman" w:eastAsia="맑은 고딕" w:hAnsi="Times New Roman" w:cs="Times New Roman"/>
                <w:noProof/>
                <w:lang w:val="sl-SI" w:eastAsia="fr-FR"/>
              </w:rPr>
              <w:t>l</w:t>
            </w:r>
            <w:r>
              <w:rPr>
                <w:rFonts w:ascii="Times New Roman" w:eastAsia="맑은 고딕" w:hAnsi="Times New Roman" w:cs="Times New Roman"/>
                <w:noProof/>
                <w:lang w:val="sl-SI" w:eastAsia="fr-FR"/>
              </w:rPr>
              <w:t>.</w:t>
            </w:r>
          </w:p>
          <w:p w14:paraId="0573605F" w14:textId="025BCFAD" w:rsidR="00840AAB" w:rsidRDefault="00840AAB" w:rsidP="00646E14">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 xml:space="preserve">Tel: +39 </w:t>
            </w:r>
            <w:r w:rsidR="000518B8" w:rsidRPr="000518B8">
              <w:rPr>
                <w:rFonts w:ascii="Times New Roman" w:eastAsia="맑은 고딕" w:hAnsi="Times New Roman" w:cs="Times New Roman"/>
                <w:noProof/>
                <w:lang w:val="sl-SI" w:eastAsia="fr-FR"/>
              </w:rPr>
              <w:t>0247927040</w:t>
            </w:r>
          </w:p>
          <w:p w14:paraId="3644BF21" w14:textId="77777777" w:rsidR="00840AAB" w:rsidRDefault="00840AAB" w:rsidP="00646E14">
            <w:pPr>
              <w:rPr>
                <w:rFonts w:ascii="Times New Roman" w:eastAsia="맑은 고딕" w:hAnsi="Times New Roman" w:cs="Times New Roman"/>
                <w:noProof/>
                <w:lang w:val="sl-SI" w:eastAsia="fr-FR"/>
              </w:rPr>
            </w:pPr>
          </w:p>
        </w:tc>
        <w:tc>
          <w:tcPr>
            <w:tcW w:w="2500" w:type="pct"/>
          </w:tcPr>
          <w:p w14:paraId="06652BAF" w14:textId="77777777" w:rsidR="00840AAB" w:rsidRDefault="00840AAB" w:rsidP="00646E14">
            <w:pPr>
              <w:rPr>
                <w:rFonts w:ascii="Times New Roman" w:hAnsi="Times New Roman" w:cs="Times New Roman"/>
                <w:noProof/>
                <w:lang w:val="sl-SI" w:eastAsia="fr-FR"/>
              </w:rPr>
            </w:pPr>
            <w:r>
              <w:rPr>
                <w:rFonts w:ascii="Times New Roman" w:eastAsia="맑은 고딕" w:hAnsi="Times New Roman" w:cs="Times New Roman"/>
                <w:b/>
                <w:noProof/>
                <w:lang w:val="sl-SI" w:eastAsia="fr-FR"/>
              </w:rPr>
              <w:t>Suomi/Finland</w:t>
            </w:r>
          </w:p>
          <w:p w14:paraId="2DD8047D" w14:textId="77777777" w:rsidR="00566D4D" w:rsidRPr="0036074E" w:rsidRDefault="00566D4D" w:rsidP="00566D4D">
            <w:pPr>
              <w:tabs>
                <w:tab w:val="left" w:pos="-720"/>
              </w:tabs>
              <w:suppressAutoHyphens/>
              <w:rPr>
                <w:rFonts w:ascii="Times New Roman" w:eastAsia="맑은 고딕" w:hAnsi="Times New Roman" w:cs="Times New Roman"/>
                <w:noProof/>
                <w:lang w:val="sl-SI" w:eastAsia="fr-FR"/>
              </w:rPr>
            </w:pPr>
            <w:r w:rsidRPr="0036074E">
              <w:rPr>
                <w:rFonts w:ascii="Times New Roman" w:eastAsia="맑은 고딕" w:hAnsi="Times New Roman" w:cs="Times New Roman"/>
                <w:noProof/>
                <w:lang w:val="sl-SI" w:eastAsia="fr-FR"/>
              </w:rPr>
              <w:t xml:space="preserve">Celltrion Healthcare Finland Oy. </w:t>
            </w:r>
          </w:p>
          <w:p w14:paraId="0B7775EC" w14:textId="7D7217B5" w:rsidR="00840AAB" w:rsidRDefault="00566D4D" w:rsidP="00646E14">
            <w:pPr>
              <w:autoSpaceDE w:val="0"/>
              <w:autoSpaceDN w:val="0"/>
              <w:adjustRightInd w:val="0"/>
              <w:rPr>
                <w:rFonts w:ascii="Times New Roman" w:eastAsia="맑은 고딕" w:hAnsi="Times New Roman" w:cs="Times New Roman"/>
                <w:noProof/>
                <w:lang w:val="sl-SI" w:eastAsia="ko-KR"/>
              </w:rPr>
            </w:pPr>
            <w:r w:rsidRPr="0036074E">
              <w:rPr>
                <w:rFonts w:ascii="Times New Roman" w:eastAsia="맑은 고딕" w:hAnsi="Times New Roman" w:cs="Times New Roman"/>
                <w:noProof/>
                <w:lang w:val="sl-SI" w:eastAsia="fr-FR"/>
              </w:rPr>
              <w:t>Puh/Tel: +358 29 170 7755</w:t>
            </w:r>
          </w:p>
          <w:p w14:paraId="00F39D4E" w14:textId="77777777" w:rsidR="00840AAB" w:rsidRDefault="00840AAB" w:rsidP="00646E14">
            <w:pPr>
              <w:autoSpaceDE w:val="0"/>
              <w:autoSpaceDN w:val="0"/>
              <w:adjustRightInd w:val="0"/>
              <w:rPr>
                <w:rFonts w:ascii="Times New Roman" w:eastAsia="맑은 고딕" w:hAnsi="Times New Roman" w:cs="Times New Roman"/>
                <w:noProof/>
                <w:lang w:val="sl-SI" w:eastAsia="ko-KR"/>
              </w:rPr>
            </w:pPr>
          </w:p>
        </w:tc>
      </w:tr>
      <w:tr w:rsidR="00840AAB" w14:paraId="0C748942" w14:textId="77777777" w:rsidTr="00646E14">
        <w:tc>
          <w:tcPr>
            <w:tcW w:w="2500" w:type="pct"/>
          </w:tcPr>
          <w:p w14:paraId="4D036F17" w14:textId="77777777" w:rsidR="00840AAB" w:rsidRDefault="00840AAB" w:rsidP="00646E14">
            <w:pPr>
              <w:tabs>
                <w:tab w:val="left" w:pos="-720"/>
              </w:tabs>
              <w:suppressAutoHyphens/>
              <w:rPr>
                <w:rFonts w:ascii="Times New Roman" w:hAnsi="Times New Roman" w:cs="Times New Roman"/>
                <w:b/>
                <w:bCs/>
                <w:noProof/>
                <w:lang w:val="sl-SI" w:eastAsia="fr-FR"/>
              </w:rPr>
            </w:pPr>
            <w:r>
              <w:rPr>
                <w:rFonts w:ascii="Times New Roman" w:hAnsi="Times New Roman" w:cs="Times New Roman"/>
                <w:b/>
                <w:noProof/>
                <w:lang w:val="sl-SI"/>
              </w:rPr>
              <w:t>Κύπρος</w:t>
            </w:r>
          </w:p>
          <w:p w14:paraId="17C9B02B" w14:textId="77777777" w:rsidR="00840AAB" w:rsidRDefault="00840AAB" w:rsidP="00646E14">
            <w:pPr>
              <w:tabs>
                <w:tab w:val="left" w:pos="-720"/>
              </w:tabs>
              <w:suppressAutoHyphens/>
              <w:rPr>
                <w:rFonts w:ascii="Times New Roman" w:eastAsia="맑은 고딕" w:hAnsi="Times New Roman" w:cs="Times New Roman"/>
                <w:noProof/>
                <w:lang w:val="sl-SI" w:eastAsia="ko-KR"/>
              </w:rPr>
            </w:pPr>
            <w:r>
              <w:rPr>
                <w:rFonts w:ascii="Times New Roman" w:eastAsia="맑은 고딕" w:hAnsi="Times New Roman" w:cs="Times New Roman"/>
                <w:noProof/>
                <w:lang w:val="sl-SI" w:eastAsia="fr-FR"/>
              </w:rPr>
              <w:t>C.A. Papaellinas Ltd</w:t>
            </w:r>
          </w:p>
          <w:p w14:paraId="2F782582" w14:textId="77777777" w:rsidR="00840AAB" w:rsidRDefault="00840AAB" w:rsidP="00646E14">
            <w:pPr>
              <w:autoSpaceDE w:val="0"/>
              <w:autoSpaceDN w:val="0"/>
              <w:adjustRightInd w:val="0"/>
              <w:rPr>
                <w:rFonts w:ascii="Times New Roman" w:eastAsia="맑은 고딕" w:hAnsi="Times New Roman" w:cs="Times New Roman"/>
                <w:b/>
                <w:bCs/>
                <w:lang w:val="sl-SI" w:eastAsia="fr-FR"/>
              </w:rPr>
            </w:pPr>
            <w:r>
              <w:rPr>
                <w:rFonts w:ascii="Times New Roman" w:hAnsi="Times New Roman" w:cs="Times New Roman"/>
                <w:noProof/>
                <w:lang w:val="sl-SI"/>
              </w:rPr>
              <w:t xml:space="preserve">Τηλ: </w:t>
            </w:r>
            <w:r>
              <w:rPr>
                <w:rFonts w:ascii="Times New Roman" w:eastAsia="맑은 고딕" w:hAnsi="Times New Roman" w:cs="Times New Roman"/>
                <w:noProof/>
                <w:lang w:val="sl-SI" w:eastAsia="fr-FR"/>
              </w:rPr>
              <w:t>+357 22741741</w:t>
            </w:r>
          </w:p>
          <w:p w14:paraId="2F43B56F" w14:textId="77777777" w:rsidR="00840AAB" w:rsidRDefault="00840AAB" w:rsidP="00646E14">
            <w:pPr>
              <w:autoSpaceDE w:val="0"/>
              <w:autoSpaceDN w:val="0"/>
              <w:adjustRightInd w:val="0"/>
              <w:rPr>
                <w:rFonts w:ascii="Times New Roman" w:eastAsia="맑은 고딕" w:hAnsi="Times New Roman" w:cs="Times New Roman"/>
                <w:b/>
                <w:noProof/>
                <w:lang w:val="sl-SI" w:eastAsia="fr-FR"/>
              </w:rPr>
            </w:pPr>
          </w:p>
        </w:tc>
        <w:tc>
          <w:tcPr>
            <w:tcW w:w="2500" w:type="pct"/>
          </w:tcPr>
          <w:p w14:paraId="180C4365" w14:textId="77777777" w:rsidR="004D5EDF" w:rsidRPr="00D86615" w:rsidRDefault="004D5EDF" w:rsidP="004D5EDF">
            <w:pPr>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t>Sverige</w:t>
            </w:r>
          </w:p>
          <w:p w14:paraId="00E9495C" w14:textId="3F856493" w:rsidR="004D5EDF" w:rsidRPr="00A53EEB" w:rsidRDefault="004D5EDF" w:rsidP="004D5EDF">
            <w:pPr>
              <w:tabs>
                <w:tab w:val="left" w:pos="-720"/>
              </w:tabs>
              <w:suppressAutoHyphens/>
              <w:rPr>
                <w:rFonts w:ascii="Times New Roman" w:eastAsia="맑은 고딕" w:hAnsi="Times New Roman" w:cs="Times New Roman"/>
                <w:noProof/>
                <w:lang w:eastAsia="ko-KR"/>
              </w:rPr>
            </w:pPr>
            <w:r w:rsidRPr="00A53EEB">
              <w:rPr>
                <w:rFonts w:ascii="Times New Roman" w:eastAsia="맑은 고딕" w:hAnsi="Times New Roman" w:cs="Times New Roman"/>
                <w:noProof/>
                <w:lang w:eastAsia="ko-KR"/>
              </w:rPr>
              <w:t>Celltrion Sweden AB</w:t>
            </w:r>
          </w:p>
          <w:p w14:paraId="10AFFBAF" w14:textId="77777777" w:rsidR="004D5EDF" w:rsidRPr="00A53EEB" w:rsidRDefault="004D5EDF" w:rsidP="004D5EDF">
            <w:pPr>
              <w:tabs>
                <w:tab w:val="left" w:pos="-720"/>
              </w:tabs>
              <w:suppressAutoHyphens/>
              <w:rPr>
                <w:rFonts w:ascii="Times New Roman" w:eastAsia="맑은 고딕" w:hAnsi="Times New Roman" w:cs="Times New Roman"/>
                <w:bCs/>
                <w:noProof/>
                <w:u w:val="single"/>
                <w:lang w:eastAsia="ko-KR"/>
              </w:rPr>
            </w:pPr>
            <w:hyperlink r:id="rId138" w:history="1">
              <w:r w:rsidRPr="00A53EEB">
                <w:rPr>
                  <w:rStyle w:val="ad"/>
                  <w:rFonts w:ascii="Times New Roman" w:eastAsia="맑은 고딕" w:hAnsi="Times New Roman" w:cs="Times New Roman"/>
                  <w:noProof/>
                  <w:lang w:eastAsia="ko-KR"/>
                </w:rPr>
                <w:t>contact_se@celltrionhc.com</w:t>
              </w:r>
            </w:hyperlink>
          </w:p>
          <w:p w14:paraId="1E7F15D0" w14:textId="77777777" w:rsidR="00840AAB" w:rsidRPr="004D5EDF" w:rsidRDefault="00840AAB" w:rsidP="00646E14">
            <w:pPr>
              <w:tabs>
                <w:tab w:val="left" w:pos="-720"/>
              </w:tabs>
              <w:suppressAutoHyphens/>
              <w:rPr>
                <w:rFonts w:ascii="Times New Roman" w:eastAsia="맑은 고딕" w:hAnsi="Times New Roman" w:cs="Times New Roman"/>
                <w:b/>
                <w:noProof/>
                <w:lang w:eastAsia="fr-FR"/>
              </w:rPr>
            </w:pPr>
          </w:p>
        </w:tc>
      </w:tr>
      <w:tr w:rsidR="00840AAB" w14:paraId="6B900809" w14:textId="77777777" w:rsidTr="00646E14">
        <w:tc>
          <w:tcPr>
            <w:tcW w:w="2500" w:type="pct"/>
          </w:tcPr>
          <w:p w14:paraId="6DC26165" w14:textId="77777777" w:rsidR="00840AAB" w:rsidRDefault="00840AAB" w:rsidP="00646E14">
            <w:pPr>
              <w:rPr>
                <w:rFonts w:ascii="Times New Roman" w:eastAsia="맑은 고딕" w:hAnsi="Times New Roman" w:cs="Times New Roman"/>
                <w:b/>
                <w:noProof/>
                <w:lang w:val="sl-SI" w:eastAsia="fr-FR"/>
              </w:rPr>
            </w:pPr>
            <w:r>
              <w:rPr>
                <w:rFonts w:ascii="Times New Roman" w:eastAsia="맑은 고딕" w:hAnsi="Times New Roman" w:cs="Times New Roman"/>
                <w:b/>
                <w:noProof/>
                <w:lang w:val="sl-SI" w:eastAsia="fr-FR"/>
              </w:rPr>
              <w:t>Latvija</w:t>
            </w:r>
          </w:p>
          <w:p w14:paraId="551F5747"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2E6414BD" w14:textId="77777777" w:rsidR="00840AAB" w:rsidRDefault="00840AAB" w:rsidP="00646E14">
            <w:pPr>
              <w:tabs>
                <w:tab w:val="left" w:pos="-720"/>
              </w:tabs>
              <w:suppressAutoHyphens/>
              <w:rPr>
                <w:rFonts w:ascii="Times New Roman" w:eastAsia="맑은 고딕" w:hAnsi="Times New Roman" w:cs="Times New Roman"/>
                <w:noProof/>
                <w:lang w:val="sl-SI" w:eastAsia="fr-FR"/>
              </w:rPr>
            </w:pPr>
            <w:r w:rsidRPr="00372ACD">
              <w:rPr>
                <w:rFonts w:ascii="Times New Roman" w:eastAsia="맑은 고딕" w:hAnsi="Times New Roman" w:cs="Times New Roman"/>
                <w:noProof/>
                <w:lang w:val="sl-SI" w:eastAsia="fr-FR"/>
              </w:rPr>
              <w:t xml:space="preserve">Tālr.: </w:t>
            </w:r>
            <w:r>
              <w:rPr>
                <w:rFonts w:ascii="Times New Roman" w:eastAsia="맑은 고딕" w:hAnsi="Times New Roman" w:cs="Times New Roman"/>
                <w:noProof/>
                <w:lang w:val="sl-SI" w:eastAsia="fr-FR"/>
              </w:rPr>
              <w:t>+36 1 231 0493</w:t>
            </w:r>
          </w:p>
          <w:p w14:paraId="507C573F" w14:textId="77777777" w:rsidR="00840AAB" w:rsidRPr="00601584" w:rsidRDefault="00840AAB" w:rsidP="00646E14">
            <w:pPr>
              <w:autoSpaceDE w:val="0"/>
              <w:autoSpaceDN w:val="0"/>
              <w:adjustRightInd w:val="0"/>
              <w:rPr>
                <w:rFonts w:ascii="Times New Roman" w:eastAsia="맑은 고딕" w:hAnsi="Times New Roman" w:cs="Times New Roman"/>
                <w:b/>
                <w:bCs/>
                <w:lang w:val="sl-SI" w:eastAsia="fr-FR"/>
              </w:rPr>
            </w:pPr>
          </w:p>
        </w:tc>
        <w:tc>
          <w:tcPr>
            <w:tcW w:w="2500" w:type="pct"/>
          </w:tcPr>
          <w:p w14:paraId="7D7423D8" w14:textId="77777777" w:rsidR="00840AAB" w:rsidRDefault="00840AAB" w:rsidP="00F40A58">
            <w:pPr>
              <w:tabs>
                <w:tab w:val="left" w:pos="-720"/>
              </w:tabs>
              <w:suppressAutoHyphens/>
              <w:rPr>
                <w:rFonts w:ascii="Times New Roman" w:eastAsia="맑은 고딕" w:hAnsi="Times New Roman" w:cs="Times New Roman"/>
                <w:b/>
                <w:noProof/>
                <w:lang w:val="sl-SI" w:eastAsia="fr-FR"/>
              </w:rPr>
            </w:pPr>
          </w:p>
        </w:tc>
      </w:tr>
    </w:tbl>
    <w:p w14:paraId="0F9127B3" w14:textId="77777777" w:rsidR="00840AAB" w:rsidRDefault="00840AAB" w:rsidP="00840AAB">
      <w:pPr>
        <w:numPr>
          <w:ilvl w:val="12"/>
          <w:numId w:val="0"/>
        </w:numPr>
        <w:rPr>
          <w:rFonts w:ascii="Times New Roman" w:eastAsia="맑은 고딕" w:hAnsi="Times New Roman" w:cs="Times New Roman"/>
          <w:noProof/>
          <w:lang w:val="sl-SI" w:eastAsia="ko-KR"/>
        </w:rPr>
      </w:pPr>
      <w:r>
        <w:rPr>
          <w:rFonts w:ascii="Times New Roman" w:eastAsia="Times New Roman" w:hAnsi="Times New Roman" w:cs="Times New Roman"/>
          <w:b/>
          <w:bCs/>
          <w:noProof/>
          <w:lang w:val="sl-SI"/>
        </w:rPr>
        <w:t>Navodilo je bilo nazadnje revidirano dne</w:t>
      </w:r>
    </w:p>
    <w:p w14:paraId="4EACBD31" w14:textId="77777777" w:rsidR="00840AAB" w:rsidRDefault="00840AAB" w:rsidP="00840AAB">
      <w:pPr>
        <w:numPr>
          <w:ilvl w:val="12"/>
          <w:numId w:val="0"/>
        </w:numPr>
        <w:rPr>
          <w:rFonts w:ascii="Times New Roman" w:hAnsi="Times New Roman" w:cs="Times New Roman"/>
          <w:noProof/>
          <w:lang w:val="sl-SI"/>
        </w:rPr>
      </w:pPr>
    </w:p>
    <w:p w14:paraId="53E2DF5C" w14:textId="77777777" w:rsidR="00840AAB" w:rsidRDefault="00840AAB" w:rsidP="00840AAB">
      <w:pPr>
        <w:numPr>
          <w:ilvl w:val="12"/>
          <w:numId w:val="0"/>
        </w:numPr>
        <w:rPr>
          <w:rFonts w:ascii="Times New Roman" w:hAnsi="Times New Roman" w:cs="Times New Roman"/>
          <w:b/>
          <w:noProof/>
          <w:lang w:val="sl-SI"/>
        </w:rPr>
      </w:pPr>
      <w:r>
        <w:rPr>
          <w:rFonts w:ascii="Times New Roman" w:eastAsia="Times New Roman" w:hAnsi="Times New Roman" w:cs="Times New Roman"/>
          <w:b/>
          <w:bCs/>
          <w:noProof/>
          <w:lang w:val="sl-SI"/>
        </w:rPr>
        <w:t>Drugi viri informacij</w:t>
      </w:r>
    </w:p>
    <w:p w14:paraId="419FAF1A" w14:textId="77777777" w:rsidR="00840AAB" w:rsidRDefault="00840AAB" w:rsidP="00840AAB">
      <w:pPr>
        <w:pStyle w:val="a3"/>
        <w:rPr>
          <w:lang w:val="sl-SI"/>
        </w:rPr>
      </w:pPr>
    </w:p>
    <w:p w14:paraId="260D5AC1" w14:textId="77777777" w:rsidR="00840AAB" w:rsidRDefault="00840AAB" w:rsidP="00840AAB">
      <w:pPr>
        <w:numPr>
          <w:ilvl w:val="12"/>
          <w:numId w:val="0"/>
        </w:numPr>
        <w:rPr>
          <w:rFonts w:ascii="Times New Roman" w:eastAsia="Times New Roman" w:hAnsi="Times New Roman" w:cs="Times New Roman"/>
          <w:color w:val="0000FF"/>
          <w:u w:val="single"/>
          <w:lang w:val="sl-SI"/>
        </w:rPr>
      </w:pPr>
      <w:r>
        <w:rPr>
          <w:rFonts w:ascii="Times New Roman" w:eastAsia="Times New Roman" w:hAnsi="Times New Roman" w:cs="Times New Roman"/>
          <w:lang w:val="sl-SI"/>
        </w:rPr>
        <w:t xml:space="preserve">Podrobne informacije o zdravilu so objavljene na spletni strani Evropske agencije za zdravila </w:t>
      </w:r>
      <w:hyperlink r:id="rId139" w:history="1">
        <w:r w:rsidRPr="008E1817">
          <w:rPr>
            <w:rStyle w:val="ad"/>
            <w:rFonts w:ascii="Times New Roman" w:eastAsia="Times New Roman" w:hAnsi="Times New Roman" w:cs="Times New Roman"/>
            <w:lang w:val="sl-SI"/>
          </w:rPr>
          <w:t>http://www.ema.europa.eu</w:t>
        </w:r>
      </w:hyperlink>
    </w:p>
    <w:p w14:paraId="695F5D93" w14:textId="77777777" w:rsidR="00840AAB" w:rsidRDefault="00840AAB" w:rsidP="00840AAB">
      <w:pPr>
        <w:numPr>
          <w:ilvl w:val="12"/>
          <w:numId w:val="0"/>
        </w:numPr>
        <w:rPr>
          <w:rFonts w:ascii="Times New Roman" w:eastAsia="맑은 고딕" w:hAnsi="Times New Roman" w:cs="Times New Roman"/>
          <w:noProof/>
          <w:color w:val="0000FF"/>
          <w:lang w:val="sl-SI" w:eastAsia="ko-KR"/>
        </w:rPr>
      </w:pPr>
    </w:p>
    <w:p w14:paraId="0A95CAD7" w14:textId="77777777" w:rsidR="00840AAB" w:rsidRDefault="00840AAB" w:rsidP="00840AAB">
      <w:pPr>
        <w:spacing w:line="252" w:lineRule="exact"/>
        <w:rPr>
          <w:rFonts w:ascii="Times New Roman" w:hAnsi="Times New Roman" w:cs="Times New Roman"/>
          <w:b/>
          <w:lang w:val="sl-SI"/>
        </w:rPr>
      </w:pPr>
    </w:p>
    <w:p w14:paraId="2F9345F1" w14:textId="77777777" w:rsidR="00840AAB" w:rsidRDefault="00840AAB" w:rsidP="0030421B">
      <w:pPr>
        <w:pStyle w:val="a4"/>
        <w:numPr>
          <w:ilvl w:val="0"/>
          <w:numId w:val="133"/>
        </w:numPr>
        <w:spacing w:line="240" w:lineRule="exact"/>
        <w:rPr>
          <w:rFonts w:ascii="Times New Roman" w:eastAsia="Times New Roman" w:hAnsi="Times New Roman" w:cs="Times New Roman"/>
          <w:b/>
          <w:noProof/>
          <w:lang w:val="sl-SI"/>
        </w:rPr>
      </w:pPr>
      <w:r w:rsidRPr="007F6B22">
        <w:rPr>
          <w:rFonts w:ascii="Times New Roman" w:eastAsia="Times New Roman" w:hAnsi="Times New Roman" w:cs="Times New Roman"/>
          <w:b/>
          <w:bCs/>
          <w:noProof/>
          <w:lang w:val="sl-SI"/>
        </w:rPr>
        <w:t>Navodila za uporabo</w:t>
      </w:r>
    </w:p>
    <w:p w14:paraId="3FEEEBFE" w14:textId="77777777" w:rsidR="00840AAB" w:rsidRDefault="00840AAB" w:rsidP="00840AAB">
      <w:pPr>
        <w:spacing w:before="16" w:line="280" w:lineRule="exact"/>
        <w:rPr>
          <w:sz w:val="28"/>
          <w:szCs w:val="28"/>
          <w:lang w:val="sl-SI"/>
        </w:rPr>
      </w:pPr>
    </w:p>
    <w:p w14:paraId="4BE04704" w14:textId="77777777" w:rsidR="00840AAB" w:rsidRDefault="00840AAB" w:rsidP="00840AAB">
      <w:pPr>
        <w:pStyle w:val="a3"/>
        <w:numPr>
          <w:ilvl w:val="1"/>
          <w:numId w:val="2"/>
        </w:numPr>
        <w:ind w:left="660" w:hanging="660"/>
        <w:rPr>
          <w:lang w:val="sl-SI"/>
        </w:rPr>
      </w:pPr>
      <w:r>
        <w:rPr>
          <w:rFonts w:eastAsia="Times New Roman"/>
          <w:lang w:val="sl-SI"/>
        </w:rPr>
        <w:t>Naslednja navodila pojasnjujejo, kako si subkutano injicirate zdravilo Yuflyma z napolnjenim injekcijskim peresnikom. Navodila najprej natančno preberite in jih upoštevajte korak za korakom.</w:t>
      </w:r>
    </w:p>
    <w:p w14:paraId="761132D3" w14:textId="77777777" w:rsidR="00840AAB" w:rsidRDefault="00840AAB" w:rsidP="00840AAB">
      <w:pPr>
        <w:spacing w:before="12" w:line="240" w:lineRule="exact"/>
        <w:rPr>
          <w:sz w:val="24"/>
          <w:szCs w:val="24"/>
          <w:lang w:val="sl-SI"/>
        </w:rPr>
      </w:pPr>
    </w:p>
    <w:p w14:paraId="0CD7C8B5" w14:textId="77777777" w:rsidR="00840AAB" w:rsidRDefault="00840AAB" w:rsidP="00840AAB">
      <w:pPr>
        <w:pStyle w:val="a3"/>
        <w:numPr>
          <w:ilvl w:val="1"/>
          <w:numId w:val="2"/>
        </w:numPr>
        <w:ind w:left="660" w:hanging="660"/>
        <w:rPr>
          <w:lang w:val="sl-SI"/>
        </w:rPr>
      </w:pPr>
      <w:r>
        <w:rPr>
          <w:rFonts w:eastAsia="Times New Roman"/>
          <w:lang w:val="sl-SI"/>
        </w:rPr>
        <w:t>Zdravnik, farmacevt ali medicinska sestra vas bodo naučili, kako si zdravilo injicirate sami.</w:t>
      </w:r>
    </w:p>
    <w:p w14:paraId="4D3B8B90" w14:textId="77777777" w:rsidR="00840AAB" w:rsidRDefault="00840AAB" w:rsidP="00840AAB">
      <w:pPr>
        <w:spacing w:before="11" w:line="260" w:lineRule="exact"/>
        <w:rPr>
          <w:sz w:val="26"/>
          <w:szCs w:val="26"/>
          <w:lang w:val="sl-SI"/>
        </w:rPr>
      </w:pPr>
    </w:p>
    <w:p w14:paraId="0065FBEB" w14:textId="77777777" w:rsidR="00840AAB" w:rsidRDefault="00840AAB" w:rsidP="00840AAB">
      <w:pPr>
        <w:pStyle w:val="a3"/>
        <w:numPr>
          <w:ilvl w:val="1"/>
          <w:numId w:val="2"/>
        </w:numPr>
        <w:ind w:left="660" w:hanging="660"/>
        <w:rPr>
          <w:lang w:val="sl-SI"/>
        </w:rPr>
      </w:pPr>
      <w:r>
        <w:rPr>
          <w:rFonts w:eastAsia="Times New Roman"/>
          <w:b/>
          <w:bCs/>
          <w:spacing w:val="-2"/>
          <w:lang w:val="sl-SI"/>
        </w:rPr>
        <w:t>Ne</w:t>
      </w:r>
      <w:r>
        <w:rPr>
          <w:rFonts w:eastAsia="Times New Roman"/>
          <w:spacing w:val="-2"/>
          <w:lang w:val="sl-SI"/>
        </w:rPr>
        <w:t xml:space="preserve"> poskušajte si zdravila injicirati, dokler popolnoma ne obvladate priprave in dajanja injekcije.</w:t>
      </w:r>
    </w:p>
    <w:p w14:paraId="637E095C" w14:textId="77777777" w:rsidR="00840AAB" w:rsidRDefault="00840AAB" w:rsidP="00840AAB">
      <w:pPr>
        <w:spacing w:before="11" w:line="260" w:lineRule="exact"/>
        <w:rPr>
          <w:sz w:val="26"/>
          <w:szCs w:val="26"/>
          <w:lang w:val="sl-SI"/>
        </w:rPr>
      </w:pPr>
    </w:p>
    <w:p w14:paraId="753A07F4" w14:textId="77777777" w:rsidR="00840AAB" w:rsidRDefault="00840AAB" w:rsidP="00840AAB">
      <w:pPr>
        <w:pStyle w:val="a3"/>
        <w:numPr>
          <w:ilvl w:val="1"/>
          <w:numId w:val="2"/>
        </w:numPr>
        <w:ind w:left="660" w:hanging="660"/>
        <w:rPr>
          <w:lang w:val="sl-SI"/>
        </w:rPr>
      </w:pPr>
      <w:r>
        <w:rPr>
          <w:rFonts w:eastAsia="Times New Roman"/>
          <w:lang w:val="sl-SI"/>
        </w:rPr>
        <w:t>Po ustreznem urjenju si lahko injekcije dajete sami ali vam jih daje kdo drug, npr. svojec ali prijatelj.</w:t>
      </w:r>
    </w:p>
    <w:p w14:paraId="4E501BB1" w14:textId="77777777" w:rsidR="00840AAB" w:rsidRDefault="00840AAB" w:rsidP="00840AAB">
      <w:pPr>
        <w:spacing w:before="12" w:line="240" w:lineRule="exact"/>
        <w:rPr>
          <w:sz w:val="24"/>
          <w:szCs w:val="24"/>
          <w:lang w:val="sl-SI"/>
        </w:rPr>
      </w:pPr>
    </w:p>
    <w:p w14:paraId="72433F79" w14:textId="77777777" w:rsidR="00840AAB" w:rsidRDefault="00840AAB" w:rsidP="00840AAB">
      <w:pPr>
        <w:pStyle w:val="a3"/>
        <w:numPr>
          <w:ilvl w:val="1"/>
          <w:numId w:val="2"/>
        </w:numPr>
        <w:ind w:left="660" w:hanging="660"/>
        <w:rPr>
          <w:lang w:val="sl-SI"/>
        </w:rPr>
      </w:pPr>
      <w:r>
        <w:rPr>
          <w:rFonts w:eastAsia="Times New Roman"/>
          <w:lang w:val="sl-SI"/>
        </w:rPr>
        <w:t>Vsak napolnjen injekcijski peresnik uporabite samo za eno injiciranje.</w:t>
      </w:r>
    </w:p>
    <w:p w14:paraId="18E6ED8F" w14:textId="77777777" w:rsidR="00840AAB" w:rsidRDefault="00840AAB" w:rsidP="00840AAB">
      <w:pPr>
        <w:spacing w:before="15" w:line="240" w:lineRule="exact"/>
        <w:rPr>
          <w:sz w:val="24"/>
          <w:szCs w:val="24"/>
          <w:lang w:val="sl-SI"/>
        </w:rPr>
      </w:pPr>
    </w:p>
    <w:p w14:paraId="25DF527B" w14:textId="77777777" w:rsidR="00B27685" w:rsidRDefault="00B27685">
      <w:pPr>
        <w:rPr>
          <w:rFonts w:ascii="Times New Roman" w:eastAsia="Times New Roman" w:hAnsi="Times New Roman" w:cs="Times New Roman"/>
          <w:b/>
          <w:bCs/>
          <w:spacing w:val="-1"/>
          <w:lang w:val="sl-SI"/>
        </w:rPr>
      </w:pPr>
      <w:r>
        <w:rPr>
          <w:rFonts w:eastAsia="Times New Roman"/>
          <w:b/>
          <w:bCs/>
          <w:spacing w:val="-1"/>
          <w:lang w:val="sl-SI"/>
        </w:rPr>
        <w:br w:type="page"/>
      </w:r>
    </w:p>
    <w:p w14:paraId="6E34504D" w14:textId="40A21A7F" w:rsidR="00840AAB" w:rsidRDefault="00840AAB" w:rsidP="00840AAB">
      <w:pPr>
        <w:pStyle w:val="a3"/>
        <w:rPr>
          <w:b/>
          <w:bCs/>
          <w:lang w:val="sl-SI"/>
        </w:rPr>
      </w:pPr>
      <w:r>
        <w:rPr>
          <w:rFonts w:eastAsia="Times New Roman"/>
          <w:b/>
          <w:bCs/>
          <w:spacing w:val="-1"/>
          <w:lang w:val="sl-SI"/>
        </w:rPr>
        <w:lastRenderedPageBreak/>
        <w:t>Zdravilo Yuflyma napolnjen injekcijski peresnik</w:t>
      </w:r>
    </w:p>
    <w:p w14:paraId="67F99381" w14:textId="2A67902E" w:rsidR="00840AAB" w:rsidRDefault="00A80AAA" w:rsidP="0030421B">
      <w:pPr>
        <w:tabs>
          <w:tab w:val="left" w:pos="3004"/>
          <w:tab w:val="left" w:pos="5932"/>
        </w:tabs>
        <w:spacing w:before="33" w:line="480" w:lineRule="auto"/>
        <w:ind w:right="1474"/>
        <w:jc w:val="center"/>
        <w:rPr>
          <w:rFonts w:ascii="Times New Roman" w:eastAsia="Times New Roman" w:hAnsi="Times New Roman" w:cs="Times New Roman"/>
          <w:b/>
          <w:bCs/>
          <w:lang w:val="sl-SI"/>
        </w:rPr>
      </w:pPr>
      <w:r w:rsidRPr="00437633">
        <w:rPr>
          <w:rFonts w:ascii="Times New Roman" w:eastAsia="Times New Roman" w:hAnsi="Times New Roman" w:cs="Times New Roman"/>
          <w:b/>
          <w:bCs/>
          <w:noProof/>
          <w:lang w:eastAsia="ko-KR"/>
        </w:rPr>
        <w:drawing>
          <wp:anchor distT="0" distB="0" distL="114300" distR="114300" simplePos="0" relativeHeight="251658329" behindDoc="0" locked="0" layoutInCell="1" allowOverlap="1" wp14:anchorId="4D651DEB" wp14:editId="5B0AFE1F">
            <wp:simplePos x="0" y="0"/>
            <wp:positionH relativeFrom="column">
              <wp:posOffset>1102360</wp:posOffset>
            </wp:positionH>
            <wp:positionV relativeFrom="paragraph">
              <wp:posOffset>362585</wp:posOffset>
            </wp:positionV>
            <wp:extent cx="3840480" cy="3596640"/>
            <wp:effectExtent l="0" t="0" r="7620" b="3810"/>
            <wp:wrapTopAndBottom/>
            <wp:docPr id="3889"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9" name="그림 1"/>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840480" cy="3596640"/>
                    </a:xfrm>
                    <a:prstGeom prst="rect">
                      <a:avLst/>
                    </a:prstGeom>
                  </pic:spPr>
                </pic:pic>
              </a:graphicData>
            </a:graphic>
            <wp14:sizeRelH relativeFrom="margin">
              <wp14:pctWidth>0</wp14:pctWidth>
            </wp14:sizeRelH>
          </wp:anchor>
        </w:drawing>
      </w:r>
    </w:p>
    <w:tbl>
      <w:tblPr>
        <w:tblStyle w:val="ac"/>
        <w:tblW w:w="0" w:type="auto"/>
        <w:tblInd w:w="16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1"/>
      </w:tblGrid>
      <w:tr w:rsidR="00A80AAA" w14:paraId="0046CED1" w14:textId="77777777" w:rsidTr="0030421B">
        <w:trPr>
          <w:trHeight w:val="63"/>
        </w:trPr>
        <w:tc>
          <w:tcPr>
            <w:tcW w:w="6111" w:type="dxa"/>
          </w:tcPr>
          <w:p w14:paraId="026F3B69" w14:textId="62C22AEB" w:rsidR="00A80AAA" w:rsidRPr="0030421B" w:rsidRDefault="00A80AAA" w:rsidP="0030421B">
            <w:pPr>
              <w:tabs>
                <w:tab w:val="left" w:pos="3004"/>
                <w:tab w:val="left" w:pos="5932"/>
              </w:tabs>
              <w:spacing w:line="480" w:lineRule="auto"/>
              <w:jc w:val="right"/>
              <w:rPr>
                <w:rFonts w:ascii="Times New Roman" w:hAnsi="Times New Roman" w:cs="Times New Roman"/>
                <w:b/>
                <w:bCs/>
                <w:lang w:val="sl-SI" w:eastAsia="ko-KR"/>
              </w:rPr>
            </w:pPr>
            <w:r w:rsidRPr="0030421B">
              <w:rPr>
                <w:rFonts w:ascii="Times New Roman" w:eastAsia="Times New Roman" w:hAnsi="Times New Roman" w:cs="Times New Roman"/>
                <w:b/>
                <w:bCs/>
                <w:lang w:val="sl-SI"/>
              </w:rPr>
              <w:t>Slika A</w:t>
            </w:r>
          </w:p>
        </w:tc>
      </w:tr>
    </w:tbl>
    <w:p w14:paraId="6C9CADAD" w14:textId="3854DB23" w:rsidR="00840AAB" w:rsidRDefault="00840AAB" w:rsidP="00840AAB">
      <w:pPr>
        <w:tabs>
          <w:tab w:val="left" w:pos="3004"/>
          <w:tab w:val="left" w:pos="5932"/>
        </w:tabs>
        <w:spacing w:before="33" w:line="480" w:lineRule="auto"/>
        <w:ind w:left="111" w:right="1474" w:firstLine="15"/>
        <w:rPr>
          <w:rFonts w:ascii="Times New Roman" w:eastAsia="Times New Roman" w:hAnsi="Times New Roman" w:cs="Times New Roman"/>
          <w:b/>
          <w:bCs/>
          <w:lang w:val="sl-SI"/>
        </w:rPr>
      </w:pPr>
    </w:p>
    <w:p w14:paraId="51BFC2AD" w14:textId="77777777" w:rsidR="00840AAB" w:rsidRDefault="00840AAB" w:rsidP="00840AAB">
      <w:pPr>
        <w:tabs>
          <w:tab w:val="left" w:pos="3004"/>
          <w:tab w:val="left" w:pos="5932"/>
        </w:tabs>
        <w:spacing w:before="33" w:line="480" w:lineRule="auto"/>
        <w:ind w:left="113" w:right="1474"/>
        <w:rPr>
          <w:rFonts w:ascii="Times New Roman" w:eastAsia="Times New Roman" w:hAnsi="Times New Roman" w:cs="Times New Roman"/>
          <w:lang w:val="sl-SI"/>
        </w:rPr>
      </w:pPr>
      <w:r>
        <w:rPr>
          <w:rFonts w:ascii="Times New Roman" w:eastAsia="Times New Roman" w:hAnsi="Times New Roman" w:cs="Times New Roman"/>
          <w:b/>
          <w:bCs/>
          <w:spacing w:val="-1"/>
          <w:lang w:val="sl-SI"/>
        </w:rPr>
        <w:t>Napolnjenega injekcijskega peresnika ne uporabljajte ponovno, če:</w:t>
      </w:r>
    </w:p>
    <w:p w14:paraId="449C585D" w14:textId="77777777" w:rsidR="00840AAB" w:rsidRDefault="00840AAB" w:rsidP="00840AAB">
      <w:pPr>
        <w:pStyle w:val="a3"/>
        <w:numPr>
          <w:ilvl w:val="1"/>
          <w:numId w:val="2"/>
        </w:numPr>
        <w:ind w:left="660" w:hanging="660"/>
        <w:rPr>
          <w:lang w:val="sl-SI"/>
        </w:rPr>
      </w:pPr>
      <w:r>
        <w:rPr>
          <w:rFonts w:eastAsia="Times New Roman"/>
          <w:lang w:val="sl-SI"/>
        </w:rPr>
        <w:t>je razpokan ali poškodovan</w:t>
      </w:r>
    </w:p>
    <w:p w14:paraId="3CF6C8BE" w14:textId="77777777" w:rsidR="00840AAB" w:rsidRPr="00366D10" w:rsidRDefault="00840AAB" w:rsidP="00840AAB">
      <w:pPr>
        <w:pStyle w:val="a3"/>
        <w:numPr>
          <w:ilvl w:val="1"/>
          <w:numId w:val="2"/>
        </w:numPr>
        <w:ind w:left="660" w:hanging="660"/>
        <w:rPr>
          <w:sz w:val="26"/>
          <w:szCs w:val="26"/>
          <w:lang w:val="sl-SI"/>
        </w:rPr>
      </w:pPr>
      <w:r>
        <w:rPr>
          <w:rFonts w:eastAsia="Times New Roman"/>
          <w:lang w:val="sl-SI"/>
        </w:rPr>
        <w:t>je pretekel rok uporabnosti.</w:t>
      </w:r>
    </w:p>
    <w:p w14:paraId="5EF82179" w14:textId="05A01A6F" w:rsidR="00F90CAB" w:rsidRDefault="00F90CAB" w:rsidP="00840AAB">
      <w:pPr>
        <w:pStyle w:val="a3"/>
        <w:numPr>
          <w:ilvl w:val="1"/>
          <w:numId w:val="2"/>
        </w:numPr>
        <w:ind w:left="660" w:hanging="660"/>
        <w:rPr>
          <w:sz w:val="26"/>
          <w:szCs w:val="26"/>
          <w:lang w:val="sl-SI"/>
        </w:rPr>
      </w:pPr>
      <w:r w:rsidRPr="00323C29">
        <w:rPr>
          <w:lang w:val="fr-CA"/>
        </w:rPr>
        <w:t>je padel na trdo površino.</w:t>
      </w:r>
    </w:p>
    <w:p w14:paraId="627FFC82" w14:textId="77777777" w:rsidR="00840AAB" w:rsidRDefault="00840AAB" w:rsidP="00840AAB">
      <w:pPr>
        <w:pStyle w:val="a3"/>
        <w:rPr>
          <w:lang w:val="sl-SI"/>
        </w:rPr>
      </w:pPr>
    </w:p>
    <w:p w14:paraId="6306FF1C" w14:textId="77777777" w:rsidR="00840AAB" w:rsidRDefault="00840AAB" w:rsidP="00840AAB">
      <w:pPr>
        <w:pStyle w:val="a3"/>
        <w:rPr>
          <w:b/>
          <w:bCs/>
          <w:lang w:val="sl-SI"/>
        </w:rPr>
      </w:pPr>
      <w:r>
        <w:rPr>
          <w:rFonts w:eastAsia="Times New Roman"/>
          <w:b/>
          <w:bCs/>
          <w:lang w:val="sl-SI"/>
        </w:rPr>
        <w:t>Ne odstranjujte pokrovčka, dokler niste pripravljeni na injiciranje. Zdravilo Yuflyma shranjujte nedosegljivo otrokom.</w:t>
      </w:r>
    </w:p>
    <w:tbl>
      <w:tblPr>
        <w:tblStyle w:val="ac"/>
        <w:tblW w:w="0" w:type="auto"/>
        <w:tblLook w:val="04A0" w:firstRow="1" w:lastRow="0" w:firstColumn="1" w:lastColumn="0" w:noHBand="0" w:noVBand="1"/>
      </w:tblPr>
      <w:tblGrid>
        <w:gridCol w:w="9550"/>
      </w:tblGrid>
      <w:tr w:rsidR="00840AAB" w14:paraId="201AB0D4" w14:textId="77777777" w:rsidTr="00646E14">
        <w:trPr>
          <w:trHeight w:val="2551"/>
        </w:trPr>
        <w:tc>
          <w:tcPr>
            <w:tcW w:w="9550" w:type="dxa"/>
          </w:tcPr>
          <w:p w14:paraId="1E75C6FE" w14:textId="77777777" w:rsidR="00840AAB" w:rsidRDefault="00840AAB" w:rsidP="00646E14">
            <w:pPr>
              <w:spacing w:line="260" w:lineRule="exact"/>
              <w:rPr>
                <w:rFonts w:ascii="Times New Roman" w:eastAsia="Times New Roman" w:hAnsi="Times New Roman" w:cs="Times New Roman"/>
                <w:b/>
                <w:bCs/>
                <w:spacing w:val="-1"/>
                <w:lang w:val="sl-SI"/>
              </w:rPr>
            </w:pPr>
          </w:p>
          <w:p w14:paraId="275FAE61" w14:textId="77777777" w:rsidR="00840AAB" w:rsidRDefault="00840AAB" w:rsidP="0030421B">
            <w:pPr>
              <w:pStyle w:val="a3"/>
              <w:numPr>
                <w:ilvl w:val="0"/>
                <w:numId w:val="134"/>
              </w:numPr>
              <w:rPr>
                <w:b/>
                <w:lang w:val="sl-SI"/>
              </w:rPr>
            </w:pPr>
            <w:r>
              <w:rPr>
                <w:rFonts w:eastAsia="Times New Roman"/>
                <w:b/>
                <w:bCs/>
                <w:lang w:val="sl-SI"/>
              </w:rPr>
              <w:t>Priprava opreme za injiciranje</w:t>
            </w:r>
          </w:p>
          <w:p w14:paraId="1CB18A3E" w14:textId="77777777" w:rsidR="00840AAB" w:rsidRDefault="00840AAB" w:rsidP="00646E14">
            <w:pPr>
              <w:pStyle w:val="a3"/>
              <w:numPr>
                <w:ilvl w:val="0"/>
                <w:numId w:val="0"/>
              </w:numPr>
              <w:ind w:left="470"/>
              <w:rPr>
                <w:b/>
                <w:lang w:val="sl-SI"/>
              </w:rPr>
            </w:pPr>
          </w:p>
          <w:p w14:paraId="62113F8B" w14:textId="77777777" w:rsidR="00840AAB" w:rsidRDefault="00840AAB" w:rsidP="00646E14">
            <w:pPr>
              <w:pStyle w:val="a3"/>
              <w:ind w:leftChars="153" w:left="517" w:hanging="180"/>
              <w:rPr>
                <w:lang w:val="sl-SI" w:eastAsia="ko-KR"/>
              </w:rPr>
            </w:pPr>
            <w:r>
              <w:rPr>
                <w:rFonts w:eastAsia="Times New Roman"/>
                <w:b/>
                <w:bCs/>
                <w:lang w:val="sl-SI" w:eastAsia="ko-KR"/>
              </w:rPr>
              <w:t>a.</w:t>
            </w:r>
            <w:r>
              <w:rPr>
                <w:rFonts w:eastAsia="Times New Roman"/>
                <w:lang w:val="sl-SI" w:eastAsia="ko-KR"/>
              </w:rPr>
              <w:t xml:space="preserve"> Pripravite čisto, ravno površino, kot je miza ali pult, v dobro osvetljenem prostoru.</w:t>
            </w:r>
          </w:p>
          <w:p w14:paraId="4ABF9B3A" w14:textId="77777777" w:rsidR="00840AAB" w:rsidRDefault="00840AAB" w:rsidP="00646E14">
            <w:pPr>
              <w:pStyle w:val="a3"/>
              <w:ind w:leftChars="153" w:left="517" w:hanging="180"/>
              <w:rPr>
                <w:lang w:val="sl-SI" w:eastAsia="ko-KR"/>
              </w:rPr>
            </w:pPr>
            <w:r>
              <w:rPr>
                <w:rFonts w:eastAsia="Times New Roman"/>
                <w:b/>
                <w:bCs/>
                <w:lang w:val="sl-SI" w:eastAsia="ko-KR"/>
              </w:rPr>
              <w:t>b.</w:t>
            </w:r>
            <w:r>
              <w:rPr>
                <w:rFonts w:eastAsia="Times New Roman"/>
                <w:lang w:val="sl-SI" w:eastAsia="ko-KR"/>
              </w:rPr>
              <w:t xml:space="preserve"> Iz škatle, shranjene v hladilniku, vzemite 1 napolnjen injekcijski peresnik.</w:t>
            </w:r>
          </w:p>
          <w:p w14:paraId="33B2D0D8" w14:textId="77777777" w:rsidR="00840AAB" w:rsidRDefault="00840AAB" w:rsidP="00646E14">
            <w:pPr>
              <w:pStyle w:val="a3"/>
              <w:ind w:leftChars="153" w:left="517" w:hanging="180"/>
              <w:rPr>
                <w:lang w:val="sl-SI" w:eastAsia="ko-KR"/>
              </w:rPr>
            </w:pPr>
            <w:r>
              <w:rPr>
                <w:rFonts w:eastAsia="Times New Roman"/>
                <w:b/>
                <w:bCs/>
                <w:lang w:val="sl-SI" w:eastAsia="ko-KR"/>
              </w:rPr>
              <w:t>c.</w:t>
            </w:r>
            <w:r>
              <w:rPr>
                <w:rFonts w:eastAsia="Times New Roman"/>
                <w:lang w:val="sl-SI" w:eastAsia="ko-KR"/>
              </w:rPr>
              <w:t xml:space="preserve"> Prepričajte se, da imate naslednjo opremo:</w:t>
            </w:r>
          </w:p>
          <w:p w14:paraId="6E02C0F6" w14:textId="77777777" w:rsidR="00840AAB" w:rsidRDefault="00840AAB" w:rsidP="00646E14">
            <w:pPr>
              <w:pStyle w:val="a3"/>
              <w:ind w:leftChars="402" w:left="884"/>
              <w:rPr>
                <w:lang w:val="sl-SI" w:eastAsia="ko-KR"/>
              </w:rPr>
            </w:pPr>
            <w:r>
              <w:rPr>
                <w:rFonts w:eastAsia="Times New Roman"/>
                <w:lang w:val="sl-SI" w:eastAsia="ko-KR"/>
              </w:rPr>
              <w:t>- napolnjen injekcijski peresnik</w:t>
            </w:r>
          </w:p>
          <w:p w14:paraId="7AB19D0B" w14:textId="77777777" w:rsidR="00840AAB" w:rsidRDefault="00840AAB" w:rsidP="00646E14">
            <w:pPr>
              <w:pStyle w:val="a3"/>
              <w:ind w:leftChars="402" w:left="1659" w:hanging="775"/>
              <w:rPr>
                <w:lang w:val="sl-SI" w:eastAsia="ko-KR"/>
              </w:rPr>
            </w:pPr>
            <w:r>
              <w:rPr>
                <w:rFonts w:eastAsia="Times New Roman"/>
                <w:lang w:val="sl-SI" w:eastAsia="ko-KR"/>
              </w:rPr>
              <w:t>- 1 alkoholni zloženec</w:t>
            </w:r>
          </w:p>
          <w:p w14:paraId="0AE29C9F" w14:textId="77777777" w:rsidR="00840AAB" w:rsidRDefault="00840AAB" w:rsidP="00646E14">
            <w:pPr>
              <w:pStyle w:val="a3"/>
              <w:ind w:leftChars="402" w:left="1659" w:hanging="775"/>
              <w:rPr>
                <w:lang w:val="sl-SI" w:eastAsia="ko-KR"/>
              </w:rPr>
            </w:pPr>
          </w:p>
          <w:p w14:paraId="329F2959" w14:textId="77777777" w:rsidR="00840AAB" w:rsidRDefault="00840AAB" w:rsidP="00646E14">
            <w:pPr>
              <w:pStyle w:val="a3"/>
              <w:ind w:left="720"/>
              <w:rPr>
                <w:b/>
                <w:lang w:val="sl-SI" w:eastAsia="ko-KR"/>
              </w:rPr>
            </w:pPr>
            <w:r>
              <w:rPr>
                <w:rFonts w:eastAsia="Times New Roman"/>
                <w:b/>
                <w:bCs/>
                <w:lang w:val="sl-SI" w:eastAsia="ko-KR"/>
              </w:rPr>
              <w:t>Ni priloženo pakiranju:</w:t>
            </w:r>
          </w:p>
          <w:p w14:paraId="1F020DE8" w14:textId="77777777" w:rsidR="00840AAB" w:rsidRDefault="00840AAB" w:rsidP="00646E14">
            <w:pPr>
              <w:pStyle w:val="a3"/>
              <w:ind w:left="720"/>
              <w:rPr>
                <w:lang w:val="sl-SI" w:eastAsia="ko-KR"/>
              </w:rPr>
            </w:pPr>
            <w:r>
              <w:rPr>
                <w:rFonts w:eastAsia="Times New Roman"/>
                <w:lang w:val="sl-SI" w:eastAsia="ko-KR"/>
              </w:rPr>
              <w:t>- Bombažna blazinica ali gaza</w:t>
            </w:r>
          </w:p>
          <w:p w14:paraId="2CDC3734" w14:textId="77777777" w:rsidR="00840AAB" w:rsidRDefault="00840AAB" w:rsidP="00646E14">
            <w:pPr>
              <w:pStyle w:val="a3"/>
              <w:ind w:left="720"/>
              <w:rPr>
                <w:lang w:val="sl-SI" w:eastAsia="ko-KR"/>
              </w:rPr>
            </w:pPr>
            <w:r>
              <w:rPr>
                <w:rFonts w:eastAsia="Times New Roman"/>
                <w:lang w:val="sl-SI" w:eastAsia="ko-KR"/>
              </w:rPr>
              <w:t>- Lepilni povoj</w:t>
            </w:r>
          </w:p>
          <w:p w14:paraId="173E8907" w14:textId="77777777" w:rsidR="00840AAB" w:rsidRDefault="00840AAB" w:rsidP="00646E14">
            <w:pPr>
              <w:pStyle w:val="a3"/>
              <w:ind w:left="720"/>
              <w:rPr>
                <w:lang w:val="sl-SI" w:eastAsia="ko-KR"/>
              </w:rPr>
            </w:pPr>
            <w:r>
              <w:rPr>
                <w:rFonts w:eastAsia="Times New Roman"/>
                <w:lang w:val="sl-SI" w:eastAsia="ko-KR"/>
              </w:rPr>
              <w:t>- Vsebnik za ostre predmete</w:t>
            </w:r>
          </w:p>
          <w:p w14:paraId="551BA1CA" w14:textId="77777777" w:rsidR="00840AAB" w:rsidRDefault="00840AAB" w:rsidP="00646E14">
            <w:pPr>
              <w:pStyle w:val="a3"/>
              <w:ind w:leftChars="402" w:left="1659" w:hanging="775"/>
              <w:rPr>
                <w:sz w:val="26"/>
                <w:szCs w:val="26"/>
                <w:lang w:val="sl-SI"/>
              </w:rPr>
            </w:pPr>
          </w:p>
        </w:tc>
      </w:tr>
      <w:tr w:rsidR="00840AAB" w:rsidRPr="00475A1E" w14:paraId="73E56217" w14:textId="77777777" w:rsidTr="00646E14">
        <w:trPr>
          <w:trHeight w:val="5025"/>
        </w:trPr>
        <w:tc>
          <w:tcPr>
            <w:tcW w:w="9550" w:type="dxa"/>
          </w:tcPr>
          <w:p w14:paraId="3AFE84D1" w14:textId="77777777" w:rsidR="00840AAB" w:rsidRDefault="00840AAB" w:rsidP="00646E14">
            <w:pPr>
              <w:spacing w:line="260" w:lineRule="exact"/>
              <w:rPr>
                <w:sz w:val="26"/>
                <w:szCs w:val="26"/>
                <w:lang w:val="sl-SI"/>
              </w:rPr>
            </w:pPr>
            <w:r>
              <w:rPr>
                <w:noProof/>
                <w:sz w:val="26"/>
                <w:szCs w:val="26"/>
                <w:lang w:eastAsia="ko-KR"/>
              </w:rPr>
              <w:lastRenderedPageBreak/>
              <mc:AlternateContent>
                <mc:Choice Requires="wpg">
                  <w:drawing>
                    <wp:anchor distT="0" distB="0" distL="114300" distR="114300" simplePos="0" relativeHeight="251658294" behindDoc="0" locked="0" layoutInCell="1" allowOverlap="1" wp14:anchorId="2C1198F6" wp14:editId="707E987B">
                      <wp:simplePos x="0" y="0"/>
                      <wp:positionH relativeFrom="column">
                        <wp:posOffset>61595</wp:posOffset>
                      </wp:positionH>
                      <wp:positionV relativeFrom="paragraph">
                        <wp:posOffset>104775</wp:posOffset>
                      </wp:positionV>
                      <wp:extent cx="2033905" cy="2635250"/>
                      <wp:effectExtent l="0" t="0" r="4445" b="0"/>
                      <wp:wrapSquare wrapText="bothSides"/>
                      <wp:docPr id="177" name="그룹 177"/>
                      <wp:cNvGraphicFramePr/>
                      <a:graphic xmlns:a="http://schemas.openxmlformats.org/drawingml/2006/main">
                        <a:graphicData uri="http://schemas.microsoft.com/office/word/2010/wordprocessingGroup">
                          <wpg:wgp>
                            <wpg:cNvGrpSpPr/>
                            <wpg:grpSpPr>
                              <a:xfrm>
                                <a:off x="0" y="0"/>
                                <a:ext cx="2016821" cy="2635250"/>
                                <a:chOff x="17084" y="0"/>
                                <a:chExt cx="2016821" cy="2635250"/>
                              </a:xfrm>
                            </wpg:grpSpPr>
                            <pic:pic xmlns:pic="http://schemas.openxmlformats.org/drawingml/2006/picture">
                              <pic:nvPicPr>
                                <pic:cNvPr id="178" name="그림 178"/>
                                <pic:cNvPicPr>
                                  <a:picLocks noChangeAspect="1"/>
                                </pic:cNvPicPr>
                              </pic:nvPicPr>
                              <pic:blipFill>
                                <a:blip r:embed="rId141" cstate="print">
                                  <a:extLst>
                                    <a:ext uri="{28A0092B-C50C-407E-A947-70E740481C1C}">
                                      <a14:useLocalDpi xmlns:a14="http://schemas.microsoft.com/office/drawing/2010/main" val="0"/>
                                    </a:ext>
                                  </a:extLst>
                                </a:blip>
                                <a:srcRect/>
                                <a:stretch/>
                              </pic:blipFill>
                              <pic:spPr bwMode="auto">
                                <a:xfrm>
                                  <a:off x="17084" y="0"/>
                                  <a:ext cx="1995292" cy="2491740"/>
                                </a:xfrm>
                                <a:prstGeom prst="rect">
                                  <a:avLst/>
                                </a:prstGeom>
                                <a:noFill/>
                                <a:ln>
                                  <a:noFill/>
                                </a:ln>
                              </pic:spPr>
                            </pic:pic>
                            <wps:wsp>
                              <wps:cNvPr id="179" name="Text Box 179"/>
                              <wps:cNvSpPr txBox="1"/>
                              <wps:spPr>
                                <a:xfrm>
                                  <a:off x="1313815" y="2489200"/>
                                  <a:ext cx="720090" cy="146050"/>
                                </a:xfrm>
                                <a:prstGeom prst="rect">
                                  <a:avLst/>
                                </a:prstGeom>
                                <a:solidFill>
                                  <a:prstClr val="white"/>
                                </a:solidFill>
                                <a:ln>
                                  <a:noFill/>
                                </a:ln>
                              </wps:spPr>
                              <wps:txbx>
                                <w:txbxContent>
                                  <w:p w14:paraId="4841AD1A"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lang w:val="sl-SI"/>
                                      </w:rPr>
                                      <w:t>Slika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C1198F6" id="그룹 177" o:spid="_x0000_s1260" style="position:absolute;margin-left:4.85pt;margin-top:8.25pt;width:160.15pt;height:207.5pt;z-index:251658294" coordorigin="170" coordsize="20168,26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">
                      <v:shape id="그림 178" o:spid="_x0000_s1261" type="#_x0000_t75" style="position:absolute;left:170;width:19953;height:2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">
                        <v:imagedata r:id="rId142" o:title=""/>
                      </v:shape>
                      <v:shape id="Text Box 179" o:spid="_x0000_s1262" type="#_x0000_t202" style="position:absolute;left:13138;top:24892;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" stroked="f">
                        <v:textbox style="mso-fit-shape-to-text:t" inset="0,0,0,0">
                          <w:txbxContent>
                            <w:p w14:paraId="4841AD1A" w14:textId="77777777" w:rsidR="00474DFB" w:rsidRDefault="00474DFB" w:rsidP="00840AAB">
                              <w:pPr>
                                <w:pStyle w:val="af0"/>
                                <w:jc w:val="right"/>
                                <w:rPr>
                                  <w:rFonts w:ascii="Times New Roman" w:hAnsi="Times New Roman" w:cs="Times New Roman"/>
                                  <w:noProof/>
                                  <w:spacing w:val="-1"/>
                                </w:rPr>
                              </w:pPr>
                              <w:r>
                                <w:rPr>
                                  <w:rFonts w:ascii="Times New Roman" w:eastAsia="Times New Roman" w:hAnsi="Times New Roman" w:cs="Times New Roman"/>
                                  <w:lang w:val="sl-SI"/>
                                </w:rPr>
                                <w:t>Slika B</w:t>
                              </w:r>
                            </w:p>
                          </w:txbxContent>
                        </v:textbox>
                      </v:shape>
                      <w10:wrap type="square"/>
                    </v:group>
                  </w:pict>
                </mc:Fallback>
              </mc:AlternateContent>
            </w:r>
          </w:p>
          <w:p w14:paraId="513A0A8F" w14:textId="77777777" w:rsidR="00840AAB" w:rsidRDefault="00840AAB" w:rsidP="0030421B">
            <w:pPr>
              <w:pStyle w:val="a3"/>
              <w:numPr>
                <w:ilvl w:val="0"/>
                <w:numId w:val="134"/>
              </w:numPr>
              <w:rPr>
                <w:b/>
                <w:lang w:val="sl-SI"/>
              </w:rPr>
            </w:pPr>
            <w:r>
              <w:rPr>
                <w:rFonts w:eastAsia="Times New Roman"/>
                <w:b/>
                <w:bCs/>
                <w:lang w:val="sl-SI"/>
              </w:rPr>
              <w:t>Preglejte napolnjen injekcijski peresnik</w:t>
            </w:r>
          </w:p>
          <w:p w14:paraId="3AB3F87A" w14:textId="77777777" w:rsidR="00840AAB" w:rsidRDefault="00840AAB" w:rsidP="00646E14">
            <w:pPr>
              <w:pStyle w:val="a3"/>
              <w:numPr>
                <w:ilvl w:val="0"/>
                <w:numId w:val="0"/>
              </w:numPr>
              <w:ind w:left="471"/>
              <w:rPr>
                <w:b/>
                <w:lang w:val="sl-SI"/>
              </w:rPr>
            </w:pPr>
          </w:p>
          <w:p w14:paraId="255022B5" w14:textId="77777777" w:rsidR="00840AAB" w:rsidRDefault="00840AAB" w:rsidP="00646E14">
            <w:pPr>
              <w:pStyle w:val="a3"/>
              <w:ind w:left="3937" w:hanging="180"/>
              <w:rPr>
                <w:lang w:val="sl-SI" w:eastAsia="ko-KR"/>
              </w:rPr>
            </w:pPr>
            <w:r>
              <w:rPr>
                <w:rFonts w:eastAsia="Times New Roman"/>
                <w:b/>
                <w:bCs/>
                <w:lang w:val="sl-SI" w:eastAsia="ko-KR"/>
              </w:rPr>
              <w:t>a.</w:t>
            </w:r>
            <w:r>
              <w:rPr>
                <w:rFonts w:eastAsia="Times New Roman"/>
                <w:lang w:val="sl-SI" w:eastAsia="ko-KR"/>
              </w:rPr>
              <w:t xml:space="preserve"> Poskrbite, da imate pravo zdravilo (Yuflyma) in </w:t>
            </w:r>
          </w:p>
          <w:p w14:paraId="0E50510C" w14:textId="77777777" w:rsidR="00840AAB" w:rsidRDefault="00840AAB" w:rsidP="00646E14">
            <w:pPr>
              <w:pStyle w:val="a3"/>
              <w:ind w:left="3937" w:hanging="180"/>
              <w:rPr>
                <w:lang w:val="sl-SI" w:eastAsia="ko-KR"/>
              </w:rPr>
            </w:pPr>
            <w:r>
              <w:rPr>
                <w:rFonts w:eastAsia="Times New Roman"/>
                <w:lang w:val="sl-SI" w:eastAsia="ko-KR"/>
              </w:rPr>
              <w:t xml:space="preserve">odmerek. </w:t>
            </w:r>
          </w:p>
          <w:p w14:paraId="3A42044A" w14:textId="77777777" w:rsidR="00840AAB" w:rsidRDefault="00840AAB" w:rsidP="00646E14">
            <w:pPr>
              <w:pStyle w:val="a3"/>
              <w:ind w:left="3937" w:hanging="180"/>
              <w:rPr>
                <w:lang w:val="sl-SI" w:eastAsia="ko-KR"/>
              </w:rPr>
            </w:pPr>
            <w:r>
              <w:rPr>
                <w:rFonts w:eastAsia="Times New Roman"/>
                <w:b/>
                <w:bCs/>
                <w:lang w:val="sl-SI" w:eastAsia="ko-KR"/>
              </w:rPr>
              <w:t>b.</w:t>
            </w:r>
            <w:r>
              <w:rPr>
                <w:rFonts w:eastAsia="Times New Roman"/>
                <w:lang w:val="sl-SI" w:eastAsia="ko-KR"/>
              </w:rPr>
              <w:t xml:space="preserve"> Poglejte napolnjen injekcijski peresnik in se prepričajte, da ni razpokan ali poškodovan. </w:t>
            </w:r>
          </w:p>
          <w:p w14:paraId="11AB56F0" w14:textId="703FB833" w:rsidR="00840AAB" w:rsidRDefault="00840AAB" w:rsidP="00646E14">
            <w:pPr>
              <w:spacing w:line="260" w:lineRule="exact"/>
              <w:ind w:left="3937" w:hanging="180"/>
              <w:rPr>
                <w:spacing w:val="-1"/>
                <w:lang w:val="sl-SI" w:eastAsia="ko-KR"/>
              </w:rPr>
            </w:pPr>
            <w:r>
              <w:rPr>
                <w:rFonts w:ascii="Times New Roman" w:eastAsia="Times New Roman" w:hAnsi="Times New Roman" w:cs="Times New Roman"/>
                <w:b/>
                <w:bCs/>
                <w:spacing w:val="-1"/>
                <w:lang w:val="sl-SI" w:eastAsia="ko-KR"/>
              </w:rPr>
              <w:t>c</w:t>
            </w:r>
            <w:r>
              <w:rPr>
                <w:rFonts w:ascii="Calibri" w:eastAsia="Calibri" w:hAnsi="Calibri" w:cs="Arial"/>
                <w:b/>
                <w:bCs/>
                <w:spacing w:val="-1"/>
                <w:lang w:val="sl-SI" w:eastAsia="ko-KR"/>
              </w:rPr>
              <w:t>.</w:t>
            </w:r>
            <w:r>
              <w:rPr>
                <w:rFonts w:ascii="Calibri" w:eastAsia="Calibri" w:hAnsi="Calibri" w:cs="Arial"/>
                <w:spacing w:val="-1"/>
                <w:lang w:val="sl-SI" w:eastAsia="ko-KR"/>
              </w:rPr>
              <w:t xml:space="preserve"> </w:t>
            </w:r>
            <w:r>
              <w:rPr>
                <w:rFonts w:ascii="Times New Roman" w:eastAsia="Times New Roman" w:hAnsi="Times New Roman" w:cs="Times New Roman"/>
                <w:spacing w:val="-1"/>
                <w:lang w:val="sl-SI" w:eastAsia="ko-KR"/>
              </w:rPr>
              <w:t>Preverite rok uporabnosti na nalepki napolnjenega injekcijskega peresnika</w:t>
            </w:r>
            <w:r w:rsidR="00754E39">
              <w:rPr>
                <w:rFonts w:ascii="Times New Roman" w:eastAsia="Times New Roman" w:hAnsi="Times New Roman" w:cs="Times New Roman"/>
                <w:spacing w:val="-1"/>
                <w:lang w:val="sl-SI" w:eastAsia="ko-KR"/>
              </w:rPr>
              <w:t>.</w:t>
            </w:r>
            <w:r>
              <w:rPr>
                <w:rFonts w:ascii="Times New Roman" w:eastAsia="Times New Roman" w:hAnsi="Times New Roman" w:cs="Times New Roman"/>
                <w:spacing w:val="-1"/>
                <w:lang w:val="sl-SI" w:eastAsia="ko-KR"/>
              </w:rPr>
              <w:t xml:space="preserve"> </w:t>
            </w:r>
          </w:p>
          <w:p w14:paraId="7532F6AC" w14:textId="77CEEFAC" w:rsidR="00840AAB" w:rsidRDefault="00A80AAA" w:rsidP="00646E14">
            <w:pPr>
              <w:pStyle w:val="a3"/>
              <w:numPr>
                <w:ilvl w:val="0"/>
                <w:numId w:val="0"/>
              </w:numPr>
              <w:ind w:left="1384"/>
              <w:rPr>
                <w:lang w:val="sl-SI" w:eastAsia="ko-KR"/>
              </w:rPr>
            </w:pPr>
            <w:r>
              <w:rPr>
                <w:rFonts w:eastAsia="Times New Roman"/>
                <w:noProof/>
                <w:sz w:val="20"/>
                <w:szCs w:val="20"/>
                <w:lang w:eastAsia="ko-KR"/>
              </w:rPr>
              <mc:AlternateContent>
                <mc:Choice Requires="wps">
                  <w:drawing>
                    <wp:anchor distT="0" distB="0" distL="114300" distR="114300" simplePos="0" relativeHeight="251658319" behindDoc="0" locked="0" layoutInCell="1" allowOverlap="1" wp14:anchorId="5CA7124E" wp14:editId="2FF035B9">
                      <wp:simplePos x="0" y="0"/>
                      <wp:positionH relativeFrom="column">
                        <wp:posOffset>1027772</wp:posOffset>
                      </wp:positionH>
                      <wp:positionV relativeFrom="paragraph">
                        <wp:posOffset>24814</wp:posOffset>
                      </wp:positionV>
                      <wp:extent cx="930303" cy="341907"/>
                      <wp:effectExtent l="0" t="0" r="3175" b="1270"/>
                      <wp:wrapNone/>
                      <wp:docPr id="180" name="Text Box 180"/>
                      <wp:cNvGraphicFramePr/>
                      <a:graphic xmlns:a="http://schemas.openxmlformats.org/drawingml/2006/main">
                        <a:graphicData uri="http://schemas.microsoft.com/office/word/2010/wordprocessingShape">
                          <wps:wsp>
                            <wps:cNvSpPr txBox="1"/>
                            <wps:spPr>
                              <a:xfrm>
                                <a:off x="0" y="0"/>
                                <a:ext cx="930303" cy="34190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73B80EB" w14:textId="77777777" w:rsidR="00474DFB" w:rsidRPr="009D4E53" w:rsidRDefault="00474DFB" w:rsidP="00840AAB">
                                  <w:pPr>
                                    <w:rPr>
                                      <w:rFonts w:asciiTheme="majorBidi" w:hAnsiTheme="majorBidi" w:cstheme="majorBidi"/>
                                      <w:b/>
                                      <w:bCs/>
                                      <w:sz w:val="16"/>
                                      <w:szCs w:val="14"/>
                                    </w:rPr>
                                  </w:pPr>
                                  <w:r w:rsidRPr="009D4E53">
                                    <w:rPr>
                                      <w:rFonts w:ascii="Times New Roman" w:eastAsia="Times New Roman" w:hAnsi="Times New Roman" w:cs="Times New Roman"/>
                                      <w:b/>
                                      <w:bCs/>
                                      <w:sz w:val="16"/>
                                      <w:szCs w:val="14"/>
                                      <w:lang w:val="sl-SI"/>
                                    </w:rPr>
                                    <w:t xml:space="preserve">EXP.: </w:t>
                                  </w:r>
                                  <w:r w:rsidRPr="009D4E53">
                                    <w:rPr>
                                      <w:rFonts w:ascii="Times New Roman" w:eastAsia="Times New Roman" w:hAnsi="Times New Roman" w:cs="Times New Roman"/>
                                      <w:sz w:val="16"/>
                                      <w:szCs w:val="14"/>
                                      <w:lang w:val="sl-SI"/>
                                    </w:rPr>
                                    <w:t>MESEC LETO</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CA7124E" id="Text Box 180" o:spid="_x0000_s1263" type="#_x0000_t202" style="position:absolute;left:0;text-align:left;margin-left:80.95pt;margin-top:1.95pt;width:73.25pt;height:26.9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" fillcolor="white [3212]" stroked="f" strokeweight=".5pt">
                      <v:textbox inset="0,0,0,0">
                        <w:txbxContent>
                          <w:p w14:paraId="373B80EB" w14:textId="77777777" w:rsidR="00474DFB" w:rsidRPr="009D4E53" w:rsidRDefault="00474DFB" w:rsidP="00840AAB">
                            <w:pPr>
                              <w:rPr>
                                <w:rFonts w:asciiTheme="majorBidi" w:hAnsiTheme="majorBidi" w:cstheme="majorBidi"/>
                                <w:b/>
                                <w:bCs/>
                                <w:sz w:val="16"/>
                                <w:szCs w:val="14"/>
                              </w:rPr>
                            </w:pPr>
                            <w:r w:rsidRPr="009D4E53">
                              <w:rPr>
                                <w:rFonts w:ascii="Times New Roman" w:eastAsia="Times New Roman" w:hAnsi="Times New Roman" w:cs="Times New Roman"/>
                                <w:b/>
                                <w:bCs/>
                                <w:sz w:val="16"/>
                                <w:szCs w:val="14"/>
                                <w:lang w:val="sl-SI"/>
                              </w:rPr>
                              <w:t xml:space="preserve">EXP.: </w:t>
                            </w:r>
                            <w:r w:rsidRPr="009D4E53">
                              <w:rPr>
                                <w:rFonts w:ascii="Times New Roman" w:eastAsia="Times New Roman" w:hAnsi="Times New Roman" w:cs="Times New Roman"/>
                                <w:sz w:val="16"/>
                                <w:szCs w:val="14"/>
                                <w:lang w:val="sl-SI"/>
                              </w:rPr>
                              <w:t>MESEC LETO</w:t>
                            </w:r>
                          </w:p>
                        </w:txbxContent>
                      </v:textbox>
                    </v:shape>
                  </w:pict>
                </mc:Fallback>
              </mc:AlternateContent>
            </w:r>
          </w:p>
          <w:p w14:paraId="3F2E1B3F" w14:textId="77777777" w:rsidR="00840AAB" w:rsidRDefault="00840AAB" w:rsidP="00646E14">
            <w:pPr>
              <w:pStyle w:val="a3"/>
              <w:numPr>
                <w:ilvl w:val="0"/>
                <w:numId w:val="0"/>
              </w:numPr>
              <w:ind w:left="984"/>
              <w:rPr>
                <w:b/>
                <w:lang w:val="sl-SI" w:eastAsia="ko-KR"/>
              </w:rPr>
            </w:pPr>
          </w:p>
          <w:p w14:paraId="66D815FA" w14:textId="77777777" w:rsidR="00840AAB" w:rsidRDefault="00840AAB" w:rsidP="00646E14">
            <w:pPr>
              <w:pStyle w:val="a3"/>
              <w:numPr>
                <w:ilvl w:val="0"/>
                <w:numId w:val="0"/>
              </w:numPr>
              <w:ind w:left="984"/>
              <w:rPr>
                <w:lang w:val="sl-SI" w:eastAsia="ko-KR"/>
              </w:rPr>
            </w:pPr>
            <w:r>
              <w:rPr>
                <w:rFonts w:eastAsia="Times New Roman"/>
                <w:lang w:val="sl-SI" w:eastAsia="ko-KR"/>
              </w:rPr>
              <w:t xml:space="preserve">Napolnjenega injekcijskega peresnika </w:t>
            </w:r>
            <w:r>
              <w:rPr>
                <w:rFonts w:eastAsia="Times New Roman"/>
                <w:b/>
                <w:bCs/>
                <w:lang w:val="sl-SI" w:eastAsia="ko-KR"/>
              </w:rPr>
              <w:t>ne</w:t>
            </w:r>
            <w:r>
              <w:rPr>
                <w:rFonts w:eastAsia="Times New Roman"/>
                <w:lang w:val="sl-SI" w:eastAsia="ko-KR"/>
              </w:rPr>
              <w:t xml:space="preserve"> uporabljajte ponovno, če:</w:t>
            </w:r>
          </w:p>
          <w:p w14:paraId="0AD00CB6" w14:textId="77777777" w:rsidR="00840AAB" w:rsidRDefault="00840AAB" w:rsidP="00646E14">
            <w:pPr>
              <w:pStyle w:val="a3"/>
              <w:numPr>
                <w:ilvl w:val="0"/>
                <w:numId w:val="18"/>
              </w:numPr>
              <w:rPr>
                <w:lang w:val="sl-SI" w:eastAsia="ko-KR"/>
              </w:rPr>
            </w:pPr>
            <w:r>
              <w:rPr>
                <w:rFonts w:eastAsia="Times New Roman"/>
                <w:lang w:val="sl-SI" w:eastAsia="ko-KR"/>
              </w:rPr>
              <w:t xml:space="preserve">je razpokan ali poškodovan </w:t>
            </w:r>
          </w:p>
          <w:p w14:paraId="67045C5A" w14:textId="1D04750A" w:rsidR="00840AAB" w:rsidRPr="00366D10" w:rsidRDefault="00840AAB" w:rsidP="00646E14">
            <w:pPr>
              <w:pStyle w:val="a3"/>
              <w:numPr>
                <w:ilvl w:val="0"/>
                <w:numId w:val="18"/>
              </w:numPr>
              <w:rPr>
                <w:sz w:val="26"/>
                <w:szCs w:val="26"/>
                <w:lang w:val="sl-SI"/>
              </w:rPr>
            </w:pPr>
            <w:r>
              <w:rPr>
                <w:rFonts w:eastAsia="Times New Roman"/>
                <w:lang w:val="sl-SI" w:eastAsia="ko-KR"/>
              </w:rPr>
              <w:t xml:space="preserve">je pretekel rok uporabnosti </w:t>
            </w:r>
          </w:p>
          <w:p w14:paraId="6A846361" w14:textId="51ECF53C" w:rsidR="00F90CAB" w:rsidRDefault="00F90CAB" w:rsidP="00646E14">
            <w:pPr>
              <w:pStyle w:val="a3"/>
              <w:numPr>
                <w:ilvl w:val="0"/>
                <w:numId w:val="18"/>
              </w:numPr>
              <w:rPr>
                <w:sz w:val="26"/>
                <w:szCs w:val="26"/>
                <w:lang w:val="sl-SI"/>
              </w:rPr>
            </w:pPr>
            <w:r w:rsidRPr="00323C29">
              <w:rPr>
                <w:lang w:val="fr-CA"/>
              </w:rPr>
              <w:t>je padel na trdo površino.</w:t>
            </w:r>
          </w:p>
        </w:tc>
      </w:tr>
      <w:tr w:rsidR="00840AAB" w14:paraId="11C36032" w14:textId="77777777" w:rsidTr="00646E14">
        <w:trPr>
          <w:trHeight w:val="4969"/>
        </w:trPr>
        <w:tc>
          <w:tcPr>
            <w:tcW w:w="9550" w:type="dxa"/>
          </w:tcPr>
          <w:p w14:paraId="41F1151A" w14:textId="77777777" w:rsidR="00840AAB" w:rsidRDefault="00840AAB" w:rsidP="00646E14">
            <w:pPr>
              <w:spacing w:line="260" w:lineRule="exact"/>
              <w:rPr>
                <w:rFonts w:ascii="Times New Roman" w:eastAsia="Times New Roman" w:hAnsi="Times New Roman" w:cs="Times New Roman"/>
                <w:b/>
                <w:bCs/>
                <w:spacing w:val="-1"/>
                <w:lang w:val="sl-SI"/>
              </w:rPr>
            </w:pPr>
          </w:p>
          <w:p w14:paraId="58C34CF4" w14:textId="77777777" w:rsidR="00840AAB" w:rsidRDefault="00840AAB" w:rsidP="00646E14">
            <w:pPr>
              <w:spacing w:line="260" w:lineRule="exact"/>
              <w:rPr>
                <w:sz w:val="26"/>
                <w:szCs w:val="26"/>
                <w:lang w:val="sl-SI"/>
              </w:rPr>
            </w:pPr>
          </w:p>
          <w:p w14:paraId="576C038E" w14:textId="77777777" w:rsidR="00840AAB" w:rsidRDefault="00840AAB" w:rsidP="00646E14">
            <w:pPr>
              <w:spacing w:line="260" w:lineRule="exact"/>
              <w:rPr>
                <w:sz w:val="26"/>
                <w:szCs w:val="26"/>
                <w:lang w:val="sl-SI"/>
              </w:rPr>
            </w:pPr>
            <w:r>
              <w:rPr>
                <w:noProof/>
                <w:sz w:val="26"/>
                <w:szCs w:val="26"/>
                <w:lang w:eastAsia="ko-KR"/>
              </w:rPr>
              <mc:AlternateContent>
                <mc:Choice Requires="wpg">
                  <w:drawing>
                    <wp:anchor distT="0" distB="0" distL="114300" distR="114300" simplePos="0" relativeHeight="251658295" behindDoc="0" locked="0" layoutInCell="1" allowOverlap="1" wp14:anchorId="1CD41551" wp14:editId="58CD9B69">
                      <wp:simplePos x="0" y="0"/>
                      <wp:positionH relativeFrom="column">
                        <wp:posOffset>67945</wp:posOffset>
                      </wp:positionH>
                      <wp:positionV relativeFrom="paragraph">
                        <wp:posOffset>19050</wp:posOffset>
                      </wp:positionV>
                      <wp:extent cx="2084705" cy="2673350"/>
                      <wp:effectExtent l="0" t="0" r="0" b="0"/>
                      <wp:wrapSquare wrapText="bothSides"/>
                      <wp:docPr id="181" name="그룹 181"/>
                      <wp:cNvGraphicFramePr/>
                      <a:graphic xmlns:a="http://schemas.openxmlformats.org/drawingml/2006/main">
                        <a:graphicData uri="http://schemas.microsoft.com/office/word/2010/wordprocessingGroup">
                          <wpg:wgp>
                            <wpg:cNvGrpSpPr/>
                            <wpg:grpSpPr>
                              <a:xfrm>
                                <a:off x="0" y="0"/>
                                <a:ext cx="2067353" cy="2673350"/>
                                <a:chOff x="17352" y="0"/>
                                <a:chExt cx="2067353" cy="2673350"/>
                              </a:xfrm>
                            </wpg:grpSpPr>
                            <pic:pic xmlns:pic="http://schemas.openxmlformats.org/drawingml/2006/picture">
                              <pic:nvPicPr>
                                <pic:cNvPr id="182" name="그림 182"/>
                                <pic:cNvPicPr>
                                  <a:picLocks noChangeAspect="1"/>
                                </pic:cNvPicPr>
                              </pic:nvPicPr>
                              <pic:blipFill>
                                <a:blip r:embed="rId143" cstate="print">
                                  <a:extLst>
                                    <a:ext uri="{28A0092B-C50C-407E-A947-70E740481C1C}">
                                      <a14:useLocalDpi xmlns:a14="http://schemas.microsoft.com/office/drawing/2010/main" val="0"/>
                                    </a:ext>
                                  </a:extLst>
                                </a:blip>
                                <a:srcRect/>
                                <a:stretch/>
                              </pic:blipFill>
                              <pic:spPr bwMode="auto">
                                <a:xfrm>
                                  <a:off x="17352" y="0"/>
                                  <a:ext cx="2046190" cy="2531110"/>
                                </a:xfrm>
                                <a:prstGeom prst="rect">
                                  <a:avLst/>
                                </a:prstGeom>
                                <a:noFill/>
                                <a:ln>
                                  <a:noFill/>
                                </a:ln>
                              </pic:spPr>
                            </pic:pic>
                            <wps:wsp>
                              <wps:cNvPr id="183" name="Text Box 183"/>
                              <wps:cNvSpPr txBox="1"/>
                              <wps:spPr>
                                <a:xfrm>
                                  <a:off x="1364615" y="2527300"/>
                                  <a:ext cx="720090" cy="146050"/>
                                </a:xfrm>
                                <a:prstGeom prst="rect">
                                  <a:avLst/>
                                </a:prstGeom>
                                <a:solidFill>
                                  <a:prstClr val="white"/>
                                </a:solidFill>
                                <a:ln>
                                  <a:noFill/>
                                </a:ln>
                              </wps:spPr>
                              <wps:txbx>
                                <w:txbxContent>
                                  <w:p w14:paraId="66D5F27B" w14:textId="77777777" w:rsidR="00474DFB" w:rsidRDefault="00474DFB" w:rsidP="00840AAB">
                                    <w:pPr>
                                      <w:pStyle w:val="af0"/>
                                      <w:jc w:val="right"/>
                                      <w:rPr>
                                        <w:rFonts w:ascii="Times New Roman" w:hAnsi="Times New Roman" w:cs="Times New Roman"/>
                                      </w:rPr>
                                    </w:pPr>
                                    <w:r>
                                      <w:rPr>
                                        <w:rFonts w:ascii="Times New Roman" w:eastAsia="Times New Roman" w:hAnsi="Times New Roman" w:cs="Times New Roman"/>
                                        <w:lang w:val="sl-SI"/>
                                      </w:rPr>
                                      <w:t>Slika </w:t>
                                    </w:r>
                                    <w:r>
                                      <w:rPr>
                                        <w:rFonts w:ascii="Times New Roman" w:hAnsi="Times New Roman" w:cs="Times New Roman"/>
                                      </w:rP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CD41551" id="그룹 181" o:spid="_x0000_s1264" style="position:absolute;margin-left:5.35pt;margin-top:1.5pt;width:164.15pt;height:210.5pt;z-index:251658295" coordorigin="173" coordsize="20673,26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">
                      <v:shape id="그림 182" o:spid="_x0000_s1265" type="#_x0000_t75" style="position:absolute;left:173;width:20462;height:25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">
                        <v:imagedata r:id="rId144" o:title=""/>
                      </v:shape>
                      <v:shape id="Text Box 183" o:spid="_x0000_s1266" type="#_x0000_t202" style="position:absolute;left:13646;top:25273;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" stroked="f">
                        <v:textbox style="mso-fit-shape-to-text:t" inset="0,0,0,0">
                          <w:txbxContent>
                            <w:p w14:paraId="66D5F27B" w14:textId="77777777" w:rsidR="00474DFB" w:rsidRDefault="00474DFB" w:rsidP="00840AAB">
                              <w:pPr>
                                <w:pStyle w:val="af0"/>
                                <w:jc w:val="right"/>
                                <w:rPr>
                                  <w:rFonts w:ascii="Times New Roman" w:hAnsi="Times New Roman" w:cs="Times New Roman"/>
                                </w:rPr>
                              </w:pPr>
                              <w:r>
                                <w:rPr>
                                  <w:rFonts w:ascii="Times New Roman" w:eastAsia="Times New Roman" w:hAnsi="Times New Roman" w:cs="Times New Roman"/>
                                  <w:lang w:val="sl-SI"/>
                                </w:rPr>
                                <w:t>Slika </w:t>
                              </w:r>
                              <w:r>
                                <w:rPr>
                                  <w:rFonts w:ascii="Times New Roman" w:hAnsi="Times New Roman" w:cs="Times New Roman"/>
                                </w:rPr>
                                <w:t>C</w:t>
                              </w:r>
                            </w:p>
                          </w:txbxContent>
                        </v:textbox>
                      </v:shape>
                      <w10:wrap type="square"/>
                    </v:group>
                  </w:pict>
                </mc:Fallback>
              </mc:AlternateContent>
            </w:r>
          </w:p>
          <w:p w14:paraId="65D15366" w14:textId="77777777" w:rsidR="00840AAB" w:rsidRDefault="00840AAB" w:rsidP="0030421B">
            <w:pPr>
              <w:pStyle w:val="a3"/>
              <w:numPr>
                <w:ilvl w:val="0"/>
                <w:numId w:val="134"/>
              </w:numPr>
              <w:rPr>
                <w:b/>
                <w:lang w:val="sl-SI"/>
              </w:rPr>
            </w:pPr>
            <w:r>
              <w:rPr>
                <w:rFonts w:eastAsia="Times New Roman"/>
                <w:b/>
                <w:bCs/>
                <w:spacing w:val="-1"/>
                <w:lang w:val="sl-SI"/>
              </w:rPr>
              <w:t>Preglejte zdravilo.</w:t>
            </w:r>
          </w:p>
          <w:p w14:paraId="2A7950B7" w14:textId="77777777" w:rsidR="00840AAB" w:rsidRDefault="00840AAB" w:rsidP="00646E14">
            <w:pPr>
              <w:spacing w:line="260" w:lineRule="exact"/>
              <w:rPr>
                <w:sz w:val="26"/>
                <w:szCs w:val="26"/>
                <w:lang w:val="sl-SI"/>
              </w:rPr>
            </w:pPr>
          </w:p>
          <w:p w14:paraId="0B1A3C19" w14:textId="77777777" w:rsidR="00840AAB" w:rsidRDefault="00840AAB" w:rsidP="00646E14">
            <w:pPr>
              <w:pStyle w:val="a3"/>
              <w:ind w:left="3937" w:hanging="180"/>
              <w:rPr>
                <w:lang w:val="sl-SI"/>
              </w:rPr>
            </w:pPr>
            <w:r>
              <w:rPr>
                <w:rFonts w:eastAsia="Times New Roman"/>
                <w:b/>
                <w:bCs/>
                <w:lang w:val="sl-SI"/>
              </w:rPr>
              <w:t xml:space="preserve">a. </w:t>
            </w:r>
            <w:r>
              <w:rPr>
                <w:rFonts w:eastAsia="Times New Roman"/>
                <w:lang w:val="sl-SI"/>
              </w:rPr>
              <w:t>Poglejte skozi okence in se prepričajte, da je tekočina bistra, brezbarvna do bledo rjava in brez delcev.</w:t>
            </w:r>
          </w:p>
          <w:p w14:paraId="088046BB" w14:textId="77777777" w:rsidR="00840AAB" w:rsidRDefault="00840AAB" w:rsidP="00646E14">
            <w:pPr>
              <w:pStyle w:val="a3"/>
              <w:rPr>
                <w:lang w:val="sl-SI"/>
              </w:rPr>
            </w:pPr>
          </w:p>
          <w:p w14:paraId="3C261786" w14:textId="77777777" w:rsidR="00840AAB" w:rsidRDefault="00840AAB" w:rsidP="00646E14">
            <w:pPr>
              <w:pStyle w:val="a3"/>
              <w:numPr>
                <w:ilvl w:val="0"/>
                <w:numId w:val="40"/>
              </w:numPr>
              <w:ind w:left="4297"/>
              <w:rPr>
                <w:lang w:val="sl-SI"/>
              </w:rPr>
            </w:pPr>
            <w:r>
              <w:rPr>
                <w:rFonts w:eastAsia="Times New Roman"/>
                <w:lang w:val="sl-SI"/>
              </w:rPr>
              <w:t xml:space="preserve">Napolnjene injekcijske brizge </w:t>
            </w:r>
            <w:r>
              <w:rPr>
                <w:rFonts w:eastAsia="Times New Roman"/>
                <w:b/>
                <w:bCs/>
                <w:lang w:val="sl-SI"/>
              </w:rPr>
              <w:t>ne</w:t>
            </w:r>
            <w:r>
              <w:rPr>
                <w:rFonts w:eastAsia="Times New Roman"/>
                <w:lang w:val="sl-SI"/>
              </w:rPr>
              <w:t xml:space="preserve"> uporabljajte, če je tekočina obarvana (rumena ali temno rjavo), motna ali vsebuje delce.</w:t>
            </w:r>
          </w:p>
          <w:p w14:paraId="1C61543C" w14:textId="77777777" w:rsidR="00840AAB" w:rsidRDefault="00840AAB" w:rsidP="00646E14">
            <w:pPr>
              <w:pStyle w:val="a3"/>
              <w:numPr>
                <w:ilvl w:val="0"/>
                <w:numId w:val="0"/>
              </w:numPr>
              <w:ind w:firstLineChars="350" w:firstLine="770"/>
              <w:rPr>
                <w:lang w:val="sl-SI"/>
              </w:rPr>
            </w:pPr>
          </w:p>
          <w:p w14:paraId="5CE9527E" w14:textId="77777777" w:rsidR="00840AAB" w:rsidRDefault="00840AAB" w:rsidP="00646E14">
            <w:pPr>
              <w:pStyle w:val="a3"/>
              <w:numPr>
                <w:ilvl w:val="0"/>
                <w:numId w:val="40"/>
              </w:numPr>
              <w:ind w:left="4297"/>
              <w:rPr>
                <w:sz w:val="26"/>
                <w:szCs w:val="26"/>
                <w:lang w:val="sl-SI"/>
              </w:rPr>
            </w:pPr>
            <w:r>
              <w:rPr>
                <w:rFonts w:eastAsia="Times New Roman"/>
                <w:lang w:val="sl-SI"/>
              </w:rPr>
              <w:t>V tekočini so lahko vidni zračni mehurčki. To je normalno.</w:t>
            </w:r>
          </w:p>
          <w:p w14:paraId="7E0E9DA9" w14:textId="77777777" w:rsidR="00840AAB" w:rsidRDefault="00840AAB" w:rsidP="00646E14">
            <w:pPr>
              <w:pStyle w:val="a3"/>
              <w:rPr>
                <w:lang w:val="sl-SI"/>
              </w:rPr>
            </w:pPr>
          </w:p>
        </w:tc>
      </w:tr>
    </w:tbl>
    <w:p w14:paraId="0F4E2520" w14:textId="77777777" w:rsidR="00840AAB" w:rsidRDefault="00840AAB" w:rsidP="00840AAB">
      <w:pPr>
        <w:spacing w:line="260" w:lineRule="exact"/>
        <w:rPr>
          <w:sz w:val="26"/>
          <w:szCs w:val="26"/>
          <w:lang w:val="sl-SI"/>
        </w:rPr>
      </w:pPr>
    </w:p>
    <w:p w14:paraId="43F2F0A0" w14:textId="77777777" w:rsidR="00840AAB" w:rsidRDefault="00840AAB" w:rsidP="00840AAB">
      <w:pPr>
        <w:spacing w:line="260" w:lineRule="exact"/>
        <w:rPr>
          <w:sz w:val="26"/>
          <w:szCs w:val="26"/>
          <w:lang w:val="sl-SI"/>
        </w:rPr>
      </w:pPr>
    </w:p>
    <w:p w14:paraId="5A060636" w14:textId="77777777" w:rsidR="00840AAB" w:rsidRDefault="00840AAB" w:rsidP="00840AAB">
      <w:pPr>
        <w:spacing w:line="260" w:lineRule="exact"/>
        <w:rPr>
          <w:sz w:val="26"/>
          <w:szCs w:val="26"/>
          <w:lang w:val="sl-SI"/>
        </w:rPr>
      </w:pPr>
    </w:p>
    <w:p w14:paraId="34292886" w14:textId="77777777" w:rsidR="00840AAB" w:rsidRDefault="00840AAB" w:rsidP="00840AAB">
      <w:pPr>
        <w:rPr>
          <w:lang w:val="sl-SI"/>
        </w:rPr>
      </w:pPr>
    </w:p>
    <w:tbl>
      <w:tblPr>
        <w:tblStyle w:val="ac"/>
        <w:tblW w:w="0" w:type="auto"/>
        <w:tblLook w:val="04A0" w:firstRow="1" w:lastRow="0" w:firstColumn="1" w:lastColumn="0" w:noHBand="0" w:noVBand="1"/>
      </w:tblPr>
      <w:tblGrid>
        <w:gridCol w:w="9550"/>
      </w:tblGrid>
      <w:tr w:rsidR="00840AAB" w:rsidRPr="00475A1E" w14:paraId="04C253E1" w14:textId="77777777" w:rsidTr="00646E14">
        <w:trPr>
          <w:trHeight w:val="5238"/>
        </w:trPr>
        <w:tc>
          <w:tcPr>
            <w:tcW w:w="9550" w:type="dxa"/>
          </w:tcPr>
          <w:p w14:paraId="2A046D87" w14:textId="77777777" w:rsidR="00840AAB" w:rsidRDefault="00840AAB" w:rsidP="00646E14">
            <w:pPr>
              <w:spacing w:line="260" w:lineRule="exact"/>
              <w:rPr>
                <w:rFonts w:ascii="Times New Roman" w:eastAsia="Times New Roman" w:hAnsi="Times New Roman" w:cs="Times New Roman"/>
                <w:b/>
                <w:bCs/>
                <w:spacing w:val="-1"/>
                <w:lang w:val="sl-SI"/>
              </w:rPr>
            </w:pPr>
          </w:p>
          <w:p w14:paraId="06EAAD83" w14:textId="77777777" w:rsidR="00840AAB" w:rsidRDefault="00840AAB" w:rsidP="00646E14">
            <w:pPr>
              <w:spacing w:line="260" w:lineRule="exact"/>
              <w:rPr>
                <w:rFonts w:ascii="Times New Roman" w:eastAsia="Times New Roman" w:hAnsi="Times New Roman" w:cs="Times New Roman"/>
                <w:b/>
                <w:bCs/>
                <w:lang w:val="sl-SI"/>
              </w:rPr>
            </w:pPr>
            <w:r>
              <w:rPr>
                <w:rFonts w:ascii="Times New Roman" w:eastAsia="Times New Roman" w:hAnsi="Times New Roman" w:cs="Times New Roman"/>
                <w:b/>
                <w:bCs/>
                <w:noProof/>
                <w:lang w:eastAsia="ko-KR"/>
              </w:rPr>
              <mc:AlternateContent>
                <mc:Choice Requires="wpg">
                  <w:drawing>
                    <wp:anchor distT="0" distB="0" distL="114300" distR="114300" simplePos="0" relativeHeight="251658296" behindDoc="0" locked="0" layoutInCell="1" allowOverlap="1" wp14:anchorId="045AA675" wp14:editId="62CFE3C8">
                      <wp:simplePos x="0" y="0"/>
                      <wp:positionH relativeFrom="column">
                        <wp:posOffset>55245</wp:posOffset>
                      </wp:positionH>
                      <wp:positionV relativeFrom="paragraph">
                        <wp:posOffset>163830</wp:posOffset>
                      </wp:positionV>
                      <wp:extent cx="2154555" cy="2774950"/>
                      <wp:effectExtent l="0" t="0" r="0" b="6350"/>
                      <wp:wrapSquare wrapText="bothSides"/>
                      <wp:docPr id="184" name="그룹 184"/>
                      <wp:cNvGraphicFramePr/>
                      <a:graphic xmlns:a="http://schemas.openxmlformats.org/drawingml/2006/main">
                        <a:graphicData uri="http://schemas.microsoft.com/office/word/2010/wordprocessingGroup">
                          <wpg:wgp>
                            <wpg:cNvGrpSpPr/>
                            <wpg:grpSpPr>
                              <a:xfrm>
                                <a:off x="0" y="0"/>
                                <a:ext cx="2138779" cy="2774950"/>
                                <a:chOff x="15776" y="0"/>
                                <a:chExt cx="2138779" cy="2774950"/>
                              </a:xfrm>
                            </wpg:grpSpPr>
                            <pic:pic xmlns:pic="http://schemas.openxmlformats.org/drawingml/2006/picture">
                              <pic:nvPicPr>
                                <pic:cNvPr id="185" name="그림 185"/>
                                <pic:cNvPicPr>
                                  <a:picLocks noChangeAspect="1"/>
                                </pic:cNvPicPr>
                              </pic:nvPicPr>
                              <pic:blipFill>
                                <a:blip r:embed="rId145" cstate="print">
                                  <a:extLst>
                                    <a:ext uri="{28A0092B-C50C-407E-A947-70E740481C1C}">
                                      <a14:useLocalDpi xmlns:a14="http://schemas.microsoft.com/office/drawing/2010/main" val="0"/>
                                    </a:ext>
                                  </a:extLst>
                                </a:blip>
                                <a:srcRect/>
                                <a:stretch/>
                              </pic:blipFill>
                              <pic:spPr bwMode="auto">
                                <a:xfrm>
                                  <a:off x="15776" y="0"/>
                                  <a:ext cx="2122368" cy="2628900"/>
                                </a:xfrm>
                                <a:prstGeom prst="rect">
                                  <a:avLst/>
                                </a:prstGeom>
                                <a:noFill/>
                                <a:ln>
                                  <a:noFill/>
                                </a:ln>
                              </pic:spPr>
                            </pic:pic>
                            <wps:wsp>
                              <wps:cNvPr id="186" name="Text Box 186"/>
                              <wps:cNvSpPr txBox="1"/>
                              <wps:spPr>
                                <a:xfrm>
                                  <a:off x="1434465" y="2628900"/>
                                  <a:ext cx="720090" cy="146050"/>
                                </a:xfrm>
                                <a:prstGeom prst="rect">
                                  <a:avLst/>
                                </a:prstGeom>
                                <a:solidFill>
                                  <a:prstClr val="white"/>
                                </a:solidFill>
                                <a:ln>
                                  <a:noFill/>
                                </a:ln>
                              </wps:spPr>
                              <wps:txbx>
                                <w:txbxContent>
                                  <w:p w14:paraId="5C2900EA" w14:textId="77777777" w:rsidR="00474DFB" w:rsidRDefault="00474DFB" w:rsidP="00840AAB">
                                    <w:pPr>
                                      <w:pStyle w:val="af0"/>
                                      <w:jc w:val="right"/>
                                      <w:rPr>
                                        <w:rFonts w:ascii="Times New Roman" w:hAnsi="Times New Roman" w:cs="Times New Roman"/>
                                        <w:szCs w:val="22"/>
                                      </w:rPr>
                                    </w:pPr>
                                    <w:r>
                                      <w:rPr>
                                        <w:rFonts w:ascii="Times New Roman" w:eastAsia="Times New Roman" w:hAnsi="Times New Roman" w:cs="Times New Roman"/>
                                        <w:lang w:val="sl-SI"/>
                                      </w:rPr>
                                      <w:t>Slika </w:t>
                                    </w:r>
                                    <w:r>
                                      <w:rPr>
                                        <w:rFonts w:ascii="Times New Roman" w:hAnsi="Times New Roman" w:cs="Times New Roman"/>
                                      </w:rP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45AA675" id="그룹 184" o:spid="_x0000_s1267" style="position:absolute;margin-left:4.35pt;margin-top:12.9pt;width:169.65pt;height:218.5pt;z-index:251658296" coordorigin="157" coordsize="21387,27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">
                      <v:shape id="그림 185" o:spid="_x0000_s1268" type="#_x0000_t75" style="position:absolute;left:157;width:21224;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">
                        <v:imagedata r:id="rId146" o:title=""/>
                      </v:shape>
                      <v:shape id="Text Box 186" o:spid="_x0000_s1269" type="#_x0000_t202" style="position:absolute;left:14344;top:26289;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" stroked="f">
                        <v:textbox style="mso-fit-shape-to-text:t" inset="0,0,0,0">
                          <w:txbxContent>
                            <w:p w14:paraId="5C2900EA" w14:textId="77777777" w:rsidR="00474DFB" w:rsidRDefault="00474DFB" w:rsidP="00840AAB">
                              <w:pPr>
                                <w:pStyle w:val="af0"/>
                                <w:jc w:val="right"/>
                                <w:rPr>
                                  <w:rFonts w:ascii="Times New Roman" w:hAnsi="Times New Roman" w:cs="Times New Roman"/>
                                  <w:szCs w:val="22"/>
                                </w:rPr>
                              </w:pPr>
                              <w:r>
                                <w:rPr>
                                  <w:rFonts w:ascii="Times New Roman" w:eastAsia="Times New Roman" w:hAnsi="Times New Roman" w:cs="Times New Roman"/>
                                  <w:lang w:val="sl-SI"/>
                                </w:rPr>
                                <w:t>Slika </w:t>
                              </w:r>
                              <w:r>
                                <w:rPr>
                                  <w:rFonts w:ascii="Times New Roman" w:hAnsi="Times New Roman" w:cs="Times New Roman"/>
                                </w:rPr>
                                <w:t>D</w:t>
                              </w:r>
                            </w:p>
                          </w:txbxContent>
                        </v:textbox>
                      </v:shape>
                      <w10:wrap type="square"/>
                    </v:group>
                  </w:pict>
                </mc:Fallback>
              </mc:AlternateContent>
            </w:r>
          </w:p>
          <w:p w14:paraId="740F296B" w14:textId="77777777" w:rsidR="00840AAB" w:rsidRDefault="00840AAB" w:rsidP="00646E14">
            <w:pPr>
              <w:spacing w:line="260" w:lineRule="exact"/>
              <w:rPr>
                <w:rFonts w:ascii="Times New Roman" w:eastAsia="Times New Roman" w:hAnsi="Times New Roman" w:cs="Times New Roman"/>
                <w:b/>
                <w:bCs/>
                <w:lang w:val="sl-SI"/>
              </w:rPr>
            </w:pPr>
            <w:r>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18" behindDoc="0" locked="0" layoutInCell="1" allowOverlap="1" wp14:anchorId="2115119A" wp14:editId="40510F19">
                      <wp:simplePos x="0" y="0"/>
                      <wp:positionH relativeFrom="column">
                        <wp:posOffset>1106474</wp:posOffset>
                      </wp:positionH>
                      <wp:positionV relativeFrom="paragraph">
                        <wp:posOffset>22418</wp:posOffset>
                      </wp:positionV>
                      <wp:extent cx="858520" cy="1248355"/>
                      <wp:effectExtent l="0" t="0" r="0" b="9525"/>
                      <wp:wrapNone/>
                      <wp:docPr id="187" name="Text Box 187"/>
                      <wp:cNvGraphicFramePr/>
                      <a:graphic xmlns:a="http://schemas.openxmlformats.org/drawingml/2006/main">
                        <a:graphicData uri="http://schemas.microsoft.com/office/word/2010/wordprocessingShape">
                          <wps:wsp>
                            <wps:cNvSpPr txBox="1"/>
                            <wps:spPr>
                              <a:xfrm>
                                <a:off x="0" y="0"/>
                                <a:ext cx="858520" cy="12483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C035BAA" w14:textId="77777777" w:rsidR="00474DFB" w:rsidRPr="00337BB0" w:rsidRDefault="00474DFB" w:rsidP="00840AAB">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sl-SI"/>
                                    </w:rPr>
                                    <w:t>15 – 30 minut</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115119A" id="Text Box 187" o:spid="_x0000_s1270" type="#_x0000_t202" style="position:absolute;margin-left:87.1pt;margin-top:1.75pt;width:67.6pt;height:98.3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" fillcolor="white [3212]" stroked="f" strokeweight=".5pt">
                      <v:textbox inset="0,0,0,0">
                        <w:txbxContent>
                          <w:p w14:paraId="3C035BAA" w14:textId="77777777" w:rsidR="00474DFB" w:rsidRPr="00337BB0" w:rsidRDefault="00474DFB" w:rsidP="00840AAB">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sl-SI"/>
                              </w:rPr>
                              <w:t>15 – 30 minut</w:t>
                            </w:r>
                          </w:p>
                        </w:txbxContent>
                      </v:textbox>
                    </v:shape>
                  </w:pict>
                </mc:Fallback>
              </mc:AlternateContent>
            </w:r>
          </w:p>
          <w:p w14:paraId="04B4DBDF" w14:textId="77777777" w:rsidR="00840AAB" w:rsidRDefault="00840AAB" w:rsidP="00646E14">
            <w:pPr>
              <w:spacing w:line="260" w:lineRule="exact"/>
              <w:rPr>
                <w:rFonts w:ascii="Times New Roman" w:eastAsia="Times New Roman" w:hAnsi="Times New Roman" w:cs="Times New Roman"/>
                <w:b/>
                <w:bCs/>
                <w:lang w:val="sl-SI"/>
              </w:rPr>
            </w:pPr>
          </w:p>
          <w:p w14:paraId="2963A001" w14:textId="77777777" w:rsidR="00840AAB" w:rsidRDefault="00840AAB" w:rsidP="0030421B">
            <w:pPr>
              <w:pStyle w:val="a3"/>
              <w:numPr>
                <w:ilvl w:val="0"/>
                <w:numId w:val="134"/>
              </w:numPr>
              <w:rPr>
                <w:b/>
                <w:lang w:val="sl-SI"/>
              </w:rPr>
            </w:pPr>
            <w:r>
              <w:rPr>
                <w:rFonts w:eastAsia="Times New Roman"/>
                <w:b/>
                <w:bCs/>
                <w:lang w:val="sl-SI"/>
              </w:rPr>
              <w:t>Počakajte 15 do 30 minut</w:t>
            </w:r>
          </w:p>
          <w:p w14:paraId="6DFDFD5C" w14:textId="77777777" w:rsidR="00840AAB" w:rsidRDefault="00840AAB" w:rsidP="00646E14">
            <w:pPr>
              <w:pStyle w:val="Default"/>
              <w:rPr>
                <w:lang w:val="sl-SI"/>
              </w:rPr>
            </w:pPr>
            <w:r>
              <w:rPr>
                <w:lang w:val="sl-SI"/>
              </w:rPr>
              <w:t xml:space="preserve"> </w:t>
            </w:r>
          </w:p>
          <w:p w14:paraId="43ED98B3" w14:textId="77777777" w:rsidR="00840AAB" w:rsidRDefault="00840AAB" w:rsidP="00646E14">
            <w:pPr>
              <w:pStyle w:val="a3"/>
              <w:ind w:left="4117" w:hanging="180"/>
              <w:rPr>
                <w:lang w:val="sl-SI"/>
              </w:rPr>
            </w:pPr>
            <w:r>
              <w:rPr>
                <w:rFonts w:eastAsia="Times New Roman"/>
                <w:b/>
                <w:bCs/>
                <w:lang w:val="sl-SI"/>
              </w:rPr>
              <w:t>a.</w:t>
            </w:r>
            <w:r>
              <w:rPr>
                <w:rFonts w:eastAsia="Times New Roman"/>
                <w:lang w:val="sl-SI"/>
              </w:rPr>
              <w:t xml:space="preserve"> Napolnjen injekcijski peresnik pustite pri sobni temperaturi od 15 do do 30 minut, da se segreje.</w:t>
            </w:r>
          </w:p>
          <w:p w14:paraId="0D07E29F" w14:textId="77777777" w:rsidR="00840AAB" w:rsidRDefault="00840AAB" w:rsidP="00646E14">
            <w:pPr>
              <w:pStyle w:val="Default"/>
              <w:rPr>
                <w:color w:val="211D1E"/>
                <w:sz w:val="20"/>
                <w:szCs w:val="20"/>
                <w:lang w:val="sl-SI"/>
              </w:rPr>
            </w:pPr>
          </w:p>
          <w:p w14:paraId="028DAE34" w14:textId="77777777" w:rsidR="00840AAB" w:rsidRDefault="00840AAB" w:rsidP="00646E14">
            <w:pPr>
              <w:pStyle w:val="a3"/>
              <w:numPr>
                <w:ilvl w:val="0"/>
                <w:numId w:val="0"/>
              </w:numPr>
              <w:ind w:left="911"/>
              <w:rPr>
                <w:b/>
                <w:lang w:val="sl-SI"/>
              </w:rPr>
            </w:pPr>
          </w:p>
          <w:p w14:paraId="1060BC76" w14:textId="0A59730B" w:rsidR="00840AAB" w:rsidRDefault="00840AAB" w:rsidP="00646E14">
            <w:pPr>
              <w:pStyle w:val="a3"/>
              <w:numPr>
                <w:ilvl w:val="0"/>
                <w:numId w:val="40"/>
              </w:numPr>
              <w:ind w:left="4297"/>
              <w:rPr>
                <w:lang w:val="sl-SI"/>
              </w:rPr>
            </w:pPr>
            <w:r>
              <w:rPr>
                <w:rFonts w:eastAsia="Times New Roman"/>
                <w:bCs/>
                <w:lang w:val="sl-SI"/>
              </w:rPr>
              <w:t>Napolnjenega injekcijskega peresnika</w:t>
            </w:r>
            <w:r>
              <w:rPr>
                <w:rFonts w:eastAsia="Times New Roman"/>
                <w:b/>
                <w:bCs/>
                <w:lang w:val="sl-SI"/>
              </w:rPr>
              <w:t xml:space="preserve"> </w:t>
            </w:r>
            <w:r>
              <w:rPr>
                <w:rFonts w:eastAsia="Times New Roman"/>
                <w:b/>
                <w:lang w:val="sl-SI"/>
              </w:rPr>
              <w:t>ne</w:t>
            </w:r>
            <w:r>
              <w:rPr>
                <w:rFonts w:eastAsia="Times New Roman"/>
                <w:lang w:val="sl-SI"/>
              </w:rPr>
              <w:t xml:space="preserve"> smete segrevati na kateri koli drug način, na primer v mikrovalovni pečici ali vroči vodi. </w:t>
            </w:r>
          </w:p>
          <w:p w14:paraId="6A2ABDDA" w14:textId="77777777" w:rsidR="00840AAB" w:rsidRDefault="00840AAB" w:rsidP="00646E14">
            <w:pPr>
              <w:pStyle w:val="a3"/>
              <w:rPr>
                <w:lang w:val="sl-SI"/>
              </w:rPr>
            </w:pPr>
          </w:p>
        </w:tc>
      </w:tr>
      <w:tr w:rsidR="00840AAB" w:rsidRPr="00475A1E" w14:paraId="182119AF" w14:textId="77777777" w:rsidTr="00646E14">
        <w:trPr>
          <w:trHeight w:val="5025"/>
        </w:trPr>
        <w:tc>
          <w:tcPr>
            <w:tcW w:w="9550" w:type="dxa"/>
          </w:tcPr>
          <w:p w14:paraId="2E187FA2" w14:textId="77777777" w:rsidR="00840AAB" w:rsidRDefault="00840AAB" w:rsidP="00646E14">
            <w:pPr>
              <w:spacing w:line="260" w:lineRule="exact"/>
              <w:rPr>
                <w:rFonts w:ascii="Times New Roman" w:eastAsia="Times New Roman" w:hAnsi="Times New Roman" w:cs="Times New Roman"/>
                <w:b/>
                <w:bCs/>
                <w:spacing w:val="-1"/>
                <w:lang w:val="sl-SI"/>
              </w:rPr>
            </w:pPr>
          </w:p>
          <w:p w14:paraId="7CE539B9" w14:textId="77777777" w:rsidR="00840AAB" w:rsidRDefault="00840AAB" w:rsidP="00646E14">
            <w:pPr>
              <w:pStyle w:val="a3"/>
              <w:rPr>
                <w:lang w:val="sl-SI"/>
              </w:rPr>
            </w:pPr>
            <w:r>
              <w:rPr>
                <w:rFonts w:eastAsia="Times New Roman"/>
                <w:noProof/>
                <w:spacing w:val="-1"/>
                <w:lang w:eastAsia="ko-KR"/>
              </w:rPr>
              <mc:AlternateContent>
                <mc:Choice Requires="wpg">
                  <w:drawing>
                    <wp:anchor distT="0" distB="0" distL="114300" distR="114300" simplePos="0" relativeHeight="251658330" behindDoc="0" locked="0" layoutInCell="1" allowOverlap="1" wp14:anchorId="00BCF6DF" wp14:editId="6C5772BF">
                      <wp:simplePos x="0" y="0"/>
                      <wp:positionH relativeFrom="column">
                        <wp:posOffset>-6350</wp:posOffset>
                      </wp:positionH>
                      <wp:positionV relativeFrom="paragraph">
                        <wp:posOffset>162560</wp:posOffset>
                      </wp:positionV>
                      <wp:extent cx="2091690" cy="3670300"/>
                      <wp:effectExtent l="0" t="0" r="3810" b="6350"/>
                      <wp:wrapSquare wrapText="bothSides"/>
                      <wp:docPr id="190" name="그룹 190"/>
                      <wp:cNvGraphicFramePr/>
                      <a:graphic xmlns:a="http://schemas.openxmlformats.org/drawingml/2006/main">
                        <a:graphicData uri="http://schemas.microsoft.com/office/word/2010/wordprocessingGroup">
                          <wpg:wgp>
                            <wpg:cNvGrpSpPr/>
                            <wpg:grpSpPr>
                              <a:xfrm>
                                <a:off x="0" y="0"/>
                                <a:ext cx="2091690" cy="3670300"/>
                                <a:chOff x="0" y="0"/>
                                <a:chExt cx="2091690" cy="3670299"/>
                              </a:xfrm>
                            </wpg:grpSpPr>
                            <wpg:grpSp>
                              <wpg:cNvPr id="191" name="그룹 191"/>
                              <wpg:cNvGrpSpPr/>
                              <wpg:grpSpPr>
                                <a:xfrm>
                                  <a:off x="0" y="0"/>
                                  <a:ext cx="2091690" cy="3670299"/>
                                  <a:chOff x="0" y="0"/>
                                  <a:chExt cx="2091690" cy="3670299"/>
                                </a:xfrm>
                              </wpg:grpSpPr>
                              <pic:pic xmlns:pic="http://schemas.openxmlformats.org/drawingml/2006/picture">
                                <pic:nvPicPr>
                                  <pic:cNvPr id="3840" name="그림 3840"/>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091690" cy="3538220"/>
                                  </a:xfrm>
                                  <a:prstGeom prst="rect">
                                    <a:avLst/>
                                  </a:prstGeom>
                                  <a:noFill/>
                                  <a:ln>
                                    <a:noFill/>
                                  </a:ln>
                                </pic:spPr>
                              </pic:pic>
                              <wps:wsp>
                                <wps:cNvPr id="3841" name="Text Box 3841"/>
                                <wps:cNvSpPr txBox="1"/>
                                <wps:spPr>
                                  <a:xfrm>
                                    <a:off x="1371600" y="3524249"/>
                                    <a:ext cx="719455" cy="146050"/>
                                  </a:xfrm>
                                  <a:prstGeom prst="rect">
                                    <a:avLst/>
                                  </a:prstGeom>
                                  <a:solidFill>
                                    <a:prstClr val="white"/>
                                  </a:solidFill>
                                  <a:ln>
                                    <a:noFill/>
                                  </a:ln>
                                </wps:spPr>
                                <wps:txbx>
                                  <w:txbxContent>
                                    <w:p w14:paraId="2664370F" w14:textId="77777777" w:rsidR="00474DFB" w:rsidRDefault="00474DFB" w:rsidP="00840AAB">
                                      <w:pPr>
                                        <w:pStyle w:val="af0"/>
                                        <w:jc w:val="right"/>
                                        <w:rPr>
                                          <w:rFonts w:ascii="Times New Roman" w:hAnsi="Times New Roman" w:cs="Times New Roman"/>
                                          <w:noProof/>
                                          <w:spacing w:val="-1"/>
                                        </w:rPr>
                                      </w:pPr>
                                      <w:r w:rsidRPr="00337BB0">
                                        <w:rPr>
                                          <w:rFonts w:ascii="Times New Roman" w:eastAsia="Times New Roman" w:hAnsi="Times New Roman" w:cs="Times New Roman"/>
                                          <w:lang w:val="sl-SI"/>
                                        </w:rPr>
                                        <w:t>Slika </w:t>
                                      </w:r>
                                      <w:r>
                                        <w:rPr>
                                          <w:rFonts w:ascii="Times New Roman" w:eastAsia="Times New Roman" w:hAnsi="Times New Roman" w:cs="Times New Roman"/>
                                          <w:lang w:val="sl-SI"/>
                                        </w:rPr>
                                        <w: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842" name="Text Box 3842"/>
                              <wps:cNvSpPr txBox="1"/>
                              <wps:spPr>
                                <a:xfrm>
                                  <a:off x="616527" y="2660072"/>
                                  <a:ext cx="1392071" cy="75062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2C30409" w14:textId="77777777" w:rsidR="00474DFB" w:rsidRDefault="00474DFB" w:rsidP="00840AAB">
                                    <w:pPr>
                                      <w:rPr>
                                        <w:rFonts w:asciiTheme="majorBidi" w:hAnsiTheme="majorBidi" w:cstheme="majorBidi"/>
                                        <w:b/>
                                        <w:bCs/>
                                        <w:sz w:val="20"/>
                                        <w:szCs w:val="20"/>
                                      </w:rPr>
                                    </w:pPr>
                                    <w:r>
                                      <w:rPr>
                                        <w:rFonts w:ascii="Times New Roman" w:eastAsia="Times New Roman" w:hAnsi="Times New Roman" w:cs="Times New Roman"/>
                                        <w:b/>
                                        <w:bCs/>
                                        <w:sz w:val="20"/>
                                        <w:szCs w:val="20"/>
                                        <w:lang w:val="sl-SI"/>
                                      </w:rPr>
                                      <w:t xml:space="preserve">SAMO za negovalce </w:t>
                                    </w:r>
                                  </w:p>
                                  <w:p w14:paraId="1E7EA9F5" w14:textId="77777777" w:rsidR="00474DFB" w:rsidRDefault="00474DFB" w:rsidP="00840AAB">
                                    <w:pPr>
                                      <w:rPr>
                                        <w:rFonts w:asciiTheme="majorBidi" w:hAnsiTheme="majorBidi" w:cstheme="majorBidi"/>
                                        <w:b/>
                                        <w:bCs/>
                                        <w:sz w:val="20"/>
                                        <w:szCs w:val="20"/>
                                      </w:rPr>
                                    </w:pPr>
                                  </w:p>
                                  <w:p w14:paraId="7C4AE9ED" w14:textId="77777777" w:rsidR="00474DFB" w:rsidRDefault="00474DFB" w:rsidP="00840AAB">
                                    <w:pPr>
                                      <w:rPr>
                                        <w:rFonts w:asciiTheme="majorBidi" w:hAnsiTheme="majorBidi" w:cstheme="majorBidi"/>
                                        <w:b/>
                                        <w:bCs/>
                                        <w:sz w:val="20"/>
                                        <w:szCs w:val="20"/>
                                      </w:rPr>
                                    </w:pPr>
                                    <w:r>
                                      <w:rPr>
                                        <w:rFonts w:ascii="Times New Roman" w:eastAsia="Times New Roman" w:hAnsi="Times New Roman" w:cs="Times New Roman"/>
                                        <w:b/>
                                        <w:bCs/>
                                        <w:sz w:val="20"/>
                                        <w:szCs w:val="20"/>
                                        <w:lang w:val="sl-SI"/>
                                      </w:rPr>
                                      <w:t xml:space="preserve">Samoinjiciranje in negovalec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0BCF6DF" id="그룹 190" o:spid="_x0000_s1271" style="position:absolute;margin-left:-.5pt;margin-top:12.8pt;width:164.7pt;height:289pt;z-index:251658330;mso-width-relative:margin;mso-height-relative:margin" coordsize="20916,3670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">
                      <v:group id="그룹 191" o:spid="_x0000_s1272" style="position:absolute;width:20916;height:36702" coordsize="20916,36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shape id="그림 3840" o:spid="_x0000_s1273" type="#_x0000_t75" style="position:absolute;width:20916;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">
                          <v:imagedata r:id="rId41" o:title=""/>
                        </v:shape>
                        <v:shape id="Text Box 3841" o:spid="_x0000_s1274" type="#_x0000_t202" style="position:absolute;left:13716;top:35242;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" stroked="f">
                          <v:textbox style="mso-fit-shape-to-text:t" inset="0,0,0,0">
                            <w:txbxContent>
                              <w:p w14:paraId="2664370F" w14:textId="77777777" w:rsidR="00474DFB" w:rsidRDefault="00474DFB" w:rsidP="00840AAB">
                                <w:pPr>
                                  <w:pStyle w:val="af0"/>
                                  <w:jc w:val="right"/>
                                  <w:rPr>
                                    <w:rFonts w:ascii="Times New Roman" w:hAnsi="Times New Roman" w:cs="Times New Roman"/>
                                    <w:noProof/>
                                    <w:spacing w:val="-1"/>
                                  </w:rPr>
                                </w:pPr>
                                <w:r w:rsidRPr="00337BB0">
                                  <w:rPr>
                                    <w:rFonts w:ascii="Times New Roman" w:eastAsia="Times New Roman" w:hAnsi="Times New Roman" w:cs="Times New Roman"/>
                                    <w:lang w:val="sl-SI"/>
                                  </w:rPr>
                                  <w:t>Slika </w:t>
                                </w:r>
                                <w:r>
                                  <w:rPr>
                                    <w:rFonts w:ascii="Times New Roman" w:eastAsia="Times New Roman" w:hAnsi="Times New Roman" w:cs="Times New Roman"/>
                                    <w:lang w:val="sl-SI"/>
                                  </w:rPr>
                                  <w:t>E</w:t>
                                </w:r>
                              </w:p>
                            </w:txbxContent>
                          </v:textbox>
                        </v:shape>
                      </v:group>
                      <v:shape id="Text Box 3842" o:spid="_x0000_s1275" type="#_x0000_t202" style="position:absolute;left:6165;top:26600;width:13920;height:7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" fillcolor="white [3212]" stroked="f" strokeweight=".5pt">
                        <v:textbox inset="0,0,0,0">
                          <w:txbxContent>
                            <w:p w14:paraId="52C30409" w14:textId="77777777" w:rsidR="00474DFB" w:rsidRDefault="00474DFB" w:rsidP="00840AAB">
                              <w:pPr>
                                <w:rPr>
                                  <w:rFonts w:asciiTheme="majorBidi" w:hAnsiTheme="majorBidi" w:cstheme="majorBidi"/>
                                  <w:b/>
                                  <w:bCs/>
                                  <w:sz w:val="20"/>
                                  <w:szCs w:val="20"/>
                                </w:rPr>
                              </w:pPr>
                              <w:r>
                                <w:rPr>
                                  <w:rFonts w:ascii="Times New Roman" w:eastAsia="Times New Roman" w:hAnsi="Times New Roman" w:cs="Times New Roman"/>
                                  <w:b/>
                                  <w:bCs/>
                                  <w:sz w:val="20"/>
                                  <w:szCs w:val="20"/>
                                  <w:lang w:val="sl-SI"/>
                                </w:rPr>
                                <w:t xml:space="preserve">SAMO za negovalce </w:t>
                              </w:r>
                            </w:p>
                            <w:p w14:paraId="1E7EA9F5" w14:textId="77777777" w:rsidR="00474DFB" w:rsidRDefault="00474DFB" w:rsidP="00840AAB">
                              <w:pPr>
                                <w:rPr>
                                  <w:rFonts w:asciiTheme="majorBidi" w:hAnsiTheme="majorBidi" w:cstheme="majorBidi"/>
                                  <w:b/>
                                  <w:bCs/>
                                  <w:sz w:val="20"/>
                                  <w:szCs w:val="20"/>
                                </w:rPr>
                              </w:pPr>
                            </w:p>
                            <w:p w14:paraId="7C4AE9ED" w14:textId="77777777" w:rsidR="00474DFB" w:rsidRDefault="00474DFB" w:rsidP="00840AAB">
                              <w:pPr>
                                <w:rPr>
                                  <w:rFonts w:asciiTheme="majorBidi" w:hAnsiTheme="majorBidi" w:cstheme="majorBidi"/>
                                  <w:b/>
                                  <w:bCs/>
                                  <w:sz w:val="20"/>
                                  <w:szCs w:val="20"/>
                                </w:rPr>
                              </w:pPr>
                              <w:r>
                                <w:rPr>
                                  <w:rFonts w:ascii="Times New Roman" w:eastAsia="Times New Roman" w:hAnsi="Times New Roman" w:cs="Times New Roman"/>
                                  <w:b/>
                                  <w:bCs/>
                                  <w:sz w:val="20"/>
                                  <w:szCs w:val="20"/>
                                  <w:lang w:val="sl-SI"/>
                                </w:rPr>
                                <w:t xml:space="preserve">Samoinjiciranje in negovalec </w:t>
                              </w:r>
                            </w:p>
                          </w:txbxContent>
                        </v:textbox>
                      </v:shape>
                      <w10:wrap type="square"/>
                    </v:group>
                  </w:pict>
                </mc:Fallback>
              </mc:AlternateContent>
            </w:r>
          </w:p>
          <w:p w14:paraId="00E4602D" w14:textId="77777777" w:rsidR="00840AAB" w:rsidRDefault="00840AAB" w:rsidP="0030421B">
            <w:pPr>
              <w:pStyle w:val="a3"/>
              <w:numPr>
                <w:ilvl w:val="0"/>
                <w:numId w:val="134"/>
              </w:numPr>
              <w:rPr>
                <w:b/>
                <w:lang w:val="sl-SI"/>
              </w:rPr>
            </w:pPr>
            <w:r>
              <w:rPr>
                <w:rFonts w:eastAsia="Times New Roman"/>
                <w:b/>
                <w:bCs/>
                <w:lang w:val="sl-SI"/>
              </w:rPr>
              <w:t>Izberite mesto injiciranja</w:t>
            </w:r>
            <w:r>
              <w:rPr>
                <w:rFonts w:eastAsia="Times New Roman"/>
                <w:lang w:val="sl-SI"/>
              </w:rPr>
              <w:t>.</w:t>
            </w:r>
          </w:p>
          <w:p w14:paraId="544A5C76" w14:textId="77777777" w:rsidR="00840AAB" w:rsidRDefault="00840AAB" w:rsidP="00646E14">
            <w:pPr>
              <w:pStyle w:val="a3"/>
              <w:rPr>
                <w:lang w:val="sl-SI"/>
              </w:rPr>
            </w:pPr>
          </w:p>
          <w:p w14:paraId="43CA0AF6" w14:textId="77777777" w:rsidR="00840AAB" w:rsidRDefault="00840AAB" w:rsidP="00646E14">
            <w:pPr>
              <w:pStyle w:val="a3"/>
              <w:ind w:left="3860" w:hanging="180"/>
              <w:rPr>
                <w:lang w:val="sl-SI"/>
              </w:rPr>
            </w:pPr>
            <w:r>
              <w:rPr>
                <w:rFonts w:eastAsia="Times New Roman"/>
                <w:b/>
                <w:bCs/>
                <w:lang w:val="sl-SI"/>
              </w:rPr>
              <w:t>a.</w:t>
            </w:r>
            <w:r>
              <w:rPr>
                <w:rFonts w:eastAsia="Times New Roman"/>
                <w:lang w:val="sl-SI"/>
              </w:rPr>
              <w:t xml:space="preserve"> Injicirate lahko v:</w:t>
            </w:r>
          </w:p>
          <w:p w14:paraId="39135A7B" w14:textId="77777777" w:rsidR="00840AAB" w:rsidRDefault="00840AAB" w:rsidP="00646E14">
            <w:pPr>
              <w:pStyle w:val="a3"/>
              <w:ind w:left="3860"/>
              <w:rPr>
                <w:lang w:val="sl-SI"/>
              </w:rPr>
            </w:pPr>
            <w:r>
              <w:rPr>
                <w:rFonts w:eastAsia="Times New Roman"/>
                <w:lang w:val="sl-SI"/>
              </w:rPr>
              <w:t xml:space="preserve">- sprednjo stran stegen. </w:t>
            </w:r>
          </w:p>
          <w:p w14:paraId="3682F5BA" w14:textId="77777777" w:rsidR="00840AAB" w:rsidRDefault="00840AAB" w:rsidP="00646E14">
            <w:pPr>
              <w:pStyle w:val="a3"/>
              <w:ind w:left="3860"/>
              <w:rPr>
                <w:lang w:val="sl-SI"/>
              </w:rPr>
            </w:pPr>
            <w:r>
              <w:rPr>
                <w:rFonts w:eastAsia="Times New Roman"/>
                <w:lang w:val="sl-SI"/>
              </w:rPr>
              <w:t xml:space="preserve">- trebuh, najmanj 5 cm oddaljeno od popka. </w:t>
            </w:r>
          </w:p>
          <w:p w14:paraId="5919C0A1" w14:textId="77777777" w:rsidR="00840AAB" w:rsidRDefault="00840AAB" w:rsidP="00646E14">
            <w:pPr>
              <w:pStyle w:val="a3"/>
              <w:ind w:left="3860"/>
              <w:rPr>
                <w:lang w:val="sl-SI"/>
              </w:rPr>
            </w:pPr>
            <w:r>
              <w:rPr>
                <w:rFonts w:eastAsia="Times New Roman"/>
                <w:lang w:val="sl-SI"/>
              </w:rPr>
              <w:t xml:space="preserve">- zunanji del nadlakti (SAMO, če ste negovalec). </w:t>
            </w:r>
          </w:p>
          <w:p w14:paraId="4BFFB515" w14:textId="77777777" w:rsidR="00840AAB" w:rsidRDefault="00840AAB" w:rsidP="00646E14">
            <w:pPr>
              <w:pStyle w:val="a3"/>
              <w:rPr>
                <w:lang w:val="sl-SI"/>
              </w:rPr>
            </w:pPr>
          </w:p>
          <w:p w14:paraId="2BD2C33E" w14:textId="77777777" w:rsidR="00840AAB" w:rsidRDefault="00840AAB" w:rsidP="00646E14">
            <w:pPr>
              <w:pStyle w:val="a3"/>
              <w:numPr>
                <w:ilvl w:val="0"/>
                <w:numId w:val="18"/>
              </w:numPr>
              <w:ind w:left="3487"/>
              <w:rPr>
                <w:lang w:val="sl-SI"/>
              </w:rPr>
            </w:pPr>
            <w:r>
              <w:rPr>
                <w:rFonts w:eastAsia="Times New Roman"/>
                <w:b/>
                <w:bCs/>
                <w:lang w:val="sl-SI"/>
              </w:rPr>
              <w:t>Ne</w:t>
            </w:r>
            <w:r>
              <w:rPr>
                <w:rFonts w:eastAsia="Times New Roman"/>
                <w:lang w:val="sl-SI"/>
              </w:rPr>
              <w:t xml:space="preserve"> injicirajte v kožo, ki je od popka oddaljena manj kot 5 cm, je rdeča, trda, občutljiva, poškodovana, podpluta ali brazgotinasta. </w:t>
            </w:r>
          </w:p>
          <w:p w14:paraId="4F98E87B" w14:textId="77777777" w:rsidR="00840AAB" w:rsidRDefault="00840AAB" w:rsidP="00646E14">
            <w:pPr>
              <w:pStyle w:val="a3"/>
              <w:numPr>
                <w:ilvl w:val="0"/>
                <w:numId w:val="18"/>
              </w:numPr>
              <w:ind w:left="3487"/>
              <w:rPr>
                <w:lang w:val="sl-SI"/>
              </w:rPr>
            </w:pPr>
            <w:r>
              <w:rPr>
                <w:rFonts w:eastAsia="Times New Roman"/>
                <w:lang w:val="sl-SI"/>
              </w:rPr>
              <w:t xml:space="preserve">Če imate luskavico ne injicirajte neposredno v dvignjene, odebeljene, rdeče ali luskaste zaplate ali lezije na koži. </w:t>
            </w:r>
          </w:p>
          <w:p w14:paraId="381B910C" w14:textId="77777777" w:rsidR="00840AAB" w:rsidRDefault="00840AAB" w:rsidP="00646E14">
            <w:pPr>
              <w:pStyle w:val="a3"/>
              <w:numPr>
                <w:ilvl w:val="0"/>
                <w:numId w:val="18"/>
              </w:numPr>
              <w:ind w:left="3487"/>
              <w:rPr>
                <w:lang w:val="sl-SI"/>
              </w:rPr>
            </w:pPr>
            <w:r>
              <w:rPr>
                <w:rFonts w:eastAsia="Times New Roman"/>
                <w:b/>
                <w:bCs/>
                <w:lang w:val="sl-SI"/>
              </w:rPr>
              <w:t>Ne</w:t>
            </w:r>
            <w:r>
              <w:rPr>
                <w:rFonts w:eastAsia="Times New Roman"/>
                <w:lang w:val="sl-SI"/>
              </w:rPr>
              <w:t xml:space="preserve"> injicirajte skozi oblačila.</w:t>
            </w:r>
          </w:p>
          <w:p w14:paraId="14985573" w14:textId="77777777" w:rsidR="00840AAB" w:rsidRDefault="00840AAB" w:rsidP="00646E14">
            <w:pPr>
              <w:pStyle w:val="a3"/>
              <w:rPr>
                <w:lang w:val="sl-SI"/>
              </w:rPr>
            </w:pPr>
          </w:p>
          <w:p w14:paraId="3312D952" w14:textId="77777777" w:rsidR="00840AAB" w:rsidRDefault="00840AAB" w:rsidP="00646E14">
            <w:pPr>
              <w:pStyle w:val="a3"/>
              <w:ind w:left="3860" w:hanging="208"/>
              <w:rPr>
                <w:lang w:val="sl-SI"/>
              </w:rPr>
            </w:pPr>
            <w:r>
              <w:rPr>
                <w:rFonts w:eastAsia="Times New Roman"/>
                <w:b/>
                <w:bCs/>
                <w:lang w:val="sl-SI"/>
              </w:rPr>
              <w:t>b.</w:t>
            </w:r>
            <w:r>
              <w:rPr>
                <w:rFonts w:eastAsia="Times New Roman"/>
                <w:lang w:val="sl-SI"/>
              </w:rPr>
              <w:t xml:space="preserve"> Za vsako injiciranje zamenjajte mesto injiciranja. Vsako novo mesto injiciranja mora biti vsaj 3 cm oddaljeno od mesta injiciranja, ki ste ga uporabili prejšnjič. </w:t>
            </w:r>
          </w:p>
          <w:p w14:paraId="7527EFA2" w14:textId="77777777" w:rsidR="00840AAB" w:rsidRDefault="00840AAB" w:rsidP="00646E14">
            <w:pPr>
              <w:pStyle w:val="a3"/>
              <w:rPr>
                <w:sz w:val="26"/>
                <w:szCs w:val="26"/>
                <w:lang w:val="sl-SI" w:eastAsia="ko-KR"/>
              </w:rPr>
            </w:pPr>
          </w:p>
        </w:tc>
      </w:tr>
    </w:tbl>
    <w:p w14:paraId="48E2FD8E" w14:textId="77777777" w:rsidR="00840AAB" w:rsidRDefault="00840AAB" w:rsidP="00840AAB">
      <w:pPr>
        <w:ind w:left="224" w:right="1248"/>
        <w:rPr>
          <w:rFonts w:ascii="Times New Roman" w:eastAsia="Times New Roman" w:hAnsi="Times New Roman" w:cs="Times New Roman"/>
          <w:b/>
          <w:bCs/>
          <w:lang w:val="sl-SI"/>
        </w:rPr>
      </w:pPr>
    </w:p>
    <w:p w14:paraId="47260627" w14:textId="77777777" w:rsidR="00840AAB" w:rsidRDefault="00840AAB" w:rsidP="00840AAB">
      <w:pPr>
        <w:ind w:left="224" w:right="1248"/>
        <w:rPr>
          <w:rFonts w:ascii="Times New Roman" w:eastAsia="Times New Roman" w:hAnsi="Times New Roman" w:cs="Times New Roman"/>
          <w:b/>
          <w:bCs/>
          <w:lang w:val="sl-SI"/>
        </w:rPr>
      </w:pPr>
    </w:p>
    <w:p w14:paraId="18C6F0A5" w14:textId="77777777" w:rsidR="00840AAB" w:rsidRDefault="00840AAB" w:rsidP="00840AAB">
      <w:pPr>
        <w:ind w:left="224" w:right="1248"/>
        <w:rPr>
          <w:rFonts w:ascii="Times New Roman" w:eastAsia="Times New Roman" w:hAnsi="Times New Roman" w:cs="Times New Roman"/>
          <w:b/>
          <w:bCs/>
          <w:lang w:val="sl-SI"/>
        </w:rPr>
      </w:pPr>
    </w:p>
    <w:tbl>
      <w:tblPr>
        <w:tblStyle w:val="ac"/>
        <w:tblW w:w="0" w:type="auto"/>
        <w:tblLook w:val="04A0" w:firstRow="1" w:lastRow="0" w:firstColumn="1" w:lastColumn="0" w:noHBand="0" w:noVBand="1"/>
      </w:tblPr>
      <w:tblGrid>
        <w:gridCol w:w="9581"/>
      </w:tblGrid>
      <w:tr w:rsidR="00840AAB" w14:paraId="2BF92080" w14:textId="77777777" w:rsidTr="00B27685">
        <w:trPr>
          <w:trHeight w:val="5224"/>
        </w:trPr>
        <w:tc>
          <w:tcPr>
            <w:tcW w:w="9581" w:type="dxa"/>
          </w:tcPr>
          <w:p w14:paraId="230AA1B1" w14:textId="77777777" w:rsidR="00840AAB" w:rsidRDefault="00840AAB" w:rsidP="00646E14">
            <w:pPr>
              <w:pStyle w:val="1"/>
              <w:spacing w:before="76"/>
              <w:ind w:left="0" w:right="2736"/>
              <w:rPr>
                <w:rFonts w:eastAsiaTheme="minorEastAsia"/>
                <w:lang w:val="sl-SI" w:eastAsia="ko-KR"/>
              </w:rPr>
            </w:pPr>
          </w:p>
          <w:p w14:paraId="69E9BC2B" w14:textId="77777777" w:rsidR="00840AAB" w:rsidRDefault="00840AAB" w:rsidP="00646E14">
            <w:pPr>
              <w:pStyle w:val="1"/>
              <w:spacing w:before="76"/>
              <w:ind w:left="0" w:right="2736"/>
              <w:rPr>
                <w:rFonts w:eastAsiaTheme="minorEastAsia"/>
                <w:lang w:val="sl-SI" w:eastAsia="ko-KR"/>
              </w:rPr>
            </w:pPr>
            <w:r>
              <w:rPr>
                <w:rFonts w:eastAsiaTheme="minorEastAsia"/>
                <w:noProof/>
                <w:lang w:eastAsia="ko-KR"/>
              </w:rPr>
              <mc:AlternateContent>
                <mc:Choice Requires="wpg">
                  <w:drawing>
                    <wp:anchor distT="0" distB="0" distL="114300" distR="114300" simplePos="0" relativeHeight="251658297" behindDoc="0" locked="0" layoutInCell="1" allowOverlap="1" wp14:anchorId="71D9E9E5" wp14:editId="59E09062">
                      <wp:simplePos x="0" y="0"/>
                      <wp:positionH relativeFrom="column">
                        <wp:posOffset>-14605</wp:posOffset>
                      </wp:positionH>
                      <wp:positionV relativeFrom="paragraph">
                        <wp:posOffset>120015</wp:posOffset>
                      </wp:positionV>
                      <wp:extent cx="2276475" cy="2936240"/>
                      <wp:effectExtent l="0" t="0" r="9525" b="0"/>
                      <wp:wrapSquare wrapText="bothSides"/>
                      <wp:docPr id="3843" name="그룹 3843"/>
                      <wp:cNvGraphicFramePr/>
                      <a:graphic xmlns:a="http://schemas.openxmlformats.org/drawingml/2006/main">
                        <a:graphicData uri="http://schemas.microsoft.com/office/word/2010/wordprocessingGroup">
                          <wpg:wgp>
                            <wpg:cNvGrpSpPr/>
                            <wpg:grpSpPr>
                              <a:xfrm>
                                <a:off x="0" y="0"/>
                                <a:ext cx="2276475" cy="2936240"/>
                                <a:chOff x="0" y="0"/>
                                <a:chExt cx="2276584" cy="2936547"/>
                              </a:xfrm>
                            </wpg:grpSpPr>
                            <pic:pic xmlns:pic="http://schemas.openxmlformats.org/drawingml/2006/picture">
                              <pic:nvPicPr>
                                <pic:cNvPr id="3844" name="그림 3844"/>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276584" cy="2790497"/>
                                </a:xfrm>
                                <a:prstGeom prst="rect">
                                  <a:avLst/>
                                </a:prstGeom>
                                <a:noFill/>
                                <a:ln>
                                  <a:noFill/>
                                </a:ln>
                              </pic:spPr>
                            </pic:pic>
                            <wps:wsp>
                              <wps:cNvPr id="3845" name="Text Box 3845"/>
                              <wps:cNvSpPr txBox="1"/>
                              <wps:spPr>
                                <a:xfrm>
                                  <a:off x="1518373" y="2790497"/>
                                  <a:ext cx="720090" cy="146050"/>
                                </a:xfrm>
                                <a:prstGeom prst="rect">
                                  <a:avLst/>
                                </a:prstGeom>
                                <a:solidFill>
                                  <a:prstClr val="white"/>
                                </a:solidFill>
                                <a:ln>
                                  <a:noFill/>
                                </a:ln>
                              </wps:spPr>
                              <wps:txbx>
                                <w:txbxContent>
                                  <w:p w14:paraId="6A9C46ED" w14:textId="77777777" w:rsidR="00474DFB" w:rsidRDefault="00474DFB" w:rsidP="00840AAB">
                                    <w:pPr>
                                      <w:pStyle w:val="af0"/>
                                      <w:jc w:val="right"/>
                                      <w:rPr>
                                        <w:rFonts w:cs="Times New Roman"/>
                                        <w:noProof/>
                                      </w:rPr>
                                    </w:pPr>
                                    <w:r>
                                      <w:rPr>
                                        <w:rFonts w:ascii="Times New Roman" w:eastAsia="Times New Roman" w:hAnsi="Times New Roman" w:cs="Times New Roman"/>
                                        <w:lang w:val="sl-SI"/>
                                      </w:rPr>
                                      <w:t>Slika 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1D9E9E5" id="그룹 3843" o:spid="_x0000_s1276" style="position:absolute;margin-left:-1.15pt;margin-top:9.45pt;width:179.25pt;height:231.2pt;z-index:251658297;mso-width-relative:margin;mso-height-relative:margin" coordsize="22765,2936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">
                      <v:shape id="그림 3844" o:spid="_x0000_s1277" type="#_x0000_t75" style="position:absolute;width:22765;height:27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">
                        <v:imagedata r:id="rId43" o:title=""/>
                      </v:shape>
                      <v:shape id="Text Box 3845" o:spid="_x0000_s1278" type="#_x0000_t202" style="position:absolute;left:15183;top:27904;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" stroked="f">
                        <v:textbox style="mso-fit-shape-to-text:t" inset="0,0,0,0">
                          <w:txbxContent>
                            <w:p w14:paraId="6A9C46ED" w14:textId="77777777" w:rsidR="00474DFB" w:rsidRDefault="00474DFB" w:rsidP="00840AAB">
                              <w:pPr>
                                <w:pStyle w:val="af0"/>
                                <w:jc w:val="right"/>
                                <w:rPr>
                                  <w:rFonts w:cs="Times New Roman"/>
                                  <w:noProof/>
                                </w:rPr>
                              </w:pPr>
                              <w:r>
                                <w:rPr>
                                  <w:rFonts w:ascii="Times New Roman" w:eastAsia="Times New Roman" w:hAnsi="Times New Roman" w:cs="Times New Roman"/>
                                  <w:lang w:val="sl-SI"/>
                                </w:rPr>
                                <w:t>Slika F</w:t>
                              </w:r>
                            </w:p>
                          </w:txbxContent>
                        </v:textbox>
                      </v:shape>
                      <w10:wrap type="square"/>
                    </v:group>
                  </w:pict>
                </mc:Fallback>
              </mc:AlternateContent>
            </w:r>
          </w:p>
          <w:p w14:paraId="46E4B8A7" w14:textId="77777777" w:rsidR="00840AAB" w:rsidRDefault="00840AAB" w:rsidP="0030421B">
            <w:pPr>
              <w:pStyle w:val="a3"/>
              <w:numPr>
                <w:ilvl w:val="0"/>
                <w:numId w:val="134"/>
              </w:numPr>
              <w:rPr>
                <w:b/>
                <w:lang w:val="sl-SI"/>
              </w:rPr>
            </w:pPr>
            <w:r>
              <w:rPr>
                <w:rFonts w:eastAsia="Times New Roman"/>
                <w:b/>
                <w:bCs/>
                <w:lang w:val="sl-SI"/>
              </w:rPr>
              <w:t>Umijte si roke</w:t>
            </w:r>
          </w:p>
          <w:p w14:paraId="4F8CC23F" w14:textId="77777777" w:rsidR="00840AAB" w:rsidRDefault="00840AAB" w:rsidP="00646E14">
            <w:pPr>
              <w:pStyle w:val="a3"/>
              <w:rPr>
                <w:b/>
                <w:lang w:val="sl-SI"/>
              </w:rPr>
            </w:pPr>
          </w:p>
          <w:p w14:paraId="6604D416" w14:textId="77777777" w:rsidR="00840AAB" w:rsidRDefault="00840AAB" w:rsidP="00646E14">
            <w:pPr>
              <w:pStyle w:val="a3"/>
              <w:ind w:left="4297" w:hanging="180"/>
              <w:rPr>
                <w:lang w:val="sl-SI"/>
              </w:rPr>
            </w:pPr>
            <w:r>
              <w:rPr>
                <w:rFonts w:eastAsia="Times New Roman"/>
                <w:b/>
                <w:bCs/>
                <w:lang w:val="sl-SI"/>
              </w:rPr>
              <w:t>a.</w:t>
            </w:r>
            <w:r>
              <w:rPr>
                <w:rFonts w:eastAsia="Times New Roman"/>
                <w:lang w:val="sl-SI"/>
              </w:rPr>
              <w:t xml:space="preserve"> Roke si umijte z milom in vodo ter jih temeljito posušite. </w:t>
            </w:r>
          </w:p>
          <w:p w14:paraId="62492ABB" w14:textId="77777777" w:rsidR="00840AAB" w:rsidRDefault="00840AAB" w:rsidP="00646E14">
            <w:pPr>
              <w:pStyle w:val="1"/>
              <w:spacing w:before="76"/>
              <w:ind w:left="0" w:right="2736"/>
              <w:rPr>
                <w:rFonts w:eastAsiaTheme="minorEastAsia"/>
                <w:lang w:val="sl-SI" w:eastAsia="ko-KR"/>
              </w:rPr>
            </w:pPr>
          </w:p>
        </w:tc>
      </w:tr>
      <w:tr w:rsidR="00840AAB" w:rsidRPr="00475A1E" w14:paraId="00CD885F" w14:textId="77777777" w:rsidTr="00646E14">
        <w:trPr>
          <w:trHeight w:val="5201"/>
        </w:trPr>
        <w:tc>
          <w:tcPr>
            <w:tcW w:w="9581" w:type="dxa"/>
          </w:tcPr>
          <w:p w14:paraId="0F609CCE" w14:textId="77777777" w:rsidR="00840AAB" w:rsidRDefault="00840AAB" w:rsidP="00646E14">
            <w:pPr>
              <w:ind w:left="104"/>
              <w:rPr>
                <w:rFonts w:ascii="Times New Roman" w:eastAsia="Times New Roman" w:hAnsi="Times New Roman" w:cs="Times New Roman"/>
                <w:b/>
                <w:bCs/>
                <w:spacing w:val="-1"/>
                <w:lang w:val="sl-SI"/>
              </w:rPr>
            </w:pPr>
          </w:p>
          <w:p w14:paraId="086C3732" w14:textId="77777777" w:rsidR="00840AAB" w:rsidRDefault="00840AAB" w:rsidP="0030421B">
            <w:pPr>
              <w:pStyle w:val="a3"/>
              <w:numPr>
                <w:ilvl w:val="0"/>
                <w:numId w:val="134"/>
              </w:numPr>
              <w:rPr>
                <w:lang w:val="sl-SI"/>
              </w:rPr>
            </w:pPr>
            <w:r>
              <w:rPr>
                <w:rFonts w:ascii="Arial" w:hAnsi="Arial" w:cs="Arial"/>
                <w:b/>
                <w:noProof/>
                <w:spacing w:val="-1"/>
                <w:sz w:val="24"/>
                <w:szCs w:val="24"/>
                <w:lang w:eastAsia="ko-KR"/>
              </w:rPr>
              <mc:AlternateContent>
                <mc:Choice Requires="wpg">
                  <w:drawing>
                    <wp:anchor distT="0" distB="0" distL="114300" distR="114300" simplePos="0" relativeHeight="251658331" behindDoc="0" locked="0" layoutInCell="1" allowOverlap="1" wp14:anchorId="192543D8" wp14:editId="45A870D0">
                      <wp:simplePos x="0" y="0"/>
                      <wp:positionH relativeFrom="column">
                        <wp:posOffset>64644</wp:posOffset>
                      </wp:positionH>
                      <wp:positionV relativeFrom="paragraph">
                        <wp:posOffset>39370</wp:posOffset>
                      </wp:positionV>
                      <wp:extent cx="2159638" cy="2894569"/>
                      <wp:effectExtent l="19050" t="19050" r="12065" b="1270"/>
                      <wp:wrapSquare wrapText="bothSides"/>
                      <wp:docPr id="3846" name="그룹 3846"/>
                      <wp:cNvGraphicFramePr/>
                      <a:graphic xmlns:a="http://schemas.openxmlformats.org/drawingml/2006/main">
                        <a:graphicData uri="http://schemas.microsoft.com/office/word/2010/wordprocessingGroup">
                          <wpg:wgp>
                            <wpg:cNvGrpSpPr/>
                            <wpg:grpSpPr>
                              <a:xfrm>
                                <a:off x="0" y="0"/>
                                <a:ext cx="2159638" cy="2894569"/>
                                <a:chOff x="57722" y="-121350"/>
                                <a:chExt cx="1799592" cy="2414588"/>
                              </a:xfrm>
                            </wpg:grpSpPr>
                            <pic:pic xmlns:pic="http://schemas.openxmlformats.org/drawingml/2006/picture">
                              <pic:nvPicPr>
                                <pic:cNvPr id="3847" name="그림 3847"/>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57724" y="-121350"/>
                                  <a:ext cx="1799590" cy="2200275"/>
                                </a:xfrm>
                                <a:prstGeom prst="rect">
                                  <a:avLst/>
                                </a:prstGeom>
                                <a:noFill/>
                                <a:ln>
                                  <a:solidFill>
                                    <a:schemeClr val="tx1"/>
                                  </a:solidFill>
                                </a:ln>
                              </pic:spPr>
                            </pic:pic>
                            <wps:wsp>
                              <wps:cNvPr id="3848" name="Text Box 3848"/>
                              <wps:cNvSpPr txBox="1"/>
                              <wps:spPr>
                                <a:xfrm>
                                  <a:off x="57722" y="2117978"/>
                                  <a:ext cx="1799590" cy="175260"/>
                                </a:xfrm>
                                <a:prstGeom prst="rect">
                                  <a:avLst/>
                                </a:prstGeom>
                                <a:solidFill>
                                  <a:prstClr val="white"/>
                                </a:solidFill>
                                <a:ln>
                                  <a:noFill/>
                                </a:ln>
                              </wps:spPr>
                              <wps:txbx>
                                <w:txbxContent>
                                  <w:p w14:paraId="79D19242" w14:textId="79A3EFA3" w:rsidR="00474DFB" w:rsidRPr="00E928B9" w:rsidRDefault="00474DFB" w:rsidP="00840AAB">
                                    <w:pPr>
                                      <w:pStyle w:val="af0"/>
                                      <w:jc w:val="right"/>
                                      <w:rPr>
                                        <w:rFonts w:ascii="Times New Roman" w:hAnsi="Times New Roman" w:cs="Times New Roman"/>
                                        <w:bCs w:val="0"/>
                                      </w:rPr>
                                    </w:pPr>
                                    <w:r>
                                      <w:rPr>
                                        <w:rFonts w:ascii="Times New Roman" w:hAnsi="Times New Roman" w:cs="Times New Roman"/>
                                        <w:bCs w:val="0"/>
                                      </w:rPr>
                                      <w:t>Slika 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2543D8" id="그룹 3846" o:spid="_x0000_s1279" style="position:absolute;left:0;text-align:left;margin-left:5.1pt;margin-top:3.1pt;width:170.05pt;height:227.9pt;z-index:251658331;mso-width-relative:margin;mso-height-relative:margin" coordorigin="577,-1213" coordsize="17995,2414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">
                      <v:shape id="그림 3847" o:spid="_x0000_s1280" type="#_x0000_t75" style="position:absolute;left:577;top:-1213;width:17996;height:22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" stroked="t" strokecolor="black [3213]">
                        <v:imagedata r:id="rId85" o:title=""/>
                        <v:path arrowok="t"/>
                      </v:shape>
                      <v:shape id="Text Box 3848" o:spid="_x0000_s1281" type="#_x0000_t202" style="position:absolute;left:577;top:21179;width:1799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" stroked="f">
                        <v:textbox inset="0,0,0,0">
                          <w:txbxContent>
                            <w:p w14:paraId="79D19242" w14:textId="79A3EFA3" w:rsidR="00474DFB" w:rsidRPr="00E928B9" w:rsidRDefault="00474DFB" w:rsidP="00840AAB">
                              <w:pPr>
                                <w:pStyle w:val="af0"/>
                                <w:jc w:val="right"/>
                                <w:rPr>
                                  <w:rFonts w:ascii="Times New Roman" w:hAnsi="Times New Roman" w:cs="Times New Roman"/>
                                  <w:bCs w:val="0"/>
                                </w:rPr>
                              </w:pPr>
                              <w:r>
                                <w:rPr>
                                  <w:rFonts w:ascii="Times New Roman" w:hAnsi="Times New Roman" w:cs="Times New Roman"/>
                                  <w:bCs w:val="0"/>
                                </w:rPr>
                                <w:t>Slika G</w:t>
                              </w:r>
                            </w:p>
                          </w:txbxContent>
                        </v:textbox>
                      </v:shape>
                      <w10:wrap type="square"/>
                    </v:group>
                  </w:pict>
                </mc:Fallback>
              </mc:AlternateContent>
            </w:r>
            <w:r>
              <w:rPr>
                <w:rFonts w:eastAsia="Times New Roman"/>
                <w:b/>
                <w:bCs/>
                <w:lang w:val="sl-SI"/>
              </w:rPr>
              <w:t>Očistite mesto injiciranja</w:t>
            </w:r>
            <w:r>
              <w:rPr>
                <w:rFonts w:eastAsia="Times New Roman"/>
                <w:lang w:val="sl-SI"/>
              </w:rPr>
              <w:t xml:space="preserve"> </w:t>
            </w:r>
          </w:p>
          <w:p w14:paraId="3A8E4105" w14:textId="77777777" w:rsidR="00840AAB" w:rsidRDefault="00840AAB" w:rsidP="00646E14">
            <w:pPr>
              <w:pStyle w:val="a3"/>
              <w:numPr>
                <w:ilvl w:val="0"/>
                <w:numId w:val="0"/>
              </w:numPr>
              <w:ind w:left="471"/>
              <w:rPr>
                <w:lang w:val="sl-SI"/>
              </w:rPr>
            </w:pPr>
          </w:p>
          <w:p w14:paraId="7E613E12" w14:textId="4F0AC4E4" w:rsidR="00840AAB" w:rsidRDefault="00840AAB" w:rsidP="00646E14">
            <w:pPr>
              <w:pStyle w:val="a3"/>
              <w:ind w:left="4297" w:hanging="180"/>
              <w:rPr>
                <w:lang w:val="sl-SI"/>
              </w:rPr>
            </w:pPr>
            <w:r>
              <w:rPr>
                <w:rFonts w:eastAsia="Times New Roman"/>
                <w:b/>
                <w:bCs/>
                <w:lang w:val="sl-SI"/>
              </w:rPr>
              <w:t>a.</w:t>
            </w:r>
            <w:r>
              <w:rPr>
                <w:rFonts w:eastAsia="Times New Roman"/>
                <w:lang w:val="sl-SI"/>
              </w:rPr>
              <w:t xml:space="preserve"> Mesto injiciranja očistite z </w:t>
            </w:r>
            <w:r w:rsidR="00754E39" w:rsidRPr="00D14272">
              <w:rPr>
                <w:rFonts w:eastAsia="Times New Roman"/>
                <w:lang w:val="sl-SI"/>
              </w:rPr>
              <w:t>alkoholnim zložencem</w:t>
            </w:r>
            <w:r>
              <w:rPr>
                <w:rFonts w:eastAsia="Times New Roman"/>
                <w:lang w:val="sl-SI"/>
              </w:rPr>
              <w:t xml:space="preserve"> s krožnimi gibi</w:t>
            </w:r>
          </w:p>
          <w:p w14:paraId="73972FE6" w14:textId="77777777" w:rsidR="00840AAB" w:rsidRDefault="00840AAB" w:rsidP="00646E14">
            <w:pPr>
              <w:pStyle w:val="a3"/>
              <w:ind w:left="4297" w:hanging="180"/>
              <w:rPr>
                <w:lang w:val="sl-SI"/>
              </w:rPr>
            </w:pPr>
            <w:r>
              <w:rPr>
                <w:rFonts w:eastAsia="Times New Roman"/>
                <w:b/>
                <w:bCs/>
                <w:lang w:val="sl-SI"/>
              </w:rPr>
              <w:t>b.</w:t>
            </w:r>
            <w:r>
              <w:rPr>
                <w:rFonts w:eastAsia="Times New Roman"/>
                <w:lang w:val="sl-SI"/>
              </w:rPr>
              <w:t xml:space="preserve"> Pred injiciranjem počakajte, da se koža posuši.</w:t>
            </w:r>
          </w:p>
          <w:p w14:paraId="0A157209" w14:textId="77777777" w:rsidR="00840AAB" w:rsidRDefault="00840AAB" w:rsidP="00646E14">
            <w:pPr>
              <w:pStyle w:val="a3"/>
              <w:rPr>
                <w:lang w:val="sl-SI"/>
              </w:rPr>
            </w:pPr>
          </w:p>
          <w:p w14:paraId="73C470E6" w14:textId="77777777" w:rsidR="00840AAB" w:rsidRDefault="00840AAB" w:rsidP="00646E14">
            <w:pPr>
              <w:pStyle w:val="a3"/>
              <w:rPr>
                <w:lang w:val="sl-SI"/>
              </w:rPr>
            </w:pPr>
          </w:p>
          <w:p w14:paraId="522C1925" w14:textId="77777777" w:rsidR="00840AAB" w:rsidRDefault="00840AAB" w:rsidP="00646E14">
            <w:pPr>
              <w:pStyle w:val="a3"/>
              <w:rPr>
                <w:lang w:val="sl-SI" w:eastAsia="ko-KR"/>
              </w:rPr>
            </w:pPr>
            <w:r>
              <w:rPr>
                <w:rFonts w:ascii="맑은 고딕" w:eastAsia="맑은 고딕" w:hAnsi="맑은 고딕"/>
                <w:lang w:val="sl-SI"/>
              </w:rPr>
              <w:t xml:space="preserve">• </w:t>
            </w:r>
            <w:r>
              <w:rPr>
                <w:rFonts w:eastAsia="Times New Roman"/>
                <w:lang w:val="sl-SI"/>
              </w:rPr>
              <w:t>Pred injiciranjem zdravila na mesto injiciranja</w:t>
            </w:r>
            <w:r>
              <w:rPr>
                <w:rFonts w:ascii="맑은 고딕" w:eastAsia="맑은 고딕" w:hAnsi="맑은 고딕"/>
                <w:lang w:val="sl-SI"/>
              </w:rPr>
              <w:t xml:space="preserve"> </w:t>
            </w:r>
            <w:r>
              <w:rPr>
                <w:rFonts w:eastAsia="맑은 고딕"/>
                <w:b/>
                <w:bCs/>
                <w:lang w:val="sl-SI"/>
              </w:rPr>
              <w:t>ne</w:t>
            </w:r>
            <w:r>
              <w:rPr>
                <w:rFonts w:eastAsia="맑은 고딕"/>
                <w:lang w:val="sl-SI"/>
              </w:rPr>
              <w:t xml:space="preserve"> pihajte in se ga </w:t>
            </w:r>
            <w:r>
              <w:rPr>
                <w:rFonts w:eastAsia="맑은 고딕"/>
                <w:b/>
                <w:bCs/>
                <w:lang w:val="sl-SI"/>
              </w:rPr>
              <w:t>ne</w:t>
            </w:r>
            <w:r>
              <w:rPr>
                <w:rFonts w:eastAsia="맑은 고딕"/>
                <w:lang w:val="sl-SI"/>
              </w:rPr>
              <w:t xml:space="preserve"> dotikajte </w:t>
            </w:r>
            <w:r>
              <w:rPr>
                <w:rFonts w:eastAsia="Times New Roman"/>
                <w:lang w:val="sl-SI"/>
              </w:rPr>
              <w:t>ponovno.</w:t>
            </w:r>
          </w:p>
        </w:tc>
      </w:tr>
      <w:tr w:rsidR="00840AAB" w:rsidRPr="00BC4B06" w14:paraId="6825FCC4" w14:textId="77777777" w:rsidTr="00646E14">
        <w:trPr>
          <w:trHeight w:val="5664"/>
        </w:trPr>
        <w:tc>
          <w:tcPr>
            <w:tcW w:w="9581" w:type="dxa"/>
          </w:tcPr>
          <w:p w14:paraId="67F55583" w14:textId="77777777" w:rsidR="00840AAB" w:rsidRDefault="00840AAB" w:rsidP="00646E14">
            <w:pPr>
              <w:pStyle w:val="Default"/>
              <w:rPr>
                <w:lang w:val="sl-SI"/>
              </w:rPr>
            </w:pPr>
          </w:p>
          <w:p w14:paraId="49DE7ADA" w14:textId="77777777" w:rsidR="00840AAB" w:rsidRDefault="00840AAB" w:rsidP="00646E14">
            <w:pPr>
              <w:ind w:left="104"/>
              <w:rPr>
                <w:lang w:val="sl-SI"/>
              </w:rPr>
            </w:pPr>
            <w:r>
              <w:rPr>
                <w:lang w:val="sl-SI"/>
              </w:rPr>
              <w:t xml:space="preserve"> </w:t>
            </w:r>
          </w:p>
          <w:p w14:paraId="771BD096" w14:textId="77777777" w:rsidR="00840AAB" w:rsidRDefault="00840AAB" w:rsidP="00646E14">
            <w:pPr>
              <w:pStyle w:val="Default"/>
              <w:rPr>
                <w:lang w:val="sl-SI"/>
              </w:rPr>
            </w:pPr>
            <w:r>
              <w:rPr>
                <w:noProof/>
                <w:lang w:eastAsia="ko-KR"/>
              </w:rPr>
              <mc:AlternateContent>
                <mc:Choice Requires="wpg">
                  <w:drawing>
                    <wp:anchor distT="0" distB="0" distL="114300" distR="114300" simplePos="0" relativeHeight="251658323" behindDoc="0" locked="0" layoutInCell="1" allowOverlap="1" wp14:anchorId="69FCB001" wp14:editId="5C626B49">
                      <wp:simplePos x="0" y="0"/>
                      <wp:positionH relativeFrom="column">
                        <wp:posOffset>9525</wp:posOffset>
                      </wp:positionH>
                      <wp:positionV relativeFrom="paragraph">
                        <wp:posOffset>56515</wp:posOffset>
                      </wp:positionV>
                      <wp:extent cx="2294255" cy="2997200"/>
                      <wp:effectExtent l="19050" t="19050" r="10795" b="0"/>
                      <wp:wrapSquare wrapText="bothSides"/>
                      <wp:docPr id="3849" name="그룹 3849"/>
                      <wp:cNvGraphicFramePr/>
                      <a:graphic xmlns:a="http://schemas.openxmlformats.org/drawingml/2006/main">
                        <a:graphicData uri="http://schemas.microsoft.com/office/word/2010/wordprocessingGroup">
                          <wpg:wgp>
                            <wpg:cNvGrpSpPr/>
                            <wpg:grpSpPr>
                              <a:xfrm>
                                <a:off x="0" y="0"/>
                                <a:ext cx="2289264" cy="2997200"/>
                                <a:chOff x="4991" y="0"/>
                                <a:chExt cx="2289264" cy="2997200"/>
                              </a:xfrm>
                            </wpg:grpSpPr>
                            <wpg:grpSp>
                              <wpg:cNvPr id="3850" name="그룹 3850"/>
                              <wpg:cNvGrpSpPr/>
                              <wpg:grpSpPr>
                                <a:xfrm>
                                  <a:off x="4991" y="0"/>
                                  <a:ext cx="2289264" cy="2997200"/>
                                  <a:chOff x="4991" y="0"/>
                                  <a:chExt cx="2289264" cy="2997200"/>
                                </a:xfrm>
                              </wpg:grpSpPr>
                              <pic:pic xmlns:pic="http://schemas.openxmlformats.org/drawingml/2006/picture">
                                <pic:nvPicPr>
                                  <pic:cNvPr id="3851" name="그림 3851"/>
                                  <pic:cNvPicPr>
                                    <a:picLocks noChangeAspect="1"/>
                                  </pic:cNvPicPr>
                                </pic:nvPicPr>
                                <pic:blipFill>
                                  <a:blip r:embed="rId147" cstate="print">
                                    <a:extLst>
                                      <a:ext uri="{28A0092B-C50C-407E-A947-70E740481C1C}">
                                        <a14:useLocalDpi xmlns:a14="http://schemas.microsoft.com/office/drawing/2010/main" val="0"/>
                                      </a:ext>
                                    </a:extLst>
                                  </a:blip>
                                  <a:srcRect/>
                                  <a:stretch/>
                                </pic:blipFill>
                                <pic:spPr>
                                  <a:xfrm>
                                    <a:off x="4991" y="0"/>
                                    <a:ext cx="2284272" cy="2819400"/>
                                  </a:xfrm>
                                  <a:prstGeom prst="rect">
                                    <a:avLst/>
                                  </a:prstGeom>
                                  <a:ln>
                                    <a:solidFill>
                                      <a:schemeClr val="tx1"/>
                                    </a:solidFill>
                                  </a:ln>
                                </pic:spPr>
                              </pic:pic>
                              <wps:wsp>
                                <wps:cNvPr id="3852" name="Text Box 3852"/>
                                <wps:cNvSpPr txBox="1"/>
                                <wps:spPr>
                                  <a:xfrm>
                                    <a:off x="1574165" y="2851150"/>
                                    <a:ext cx="720090" cy="146050"/>
                                  </a:xfrm>
                                  <a:prstGeom prst="rect">
                                    <a:avLst/>
                                  </a:prstGeom>
                                  <a:solidFill>
                                    <a:prstClr val="white"/>
                                  </a:solidFill>
                                  <a:ln>
                                    <a:noFill/>
                                  </a:ln>
                                </wps:spPr>
                                <wps:txbx>
                                  <w:txbxContent>
                                    <w:p w14:paraId="24DA0927" w14:textId="77777777" w:rsidR="00474DFB" w:rsidRDefault="00474DFB" w:rsidP="00840AAB">
                                      <w:pPr>
                                        <w:pStyle w:val="af0"/>
                                        <w:jc w:val="right"/>
                                        <w:rPr>
                                          <w:rFonts w:ascii="Times New Roman" w:hAnsi="Times New Roman" w:cs="Times New Roman"/>
                                          <w:noProof/>
                                        </w:rPr>
                                      </w:pPr>
                                      <w:r>
                                        <w:rPr>
                                          <w:rFonts w:ascii="Times New Roman" w:eastAsia="Times New Roman" w:hAnsi="Times New Roman" w:cs="Times New Roman"/>
                                          <w:lang w:val="sl-SI"/>
                                        </w:rPr>
                                        <w:t>Slika </w:t>
                                      </w:r>
                                      <w:r>
                                        <w:rPr>
                                          <w:rFonts w:ascii="Times New Roman" w:hAnsi="Times New Roman" w:cs="Times New Roman"/>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853" name="Text Box 3853"/>
                              <wps:cNvSpPr txBox="1"/>
                              <wps:spPr>
                                <a:xfrm>
                                  <a:off x="1136073" y="739140"/>
                                  <a:ext cx="1104181" cy="74515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21A8770" w14:textId="77777777" w:rsidR="00474DFB" w:rsidRDefault="00474DFB" w:rsidP="00840AAB">
                                    <w:pPr>
                                      <w:rPr>
                                        <w:rFonts w:asciiTheme="majorBidi" w:hAnsiTheme="majorBidi" w:cstheme="majorBidi"/>
                                        <w:b/>
                                        <w:bCs/>
                                        <w:sz w:val="28"/>
                                        <w:szCs w:val="28"/>
                                      </w:rPr>
                                    </w:pPr>
                                    <w:r>
                                      <w:rPr>
                                        <w:rFonts w:ascii="Times New Roman" w:eastAsia="Times New Roman" w:hAnsi="Times New Roman" w:cs="Times New Roman"/>
                                        <w:b/>
                                        <w:bCs/>
                                        <w:sz w:val="28"/>
                                        <w:szCs w:val="28"/>
                                        <w:lang w:val="sl-SI"/>
                                      </w:rPr>
                                      <w:t>Pokrov igle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69FCB001" id="그룹 3849" o:spid="_x0000_s1282" style="position:absolute;margin-left:.75pt;margin-top:4.45pt;width:180.65pt;height:236pt;z-index:251658323" coordorigin="49" coordsize="22892,29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">
                      <v:group id="그룹 3850" o:spid="_x0000_s1283" style="position:absolute;left:49;width:22893;height:29972" coordorigin="49" coordsize="22892,2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">
                        <v:shape id="그림 3851" o:spid="_x0000_s1284" type="#_x0000_t75" style="position:absolute;left:49;width:22843;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" stroked="t" strokecolor="black [3213]">
                          <v:imagedata r:id="rId148" o:title=""/>
                          <v:path arrowok="t"/>
                        </v:shape>
                        <v:shape id="Text Box 3852" o:spid="_x0000_s1285" type="#_x0000_t202" style="position:absolute;left:15741;top:28511;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" stroked="f">
                          <v:textbox style="mso-fit-shape-to-text:t" inset="0,0,0,0">
                            <w:txbxContent>
                              <w:p w14:paraId="24DA0927" w14:textId="77777777" w:rsidR="00474DFB" w:rsidRDefault="00474DFB" w:rsidP="00840AAB">
                                <w:pPr>
                                  <w:pStyle w:val="af0"/>
                                  <w:jc w:val="right"/>
                                  <w:rPr>
                                    <w:rFonts w:ascii="Times New Roman" w:hAnsi="Times New Roman" w:cs="Times New Roman"/>
                                    <w:noProof/>
                                  </w:rPr>
                                </w:pPr>
                                <w:r>
                                  <w:rPr>
                                    <w:rFonts w:ascii="Times New Roman" w:eastAsia="Times New Roman" w:hAnsi="Times New Roman" w:cs="Times New Roman"/>
                                    <w:lang w:val="sl-SI"/>
                                  </w:rPr>
                                  <w:t>Slika </w:t>
                                </w:r>
                                <w:r>
                                  <w:rPr>
                                    <w:rFonts w:ascii="Times New Roman" w:hAnsi="Times New Roman" w:cs="Times New Roman"/>
                                  </w:rPr>
                                  <w:t>H</w:t>
                                </w:r>
                              </w:p>
                            </w:txbxContent>
                          </v:textbox>
                        </v:shape>
                      </v:group>
                      <v:shape id="Text Box 3853" o:spid="_x0000_s1286" type="#_x0000_t202" style="position:absolute;left:11360;top:7391;width:11042;height:7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" fillcolor="white [3212]" stroked="f" strokeweight=".5pt">
                        <v:textbox inset="0,0,0,0">
                          <w:txbxContent>
                            <w:p w14:paraId="521A8770" w14:textId="77777777" w:rsidR="00474DFB" w:rsidRDefault="00474DFB" w:rsidP="00840AAB">
                              <w:pPr>
                                <w:rPr>
                                  <w:rFonts w:asciiTheme="majorBidi" w:hAnsiTheme="majorBidi" w:cstheme="majorBidi"/>
                                  <w:b/>
                                  <w:bCs/>
                                  <w:sz w:val="28"/>
                                  <w:szCs w:val="28"/>
                                </w:rPr>
                              </w:pPr>
                              <w:r>
                                <w:rPr>
                                  <w:rFonts w:ascii="Times New Roman" w:eastAsia="Times New Roman" w:hAnsi="Times New Roman" w:cs="Times New Roman"/>
                                  <w:b/>
                                  <w:bCs/>
                                  <w:sz w:val="28"/>
                                  <w:szCs w:val="28"/>
                                  <w:lang w:val="sl-SI"/>
                                </w:rPr>
                                <w:t>Pokrov igle</w:t>
                              </w:r>
                            </w:p>
                          </w:txbxContent>
                        </v:textbox>
                      </v:shape>
                      <w10:wrap type="square"/>
                    </v:group>
                  </w:pict>
                </mc:Fallback>
              </mc:AlternateContent>
            </w:r>
          </w:p>
          <w:p w14:paraId="011E1111" w14:textId="77777777" w:rsidR="00840AAB" w:rsidRDefault="00840AAB" w:rsidP="0030421B">
            <w:pPr>
              <w:pStyle w:val="a3"/>
              <w:numPr>
                <w:ilvl w:val="0"/>
                <w:numId w:val="134"/>
              </w:numPr>
              <w:rPr>
                <w:b/>
                <w:lang w:val="sl-SI"/>
              </w:rPr>
            </w:pPr>
            <w:r>
              <w:rPr>
                <w:rFonts w:eastAsia="Times New Roman"/>
                <w:b/>
                <w:bCs/>
                <w:lang w:val="sl-SI"/>
              </w:rPr>
              <w:t>Odstranite pokrovček</w:t>
            </w:r>
          </w:p>
          <w:p w14:paraId="79817557" w14:textId="77777777" w:rsidR="00840AAB" w:rsidRDefault="00840AAB" w:rsidP="00646E14">
            <w:pPr>
              <w:pStyle w:val="a3"/>
              <w:rPr>
                <w:lang w:val="sl-SI"/>
              </w:rPr>
            </w:pPr>
          </w:p>
          <w:p w14:paraId="767F8556" w14:textId="77777777" w:rsidR="00840AAB" w:rsidRDefault="00840AAB" w:rsidP="00646E14">
            <w:pPr>
              <w:pStyle w:val="a3"/>
              <w:ind w:left="4297" w:hanging="180"/>
              <w:rPr>
                <w:lang w:val="sl-SI"/>
              </w:rPr>
            </w:pPr>
            <w:r>
              <w:rPr>
                <w:rFonts w:eastAsia="Times New Roman"/>
                <w:b/>
                <w:bCs/>
                <w:lang w:val="sl-SI"/>
              </w:rPr>
              <w:t>a.</w:t>
            </w:r>
            <w:r>
              <w:rPr>
                <w:rFonts w:eastAsia="Times New Roman"/>
                <w:lang w:val="sl-SI"/>
              </w:rPr>
              <w:t xml:space="preserve"> Napolnjen injekcijski peresnik primite z eno roko za telo injektorja s pokrovčkom navzgor. Z drugo roko pokrovček nežno povlecite ravno navzdol.  </w:t>
            </w:r>
          </w:p>
          <w:p w14:paraId="152B2DDB" w14:textId="77777777" w:rsidR="00840AAB" w:rsidRDefault="00840AAB" w:rsidP="00646E14">
            <w:pPr>
              <w:pStyle w:val="a3"/>
              <w:rPr>
                <w:lang w:val="sl-SI"/>
              </w:rPr>
            </w:pPr>
          </w:p>
          <w:p w14:paraId="348AD68B" w14:textId="77777777" w:rsidR="00840AAB" w:rsidRDefault="00840AAB" w:rsidP="00646E14">
            <w:pPr>
              <w:pStyle w:val="a3"/>
              <w:numPr>
                <w:ilvl w:val="0"/>
                <w:numId w:val="19"/>
              </w:numPr>
              <w:ind w:left="4297"/>
              <w:rPr>
                <w:lang w:val="sl-SI"/>
              </w:rPr>
            </w:pPr>
            <w:r>
              <w:rPr>
                <w:rFonts w:eastAsia="Times New Roman"/>
                <w:b/>
                <w:bCs/>
                <w:lang w:val="sl-SI"/>
              </w:rPr>
              <w:t>Ne</w:t>
            </w:r>
            <w:r>
              <w:rPr>
                <w:rFonts w:eastAsia="Times New Roman"/>
                <w:lang w:val="sl-SI"/>
              </w:rPr>
              <w:t xml:space="preserve"> odstranjujte pokrovčka, dokler niste pripravljeni na injiciranje. </w:t>
            </w:r>
          </w:p>
          <w:p w14:paraId="4D555DE0" w14:textId="77777777" w:rsidR="00840AAB" w:rsidRDefault="00840AAB" w:rsidP="00646E14">
            <w:pPr>
              <w:pStyle w:val="a3"/>
              <w:numPr>
                <w:ilvl w:val="0"/>
                <w:numId w:val="0"/>
              </w:numPr>
              <w:ind w:left="4297"/>
              <w:rPr>
                <w:lang w:val="sl-SI"/>
              </w:rPr>
            </w:pPr>
          </w:p>
          <w:p w14:paraId="5EFF29DF" w14:textId="77777777" w:rsidR="00840AAB" w:rsidRDefault="00840AAB" w:rsidP="00646E14">
            <w:pPr>
              <w:pStyle w:val="a3"/>
              <w:numPr>
                <w:ilvl w:val="0"/>
                <w:numId w:val="19"/>
              </w:numPr>
              <w:ind w:left="4297"/>
              <w:rPr>
                <w:lang w:val="sl-SI"/>
              </w:rPr>
            </w:pPr>
            <w:r>
              <w:rPr>
                <w:rFonts w:eastAsia="Times New Roman"/>
                <w:b/>
                <w:bCs/>
                <w:lang w:val="sl-SI"/>
              </w:rPr>
              <w:t>Ne</w:t>
            </w:r>
            <w:r>
              <w:rPr>
                <w:rFonts w:eastAsia="Times New Roman"/>
                <w:lang w:val="sl-SI"/>
              </w:rPr>
              <w:t xml:space="preserve"> dotikajte se igle ali pokrovčka igle. V nasprotnem primeru lahko pride do poškodbe zaradi vboda z iglo. </w:t>
            </w:r>
          </w:p>
          <w:p w14:paraId="7DF6457F" w14:textId="77777777" w:rsidR="00840AAB" w:rsidRDefault="00840AAB" w:rsidP="00646E14">
            <w:pPr>
              <w:pStyle w:val="a3"/>
              <w:numPr>
                <w:ilvl w:val="0"/>
                <w:numId w:val="0"/>
              </w:numPr>
              <w:ind w:left="4297"/>
              <w:rPr>
                <w:lang w:val="sl-SI"/>
              </w:rPr>
            </w:pPr>
          </w:p>
          <w:p w14:paraId="019C5142" w14:textId="77777777" w:rsidR="00840AAB" w:rsidRPr="003B280A" w:rsidRDefault="00840AAB" w:rsidP="00646E14">
            <w:pPr>
              <w:pStyle w:val="a3"/>
              <w:numPr>
                <w:ilvl w:val="0"/>
                <w:numId w:val="19"/>
              </w:numPr>
              <w:ind w:left="4297"/>
              <w:rPr>
                <w:lang w:val="sl-SI"/>
              </w:rPr>
            </w:pPr>
            <w:r>
              <w:rPr>
                <w:rFonts w:eastAsia="Times New Roman"/>
                <w:lang w:val="sl-SI"/>
              </w:rPr>
              <w:t xml:space="preserve">Pokrovčka </w:t>
            </w:r>
            <w:r>
              <w:rPr>
                <w:rFonts w:eastAsia="Times New Roman"/>
                <w:b/>
                <w:bCs/>
                <w:lang w:val="sl-SI"/>
              </w:rPr>
              <w:t>ne</w:t>
            </w:r>
            <w:r>
              <w:rPr>
                <w:rFonts w:eastAsia="Times New Roman"/>
                <w:lang w:val="sl-SI"/>
              </w:rPr>
              <w:t xml:space="preserve"> nameščajte nazaj na napolnjeni injekcijski peresnik. Pokrovček takoj zavrzite v vsebnik za ostre predmete.</w:t>
            </w:r>
          </w:p>
          <w:p w14:paraId="64E609B2" w14:textId="77777777" w:rsidR="00754E39" w:rsidRDefault="00754E39" w:rsidP="003B280A">
            <w:pPr>
              <w:pStyle w:val="a4"/>
              <w:rPr>
                <w:lang w:val="sl-SI"/>
              </w:rPr>
            </w:pPr>
          </w:p>
          <w:p w14:paraId="6BD51225" w14:textId="21A1E159" w:rsidR="00754E39" w:rsidRDefault="00754E39" w:rsidP="00646E14">
            <w:pPr>
              <w:pStyle w:val="a3"/>
              <w:numPr>
                <w:ilvl w:val="0"/>
                <w:numId w:val="19"/>
              </w:numPr>
              <w:ind w:left="4297"/>
              <w:rPr>
                <w:lang w:val="sl-SI"/>
              </w:rPr>
            </w:pPr>
            <w:r w:rsidRPr="007C415F">
              <w:rPr>
                <w:rFonts w:eastAsia="Times New Roman"/>
                <w:lang w:val="sl-SI"/>
              </w:rPr>
              <w:t>Na konici igle lahko vidite kapljico tekočine; to je normalno.</w:t>
            </w:r>
          </w:p>
        </w:tc>
      </w:tr>
      <w:tr w:rsidR="00840AAB" w:rsidRPr="00475A1E" w14:paraId="07FE5CC7" w14:textId="77777777" w:rsidTr="00646E14">
        <w:trPr>
          <w:trHeight w:val="7028"/>
        </w:trPr>
        <w:tc>
          <w:tcPr>
            <w:tcW w:w="9581" w:type="dxa"/>
          </w:tcPr>
          <w:p w14:paraId="145ED7A1" w14:textId="77777777" w:rsidR="00840AAB" w:rsidRDefault="00840AAB" w:rsidP="00646E14">
            <w:pPr>
              <w:ind w:left="104"/>
              <w:rPr>
                <w:rFonts w:ascii="Times New Roman" w:eastAsia="Times New Roman" w:hAnsi="Times New Roman" w:cs="Times New Roman"/>
                <w:b/>
                <w:bCs/>
                <w:spacing w:val="-1"/>
                <w:lang w:val="sl-SI"/>
              </w:rPr>
            </w:pPr>
          </w:p>
          <w:p w14:paraId="1582E899" w14:textId="77777777" w:rsidR="00840AAB" w:rsidRDefault="00840AAB" w:rsidP="00646E14">
            <w:pPr>
              <w:pStyle w:val="1"/>
              <w:spacing w:before="76"/>
              <w:ind w:left="0" w:right="2736"/>
              <w:rPr>
                <w:rFonts w:eastAsiaTheme="minorEastAsia"/>
                <w:lang w:val="sl-SI" w:eastAsia="ko-KR"/>
              </w:rPr>
            </w:pPr>
            <w:r>
              <w:rPr>
                <w:rFonts w:eastAsiaTheme="minorEastAsia"/>
                <w:noProof/>
                <w:lang w:eastAsia="ko-KR"/>
              </w:rPr>
              <mc:AlternateContent>
                <mc:Choice Requires="wpg">
                  <w:drawing>
                    <wp:anchor distT="0" distB="0" distL="114300" distR="114300" simplePos="0" relativeHeight="251658326" behindDoc="0" locked="0" layoutInCell="1" allowOverlap="1" wp14:anchorId="76373D9D" wp14:editId="46BAC47C">
                      <wp:simplePos x="0" y="0"/>
                      <wp:positionH relativeFrom="column">
                        <wp:posOffset>44854</wp:posOffset>
                      </wp:positionH>
                      <wp:positionV relativeFrom="paragraph">
                        <wp:posOffset>142760</wp:posOffset>
                      </wp:positionV>
                      <wp:extent cx="2247207" cy="3975100"/>
                      <wp:effectExtent l="19050" t="19050" r="20320" b="6350"/>
                      <wp:wrapSquare wrapText="bothSides"/>
                      <wp:docPr id="3854" name="그룹 3854"/>
                      <wp:cNvGraphicFramePr/>
                      <a:graphic xmlns:a="http://schemas.openxmlformats.org/drawingml/2006/main">
                        <a:graphicData uri="http://schemas.microsoft.com/office/word/2010/wordprocessingGroup">
                          <wpg:wgp>
                            <wpg:cNvGrpSpPr/>
                            <wpg:grpSpPr>
                              <a:xfrm>
                                <a:off x="0" y="0"/>
                                <a:ext cx="2245100" cy="3975100"/>
                                <a:chOff x="0" y="0"/>
                                <a:chExt cx="2245100" cy="3975100"/>
                              </a:xfrm>
                            </wpg:grpSpPr>
                            <wpg:grpSp>
                              <wpg:cNvPr id="3855" name="그룹 3855"/>
                              <wpg:cNvGrpSpPr/>
                              <wpg:grpSpPr>
                                <a:xfrm>
                                  <a:off x="9033" y="0"/>
                                  <a:ext cx="2236067" cy="3975100"/>
                                  <a:chOff x="2106" y="0"/>
                                  <a:chExt cx="2236067" cy="3975100"/>
                                </a:xfrm>
                              </wpg:grpSpPr>
                              <pic:pic xmlns:pic="http://schemas.openxmlformats.org/drawingml/2006/picture">
                                <pic:nvPicPr>
                                  <pic:cNvPr id="3856" name="그림 3856"/>
                                  <pic:cNvPicPr>
                                    <a:picLocks noChangeAspect="1"/>
                                  </pic:cNvPicPr>
                                </pic:nvPicPr>
                                <pic:blipFill>
                                  <a:blip r:embed="rId149" cstate="print">
                                    <a:extLst>
                                      <a:ext uri="{28A0092B-C50C-407E-A947-70E740481C1C}">
                                        <a14:useLocalDpi xmlns:a14="http://schemas.microsoft.com/office/drawing/2010/main" val="0"/>
                                      </a:ext>
                                    </a:extLst>
                                  </a:blip>
                                  <a:srcRect/>
                                  <a:stretch/>
                                </pic:blipFill>
                                <pic:spPr bwMode="auto">
                                  <a:xfrm>
                                    <a:off x="2106" y="0"/>
                                    <a:ext cx="2236067" cy="3794760"/>
                                  </a:xfrm>
                                  <a:prstGeom prst="rect">
                                    <a:avLst/>
                                  </a:prstGeom>
                                  <a:noFill/>
                                  <a:ln>
                                    <a:solidFill>
                                      <a:schemeClr val="tx1"/>
                                    </a:solidFill>
                                  </a:ln>
                                </pic:spPr>
                              </pic:pic>
                              <wps:wsp>
                                <wps:cNvPr id="3857" name="Text Box 3857"/>
                                <wps:cNvSpPr txBox="1"/>
                                <wps:spPr>
                                  <a:xfrm>
                                    <a:off x="1517650" y="3829050"/>
                                    <a:ext cx="719455" cy="146050"/>
                                  </a:xfrm>
                                  <a:prstGeom prst="rect">
                                    <a:avLst/>
                                  </a:prstGeom>
                                  <a:solidFill>
                                    <a:prstClr val="white"/>
                                  </a:solidFill>
                                  <a:ln>
                                    <a:noFill/>
                                  </a:ln>
                                </wps:spPr>
                                <wps:txbx>
                                  <w:txbxContent>
                                    <w:p w14:paraId="21C31675" w14:textId="77777777" w:rsidR="00474DFB" w:rsidRDefault="00474DFB" w:rsidP="00840AAB">
                                      <w:pPr>
                                        <w:pStyle w:val="af0"/>
                                        <w:jc w:val="right"/>
                                        <w:rPr>
                                          <w:rFonts w:cs="Times New Roman"/>
                                          <w:noProof/>
                                        </w:rPr>
                                      </w:pPr>
                                      <w:r>
                                        <w:rPr>
                                          <w:rFonts w:ascii="Times New Roman" w:eastAsia="Times New Roman" w:hAnsi="Times New Roman" w:cs="Times New Roman"/>
                                          <w:lang w:val="sl-SI"/>
                                        </w:rPr>
                                        <w:t>Slika </w:t>
                                      </w:r>
                                      <w:r>
                                        <w:rPr>
                                          <w:rFonts w:ascii="Times New Roman" w:hAnsi="Times New Roman" w:cs="Times New Roman"/>
                                        </w:rPr>
                                        <w:t>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858" name="Text Box 3858"/>
                              <wps:cNvSpPr txBox="1"/>
                              <wps:spPr>
                                <a:xfrm>
                                  <a:off x="0" y="1745672"/>
                                  <a:ext cx="2237105" cy="26719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260F29" w14:textId="77777777" w:rsidR="00474DFB" w:rsidRDefault="00474DFB" w:rsidP="00840AAB">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sl-SI"/>
                                      </w:rPr>
                                      <w:t>ALI</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76373D9D" id="그룹 3854" o:spid="_x0000_s1287" style="position:absolute;margin-left:3.55pt;margin-top:11.25pt;width:176.95pt;height:313pt;z-index:251658326" coordsize="22451,39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">
                      <v:group id="그룹 3855" o:spid="_x0000_s1288" style="position:absolute;left:90;width:22361;height:39751" coordorigin="21" coordsize="22360,39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">
                        <v:shape id="그림 3856" o:spid="_x0000_s1289" type="#_x0000_t75" style="position:absolute;left:21;width:22360;height:37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" stroked="t" strokecolor="black [3213]">
                          <v:imagedata r:id="rId150" o:title=""/>
                          <v:path arrowok="t"/>
                        </v:shape>
                        <v:shape id="Text Box 3857" o:spid="_x0000_s1290" type="#_x0000_t202" style="position:absolute;left:15176;top:38290;width:719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" stroked="f">
                          <v:textbox style="mso-fit-shape-to-text:t" inset="0,0,0,0">
                            <w:txbxContent>
                              <w:p w14:paraId="21C31675" w14:textId="77777777" w:rsidR="00474DFB" w:rsidRDefault="00474DFB" w:rsidP="00840AAB">
                                <w:pPr>
                                  <w:pStyle w:val="af0"/>
                                  <w:jc w:val="right"/>
                                  <w:rPr>
                                    <w:rFonts w:cs="Times New Roman"/>
                                    <w:noProof/>
                                  </w:rPr>
                                </w:pPr>
                                <w:r>
                                  <w:rPr>
                                    <w:rFonts w:ascii="Times New Roman" w:eastAsia="Times New Roman" w:hAnsi="Times New Roman" w:cs="Times New Roman"/>
                                    <w:lang w:val="sl-SI"/>
                                  </w:rPr>
                                  <w:t>Slika </w:t>
                                </w:r>
                                <w:r>
                                  <w:rPr>
                                    <w:rFonts w:ascii="Times New Roman" w:hAnsi="Times New Roman" w:cs="Times New Roman"/>
                                  </w:rPr>
                                  <w:t>I</w:t>
                                </w:r>
                              </w:p>
                            </w:txbxContent>
                          </v:textbox>
                        </v:shape>
                      </v:group>
                      <v:shape id="Text Box 3858" o:spid="_x0000_s1291" type="#_x0000_t202" style="position:absolute;top:17456;width:22371;height:2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" fillcolor="black [3213]" stroked="f" strokeweight=".5pt">
                        <v:textbox inset="0,0,0,0">
                          <w:txbxContent>
                            <w:p w14:paraId="67260F29" w14:textId="77777777" w:rsidR="00474DFB" w:rsidRDefault="00474DFB" w:rsidP="00840AAB">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sl-SI"/>
                                </w:rPr>
                                <w:t>ALI</w:t>
                              </w:r>
                            </w:p>
                          </w:txbxContent>
                        </v:textbox>
                      </v:shape>
                      <w10:wrap type="square"/>
                    </v:group>
                  </w:pict>
                </mc:Fallback>
              </mc:AlternateContent>
            </w:r>
          </w:p>
          <w:p w14:paraId="5A21F665" w14:textId="77777777" w:rsidR="00840AAB" w:rsidRDefault="00840AAB" w:rsidP="0030421B">
            <w:pPr>
              <w:pStyle w:val="a3"/>
              <w:numPr>
                <w:ilvl w:val="0"/>
                <w:numId w:val="134"/>
              </w:numPr>
              <w:ind w:left="4297"/>
              <w:rPr>
                <w:b/>
                <w:lang w:val="sl-SI"/>
              </w:rPr>
            </w:pPr>
            <w:r>
              <w:rPr>
                <w:rFonts w:eastAsia="Times New Roman"/>
                <w:b/>
                <w:bCs/>
                <w:lang w:val="sl-SI"/>
              </w:rPr>
              <w:t>Napolnjen injekcijski peresnik položite na mesto injiciranja.</w:t>
            </w:r>
          </w:p>
          <w:p w14:paraId="63F65F19" w14:textId="77777777" w:rsidR="00840AAB" w:rsidRDefault="00840AAB" w:rsidP="00646E14">
            <w:pPr>
              <w:pStyle w:val="a3"/>
              <w:rPr>
                <w:lang w:val="sl-SI"/>
              </w:rPr>
            </w:pPr>
          </w:p>
          <w:p w14:paraId="7DAB3D30" w14:textId="77777777" w:rsidR="00840AAB" w:rsidRDefault="00840AAB" w:rsidP="00646E14">
            <w:pPr>
              <w:pStyle w:val="a3"/>
              <w:ind w:left="4297" w:hanging="180"/>
              <w:rPr>
                <w:lang w:val="sl-SI"/>
              </w:rPr>
            </w:pPr>
            <w:r>
              <w:rPr>
                <w:rFonts w:eastAsia="Times New Roman"/>
                <w:b/>
                <w:bCs/>
                <w:lang w:val="sl-SI"/>
              </w:rPr>
              <w:t>a.</w:t>
            </w:r>
            <w:r>
              <w:rPr>
                <w:rFonts w:eastAsia="Times New Roman"/>
                <w:lang w:val="sl-SI"/>
              </w:rPr>
              <w:t xml:space="preserve"> Napolnjen injekcijski peresnik držite tako, da boste lahko videli okence.</w:t>
            </w:r>
          </w:p>
          <w:p w14:paraId="2D5744FD" w14:textId="77777777" w:rsidR="00840AAB" w:rsidRDefault="00840AAB" w:rsidP="00646E14">
            <w:pPr>
              <w:pStyle w:val="a3"/>
              <w:ind w:left="4297" w:hanging="180"/>
              <w:rPr>
                <w:lang w:val="sl-SI" w:eastAsia="ko-KR"/>
              </w:rPr>
            </w:pPr>
            <w:r>
              <w:rPr>
                <w:rFonts w:eastAsia="Times New Roman"/>
                <w:b/>
                <w:bCs/>
                <w:lang w:val="sl-SI"/>
              </w:rPr>
              <w:t>b.</w:t>
            </w:r>
            <w:r>
              <w:rPr>
                <w:rFonts w:eastAsia="Times New Roman"/>
                <w:lang w:val="sl-SI"/>
              </w:rPr>
              <w:t xml:space="preserve"> Pred uporabo brez stiskanja ali raztegovanja kože</w:t>
            </w:r>
            <w:r>
              <w:rPr>
                <w:noProof/>
                <w:lang w:eastAsia="ko-KR"/>
              </w:rPr>
              <mc:AlternateContent>
                <mc:Choice Requires="wps">
                  <w:drawing>
                    <wp:anchor distT="0" distB="0" distL="114300" distR="114300" simplePos="0" relativeHeight="251658325" behindDoc="0" locked="0" layoutInCell="1" allowOverlap="1" wp14:anchorId="7FC44637" wp14:editId="27C6B819">
                      <wp:simplePos x="0" y="0"/>
                      <wp:positionH relativeFrom="column">
                        <wp:posOffset>515909</wp:posOffset>
                      </wp:positionH>
                      <wp:positionV relativeFrom="paragraph">
                        <wp:posOffset>53695</wp:posOffset>
                      </wp:positionV>
                      <wp:extent cx="448945" cy="411273"/>
                      <wp:effectExtent l="0" t="0" r="8255" b="8255"/>
                      <wp:wrapNone/>
                      <wp:docPr id="3859" name="Text Box 3859"/>
                      <wp:cNvGraphicFramePr/>
                      <a:graphic xmlns:a="http://schemas.openxmlformats.org/drawingml/2006/main">
                        <a:graphicData uri="http://schemas.microsoft.com/office/word/2010/wordprocessingShape">
                          <wps:wsp>
                            <wps:cNvSpPr txBox="1"/>
                            <wps:spPr>
                              <a:xfrm>
                                <a:off x="0" y="0"/>
                                <a:ext cx="448945" cy="41127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5295F3" w14:textId="77777777" w:rsidR="00474DFB" w:rsidRDefault="00474DFB" w:rsidP="00840AAB">
                                  <w:pPr>
                                    <w:jc w:val="right"/>
                                    <w:rPr>
                                      <w:rFonts w:asciiTheme="majorBidi" w:hAnsiTheme="majorBidi" w:cstheme="majorBidi"/>
                                      <w:b/>
                                      <w:bCs/>
                                      <w:sz w:val="20"/>
                                      <w:szCs w:val="20"/>
                                    </w:rPr>
                                  </w:pPr>
                                  <w:r>
                                    <w:rPr>
                                      <w:rFonts w:ascii="Times New Roman" w:eastAsia="Times New Roman" w:hAnsi="Times New Roman" w:cs="Times New Roman"/>
                                      <w:b/>
                                      <w:bCs/>
                                      <w:sz w:val="20"/>
                                      <w:szCs w:val="20"/>
                                      <w:lang w:val="sl-SI"/>
                                    </w:rPr>
                                    <w:t>90°</w:t>
                                  </w:r>
                                </w:p>
                              </w:txbxContent>
                            </wps:txbx>
                            <wps:bodyPr rot="0" spcFirstLastPara="0" vertOverflow="overflow" horzOverflow="overflow" vert="horz" wrap="square" lIns="0" tIns="0" rIns="0" bIns="0" numCol="1" spcCol="0" rtlCol="0" fromWordArt="0" anchor="b"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FC44637" id="Text Box 3859" o:spid="_x0000_s1292" type="#_x0000_t202" style="position:absolute;left:0;text-align:left;margin-left:40.6pt;margin-top:4.25pt;width:35.35pt;height:32.4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" fillcolor="white [3212]" stroked="f" strokeweight=".5pt">
                      <v:textbox inset="0,0,0,0">
                        <w:txbxContent>
                          <w:p w14:paraId="0E5295F3" w14:textId="77777777" w:rsidR="00474DFB" w:rsidRDefault="00474DFB" w:rsidP="00840AAB">
                            <w:pPr>
                              <w:jc w:val="right"/>
                              <w:rPr>
                                <w:rFonts w:asciiTheme="majorBidi" w:hAnsiTheme="majorBidi" w:cstheme="majorBidi"/>
                                <w:b/>
                                <w:bCs/>
                                <w:sz w:val="20"/>
                                <w:szCs w:val="20"/>
                              </w:rPr>
                            </w:pPr>
                            <w:r>
                              <w:rPr>
                                <w:rFonts w:ascii="Times New Roman" w:eastAsia="Times New Roman" w:hAnsi="Times New Roman" w:cs="Times New Roman"/>
                                <w:b/>
                                <w:bCs/>
                                <w:sz w:val="20"/>
                                <w:szCs w:val="20"/>
                                <w:lang w:val="sl-SI"/>
                              </w:rPr>
                              <w:t>90°</w:t>
                            </w:r>
                          </w:p>
                        </w:txbxContent>
                      </v:textbox>
                    </v:shape>
                  </w:pict>
                </mc:Fallback>
              </mc:AlternateContent>
            </w:r>
            <w:r>
              <w:rPr>
                <w:rFonts w:eastAsia="Times New Roman"/>
                <w:lang w:val="sl-SI"/>
              </w:rPr>
              <w:t xml:space="preserve"> napolnjen injekcijski peresnik položite na mesto injiciranja pod kotom 90 stopinj.</w:t>
            </w:r>
          </w:p>
        </w:tc>
      </w:tr>
      <w:tr w:rsidR="00840AAB" w:rsidRPr="00475A1E" w14:paraId="0755CB2E" w14:textId="77777777" w:rsidTr="00646E14">
        <w:trPr>
          <w:trHeight w:val="8391"/>
        </w:trPr>
        <w:tc>
          <w:tcPr>
            <w:tcW w:w="9581" w:type="dxa"/>
          </w:tcPr>
          <w:p w14:paraId="443A00FB" w14:textId="77777777" w:rsidR="00840AAB" w:rsidRPr="00ED041A" w:rsidRDefault="00840AAB" w:rsidP="00646E14">
            <w:pPr>
              <w:ind w:left="104"/>
              <w:rPr>
                <w:rFonts w:ascii="Times New Roman" w:eastAsia="Times New Roman" w:hAnsi="Times New Roman" w:cs="Times New Roman"/>
                <w:b/>
                <w:bCs/>
                <w:spacing w:val="-1"/>
                <w:lang w:val="sl-SI"/>
              </w:rPr>
            </w:pPr>
          </w:p>
          <w:p w14:paraId="004469FD" w14:textId="77777777" w:rsidR="00840AAB" w:rsidRDefault="00840AAB" w:rsidP="00646E14">
            <w:pPr>
              <w:pStyle w:val="1"/>
              <w:spacing w:before="76"/>
              <w:ind w:left="0" w:right="2736"/>
              <w:rPr>
                <w:rFonts w:eastAsiaTheme="minorEastAsia"/>
                <w:lang w:val="sl-SI" w:eastAsia="ko-KR"/>
              </w:rPr>
            </w:pPr>
            <w:r>
              <w:rPr>
                <w:rFonts w:eastAsiaTheme="minorEastAsia"/>
                <w:noProof/>
                <w:lang w:eastAsia="ko-KR"/>
              </w:rPr>
              <mc:AlternateContent>
                <mc:Choice Requires="wpg">
                  <w:drawing>
                    <wp:anchor distT="0" distB="0" distL="114300" distR="114300" simplePos="0" relativeHeight="251658327" behindDoc="0" locked="0" layoutInCell="1" allowOverlap="1" wp14:anchorId="0D916456" wp14:editId="06109148">
                      <wp:simplePos x="0" y="0"/>
                      <wp:positionH relativeFrom="column">
                        <wp:posOffset>24072</wp:posOffset>
                      </wp:positionH>
                      <wp:positionV relativeFrom="paragraph">
                        <wp:posOffset>185131</wp:posOffset>
                      </wp:positionV>
                      <wp:extent cx="2052955" cy="4870450"/>
                      <wp:effectExtent l="19050" t="19050" r="23495" b="6350"/>
                      <wp:wrapSquare wrapText="bothSides"/>
                      <wp:docPr id="3860" name="그룹 3860"/>
                      <wp:cNvGraphicFramePr/>
                      <a:graphic xmlns:a="http://schemas.openxmlformats.org/drawingml/2006/main">
                        <a:graphicData uri="http://schemas.microsoft.com/office/word/2010/wordprocessingGroup">
                          <wpg:wgp>
                            <wpg:cNvGrpSpPr/>
                            <wpg:grpSpPr>
                              <a:xfrm>
                                <a:off x="0" y="0"/>
                                <a:ext cx="2052955" cy="4870450"/>
                                <a:chOff x="0" y="0"/>
                                <a:chExt cx="2052955" cy="4870450"/>
                              </a:xfrm>
                            </wpg:grpSpPr>
                            <wpg:grpSp>
                              <wpg:cNvPr id="3861" name="그룹 3861"/>
                              <wpg:cNvGrpSpPr/>
                              <wpg:grpSpPr>
                                <a:xfrm>
                                  <a:off x="248" y="0"/>
                                  <a:ext cx="2052707" cy="4870450"/>
                                  <a:chOff x="248" y="0"/>
                                  <a:chExt cx="2052707" cy="4870450"/>
                                </a:xfrm>
                              </wpg:grpSpPr>
                              <wpg:grpSp>
                                <wpg:cNvPr id="3862" name="그룹 3862"/>
                                <wpg:cNvGrpSpPr/>
                                <wpg:grpSpPr>
                                  <a:xfrm>
                                    <a:off x="248" y="0"/>
                                    <a:ext cx="2052707" cy="4870450"/>
                                    <a:chOff x="248" y="0"/>
                                    <a:chExt cx="2052707" cy="4870450"/>
                                  </a:xfrm>
                                </wpg:grpSpPr>
                                <pic:pic xmlns:pic="http://schemas.openxmlformats.org/drawingml/2006/picture">
                                  <pic:nvPicPr>
                                    <pic:cNvPr id="3863" name="그림 3863"/>
                                    <pic:cNvPicPr>
                                      <a:picLocks noChangeAspect="1"/>
                                    </pic:cNvPicPr>
                                  </pic:nvPicPr>
                                  <pic:blipFill>
                                    <a:blip r:embed="rId151">
                                      <a:extLst>
                                        <a:ext uri="{28A0092B-C50C-407E-A947-70E740481C1C}">
                                          <a14:useLocalDpi xmlns:a14="http://schemas.microsoft.com/office/drawing/2010/main" val="0"/>
                                        </a:ext>
                                      </a:extLst>
                                    </a:blip>
                                    <a:srcRect/>
                                    <a:stretch/>
                                  </pic:blipFill>
                                  <pic:spPr bwMode="auto">
                                    <a:xfrm>
                                      <a:off x="248" y="0"/>
                                      <a:ext cx="2049918" cy="4697730"/>
                                    </a:xfrm>
                                    <a:prstGeom prst="rect">
                                      <a:avLst/>
                                    </a:prstGeom>
                                    <a:noFill/>
                                    <a:ln>
                                      <a:solidFill>
                                        <a:schemeClr val="tx1"/>
                                      </a:solidFill>
                                    </a:ln>
                                  </pic:spPr>
                                </pic:pic>
                                <wps:wsp>
                                  <wps:cNvPr id="3864" name="Text Box 3864"/>
                                  <wps:cNvSpPr txBox="1"/>
                                  <wps:spPr>
                                    <a:xfrm>
                                      <a:off x="1333500" y="4724400"/>
                                      <a:ext cx="719455" cy="146050"/>
                                    </a:xfrm>
                                    <a:prstGeom prst="rect">
                                      <a:avLst/>
                                    </a:prstGeom>
                                    <a:solidFill>
                                      <a:prstClr val="white"/>
                                    </a:solidFill>
                                    <a:ln>
                                      <a:noFill/>
                                    </a:ln>
                                  </wps:spPr>
                                  <wps:txbx>
                                    <w:txbxContent>
                                      <w:p w14:paraId="27D6C768" w14:textId="77777777" w:rsidR="00474DFB" w:rsidRDefault="00474DFB" w:rsidP="00840AAB">
                                        <w:pPr>
                                          <w:pStyle w:val="af0"/>
                                          <w:jc w:val="right"/>
                                          <w:rPr>
                                            <w:rFonts w:cs="Times New Roman"/>
                                            <w:noProof/>
                                          </w:rPr>
                                        </w:pPr>
                                        <w:r>
                                          <w:rPr>
                                            <w:rFonts w:ascii="Times New Roman" w:eastAsia="Times New Roman" w:hAnsi="Times New Roman" w:cs="Times New Roman"/>
                                            <w:lang w:val="sl-SI"/>
                                          </w:rPr>
                                          <w:t>Slika </w:t>
                                        </w:r>
                                        <w:r>
                                          <w:rPr>
                                            <w:rFonts w:ascii="Times New Roman" w:hAnsi="Times New Roman" w:cs="Times New Roman"/>
                                          </w:rPr>
                                          <w:t>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865" name="직사각형 3865"/>
                                <wps:cNvSpPr/>
                                <wps:spPr>
                                  <a:xfrm>
                                    <a:off x="207818" y="720437"/>
                                    <a:ext cx="581891" cy="65485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6" name="타원 3866"/>
                                <wps:cNvSpPr/>
                                <wps:spPr>
                                  <a:xfrm>
                                    <a:off x="138546" y="2791691"/>
                                    <a:ext cx="699654" cy="630382"/>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7" name="12-Point Star 1038"/>
                                <wps:cNvSpPr/>
                                <wps:spPr>
                                  <a:xfrm>
                                    <a:off x="41564" y="720437"/>
                                    <a:ext cx="747626" cy="727363"/>
                                  </a:xfrm>
                                  <a:prstGeom prst="star12">
                                    <a:avLst>
                                      <a:gd name="adj" fmla="val 40846"/>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7A77B0" w14:textId="77777777" w:rsidR="00474DFB" w:rsidRPr="00C568D9" w:rsidRDefault="00474DFB" w:rsidP="00840AAB">
                                      <w:pPr>
                                        <w:jc w:val="center"/>
                                        <w:rPr>
                                          <w:rFonts w:asciiTheme="majorBidi" w:hAnsiTheme="majorBidi" w:cstheme="majorBidi"/>
                                          <w:sz w:val="28"/>
                                          <w:szCs w:val="28"/>
                                        </w:rPr>
                                      </w:pPr>
                                      <w:r w:rsidRPr="00C568D9">
                                        <w:rPr>
                                          <w:rFonts w:ascii="Times New Roman" w:eastAsia="Times New Roman" w:hAnsi="Times New Roman" w:cs="Times New Roman"/>
                                          <w:sz w:val="28"/>
                                          <w:szCs w:val="28"/>
                                          <w:lang w:val="sl-SI"/>
                                        </w:rPr>
                                        <w:t xml:space="preserve">Prvi klik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868" name="12-Point Star 1040"/>
                                <wps:cNvSpPr/>
                                <wps:spPr>
                                  <a:xfrm>
                                    <a:off x="41564" y="2874819"/>
                                    <a:ext cx="831272" cy="720437"/>
                                  </a:xfrm>
                                  <a:prstGeom prst="star12">
                                    <a:avLst>
                                      <a:gd name="adj" fmla="val 40890"/>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CD7860" w14:textId="77777777" w:rsidR="00474DFB" w:rsidRDefault="00474DFB" w:rsidP="00840AAB">
                                      <w:pPr>
                                        <w:jc w:val="center"/>
                                        <w:rPr>
                                          <w:rFonts w:asciiTheme="majorBidi" w:hAnsiTheme="majorBidi" w:cstheme="majorBidi"/>
                                          <w:sz w:val="28"/>
                                          <w:szCs w:val="28"/>
                                        </w:rPr>
                                      </w:pPr>
                                      <w:r>
                                        <w:rPr>
                                          <w:rFonts w:ascii="Times New Roman" w:eastAsia="Times New Roman" w:hAnsi="Times New Roman" w:cs="Times New Roman"/>
                                          <w:sz w:val="28"/>
                                          <w:szCs w:val="28"/>
                                          <w:lang w:val="sl-SI"/>
                                        </w:rPr>
                                        <w:t xml:space="preserve">Drugi klik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3869" name="Text Box 3869"/>
                              <wps:cNvSpPr txBox="1"/>
                              <wps:spPr>
                                <a:xfrm>
                                  <a:off x="0" y="4080164"/>
                                  <a:ext cx="2052955" cy="61743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BDD6248" w14:textId="77777777" w:rsidR="00474DFB" w:rsidRDefault="00474DFB" w:rsidP="00840AAB">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sl-SI"/>
                                      </w:rPr>
                                      <w:t>Nato počasi štejte do 5.</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0D916456" id="그룹 3860" o:spid="_x0000_s1293" style="position:absolute;margin-left:1.9pt;margin-top:14.6pt;width:161.65pt;height:383.5pt;z-index:251658327" coordsize="20529,48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">
                      <v:group id="그룹 3861" o:spid="_x0000_s1294" style="position:absolute;left:2;width:20527;height:48704" coordorigin="2" coordsize="20527,4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">
                        <v:group id="그룹 3862" o:spid="_x0000_s1295" style="position:absolute;left:2;width:20527;height:48704" coordorigin="2" coordsize="20527,4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">
                          <v:shape id="그림 3863" o:spid="_x0000_s1296" type="#_x0000_t75" style="position:absolute;left:2;width:20499;height:46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" stroked="t" strokecolor="black [3213]">
                            <v:imagedata r:id="rId152" o:title=""/>
                            <v:path arrowok="t"/>
                          </v:shape>
                          <v:shape id="Text Box 3864" o:spid="_x0000_s1297" type="#_x0000_t202" style="position:absolute;left:13335;top:47244;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" stroked="f">
                            <v:textbox style="mso-fit-shape-to-text:t" inset="0,0,0,0">
                              <w:txbxContent>
                                <w:p w14:paraId="27D6C768" w14:textId="77777777" w:rsidR="00474DFB" w:rsidRDefault="00474DFB" w:rsidP="00840AAB">
                                  <w:pPr>
                                    <w:pStyle w:val="af0"/>
                                    <w:jc w:val="right"/>
                                    <w:rPr>
                                      <w:rFonts w:cs="Times New Roman"/>
                                      <w:noProof/>
                                    </w:rPr>
                                  </w:pPr>
                                  <w:r>
                                    <w:rPr>
                                      <w:rFonts w:ascii="Times New Roman" w:eastAsia="Times New Roman" w:hAnsi="Times New Roman" w:cs="Times New Roman"/>
                                      <w:lang w:val="sl-SI"/>
                                    </w:rPr>
                                    <w:t>Slika </w:t>
                                  </w:r>
                                  <w:r>
                                    <w:rPr>
                                      <w:rFonts w:ascii="Times New Roman" w:hAnsi="Times New Roman" w:cs="Times New Roman"/>
                                    </w:rPr>
                                    <w:t>J</w:t>
                                  </w:r>
                                </w:p>
                              </w:txbxContent>
                            </v:textbox>
                          </v:shape>
                        </v:group>
                        <v:rect id="직사각형 3865" o:spid="_x0000_s1298" style="position:absolute;left:2078;top:7204;width:5819;height:6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" fillcolor="white [3212]" strokecolor="white [3212]" strokeweight="2pt"/>
                        <v:oval id="타원 3866" o:spid="_x0000_s1299" style="position:absolute;left:1385;top:27916;width:6997;height:63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" fillcolor="white [3212]" strokecolor="white [3212]" strokeweight="2pt"/>
                        <v:shape id="12-Point Star 1038" o:spid="_x0000_s1300" style="position:absolute;left:415;top:7204;width:7476;height:7274;visibility:visible;mso-wrap-style:square;v-text-anchor:middle" coordsize="747626,727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" adj="-11796480,,5400" path="m,363682l78843,286787,50081,181841,157880,153601,186907,48724,294776,76706,373813,r79037,76706l560720,48724r29026,104877l697545,181841,668783,286787r78843,76895l668783,440576r28762,104946l589746,573762,560720,678639,452850,650657r-79037,76706l294776,650657,186907,678639,157880,573762,50081,545522,78843,440576,,363682xe" fillcolor="black [3213]" strokecolor="black [3213]" strokeweight="2pt">
                          <v:stroke joinstyle="miter"/>
                          <v:formulas/>
                          <v:path arrowok="t" o:connecttype="custom" o:connectlocs="0,363682;78843,286787;50081,181841;157880,153601;186907,48724;294776,76706;373813,0;452850,76706;560720,48724;589746,153601;697545,181841;668783,286787;747626,363682;668783,440576;697545,545522;589746,573762;560720,678639;452850,650657;373813,727363;294776,650657;186907,678639;157880,573762;50081,545522;78843,440576;0,363682" o:connectangles="0,0,0,0,0,0,0,0,0,0,0,0,0,0,0,0,0,0,0,0,0,0,0,0,0" textboxrect="0,0,747626,727363"/>
                          <v:textbox inset="0,0,0,0">
                            <w:txbxContent>
                              <w:p w14:paraId="7E7A77B0" w14:textId="77777777" w:rsidR="00474DFB" w:rsidRPr="00C568D9" w:rsidRDefault="00474DFB" w:rsidP="00840AAB">
                                <w:pPr>
                                  <w:jc w:val="center"/>
                                  <w:rPr>
                                    <w:rFonts w:asciiTheme="majorBidi" w:hAnsiTheme="majorBidi" w:cstheme="majorBidi"/>
                                    <w:sz w:val="28"/>
                                    <w:szCs w:val="28"/>
                                  </w:rPr>
                                </w:pPr>
                                <w:r w:rsidRPr="00C568D9">
                                  <w:rPr>
                                    <w:rFonts w:ascii="Times New Roman" w:eastAsia="Times New Roman" w:hAnsi="Times New Roman" w:cs="Times New Roman"/>
                                    <w:sz w:val="28"/>
                                    <w:szCs w:val="28"/>
                                    <w:lang w:val="sl-SI"/>
                                  </w:rPr>
                                  <w:t xml:space="preserve">Prvi klik </w:t>
                                </w:r>
                              </w:p>
                            </w:txbxContent>
                          </v:textbox>
                        </v:shape>
                        <v:shape id="12-Point Star 1040" o:spid="_x0000_s1301" style="position:absolute;left:415;top:28748;width:8313;height:7204;visibility:visible;mso-wrap-style:square;v-text-anchor:middle" coordsize="831272,72043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" adj="-11796480,,5400" path="m,360219l87311,283974,55685,180109,175285,151914,207818,48260,327662,75670,415636,r87974,75670l623454,48260r32533,103654l775587,180109,743961,283974r87311,76245l743961,436463r31626,103865l655987,568523,623454,672177,503610,644767r-87974,75670l327662,644767,207818,672177,175285,568523,55685,540328,87311,436463,,360219xe" fillcolor="black [3213]" strokecolor="black [3213]" strokeweight="2pt">
                          <v:stroke joinstyle="miter"/>
                          <v:formulas/>
                          <v:path arrowok="t" o:connecttype="custom" o:connectlocs="0,360219;87311,283974;55685,180109;175285,151914;207818,48260;327662,75670;415636,0;503610,75670;623454,48260;655987,151914;775587,180109;743961,283974;831272,360219;743961,436463;775587,540328;655987,568523;623454,672177;503610,644767;415636,720437;327662,644767;207818,672177;175285,568523;55685,540328;87311,436463;0,360219" o:connectangles="0,0,0,0,0,0,0,0,0,0,0,0,0,0,0,0,0,0,0,0,0,0,0,0,0" textboxrect="0,0,831272,720437"/>
                          <v:textbox inset="0,0,0,0">
                            <w:txbxContent>
                              <w:p w14:paraId="52CD7860" w14:textId="77777777" w:rsidR="00474DFB" w:rsidRDefault="00474DFB" w:rsidP="00840AAB">
                                <w:pPr>
                                  <w:jc w:val="center"/>
                                  <w:rPr>
                                    <w:rFonts w:asciiTheme="majorBidi" w:hAnsiTheme="majorBidi" w:cstheme="majorBidi"/>
                                    <w:sz w:val="28"/>
                                    <w:szCs w:val="28"/>
                                  </w:rPr>
                                </w:pPr>
                                <w:r>
                                  <w:rPr>
                                    <w:rFonts w:ascii="Times New Roman" w:eastAsia="Times New Roman" w:hAnsi="Times New Roman" w:cs="Times New Roman"/>
                                    <w:sz w:val="28"/>
                                    <w:szCs w:val="28"/>
                                    <w:lang w:val="sl-SI"/>
                                  </w:rPr>
                                  <w:t xml:space="preserve">Drugi klik </w:t>
                                </w:r>
                              </w:p>
                            </w:txbxContent>
                          </v:textbox>
                        </v:shape>
                      </v:group>
                      <v:shape id="Text Box 3869" o:spid="_x0000_s1302" type="#_x0000_t202" style="position:absolute;top:40801;width:20529;height:6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" fillcolor="black [3213]" stroked="f" strokeweight=".5pt">
                        <v:textbox inset="0,0,0,0">
                          <w:txbxContent>
                            <w:p w14:paraId="3BDD6248" w14:textId="77777777" w:rsidR="00474DFB" w:rsidRDefault="00474DFB" w:rsidP="00840AAB">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sl-SI"/>
                                </w:rPr>
                                <w:t>Nato počasi štejte do 5.</w:t>
                              </w:r>
                            </w:p>
                          </w:txbxContent>
                        </v:textbox>
                      </v:shape>
                      <w10:wrap type="square"/>
                    </v:group>
                  </w:pict>
                </mc:Fallback>
              </mc:AlternateContent>
            </w:r>
          </w:p>
          <w:p w14:paraId="5BA2C95A" w14:textId="77777777" w:rsidR="00840AAB" w:rsidRDefault="00840AAB" w:rsidP="00646E14">
            <w:pPr>
              <w:pStyle w:val="a3"/>
              <w:rPr>
                <w:lang w:val="sl-SI"/>
              </w:rPr>
            </w:pPr>
          </w:p>
          <w:p w14:paraId="0F13759D" w14:textId="77777777" w:rsidR="00840AAB" w:rsidRDefault="00840AAB" w:rsidP="00646E14">
            <w:pPr>
              <w:pStyle w:val="Default"/>
              <w:rPr>
                <w:lang w:val="sl-SI"/>
              </w:rPr>
            </w:pPr>
          </w:p>
          <w:p w14:paraId="7893C9D2" w14:textId="77777777" w:rsidR="00840AAB" w:rsidRDefault="00840AAB" w:rsidP="00646E14">
            <w:pPr>
              <w:pStyle w:val="Default"/>
              <w:rPr>
                <w:lang w:val="sl-SI"/>
              </w:rPr>
            </w:pPr>
            <w:r>
              <w:rPr>
                <w:lang w:val="sl-SI"/>
              </w:rPr>
              <w:t xml:space="preserve"> </w:t>
            </w:r>
          </w:p>
          <w:p w14:paraId="58B2698F" w14:textId="77777777" w:rsidR="00840AAB" w:rsidRDefault="00840AAB" w:rsidP="0030421B">
            <w:pPr>
              <w:pStyle w:val="a3"/>
              <w:numPr>
                <w:ilvl w:val="0"/>
                <w:numId w:val="134"/>
              </w:numPr>
              <w:rPr>
                <w:b/>
                <w:lang w:val="sl-SI"/>
              </w:rPr>
            </w:pPr>
            <w:r>
              <w:rPr>
                <w:rFonts w:eastAsia="Times New Roman"/>
                <w:b/>
                <w:bCs/>
                <w:lang w:val="sl-SI"/>
              </w:rPr>
              <w:t>Dajte si injekcijo</w:t>
            </w:r>
          </w:p>
          <w:p w14:paraId="4F887EEC" w14:textId="77777777" w:rsidR="00840AAB" w:rsidRDefault="00840AAB" w:rsidP="00646E14">
            <w:pPr>
              <w:pStyle w:val="a3"/>
              <w:rPr>
                <w:lang w:val="sl-SI"/>
              </w:rPr>
            </w:pPr>
          </w:p>
          <w:p w14:paraId="4279F3C2" w14:textId="77777777" w:rsidR="00840AAB" w:rsidRDefault="00840AAB" w:rsidP="00646E14">
            <w:pPr>
              <w:pStyle w:val="a3"/>
              <w:ind w:left="4027" w:hanging="180"/>
              <w:rPr>
                <w:lang w:val="sl-SI"/>
              </w:rPr>
            </w:pPr>
            <w:r>
              <w:rPr>
                <w:rFonts w:eastAsia="Times New Roman"/>
                <w:b/>
                <w:bCs/>
                <w:lang w:val="sl-SI"/>
              </w:rPr>
              <w:t>a.</w:t>
            </w:r>
            <w:r>
              <w:rPr>
                <w:rFonts w:eastAsia="Times New Roman"/>
                <w:lang w:val="sl-SI"/>
              </w:rPr>
              <w:t xml:space="preserve"> Napolnjen injekcijski peresnik </w:t>
            </w:r>
            <w:r>
              <w:rPr>
                <w:rFonts w:eastAsia="Times New Roman"/>
                <w:b/>
                <w:bCs/>
                <w:lang w:val="sl-SI"/>
              </w:rPr>
              <w:t>močno</w:t>
            </w:r>
            <w:r>
              <w:rPr>
                <w:rFonts w:eastAsia="Times New Roman"/>
                <w:lang w:val="sl-SI"/>
              </w:rPr>
              <w:t xml:space="preserve"> pritisnite ob kožo. Ko se začne injiciranje, boste zaslišali prvi glasen "klik" in modri bat bo začel polniti okence.</w:t>
            </w:r>
          </w:p>
          <w:p w14:paraId="5B893304" w14:textId="77777777" w:rsidR="00840AAB" w:rsidRDefault="00840AAB" w:rsidP="00646E14">
            <w:pPr>
              <w:pStyle w:val="a3"/>
              <w:rPr>
                <w:lang w:val="sl-SI"/>
              </w:rPr>
            </w:pPr>
            <w:r>
              <w:rPr>
                <w:lang w:val="sl-SI"/>
              </w:rPr>
              <w:t xml:space="preserve"> </w:t>
            </w:r>
          </w:p>
          <w:p w14:paraId="3976FC9E" w14:textId="77777777" w:rsidR="00840AAB" w:rsidRDefault="00840AAB" w:rsidP="00646E14">
            <w:pPr>
              <w:pStyle w:val="a3"/>
              <w:ind w:left="4027" w:hanging="180"/>
              <w:rPr>
                <w:lang w:val="sl-SI"/>
              </w:rPr>
            </w:pPr>
            <w:r>
              <w:rPr>
                <w:rFonts w:eastAsia="Times New Roman"/>
                <w:b/>
                <w:bCs/>
                <w:lang w:val="sl-SI"/>
              </w:rPr>
              <w:t>b.</w:t>
            </w:r>
            <w:r>
              <w:rPr>
                <w:rFonts w:eastAsia="Times New Roman"/>
                <w:lang w:val="sl-SI"/>
              </w:rPr>
              <w:t xml:space="preserve"> Napolnjen injekcijski peresnik čvrsto pritiskajte ob kožo in slišali boste drugi glasen „klik“. </w:t>
            </w:r>
          </w:p>
          <w:p w14:paraId="24C5FCE9" w14:textId="77777777" w:rsidR="00840AAB" w:rsidRDefault="00840AAB" w:rsidP="00646E14">
            <w:pPr>
              <w:pStyle w:val="a3"/>
              <w:numPr>
                <w:ilvl w:val="0"/>
                <w:numId w:val="0"/>
              </w:numPr>
              <w:rPr>
                <w:lang w:val="sl-SI"/>
              </w:rPr>
            </w:pPr>
          </w:p>
          <w:p w14:paraId="5A84435F" w14:textId="77777777" w:rsidR="00840AAB" w:rsidRDefault="00840AAB" w:rsidP="00646E14">
            <w:pPr>
              <w:pStyle w:val="a3"/>
              <w:ind w:left="4027" w:hanging="180"/>
              <w:rPr>
                <w:lang w:val="sl-SI"/>
              </w:rPr>
            </w:pPr>
            <w:r>
              <w:rPr>
                <w:rFonts w:eastAsia="Times New Roman"/>
                <w:b/>
                <w:bCs/>
                <w:lang w:val="sl-SI"/>
              </w:rPr>
              <w:t>c.</w:t>
            </w:r>
            <w:r>
              <w:rPr>
                <w:rFonts w:eastAsia="Times New Roman"/>
                <w:lang w:val="sl-SI"/>
              </w:rPr>
              <w:t xml:space="preserve"> Ko zaslišite drugi glasen klik, nadaljujte s pritiskanjem napolnjenega injekcijskega peresnika čvrsto ob kožo in počasi štejte do 5, da se prepričate, da ste injicirali celoten odmerek.</w:t>
            </w:r>
            <w:r>
              <w:rPr>
                <w:rFonts w:eastAsia="Times New Roman"/>
                <w:color w:val="211D1E"/>
                <w:sz w:val="20"/>
                <w:szCs w:val="20"/>
                <w:lang w:val="sl-SI"/>
              </w:rPr>
              <w:t xml:space="preserve"> </w:t>
            </w:r>
          </w:p>
          <w:p w14:paraId="1F196D5A" w14:textId="77777777" w:rsidR="00840AAB" w:rsidRDefault="00840AAB" w:rsidP="00646E14">
            <w:pPr>
              <w:pStyle w:val="a3"/>
              <w:rPr>
                <w:color w:val="211D1E"/>
                <w:sz w:val="20"/>
                <w:szCs w:val="20"/>
                <w:lang w:val="sl-SI"/>
              </w:rPr>
            </w:pPr>
          </w:p>
          <w:p w14:paraId="2D84E75E" w14:textId="77777777" w:rsidR="00840AAB" w:rsidRDefault="00840AAB" w:rsidP="00646E14">
            <w:pPr>
              <w:pStyle w:val="a3"/>
              <w:rPr>
                <w:color w:val="211D1E"/>
                <w:sz w:val="20"/>
                <w:szCs w:val="20"/>
                <w:lang w:val="sl-SI"/>
              </w:rPr>
            </w:pPr>
          </w:p>
          <w:p w14:paraId="5EACDA89" w14:textId="77777777" w:rsidR="00840AAB" w:rsidRDefault="00840AAB" w:rsidP="00646E14">
            <w:pPr>
              <w:pStyle w:val="a3"/>
              <w:numPr>
                <w:ilvl w:val="0"/>
                <w:numId w:val="20"/>
              </w:numPr>
              <w:rPr>
                <w:color w:val="211D1E"/>
                <w:sz w:val="20"/>
                <w:szCs w:val="20"/>
                <w:lang w:val="sl-SI"/>
              </w:rPr>
            </w:pPr>
            <w:r>
              <w:rPr>
                <w:rFonts w:eastAsia="Times New Roman"/>
                <w:lang w:val="sl-SI"/>
              </w:rPr>
              <w:t xml:space="preserve">Po začetku injiciranja </w:t>
            </w:r>
            <w:r>
              <w:rPr>
                <w:rFonts w:eastAsia="Times New Roman"/>
                <w:b/>
                <w:bCs/>
                <w:lang w:val="sl-SI"/>
              </w:rPr>
              <w:t>ne</w:t>
            </w:r>
            <w:r>
              <w:rPr>
                <w:rFonts w:eastAsia="Times New Roman"/>
                <w:lang w:val="sl-SI"/>
              </w:rPr>
              <w:t xml:space="preserve"> spreminjajte položaja napolnjenega injekcijskega peresnika.</w:t>
            </w:r>
          </w:p>
          <w:p w14:paraId="2848AE5C" w14:textId="77777777" w:rsidR="00840AAB" w:rsidRDefault="00840AAB" w:rsidP="00646E14">
            <w:pPr>
              <w:pStyle w:val="a3"/>
              <w:rPr>
                <w:color w:val="211D1E"/>
                <w:sz w:val="20"/>
                <w:szCs w:val="20"/>
                <w:lang w:val="sl-SI"/>
              </w:rPr>
            </w:pPr>
          </w:p>
        </w:tc>
      </w:tr>
      <w:tr w:rsidR="00840AAB" w14:paraId="40297A6D" w14:textId="77777777" w:rsidTr="00646E14">
        <w:trPr>
          <w:trHeight w:val="6463"/>
        </w:trPr>
        <w:tc>
          <w:tcPr>
            <w:tcW w:w="9581" w:type="dxa"/>
          </w:tcPr>
          <w:p w14:paraId="01604954" w14:textId="77777777" w:rsidR="00840AAB" w:rsidRDefault="00840AAB" w:rsidP="00646E14">
            <w:pPr>
              <w:ind w:left="104"/>
              <w:rPr>
                <w:rFonts w:ascii="Times New Roman" w:eastAsia="Times New Roman" w:hAnsi="Times New Roman" w:cs="Times New Roman"/>
                <w:b/>
                <w:bCs/>
                <w:spacing w:val="-1"/>
                <w:lang w:val="sl-SI"/>
              </w:rPr>
            </w:pPr>
          </w:p>
          <w:p w14:paraId="65E9D608" w14:textId="77777777" w:rsidR="00840AAB" w:rsidRDefault="00840AAB" w:rsidP="00646E14">
            <w:pPr>
              <w:ind w:left="104"/>
              <w:rPr>
                <w:rFonts w:ascii="Times New Roman" w:eastAsia="Times New Roman" w:hAnsi="Times New Roman" w:cs="Times New Roman"/>
                <w:lang w:val="sl-SI"/>
              </w:rPr>
            </w:pPr>
          </w:p>
          <w:p w14:paraId="56C4EBCA" w14:textId="77777777" w:rsidR="00840AAB" w:rsidRDefault="00840AAB" w:rsidP="00646E14">
            <w:pPr>
              <w:pStyle w:val="a3"/>
              <w:rPr>
                <w:lang w:val="sl-SI"/>
              </w:rPr>
            </w:pPr>
            <w:r>
              <w:rPr>
                <w:noProof/>
                <w:lang w:eastAsia="ko-KR"/>
              </w:rPr>
              <mc:AlternateContent>
                <mc:Choice Requires="wpg">
                  <w:drawing>
                    <wp:anchor distT="0" distB="0" distL="114300" distR="114300" simplePos="0" relativeHeight="251658298" behindDoc="0" locked="0" layoutInCell="1" allowOverlap="1" wp14:anchorId="5B42F48A" wp14:editId="1CDFD3CD">
                      <wp:simplePos x="0" y="0"/>
                      <wp:positionH relativeFrom="column">
                        <wp:posOffset>23495</wp:posOffset>
                      </wp:positionH>
                      <wp:positionV relativeFrom="paragraph">
                        <wp:posOffset>59690</wp:posOffset>
                      </wp:positionV>
                      <wp:extent cx="1905000" cy="2247900"/>
                      <wp:effectExtent l="19050" t="0" r="19050" b="0"/>
                      <wp:wrapSquare wrapText="bothSides"/>
                      <wp:docPr id="3870" name="그룹 3870"/>
                      <wp:cNvGraphicFramePr/>
                      <a:graphic xmlns:a="http://schemas.openxmlformats.org/drawingml/2006/main">
                        <a:graphicData uri="http://schemas.microsoft.com/office/word/2010/wordprocessingGroup">
                          <wpg:wgp>
                            <wpg:cNvGrpSpPr/>
                            <wpg:grpSpPr>
                              <a:xfrm>
                                <a:off x="0" y="0"/>
                                <a:ext cx="1905000" cy="2223109"/>
                                <a:chOff x="0" y="24791"/>
                                <a:chExt cx="1905000" cy="2223109"/>
                              </a:xfrm>
                            </wpg:grpSpPr>
                            <pic:pic xmlns:pic="http://schemas.openxmlformats.org/drawingml/2006/picture">
                              <pic:nvPicPr>
                                <pic:cNvPr id="3871" name="그림 3871"/>
                                <pic:cNvPicPr>
                                  <a:picLocks noChangeAspect="1"/>
                                </pic:cNvPicPr>
                              </pic:nvPicPr>
                              <pic:blipFill>
                                <a:blip r:embed="rId153" cstate="print">
                                  <a:extLst>
                                    <a:ext uri="{28A0092B-C50C-407E-A947-70E740481C1C}">
                                      <a14:useLocalDpi xmlns:a14="http://schemas.microsoft.com/office/drawing/2010/main" val="0"/>
                                    </a:ext>
                                  </a:extLst>
                                </a:blip>
                                <a:srcRect/>
                                <a:stretch/>
                              </pic:blipFill>
                              <pic:spPr bwMode="auto">
                                <a:xfrm>
                                  <a:off x="0" y="24791"/>
                                  <a:ext cx="1905000" cy="2042742"/>
                                </a:xfrm>
                                <a:prstGeom prst="rect">
                                  <a:avLst/>
                                </a:prstGeom>
                                <a:noFill/>
                                <a:ln>
                                  <a:solidFill>
                                    <a:schemeClr val="tx1"/>
                                  </a:solidFill>
                                </a:ln>
                              </pic:spPr>
                            </pic:pic>
                            <wps:wsp>
                              <wps:cNvPr id="3873" name="Text Box 3873"/>
                              <wps:cNvSpPr txBox="1"/>
                              <wps:spPr>
                                <a:xfrm>
                                  <a:off x="1333500" y="2108200"/>
                                  <a:ext cx="571500" cy="139700"/>
                                </a:xfrm>
                                <a:prstGeom prst="rect">
                                  <a:avLst/>
                                </a:prstGeom>
                                <a:solidFill>
                                  <a:prstClr val="white"/>
                                </a:solidFill>
                                <a:ln>
                                  <a:noFill/>
                                </a:ln>
                              </wps:spPr>
                              <wps:txbx>
                                <w:txbxContent>
                                  <w:p w14:paraId="05B40AFA" w14:textId="77777777" w:rsidR="00474DFB" w:rsidRDefault="00474DFB" w:rsidP="00840AAB">
                                    <w:pPr>
                                      <w:pStyle w:val="af0"/>
                                      <w:jc w:val="right"/>
                                      <w:rPr>
                                        <w:noProof/>
                                      </w:rPr>
                                    </w:pPr>
                                    <w:r>
                                      <w:rPr>
                                        <w:rFonts w:ascii="Times New Roman" w:eastAsia="Times New Roman" w:hAnsi="Times New Roman" w:cs="Times New Roman"/>
                                        <w:lang w:val="sl-SI"/>
                                      </w:rPr>
                                      <w:t>Slika </w:t>
                                    </w:r>
                                    <w:r>
                                      <w:rPr>
                                        <w:rFonts w:ascii="Times New Roman" w:hAnsi="Times New Roman" w:cs="Times New Roman"/>
                                      </w:rPr>
                                      <w:t>K</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5B42F48A" id="그룹 3870" o:spid="_x0000_s1303" style="position:absolute;margin-left:1.85pt;margin-top:4.7pt;width:150pt;height:177pt;z-index:251658298" coordorigin=",247" coordsize="19050,22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">
                      <v:shape id="그림 3871" o:spid="_x0000_s1304" type="#_x0000_t75" style="position:absolute;top:247;width:19050;height:20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" stroked="t" strokecolor="black [3213]">
                        <v:imagedata r:id="rId154" o:title=""/>
                        <v:path arrowok="t"/>
                      </v:shape>
                      <v:shape id="Text Box 3873" o:spid="_x0000_s1305" type="#_x0000_t202" style="position:absolute;left:13335;top:21082;width:571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" stroked="f">
                        <v:textbox inset="0,0,0,0">
                          <w:txbxContent>
                            <w:p w14:paraId="05B40AFA" w14:textId="77777777" w:rsidR="00474DFB" w:rsidRDefault="00474DFB" w:rsidP="00840AAB">
                              <w:pPr>
                                <w:pStyle w:val="af0"/>
                                <w:jc w:val="right"/>
                                <w:rPr>
                                  <w:noProof/>
                                </w:rPr>
                              </w:pPr>
                              <w:r>
                                <w:rPr>
                                  <w:rFonts w:ascii="Times New Roman" w:eastAsia="Times New Roman" w:hAnsi="Times New Roman" w:cs="Times New Roman"/>
                                  <w:lang w:val="sl-SI"/>
                                </w:rPr>
                                <w:t>Slika </w:t>
                              </w:r>
                              <w:r>
                                <w:rPr>
                                  <w:rFonts w:ascii="Times New Roman" w:hAnsi="Times New Roman" w:cs="Times New Roman"/>
                                </w:rPr>
                                <w:t>K</w:t>
                              </w:r>
                            </w:p>
                          </w:txbxContent>
                        </v:textbox>
                      </v:shape>
                      <w10:wrap type="square"/>
                    </v:group>
                  </w:pict>
                </mc:Fallback>
              </mc:AlternateContent>
            </w:r>
          </w:p>
          <w:p w14:paraId="5B96857D" w14:textId="77777777" w:rsidR="00840AAB" w:rsidRDefault="00840AAB" w:rsidP="0030421B">
            <w:pPr>
              <w:pStyle w:val="a3"/>
              <w:numPr>
                <w:ilvl w:val="0"/>
                <w:numId w:val="134"/>
              </w:numPr>
              <w:rPr>
                <w:b/>
                <w:lang w:val="sl-SI"/>
              </w:rPr>
            </w:pPr>
            <w:r>
              <w:rPr>
                <w:rFonts w:eastAsia="Times New Roman"/>
                <w:b/>
                <w:bCs/>
                <w:lang w:val="sl-SI"/>
              </w:rPr>
              <w:t>Napolnjen injekcijski peresnik odstranite iz mesta injiciranja in poskrbite za mesto injiciranja</w:t>
            </w:r>
            <w:r>
              <w:rPr>
                <w:rFonts w:eastAsia="Times New Roman"/>
                <w:lang w:val="sl-SI"/>
              </w:rPr>
              <w:t xml:space="preserve"> </w:t>
            </w:r>
          </w:p>
          <w:p w14:paraId="388BF5D6" w14:textId="77777777" w:rsidR="00840AAB" w:rsidRDefault="00840AAB" w:rsidP="00646E14">
            <w:pPr>
              <w:pStyle w:val="a3"/>
              <w:numPr>
                <w:ilvl w:val="0"/>
                <w:numId w:val="0"/>
              </w:numPr>
              <w:ind w:left="471"/>
              <w:rPr>
                <w:b/>
                <w:lang w:val="sl-SI"/>
              </w:rPr>
            </w:pPr>
          </w:p>
          <w:p w14:paraId="6C62DC05" w14:textId="77777777" w:rsidR="00840AAB" w:rsidRDefault="00840AAB" w:rsidP="00646E14">
            <w:pPr>
              <w:pStyle w:val="a3"/>
              <w:ind w:left="3667" w:hanging="180"/>
              <w:rPr>
                <w:lang w:val="sl-SI"/>
              </w:rPr>
            </w:pPr>
            <w:r>
              <w:rPr>
                <w:rFonts w:eastAsia="Times New Roman"/>
                <w:b/>
                <w:bCs/>
                <w:lang w:val="sl-SI"/>
              </w:rPr>
              <w:t>a.</w:t>
            </w:r>
            <w:r>
              <w:rPr>
                <w:rFonts w:eastAsia="Times New Roman"/>
                <w:lang w:val="sl-SI"/>
              </w:rPr>
              <w:t xml:space="preserve"> Poglejte napolnjen injekcijski peresnik in se prepričajte, da je modri bat s sivim vrhom do konca napolnil okno.</w:t>
            </w:r>
          </w:p>
          <w:p w14:paraId="279F9E62" w14:textId="77777777" w:rsidR="00840AAB" w:rsidRDefault="00840AAB" w:rsidP="00646E14">
            <w:pPr>
              <w:pStyle w:val="a3"/>
              <w:ind w:left="3667" w:hanging="180"/>
              <w:rPr>
                <w:lang w:val="sl-SI"/>
              </w:rPr>
            </w:pPr>
            <w:r>
              <w:rPr>
                <w:rFonts w:eastAsia="Times New Roman"/>
                <w:b/>
                <w:bCs/>
                <w:lang w:val="sl-SI"/>
              </w:rPr>
              <w:t>b.</w:t>
            </w:r>
            <w:r>
              <w:rPr>
                <w:rFonts w:eastAsia="Times New Roman"/>
                <w:lang w:val="sl-SI"/>
              </w:rPr>
              <w:t xml:space="preserve"> Napolnjen injekcijski peresnik odstranite iz kože.</w:t>
            </w:r>
          </w:p>
          <w:p w14:paraId="318BE51A" w14:textId="77777777" w:rsidR="00840AAB" w:rsidRDefault="00840AAB" w:rsidP="00646E14">
            <w:pPr>
              <w:pStyle w:val="a3"/>
              <w:rPr>
                <w:lang w:val="sl-SI"/>
              </w:rPr>
            </w:pPr>
          </w:p>
          <w:p w14:paraId="5EE0E591" w14:textId="77777777" w:rsidR="00840AAB" w:rsidRDefault="00840AAB" w:rsidP="00646E14">
            <w:pPr>
              <w:pStyle w:val="a3"/>
              <w:numPr>
                <w:ilvl w:val="0"/>
                <w:numId w:val="0"/>
              </w:numPr>
              <w:tabs>
                <w:tab w:val="left" w:pos="3153"/>
                <w:tab w:val="left" w:pos="3294"/>
              </w:tabs>
              <w:rPr>
                <w:lang w:val="sl-SI"/>
              </w:rPr>
            </w:pPr>
            <w:r>
              <w:rPr>
                <w:rFonts w:eastAsia="맑은 고딕"/>
                <w:lang w:val="sl-SI"/>
              </w:rPr>
              <w:t>•</w:t>
            </w:r>
            <w:r>
              <w:rPr>
                <w:rFonts w:eastAsia="Times New Roman"/>
                <w:lang w:val="sl-SI"/>
              </w:rPr>
              <w:t xml:space="preserve"> Ko napolnjen injekcijski peresnik</w:t>
            </w:r>
            <w:r>
              <w:rPr>
                <w:rFonts w:eastAsia="맑은 고딕"/>
                <w:lang w:val="sl-SI"/>
              </w:rPr>
              <w:t xml:space="preserve"> </w:t>
            </w:r>
            <w:r>
              <w:rPr>
                <w:rFonts w:eastAsia="Times New Roman"/>
                <w:lang w:val="sl-SI"/>
              </w:rPr>
              <w:t>odstranite iz mesta injiciranja, se igla samodejno prekrije.</w:t>
            </w:r>
            <w:r>
              <w:rPr>
                <w:rFonts w:eastAsia="Times New Roman"/>
                <w:b/>
                <w:bCs/>
                <w:lang w:val="sl-SI"/>
              </w:rPr>
              <w:t xml:space="preserve"> </w:t>
            </w:r>
            <w:r>
              <w:rPr>
                <w:rFonts w:eastAsia="Times New Roman"/>
                <w:bCs/>
                <w:lang w:val="sl-SI"/>
              </w:rPr>
              <w:t>Pokrovčka</w:t>
            </w:r>
            <w:r>
              <w:rPr>
                <w:rFonts w:eastAsia="Times New Roman"/>
                <w:b/>
                <w:bCs/>
                <w:lang w:val="sl-SI"/>
              </w:rPr>
              <w:t xml:space="preserve"> ne</w:t>
            </w:r>
            <w:r>
              <w:rPr>
                <w:rFonts w:eastAsia="Times New Roman"/>
                <w:lang w:val="sl-SI"/>
              </w:rPr>
              <w:t xml:space="preserve"> nameščajte nazaj na peresnik</w:t>
            </w:r>
            <w:r>
              <w:rPr>
                <w:rFonts w:eastAsia="맑은 고딕"/>
                <w:lang w:val="sl-SI"/>
              </w:rPr>
              <w:t xml:space="preserve"> </w:t>
            </w:r>
            <w:r>
              <w:rPr>
                <w:rFonts w:eastAsia="Times New Roman"/>
                <w:lang w:val="sl-SI"/>
              </w:rPr>
              <w:t>.</w:t>
            </w:r>
          </w:p>
          <w:p w14:paraId="74D3E4AF" w14:textId="77777777" w:rsidR="00840AAB" w:rsidRDefault="00840AAB" w:rsidP="00646E14">
            <w:pPr>
              <w:pStyle w:val="a3"/>
              <w:rPr>
                <w:lang w:val="sl-SI"/>
              </w:rPr>
            </w:pPr>
          </w:p>
          <w:p w14:paraId="7FF8F4D2" w14:textId="77777777" w:rsidR="00840AAB" w:rsidRDefault="00840AAB" w:rsidP="00646E14">
            <w:pPr>
              <w:pStyle w:val="a3"/>
              <w:rPr>
                <w:lang w:val="sl-SI"/>
              </w:rPr>
            </w:pPr>
            <w:r>
              <w:rPr>
                <w:rFonts w:eastAsia="맑은 고딕"/>
                <w:lang w:val="sl-SI"/>
              </w:rPr>
              <w:t>•</w:t>
            </w:r>
            <w:r>
              <w:rPr>
                <w:rFonts w:eastAsia="Times New Roman"/>
                <w:lang w:val="sl-SI"/>
              </w:rPr>
              <w:t xml:space="preserve"> Če se okence še ni obarvalo popolnoma modro ali se zdravilo še vedno injicira, to pomeni, da niste prejeli celotnega odmerka. Takoj pokličite zdravstvenega delavca.</w:t>
            </w:r>
          </w:p>
          <w:p w14:paraId="0CD5282F" w14:textId="77777777" w:rsidR="00840AAB" w:rsidRDefault="00840AAB" w:rsidP="00646E14">
            <w:pPr>
              <w:pStyle w:val="a3"/>
              <w:rPr>
                <w:lang w:val="sl-SI"/>
              </w:rPr>
            </w:pPr>
            <w:r>
              <w:rPr>
                <w:noProof/>
                <w:lang w:eastAsia="ko-KR"/>
              </w:rPr>
              <mc:AlternateContent>
                <mc:Choice Requires="wpg">
                  <w:drawing>
                    <wp:anchor distT="0" distB="0" distL="114300" distR="114300" simplePos="0" relativeHeight="251658324" behindDoc="0" locked="0" layoutInCell="1" allowOverlap="1" wp14:anchorId="12731D62" wp14:editId="45ACEB4F">
                      <wp:simplePos x="0" y="0"/>
                      <wp:positionH relativeFrom="column">
                        <wp:posOffset>44450</wp:posOffset>
                      </wp:positionH>
                      <wp:positionV relativeFrom="paragraph">
                        <wp:posOffset>4445</wp:posOffset>
                      </wp:positionV>
                      <wp:extent cx="1889760" cy="1805940"/>
                      <wp:effectExtent l="19050" t="0" r="15240" b="3810"/>
                      <wp:wrapSquare wrapText="bothSides"/>
                      <wp:docPr id="3874" name="그룹 3874"/>
                      <wp:cNvGraphicFramePr/>
                      <a:graphic xmlns:a="http://schemas.openxmlformats.org/drawingml/2006/main">
                        <a:graphicData uri="http://schemas.microsoft.com/office/word/2010/wordprocessingGroup">
                          <wpg:wgp>
                            <wpg:cNvGrpSpPr/>
                            <wpg:grpSpPr>
                              <a:xfrm>
                                <a:off x="0" y="0"/>
                                <a:ext cx="1889760" cy="1786345"/>
                                <a:chOff x="0" y="19595"/>
                                <a:chExt cx="1889760" cy="1786345"/>
                              </a:xfrm>
                            </wpg:grpSpPr>
                            <wpg:grpSp>
                              <wpg:cNvPr id="3875" name="그룹 3875"/>
                              <wpg:cNvGrpSpPr/>
                              <wpg:grpSpPr>
                                <a:xfrm>
                                  <a:off x="0" y="19595"/>
                                  <a:ext cx="1889760" cy="1786345"/>
                                  <a:chOff x="8890" y="19595"/>
                                  <a:chExt cx="1889760" cy="1786345"/>
                                </a:xfrm>
                              </wpg:grpSpPr>
                              <pic:pic xmlns:pic="http://schemas.openxmlformats.org/drawingml/2006/picture">
                                <pic:nvPicPr>
                                  <pic:cNvPr id="3876" name="그림 3876"/>
                                  <pic:cNvPicPr>
                                    <a:picLocks noChangeAspect="1"/>
                                  </pic:cNvPicPr>
                                </pic:nvPicPr>
                                <pic:blipFill>
                                  <a:blip r:embed="rId155" cstate="print">
                                    <a:extLst>
                                      <a:ext uri="{28A0092B-C50C-407E-A947-70E740481C1C}">
                                        <a14:useLocalDpi xmlns:a14="http://schemas.microsoft.com/office/drawing/2010/main" val="0"/>
                                      </a:ext>
                                    </a:extLst>
                                  </a:blip>
                                  <a:srcRect/>
                                  <a:stretch/>
                                </pic:blipFill>
                                <pic:spPr bwMode="auto">
                                  <a:xfrm>
                                    <a:off x="8890" y="19595"/>
                                    <a:ext cx="1889760" cy="1511480"/>
                                  </a:xfrm>
                                  <a:prstGeom prst="rect">
                                    <a:avLst/>
                                  </a:prstGeom>
                                  <a:noFill/>
                                  <a:ln>
                                    <a:solidFill>
                                      <a:schemeClr val="tx1"/>
                                    </a:solidFill>
                                  </a:ln>
                                </pic:spPr>
                              </pic:pic>
                              <wps:wsp>
                                <wps:cNvPr id="3877" name="Text Box 3877"/>
                                <wps:cNvSpPr txBox="1"/>
                                <wps:spPr>
                                  <a:xfrm>
                                    <a:off x="1352550" y="1574800"/>
                                    <a:ext cx="546100" cy="231140"/>
                                  </a:xfrm>
                                  <a:prstGeom prst="rect">
                                    <a:avLst/>
                                  </a:prstGeom>
                                  <a:solidFill>
                                    <a:prstClr val="white"/>
                                  </a:solidFill>
                                  <a:ln>
                                    <a:noFill/>
                                  </a:ln>
                                </wps:spPr>
                                <wps:txbx>
                                  <w:txbxContent>
                                    <w:p w14:paraId="48B60384" w14:textId="77777777" w:rsidR="00474DFB" w:rsidRDefault="00474DFB" w:rsidP="00840AAB">
                                      <w:pPr>
                                        <w:pStyle w:val="af0"/>
                                        <w:jc w:val="right"/>
                                        <w:rPr>
                                          <w:noProof/>
                                        </w:rPr>
                                      </w:pPr>
                                      <w:r>
                                        <w:rPr>
                                          <w:rFonts w:ascii="Times New Roman" w:eastAsia="Times New Roman" w:hAnsi="Times New Roman" w:cs="Times New Roman"/>
                                          <w:lang w:val="sl-SI"/>
                                        </w:rPr>
                                        <w:t>Slika </w:t>
                                      </w:r>
                                      <w:r>
                                        <w:rPr>
                                          <w:rFonts w:ascii="Times New Roman" w:hAnsi="Times New Roman" w:cs="Times New Roman"/>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grpSp>
                            <wps:wsp>
                              <wps:cNvPr id="3878" name="Text Box 3878"/>
                              <wps:cNvSpPr txBox="1"/>
                              <wps:spPr>
                                <a:xfrm>
                                  <a:off x="1059873" y="734291"/>
                                  <a:ext cx="789709" cy="74814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D16C80" w14:textId="77777777" w:rsidR="00474DFB" w:rsidRDefault="00474DFB" w:rsidP="00840AAB">
                                    <w:pPr>
                                      <w:rPr>
                                        <w:rFonts w:asciiTheme="majorBidi" w:hAnsiTheme="majorBidi" w:cstheme="majorBidi"/>
                                        <w:b/>
                                        <w:bCs/>
                                        <w:sz w:val="28"/>
                                        <w:szCs w:val="28"/>
                                      </w:rPr>
                                    </w:pPr>
                                    <w:r>
                                      <w:rPr>
                                        <w:rFonts w:ascii="Times New Roman" w:eastAsia="Times New Roman" w:hAnsi="Times New Roman" w:cs="Times New Roman"/>
                                        <w:b/>
                                        <w:bCs/>
                                        <w:sz w:val="28"/>
                                        <w:szCs w:val="28"/>
                                        <w:lang w:val="sl-SI"/>
                                      </w:rPr>
                                      <w:t xml:space="preserve">Pokrov igle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2731D62" id="그룹 3874" o:spid="_x0000_s1306" style="position:absolute;margin-left:3.5pt;margin-top:.35pt;width:148.8pt;height:142.2pt;z-index:251658324" coordorigin=",195" coordsize="18897,17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">
                      <v:group id="그룹 3875" o:spid="_x0000_s1307" style="position:absolute;top:195;width:18897;height:17864" coordorigin="88,195" coordsize="18897,17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">
                        <v:shape id="그림 3876" o:spid="_x0000_s1308" type="#_x0000_t75" style="position:absolute;left:88;top:195;width:18898;height:15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" stroked="t" strokecolor="black [3213]">
                          <v:imagedata r:id="rId156" o:title=""/>
                          <v:path arrowok="t"/>
                        </v:shape>
                        <v:shape id="Text Box 3877" o:spid="_x0000_s1309" type="#_x0000_t202" style="position:absolute;left:13525;top:15748;width:5461;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" stroked="f">
                          <v:textbox inset="0,0,0,0">
                            <w:txbxContent>
                              <w:p w14:paraId="48B60384" w14:textId="77777777" w:rsidR="00474DFB" w:rsidRDefault="00474DFB" w:rsidP="00840AAB">
                                <w:pPr>
                                  <w:pStyle w:val="af0"/>
                                  <w:jc w:val="right"/>
                                  <w:rPr>
                                    <w:noProof/>
                                  </w:rPr>
                                </w:pPr>
                                <w:r>
                                  <w:rPr>
                                    <w:rFonts w:ascii="Times New Roman" w:eastAsia="Times New Roman" w:hAnsi="Times New Roman" w:cs="Times New Roman"/>
                                    <w:lang w:val="sl-SI"/>
                                  </w:rPr>
                                  <w:t>Slika </w:t>
                                </w:r>
                                <w:r>
                                  <w:rPr>
                                    <w:rFonts w:ascii="Times New Roman" w:hAnsi="Times New Roman" w:cs="Times New Roman"/>
                                  </w:rPr>
                                  <w:t>L</w:t>
                                </w:r>
                              </w:p>
                            </w:txbxContent>
                          </v:textbox>
                        </v:shape>
                      </v:group>
                      <v:shape id="Text Box 3878" o:spid="_x0000_s1310" type="#_x0000_t202" style="position:absolute;left:10598;top:7342;width:7897;height:74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" fillcolor="white [3212]" stroked="f" strokeweight=".5pt">
                        <v:textbox inset="0,0,0,0">
                          <w:txbxContent>
                            <w:p w14:paraId="02D16C80" w14:textId="77777777" w:rsidR="00474DFB" w:rsidRDefault="00474DFB" w:rsidP="00840AAB">
                              <w:pPr>
                                <w:rPr>
                                  <w:rFonts w:asciiTheme="majorBidi" w:hAnsiTheme="majorBidi" w:cstheme="majorBidi"/>
                                  <w:b/>
                                  <w:bCs/>
                                  <w:sz w:val="28"/>
                                  <w:szCs w:val="28"/>
                                </w:rPr>
                              </w:pPr>
                              <w:r>
                                <w:rPr>
                                  <w:rFonts w:ascii="Times New Roman" w:eastAsia="Times New Roman" w:hAnsi="Times New Roman" w:cs="Times New Roman"/>
                                  <w:b/>
                                  <w:bCs/>
                                  <w:sz w:val="28"/>
                                  <w:szCs w:val="28"/>
                                  <w:lang w:val="sl-SI"/>
                                </w:rPr>
                                <w:t xml:space="preserve">Pokrov igle </w:t>
                              </w:r>
                            </w:p>
                          </w:txbxContent>
                        </v:textbox>
                      </v:shape>
                      <w10:wrap type="square"/>
                    </v:group>
                  </w:pict>
                </mc:Fallback>
              </mc:AlternateContent>
            </w:r>
          </w:p>
          <w:p w14:paraId="68734B58" w14:textId="77777777" w:rsidR="00840AAB" w:rsidRDefault="00840AAB" w:rsidP="00646E14">
            <w:pPr>
              <w:pStyle w:val="a3"/>
              <w:ind w:left="3667" w:hanging="180"/>
              <w:rPr>
                <w:lang w:val="sl-SI"/>
              </w:rPr>
            </w:pPr>
            <w:r>
              <w:rPr>
                <w:rFonts w:eastAsia="Times New Roman"/>
                <w:b/>
                <w:bCs/>
                <w:lang w:val="sl-SI"/>
              </w:rPr>
              <w:t xml:space="preserve">c. </w:t>
            </w:r>
            <w:r>
              <w:rPr>
                <w:rFonts w:eastAsia="Times New Roman"/>
                <w:lang w:val="sl-SI"/>
              </w:rPr>
              <w:t>Na mesto injiciranja nežno pritisnite (ne drgnite) z vato ali gazo na mesto vboda in nanesite lepilno obvezo, če je treba. Pojavi se lahko rahla krvavitev.</w:t>
            </w:r>
          </w:p>
          <w:p w14:paraId="2A1E589F" w14:textId="77777777" w:rsidR="00840AAB" w:rsidRDefault="00840AAB" w:rsidP="00646E14">
            <w:pPr>
              <w:pStyle w:val="a3"/>
              <w:rPr>
                <w:lang w:val="sl-SI"/>
              </w:rPr>
            </w:pPr>
          </w:p>
          <w:p w14:paraId="693A8395" w14:textId="77777777" w:rsidR="00840AAB" w:rsidRDefault="00840AAB" w:rsidP="00646E14">
            <w:pPr>
              <w:pStyle w:val="a3"/>
              <w:rPr>
                <w:lang w:val="sl-SI"/>
              </w:rPr>
            </w:pPr>
            <w:r>
              <w:rPr>
                <w:rFonts w:eastAsia="맑은 고딕"/>
                <w:lang w:val="sl-SI"/>
              </w:rPr>
              <w:t>•</w:t>
            </w:r>
            <w:r>
              <w:rPr>
                <w:rFonts w:eastAsia="Times New Roman"/>
                <w:lang w:val="sl-SI"/>
              </w:rPr>
              <w:t xml:space="preserve"> Napolnjenega injekcijskega peresnika </w:t>
            </w:r>
            <w:r>
              <w:rPr>
                <w:rFonts w:eastAsia="Times New Roman"/>
                <w:b/>
                <w:bCs/>
                <w:lang w:val="sl-SI"/>
              </w:rPr>
              <w:t>ne</w:t>
            </w:r>
            <w:r>
              <w:rPr>
                <w:rFonts w:eastAsia="Times New Roman"/>
                <w:lang w:val="sl-SI"/>
              </w:rPr>
              <w:t xml:space="preserve"> uporabljajte ponovno..</w:t>
            </w:r>
          </w:p>
          <w:p w14:paraId="04D6D156" w14:textId="77777777" w:rsidR="00840AAB" w:rsidRDefault="00840AAB" w:rsidP="00646E14">
            <w:pPr>
              <w:pStyle w:val="a3"/>
              <w:numPr>
                <w:ilvl w:val="0"/>
                <w:numId w:val="0"/>
              </w:numPr>
              <w:ind w:left="1024"/>
              <w:rPr>
                <w:lang w:val="sl-SI" w:eastAsia="ko-KR"/>
              </w:rPr>
            </w:pPr>
            <w:r>
              <w:rPr>
                <w:rFonts w:eastAsia="맑은 고딕"/>
                <w:lang w:val="sl-SI"/>
              </w:rPr>
              <w:t xml:space="preserve">• </w:t>
            </w:r>
            <w:r>
              <w:rPr>
                <w:rFonts w:eastAsia="Times New Roman"/>
                <w:lang w:val="sl-SI"/>
              </w:rPr>
              <w:t>Mesta</w:t>
            </w:r>
            <w:r>
              <w:rPr>
                <w:rFonts w:eastAsia="맑은 고딕"/>
                <w:lang w:val="sl-SI"/>
              </w:rPr>
              <w:t xml:space="preserve"> </w:t>
            </w:r>
            <w:r>
              <w:rPr>
                <w:rFonts w:eastAsia="Times New Roman"/>
                <w:lang w:val="sl-SI"/>
              </w:rPr>
              <w:t>injiciranja</w:t>
            </w:r>
            <w:r>
              <w:rPr>
                <w:rFonts w:eastAsia="맑은 고딕"/>
                <w:lang w:val="sl-SI"/>
              </w:rPr>
              <w:t xml:space="preserve"> </w:t>
            </w:r>
            <w:r>
              <w:rPr>
                <w:rFonts w:eastAsia="맑은 고딕"/>
                <w:b/>
                <w:bCs/>
                <w:lang w:val="sl-SI"/>
              </w:rPr>
              <w:t>ne</w:t>
            </w:r>
            <w:r>
              <w:rPr>
                <w:rFonts w:eastAsia="맑은 고딕"/>
                <w:lang w:val="sl-SI"/>
              </w:rPr>
              <w:t xml:space="preserve"> </w:t>
            </w:r>
            <w:r>
              <w:rPr>
                <w:rFonts w:eastAsia="Times New Roman"/>
                <w:lang w:val="sl-SI"/>
              </w:rPr>
              <w:t>drgnite</w:t>
            </w:r>
            <w:r>
              <w:rPr>
                <w:rFonts w:eastAsia="Times New Roman"/>
                <w:sz w:val="20"/>
                <w:szCs w:val="20"/>
                <w:lang w:val="sl-SI"/>
              </w:rPr>
              <w:t>.</w:t>
            </w:r>
            <w:r>
              <w:rPr>
                <w:rFonts w:eastAsia="맑은 고딕"/>
                <w:lang w:val="sl-SI"/>
              </w:rPr>
              <w:t xml:space="preserve"> </w:t>
            </w:r>
          </w:p>
        </w:tc>
      </w:tr>
      <w:tr w:rsidR="00840AAB" w:rsidRPr="00475A1E" w14:paraId="64E1BD46" w14:textId="77777777" w:rsidTr="00646E14">
        <w:trPr>
          <w:trHeight w:val="5329"/>
        </w:trPr>
        <w:tc>
          <w:tcPr>
            <w:tcW w:w="9581" w:type="dxa"/>
          </w:tcPr>
          <w:p w14:paraId="124A8B8E" w14:textId="77777777" w:rsidR="00840AAB" w:rsidRDefault="00840AAB" w:rsidP="00646E14">
            <w:pPr>
              <w:ind w:left="104"/>
              <w:rPr>
                <w:rFonts w:ascii="Times New Roman" w:eastAsia="Times New Roman" w:hAnsi="Times New Roman" w:cs="Times New Roman"/>
                <w:b/>
                <w:bCs/>
                <w:spacing w:val="-1"/>
                <w:lang w:val="sl-SI"/>
              </w:rPr>
            </w:pPr>
          </w:p>
          <w:p w14:paraId="50D885E6" w14:textId="77777777" w:rsidR="00840AAB" w:rsidRDefault="00840AAB" w:rsidP="00646E14">
            <w:pPr>
              <w:pStyle w:val="a3"/>
              <w:numPr>
                <w:ilvl w:val="0"/>
                <w:numId w:val="0"/>
              </w:numPr>
              <w:ind w:left="471"/>
              <w:rPr>
                <w:lang w:val="sl-SI"/>
              </w:rPr>
            </w:pPr>
          </w:p>
          <w:p w14:paraId="1D95B50E" w14:textId="77777777" w:rsidR="00840AAB" w:rsidRDefault="00840AAB" w:rsidP="0030421B">
            <w:pPr>
              <w:pStyle w:val="a3"/>
              <w:numPr>
                <w:ilvl w:val="0"/>
                <w:numId w:val="134"/>
              </w:numPr>
              <w:rPr>
                <w:lang w:val="sl-SI"/>
              </w:rPr>
            </w:pPr>
            <w:r>
              <w:rPr>
                <w:b/>
                <w:noProof/>
                <w:lang w:eastAsia="ko-KR"/>
              </w:rPr>
              <mc:AlternateContent>
                <mc:Choice Requires="wpg">
                  <w:drawing>
                    <wp:anchor distT="0" distB="0" distL="114300" distR="114300" simplePos="0" relativeHeight="251658299" behindDoc="0" locked="0" layoutInCell="1" allowOverlap="1" wp14:anchorId="1FC4B559" wp14:editId="0894CAB3">
                      <wp:simplePos x="0" y="0"/>
                      <wp:positionH relativeFrom="column">
                        <wp:posOffset>112395</wp:posOffset>
                      </wp:positionH>
                      <wp:positionV relativeFrom="paragraph">
                        <wp:posOffset>36830</wp:posOffset>
                      </wp:positionV>
                      <wp:extent cx="2225675" cy="2937510"/>
                      <wp:effectExtent l="19050" t="19050" r="22225" b="0"/>
                      <wp:wrapSquare wrapText="bothSides"/>
                      <wp:docPr id="3879" name="그룹 3879"/>
                      <wp:cNvGraphicFramePr/>
                      <a:graphic xmlns:a="http://schemas.openxmlformats.org/drawingml/2006/main">
                        <a:graphicData uri="http://schemas.microsoft.com/office/word/2010/wordprocessingGroup">
                          <wpg:wgp>
                            <wpg:cNvGrpSpPr/>
                            <wpg:grpSpPr>
                              <a:xfrm>
                                <a:off x="0" y="0"/>
                                <a:ext cx="2221582" cy="2937510"/>
                                <a:chOff x="4093" y="0"/>
                                <a:chExt cx="2221582" cy="2937510"/>
                              </a:xfrm>
                            </wpg:grpSpPr>
                            <pic:pic xmlns:pic="http://schemas.openxmlformats.org/drawingml/2006/picture">
                              <pic:nvPicPr>
                                <pic:cNvPr id="3880" name="그림 3880"/>
                                <pic:cNvPicPr>
                                  <a:picLocks noChangeAspect="1"/>
                                </pic:cNvPicPr>
                              </pic:nvPicPr>
                              <pic:blipFill>
                                <a:blip r:embed="rId157" cstate="print">
                                  <a:extLst>
                                    <a:ext uri="{28A0092B-C50C-407E-A947-70E740481C1C}">
                                      <a14:useLocalDpi xmlns:a14="http://schemas.microsoft.com/office/drawing/2010/main" val="0"/>
                                    </a:ext>
                                  </a:extLst>
                                </a:blip>
                                <a:srcRect/>
                                <a:stretch/>
                              </pic:blipFill>
                              <pic:spPr>
                                <a:xfrm>
                                  <a:off x="4093" y="0"/>
                                  <a:ext cx="2217489" cy="2735580"/>
                                </a:xfrm>
                                <a:prstGeom prst="rect">
                                  <a:avLst/>
                                </a:prstGeom>
                                <a:ln>
                                  <a:solidFill>
                                    <a:schemeClr val="tx1"/>
                                  </a:solidFill>
                                </a:ln>
                              </pic:spPr>
                            </pic:pic>
                            <wps:wsp>
                              <wps:cNvPr id="3883" name="Text Box 3883"/>
                              <wps:cNvSpPr txBox="1"/>
                              <wps:spPr>
                                <a:xfrm>
                                  <a:off x="1549400" y="2762250"/>
                                  <a:ext cx="676275" cy="175260"/>
                                </a:xfrm>
                                <a:prstGeom prst="rect">
                                  <a:avLst/>
                                </a:prstGeom>
                                <a:solidFill>
                                  <a:prstClr val="white"/>
                                </a:solidFill>
                                <a:ln>
                                  <a:noFill/>
                                </a:ln>
                              </wps:spPr>
                              <wps:txbx>
                                <w:txbxContent>
                                  <w:p w14:paraId="15E70D90" w14:textId="77777777" w:rsidR="00474DFB" w:rsidRDefault="00474DFB" w:rsidP="00840AAB">
                                    <w:pPr>
                                      <w:pStyle w:val="af0"/>
                                      <w:jc w:val="right"/>
                                      <w:rPr>
                                        <w:b w:val="0"/>
                                        <w:noProof/>
                                      </w:rPr>
                                    </w:pPr>
                                    <w:r>
                                      <w:rPr>
                                        <w:rFonts w:ascii="Times New Roman" w:eastAsia="Times New Roman" w:hAnsi="Times New Roman" w:cs="Times New Roman"/>
                                        <w:lang w:val="sl-SI"/>
                                      </w:rPr>
                                      <w:t>Slika </w:t>
                                    </w:r>
                                    <w:r>
                                      <w:rPr>
                                        <w:rFonts w:ascii="Times New Roman" w:hAnsi="Times New Roman" w:cs="Times New Roman"/>
                                      </w:rPr>
                                      <w:t>M</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1FC4B559" id="그룹 3879" o:spid="_x0000_s1311" style="position:absolute;left:0;text-align:left;margin-left:8.85pt;margin-top:2.9pt;width:175.25pt;height:231.3pt;z-index:251658299" coordorigin="40" coordsize="22215,29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">
                      <v:shape id="그림 3880" o:spid="_x0000_s1312" type="#_x0000_t75" style="position:absolute;left:40;width:22175;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" stroked="t" strokecolor="black [3213]">
                        <v:imagedata r:id="rId158" o:title=""/>
                        <v:path arrowok="t"/>
                      </v:shape>
                      <v:shape id="_x0000_s1313" type="#_x0000_t202" style="position:absolute;left:15494;top:27622;width:676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" stroked="f">
                        <v:textbox inset="0,0,0,0">
                          <w:txbxContent>
                            <w:p w14:paraId="15E70D90" w14:textId="77777777" w:rsidR="00474DFB" w:rsidRDefault="00474DFB" w:rsidP="00840AAB">
                              <w:pPr>
                                <w:pStyle w:val="af0"/>
                                <w:jc w:val="right"/>
                                <w:rPr>
                                  <w:b w:val="0"/>
                                  <w:noProof/>
                                </w:rPr>
                              </w:pPr>
                              <w:r>
                                <w:rPr>
                                  <w:rFonts w:ascii="Times New Roman" w:eastAsia="Times New Roman" w:hAnsi="Times New Roman" w:cs="Times New Roman"/>
                                  <w:lang w:val="sl-SI"/>
                                </w:rPr>
                                <w:t>Slika </w:t>
                              </w:r>
                              <w:r>
                                <w:rPr>
                                  <w:rFonts w:ascii="Times New Roman" w:hAnsi="Times New Roman" w:cs="Times New Roman"/>
                                </w:rPr>
                                <w:t>M</w:t>
                              </w:r>
                            </w:p>
                          </w:txbxContent>
                        </v:textbox>
                      </v:shape>
                      <w10:wrap type="square"/>
                    </v:group>
                  </w:pict>
                </mc:Fallback>
              </mc:AlternateContent>
            </w:r>
            <w:r>
              <w:rPr>
                <w:rFonts w:eastAsia="Times New Roman"/>
                <w:b/>
                <w:bCs/>
                <w:lang w:val="sl-SI"/>
              </w:rPr>
              <w:t xml:space="preserve"> Napolnjeno injekcijsko brizg</w:t>
            </w:r>
            <w:r w:rsidRPr="00C568D9">
              <w:rPr>
                <w:rFonts w:eastAsia="Times New Roman"/>
                <w:b/>
                <w:bCs/>
                <w:lang w:val="sl-SI"/>
              </w:rPr>
              <w:t xml:space="preserve">o </w:t>
            </w:r>
            <w:r w:rsidRPr="00337BB0">
              <w:rPr>
                <w:rFonts w:eastAsia="Times New Roman"/>
                <w:b/>
                <w:lang w:val="sl-SI"/>
              </w:rPr>
              <w:t>zavrzite</w:t>
            </w:r>
            <w:r>
              <w:rPr>
                <w:rFonts w:eastAsia="Times New Roman"/>
                <w:lang w:val="sl-SI"/>
              </w:rPr>
              <w:t>.</w:t>
            </w:r>
          </w:p>
          <w:p w14:paraId="134F8E2A" w14:textId="77777777" w:rsidR="00840AAB" w:rsidRDefault="00840AAB" w:rsidP="00646E14">
            <w:pPr>
              <w:pStyle w:val="a3"/>
              <w:rPr>
                <w:lang w:val="sl-SI"/>
              </w:rPr>
            </w:pPr>
          </w:p>
          <w:p w14:paraId="6E0D9DF2" w14:textId="77777777" w:rsidR="00840AAB" w:rsidRDefault="00840AAB" w:rsidP="00646E14">
            <w:pPr>
              <w:pStyle w:val="a3"/>
              <w:ind w:left="4297" w:hanging="180"/>
              <w:rPr>
                <w:lang w:val="sl-SI"/>
              </w:rPr>
            </w:pPr>
            <w:r>
              <w:rPr>
                <w:rFonts w:eastAsia="Times New Roman"/>
                <w:b/>
                <w:bCs/>
                <w:lang w:val="sl-SI"/>
              </w:rPr>
              <w:t>a.</w:t>
            </w:r>
            <w:r>
              <w:rPr>
                <w:rFonts w:eastAsia="Times New Roman"/>
                <w:lang w:val="sl-SI"/>
              </w:rPr>
              <w:t xml:space="preserve"> Uporabljeni injekcijski peresnik zavrzite v poseben vsebnik za ostre odpadke, kot vam je naročil zdravnik, medicinska sestra ali farmacevt. </w:t>
            </w:r>
          </w:p>
          <w:p w14:paraId="1B715210" w14:textId="77777777" w:rsidR="00840AAB" w:rsidRDefault="00840AAB" w:rsidP="00646E14">
            <w:pPr>
              <w:pStyle w:val="a3"/>
              <w:ind w:left="4297" w:hanging="180"/>
              <w:rPr>
                <w:lang w:val="sl-SI"/>
              </w:rPr>
            </w:pPr>
          </w:p>
          <w:p w14:paraId="6566011C" w14:textId="77777777" w:rsidR="00840AAB" w:rsidRDefault="00840AAB" w:rsidP="00646E14">
            <w:pPr>
              <w:pStyle w:val="a3"/>
              <w:ind w:left="4297" w:hanging="180"/>
              <w:rPr>
                <w:lang w:val="sl-SI"/>
              </w:rPr>
            </w:pPr>
            <w:r>
              <w:rPr>
                <w:rFonts w:eastAsia="Times New Roman"/>
                <w:b/>
                <w:bCs/>
                <w:lang w:val="sl-SI"/>
              </w:rPr>
              <w:t>b.</w:t>
            </w:r>
            <w:r>
              <w:rPr>
                <w:rFonts w:eastAsia="Times New Roman"/>
                <w:lang w:val="sl-SI"/>
              </w:rPr>
              <w:t>Alkoholni zloženec in pakiranje lahko odstranite v gospodinjske odpadke.</w:t>
            </w:r>
          </w:p>
          <w:p w14:paraId="15456C16" w14:textId="77777777" w:rsidR="00840AAB" w:rsidRDefault="00840AAB" w:rsidP="00646E14">
            <w:pPr>
              <w:pStyle w:val="a3"/>
              <w:rPr>
                <w:b/>
                <w:lang w:val="sl-SI"/>
              </w:rPr>
            </w:pPr>
          </w:p>
          <w:p w14:paraId="23504476" w14:textId="77777777" w:rsidR="00840AAB" w:rsidRDefault="00840AAB" w:rsidP="00646E14">
            <w:pPr>
              <w:pStyle w:val="a3"/>
              <w:ind w:left="4297" w:hanging="360"/>
              <w:rPr>
                <w:lang w:val="sl-SI"/>
              </w:rPr>
            </w:pPr>
            <w:r>
              <w:rPr>
                <w:rFonts w:ascii="맑은 고딕" w:eastAsia="맑은 고딕" w:hAnsi="맑은 고딕"/>
                <w:lang w:val="sl-SI"/>
              </w:rPr>
              <w:t>•</w:t>
            </w:r>
            <w:r>
              <w:rPr>
                <w:rFonts w:eastAsia="Times New Roman"/>
                <w:lang w:val="sl-SI"/>
              </w:rPr>
              <w:tab/>
              <w:t>Napolnjeni injekcijski peresnik in posebni vsebnik za ostre odpadke vedno shranjujte nedosegljivo otrokom.</w:t>
            </w:r>
          </w:p>
          <w:p w14:paraId="595F2CBF" w14:textId="77777777" w:rsidR="00840AAB" w:rsidRDefault="00840AAB" w:rsidP="00646E14">
            <w:pPr>
              <w:pStyle w:val="a3"/>
              <w:rPr>
                <w:lang w:val="sl-SI"/>
              </w:rPr>
            </w:pPr>
          </w:p>
          <w:p w14:paraId="334478F9" w14:textId="77777777" w:rsidR="00840AAB" w:rsidRDefault="00840AAB" w:rsidP="00646E14">
            <w:pPr>
              <w:pStyle w:val="a3"/>
              <w:rPr>
                <w:lang w:val="sl-SI" w:eastAsia="ko-KR"/>
              </w:rPr>
            </w:pPr>
          </w:p>
        </w:tc>
      </w:tr>
    </w:tbl>
    <w:p w14:paraId="432717F2" w14:textId="77777777" w:rsidR="00840AAB" w:rsidRDefault="00840AAB" w:rsidP="00840AAB">
      <w:pPr>
        <w:pStyle w:val="a3"/>
        <w:rPr>
          <w:lang w:val="sl-SI" w:eastAsia="ko-KR"/>
        </w:rPr>
      </w:pPr>
    </w:p>
    <w:p w14:paraId="439EA08B" w14:textId="28AC5A07" w:rsidR="00D902B3" w:rsidRDefault="00D902B3">
      <w:pPr>
        <w:rPr>
          <w:rFonts w:ascii="Times New Roman" w:hAnsi="Times New Roman" w:cs="Times New Roman"/>
          <w:lang w:val="sl-SI" w:eastAsia="ko-KR"/>
        </w:rPr>
      </w:pPr>
      <w:r>
        <w:rPr>
          <w:lang w:val="sl-SI" w:eastAsia="ko-KR"/>
        </w:rPr>
        <w:br w:type="page"/>
      </w:r>
    </w:p>
    <w:p w14:paraId="774C6462" w14:textId="77777777" w:rsidR="006E1AB3" w:rsidRDefault="006E1AB3" w:rsidP="006E1AB3">
      <w:pPr>
        <w:spacing w:before="76"/>
        <w:ind w:left="39"/>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lastRenderedPageBreak/>
        <w:t>Navodilo za uporabo</w:t>
      </w:r>
    </w:p>
    <w:p w14:paraId="48B40A9F" w14:textId="77777777" w:rsidR="006E1AB3" w:rsidRDefault="006E1AB3" w:rsidP="006E1AB3">
      <w:pPr>
        <w:spacing w:before="13" w:line="240" w:lineRule="exact"/>
        <w:rPr>
          <w:sz w:val="24"/>
          <w:szCs w:val="24"/>
          <w:lang w:val="sl-SI"/>
        </w:rPr>
      </w:pPr>
    </w:p>
    <w:p w14:paraId="3E085BE4" w14:textId="77777777" w:rsidR="006E1AB3" w:rsidRDefault="006E1AB3" w:rsidP="006E1AB3">
      <w:pPr>
        <w:ind w:left="818" w:right="776"/>
        <w:jc w:val="center"/>
        <w:rPr>
          <w:rFonts w:ascii="Times New Roman" w:eastAsia="Times New Roman" w:hAnsi="Times New Roman" w:cs="Times New Roman"/>
          <w:lang w:val="sl-SI"/>
        </w:rPr>
      </w:pPr>
      <w:r>
        <w:rPr>
          <w:rFonts w:ascii="Times New Roman" w:eastAsia="Times New Roman" w:hAnsi="Times New Roman" w:cs="Times New Roman"/>
          <w:b/>
          <w:bCs/>
          <w:spacing w:val="-1"/>
          <w:lang w:val="sl-SI"/>
        </w:rPr>
        <w:t>Yuflyma 20 mg raztopina za injiciranje v napolnjeni injekcijski brizgi</w:t>
      </w:r>
    </w:p>
    <w:p w14:paraId="61BA0368" w14:textId="77777777" w:rsidR="006E1AB3" w:rsidRDefault="006E1AB3" w:rsidP="006E1AB3">
      <w:pPr>
        <w:pStyle w:val="a3"/>
        <w:jc w:val="center"/>
        <w:rPr>
          <w:lang w:val="sl-SI"/>
        </w:rPr>
      </w:pPr>
      <w:r>
        <w:rPr>
          <w:rFonts w:eastAsia="Times New Roman"/>
          <w:lang w:val="sl-SI"/>
        </w:rPr>
        <w:t>adalimumab</w:t>
      </w:r>
    </w:p>
    <w:p w14:paraId="382194DC" w14:textId="77777777" w:rsidR="006E1AB3" w:rsidRDefault="006E1AB3" w:rsidP="006E1AB3">
      <w:pPr>
        <w:spacing w:before="18" w:line="240" w:lineRule="exact"/>
        <w:rPr>
          <w:sz w:val="24"/>
          <w:szCs w:val="24"/>
          <w:lang w:val="sl-SI"/>
        </w:rPr>
      </w:pPr>
    </w:p>
    <w:p w14:paraId="7B587ADC" w14:textId="77777777" w:rsidR="006E1AB3" w:rsidRDefault="006E1AB3" w:rsidP="006E1AB3">
      <w:pPr>
        <w:spacing w:before="18" w:line="240" w:lineRule="exact"/>
        <w:rPr>
          <w:sz w:val="24"/>
          <w:szCs w:val="24"/>
          <w:lang w:val="sl-SI"/>
        </w:rPr>
      </w:pPr>
      <w:r>
        <w:rPr>
          <w:rFonts w:ascii="Times New Roman" w:hAnsi="Times New Roman" w:cs="Times New Roman"/>
          <w:noProof/>
          <w:lang w:eastAsia="ko-KR"/>
        </w:rPr>
        <w:drawing>
          <wp:inline distT="0" distB="0" distL="0" distR="0" wp14:anchorId="2C8269A5" wp14:editId="221B9C29">
            <wp:extent cx="203200" cy="169545"/>
            <wp:effectExtent l="0" t="0" r="6350" b="1905"/>
            <wp:docPr id="4054" name="그림 4054"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sl-SI"/>
        </w:rPr>
        <w:t>Za to zdravilo se izvaja dodatno spremljanje varnosti. Tako bodo hitreje na voljo nove informacije o njegovi varnosti. Tudi sami lahko k temu prispevate tako, da poročate o katerem koli neželenem učinku zdravila, ki bi se utegnil pojaviti pri vas. Glejte na koncu poglavja 4, kako poročati o neželenih učinkih.</w:t>
      </w:r>
    </w:p>
    <w:p w14:paraId="0C6E39F1" w14:textId="77777777" w:rsidR="006E1AB3" w:rsidRDefault="006E1AB3" w:rsidP="006E1AB3">
      <w:pPr>
        <w:spacing w:before="18" w:line="240" w:lineRule="exact"/>
        <w:rPr>
          <w:sz w:val="24"/>
          <w:szCs w:val="24"/>
          <w:lang w:val="sl-SI"/>
        </w:rPr>
      </w:pPr>
    </w:p>
    <w:p w14:paraId="7BB19B4E" w14:textId="77777777" w:rsidR="006E1AB3" w:rsidRDefault="006E1AB3" w:rsidP="006E1AB3">
      <w:pPr>
        <w:spacing w:before="18" w:line="240" w:lineRule="exact"/>
        <w:rPr>
          <w:rFonts w:ascii="Times New Roman" w:hAnsi="Times New Roman" w:cs="Times New Roman"/>
          <w:b/>
          <w:lang w:val="sl-SI"/>
        </w:rPr>
      </w:pPr>
      <w:r w:rsidRPr="00566D4D">
        <w:rPr>
          <w:rFonts w:ascii="Times New Roman" w:eastAsia="Times New Roman" w:hAnsi="Times New Roman" w:cs="Times New Roman"/>
          <w:b/>
          <w:bCs/>
          <w:lang w:val="sl-SI"/>
        </w:rPr>
        <w:t>Natančno preberite navodilo, preden vaš otrok začne uporabljati to zdravilo, ker vsebuje pomembne podatke</w:t>
      </w:r>
      <w:r>
        <w:rPr>
          <w:rFonts w:ascii="Times New Roman" w:eastAsia="Times New Roman" w:hAnsi="Times New Roman" w:cs="Times New Roman"/>
          <w:b/>
          <w:bCs/>
          <w:lang w:val="sl-SI"/>
        </w:rPr>
        <w:t>!</w:t>
      </w:r>
    </w:p>
    <w:p w14:paraId="679FE77C" w14:textId="77777777" w:rsidR="006E1AB3" w:rsidRDefault="006E1AB3" w:rsidP="006E1AB3">
      <w:pPr>
        <w:pStyle w:val="a3"/>
        <w:numPr>
          <w:ilvl w:val="0"/>
          <w:numId w:val="5"/>
        </w:numPr>
        <w:ind w:left="660" w:hanging="660"/>
        <w:rPr>
          <w:lang w:val="sl-SI"/>
        </w:rPr>
      </w:pPr>
      <w:r>
        <w:rPr>
          <w:rFonts w:eastAsia="Times New Roman"/>
          <w:lang w:val="sl-SI"/>
        </w:rPr>
        <w:t>Navodilo shranite. Morda ga boste želeli ponovno prebrati.</w:t>
      </w:r>
    </w:p>
    <w:p w14:paraId="7C806C77" w14:textId="77777777" w:rsidR="006E1AB3" w:rsidRDefault="006E1AB3" w:rsidP="006E1AB3">
      <w:pPr>
        <w:pStyle w:val="a3"/>
        <w:numPr>
          <w:ilvl w:val="0"/>
          <w:numId w:val="5"/>
        </w:numPr>
        <w:ind w:left="660" w:hanging="660"/>
        <w:rPr>
          <w:lang w:val="sl-SI"/>
        </w:rPr>
      </w:pPr>
      <w:r w:rsidRPr="00566D4D">
        <w:rPr>
          <w:lang w:val="sl-SI"/>
        </w:rPr>
        <w:t xml:space="preserve">Zdravnik vam bo dal tudi </w:t>
      </w:r>
      <w:r w:rsidRPr="00566D4D">
        <w:rPr>
          <w:b/>
          <w:lang w:val="sl-SI"/>
        </w:rPr>
        <w:t>opozorilno kartico za bolnika</w:t>
      </w:r>
      <w:r w:rsidRPr="00566D4D">
        <w:rPr>
          <w:lang w:val="sl-SI"/>
        </w:rPr>
        <w:t xml:space="preserve">. Ta vsebuje pomembne varnostne informacije, s katerimi morate biti seznanjeni, preden vaš otrok prejme zdravilo Yuflyma in med zdravljenjem z njim. To </w:t>
      </w:r>
      <w:r w:rsidRPr="00566D4D">
        <w:rPr>
          <w:b/>
          <w:lang w:val="sl-SI"/>
        </w:rPr>
        <w:t>opozorilno kartico za bolnika</w:t>
      </w:r>
      <w:r w:rsidRPr="00566D4D">
        <w:rPr>
          <w:lang w:val="sl-SI"/>
        </w:rPr>
        <w:t xml:space="preserve"> imejte pri sebi ali jo naj ima pri sebi vaš otrok</w:t>
      </w:r>
      <w:r>
        <w:rPr>
          <w:rFonts w:eastAsia="Times New Roman"/>
          <w:lang w:val="sl-SI"/>
        </w:rPr>
        <w:t>.</w:t>
      </w:r>
    </w:p>
    <w:p w14:paraId="65CE0B10" w14:textId="77777777" w:rsidR="006E1AB3" w:rsidRDefault="006E1AB3" w:rsidP="006E1AB3">
      <w:pPr>
        <w:pStyle w:val="a3"/>
        <w:numPr>
          <w:ilvl w:val="0"/>
          <w:numId w:val="5"/>
        </w:numPr>
        <w:ind w:left="660" w:hanging="660"/>
        <w:rPr>
          <w:lang w:val="sl-SI"/>
        </w:rPr>
      </w:pPr>
      <w:r>
        <w:rPr>
          <w:rFonts w:eastAsia="Times New Roman"/>
          <w:lang w:val="sl-SI"/>
        </w:rPr>
        <w:t>Če imate dodatna vprašanja, se posvetujte z zdravnikom ali farmacevtom.</w:t>
      </w:r>
    </w:p>
    <w:p w14:paraId="2C8B4C24" w14:textId="77777777" w:rsidR="006E1AB3" w:rsidRDefault="006E1AB3" w:rsidP="006E1AB3">
      <w:pPr>
        <w:pStyle w:val="a3"/>
        <w:numPr>
          <w:ilvl w:val="0"/>
          <w:numId w:val="5"/>
        </w:numPr>
        <w:ind w:left="660" w:hanging="660"/>
        <w:rPr>
          <w:lang w:val="sl-SI"/>
        </w:rPr>
      </w:pPr>
      <w:r w:rsidRPr="00566D4D">
        <w:rPr>
          <w:lang w:val="sl-SI"/>
        </w:rPr>
        <w:t>Zdravilo je bilo predpisano samo vašemu otroku in ga ne smete dajati drugim. Njim bi lahko celo škodovalo, čeprav imajo znake bolezni, podobne kot vaš otrok</w:t>
      </w:r>
      <w:r>
        <w:rPr>
          <w:rFonts w:eastAsia="Times New Roman"/>
          <w:lang w:val="sl-SI"/>
        </w:rPr>
        <w:t>.</w:t>
      </w:r>
    </w:p>
    <w:p w14:paraId="76F4C70F" w14:textId="77777777" w:rsidR="006E1AB3" w:rsidRDefault="006E1AB3" w:rsidP="006E1AB3">
      <w:pPr>
        <w:pStyle w:val="a3"/>
        <w:numPr>
          <w:ilvl w:val="0"/>
          <w:numId w:val="5"/>
        </w:numPr>
        <w:ind w:left="660" w:hanging="660"/>
        <w:rPr>
          <w:lang w:val="sl-SI"/>
        </w:rPr>
      </w:pPr>
      <w:r w:rsidRPr="007811C6">
        <w:rPr>
          <w:lang w:val="sl-SI"/>
        </w:rPr>
        <w:t>Če vaš otrok dobi kateri koli neželeni učinek, se posvetujte z njegovim zdravnikom ali farmacevtom. Posvetujte se tudi, če opazite katere koli neželene učinke, ki niso navedeni v tem navodilu (glejte poglavje 4)</w:t>
      </w:r>
      <w:r>
        <w:rPr>
          <w:rFonts w:eastAsia="Times New Roman"/>
          <w:lang w:val="sl-SI"/>
        </w:rPr>
        <w:t>.</w:t>
      </w:r>
    </w:p>
    <w:p w14:paraId="27857D51" w14:textId="77777777" w:rsidR="006E1AB3" w:rsidRDefault="006E1AB3" w:rsidP="006E1AB3">
      <w:pPr>
        <w:pStyle w:val="a3"/>
        <w:rPr>
          <w:lang w:val="sl-SI"/>
        </w:rPr>
      </w:pPr>
    </w:p>
    <w:p w14:paraId="4725516F" w14:textId="77777777" w:rsidR="006E1AB3" w:rsidRDefault="006E1AB3" w:rsidP="006E1AB3">
      <w:pPr>
        <w:pStyle w:val="a3"/>
        <w:rPr>
          <w:b/>
          <w:lang w:val="sl-SI"/>
        </w:rPr>
      </w:pPr>
      <w:r>
        <w:rPr>
          <w:rFonts w:eastAsia="Times New Roman"/>
          <w:b/>
          <w:bCs/>
          <w:lang w:val="sl-SI"/>
        </w:rPr>
        <w:t>Kaj vsebuje navodilo</w:t>
      </w:r>
    </w:p>
    <w:p w14:paraId="7DB1F453" w14:textId="77777777" w:rsidR="006E1AB3" w:rsidRPr="007811C6" w:rsidRDefault="006E1AB3" w:rsidP="006E1AB3">
      <w:pPr>
        <w:pStyle w:val="a3"/>
        <w:numPr>
          <w:ilvl w:val="0"/>
          <w:numId w:val="140"/>
        </w:numPr>
        <w:ind w:hanging="760"/>
        <w:rPr>
          <w:rFonts w:eastAsia="Times New Roman"/>
          <w:lang w:val="sl-SI"/>
        </w:rPr>
      </w:pPr>
      <w:r>
        <w:rPr>
          <w:rFonts w:eastAsia="Times New Roman"/>
          <w:lang w:val="sl-SI"/>
        </w:rPr>
        <w:t>Kaj je zdravilo Yuflyma in za kaj ga uporabljamo</w:t>
      </w:r>
    </w:p>
    <w:p w14:paraId="2EF70EA9" w14:textId="77777777" w:rsidR="006E1AB3" w:rsidRPr="007811C6" w:rsidRDefault="006E1AB3" w:rsidP="006E1AB3">
      <w:pPr>
        <w:pStyle w:val="a3"/>
        <w:numPr>
          <w:ilvl w:val="0"/>
          <w:numId w:val="140"/>
        </w:numPr>
        <w:ind w:hanging="760"/>
        <w:rPr>
          <w:rFonts w:eastAsia="Times New Roman"/>
          <w:lang w:val="sl-SI"/>
        </w:rPr>
      </w:pPr>
      <w:r>
        <w:t>Kaj morate vedeti, preden bo vaš otrok uporabil zdravilo Yuflyma</w:t>
      </w:r>
    </w:p>
    <w:p w14:paraId="56FA42A2" w14:textId="77777777" w:rsidR="006E1AB3" w:rsidRDefault="006E1AB3" w:rsidP="006E1AB3">
      <w:pPr>
        <w:pStyle w:val="a3"/>
        <w:numPr>
          <w:ilvl w:val="0"/>
          <w:numId w:val="140"/>
        </w:numPr>
        <w:ind w:hanging="760"/>
        <w:rPr>
          <w:lang w:val="sl-SI"/>
        </w:rPr>
      </w:pPr>
      <w:r>
        <w:rPr>
          <w:rFonts w:eastAsia="Times New Roman"/>
          <w:lang w:val="sl-SI"/>
        </w:rPr>
        <w:t>Kako uporabljati zdravilo Yuflyma</w:t>
      </w:r>
    </w:p>
    <w:p w14:paraId="59DB2781" w14:textId="77777777" w:rsidR="006E1AB3" w:rsidRDefault="006E1AB3" w:rsidP="006E1AB3">
      <w:pPr>
        <w:pStyle w:val="a3"/>
        <w:numPr>
          <w:ilvl w:val="0"/>
          <w:numId w:val="140"/>
        </w:numPr>
        <w:ind w:hanging="760"/>
        <w:rPr>
          <w:lang w:val="sl-SI"/>
        </w:rPr>
      </w:pPr>
      <w:r>
        <w:rPr>
          <w:rFonts w:eastAsia="Times New Roman"/>
          <w:lang w:val="sl-SI"/>
        </w:rPr>
        <w:t>Možni neželeni učinki</w:t>
      </w:r>
    </w:p>
    <w:p w14:paraId="478753DC" w14:textId="77777777" w:rsidR="006E1AB3" w:rsidRDefault="006E1AB3" w:rsidP="006E1AB3">
      <w:pPr>
        <w:pStyle w:val="a3"/>
        <w:numPr>
          <w:ilvl w:val="0"/>
          <w:numId w:val="140"/>
        </w:numPr>
        <w:ind w:hanging="760"/>
        <w:rPr>
          <w:lang w:val="sl-SI"/>
        </w:rPr>
      </w:pPr>
      <w:r>
        <w:rPr>
          <w:rFonts w:eastAsia="Times New Roman"/>
          <w:lang w:val="sl-SI"/>
        </w:rPr>
        <w:t>Shranjevanje zdravila Yuflyma</w:t>
      </w:r>
    </w:p>
    <w:p w14:paraId="2DA8EA27" w14:textId="77777777" w:rsidR="006E1AB3" w:rsidRDefault="006E1AB3" w:rsidP="006E1AB3">
      <w:pPr>
        <w:pStyle w:val="a3"/>
        <w:numPr>
          <w:ilvl w:val="0"/>
          <w:numId w:val="140"/>
        </w:numPr>
        <w:ind w:hanging="760"/>
        <w:rPr>
          <w:lang w:val="sl-SI"/>
        </w:rPr>
      </w:pPr>
      <w:r>
        <w:rPr>
          <w:rFonts w:eastAsia="Times New Roman"/>
          <w:lang w:val="sl-SI"/>
        </w:rPr>
        <w:t>Vsebina pakiranja in dodatne informacije</w:t>
      </w:r>
    </w:p>
    <w:p w14:paraId="442B9BBB" w14:textId="77777777" w:rsidR="006E1AB3" w:rsidRDefault="006E1AB3" w:rsidP="006E1AB3">
      <w:pPr>
        <w:pStyle w:val="a3"/>
        <w:numPr>
          <w:ilvl w:val="0"/>
          <w:numId w:val="140"/>
        </w:numPr>
        <w:ind w:hanging="760"/>
        <w:rPr>
          <w:lang w:val="sl-SI"/>
        </w:rPr>
      </w:pPr>
      <w:r>
        <w:rPr>
          <w:rFonts w:eastAsia="Times New Roman"/>
          <w:lang w:val="sl-SI"/>
        </w:rPr>
        <w:t>Navodila za uporabo</w:t>
      </w:r>
    </w:p>
    <w:p w14:paraId="58022C4D" w14:textId="77777777" w:rsidR="006E1AB3" w:rsidRDefault="006E1AB3" w:rsidP="006E1AB3">
      <w:pPr>
        <w:spacing w:line="200" w:lineRule="exact"/>
        <w:rPr>
          <w:sz w:val="20"/>
          <w:szCs w:val="20"/>
          <w:lang w:val="sl-SI"/>
        </w:rPr>
      </w:pPr>
    </w:p>
    <w:p w14:paraId="666A57DE" w14:textId="77777777" w:rsidR="006E1AB3" w:rsidRDefault="006E1AB3" w:rsidP="006E1AB3">
      <w:pPr>
        <w:spacing w:line="200" w:lineRule="exact"/>
        <w:rPr>
          <w:sz w:val="20"/>
          <w:szCs w:val="20"/>
          <w:lang w:val="sl-SI"/>
        </w:rPr>
      </w:pPr>
    </w:p>
    <w:p w14:paraId="18B9CDF2" w14:textId="77777777" w:rsidR="006E1AB3" w:rsidRDefault="006E1AB3" w:rsidP="006E1AB3">
      <w:pPr>
        <w:pStyle w:val="a4"/>
        <w:numPr>
          <w:ilvl w:val="0"/>
          <w:numId w:val="141"/>
        </w:numPr>
        <w:spacing w:line="240" w:lineRule="exact"/>
        <w:rPr>
          <w:rFonts w:ascii="Times New Roman" w:hAnsi="Times New Roman" w:cs="Times New Roman"/>
          <w:b/>
          <w:lang w:val="sl-SI"/>
        </w:rPr>
      </w:pPr>
      <w:r>
        <w:rPr>
          <w:rFonts w:ascii="Times New Roman" w:eastAsia="Times New Roman" w:hAnsi="Times New Roman" w:cs="Times New Roman"/>
          <w:b/>
          <w:bCs/>
          <w:lang w:val="sl-SI"/>
        </w:rPr>
        <w:t>Kaj je zdravilo Yuflyma in za kaj ga uporabljamo</w:t>
      </w:r>
    </w:p>
    <w:p w14:paraId="2B1E7EC7" w14:textId="77777777" w:rsidR="006E1AB3" w:rsidRDefault="006E1AB3" w:rsidP="006E1AB3">
      <w:pPr>
        <w:spacing w:line="240" w:lineRule="exact"/>
        <w:rPr>
          <w:rFonts w:ascii="Times New Roman" w:hAnsi="Times New Roman" w:cs="Times New Roman"/>
          <w:b/>
          <w:lang w:val="sl-SI"/>
        </w:rPr>
      </w:pPr>
    </w:p>
    <w:p w14:paraId="4BF2652B" w14:textId="77777777" w:rsidR="006E1AB3" w:rsidRDefault="006E1AB3" w:rsidP="006E1AB3">
      <w:pPr>
        <w:pStyle w:val="a3"/>
        <w:rPr>
          <w:lang w:val="sl-SI"/>
        </w:rPr>
      </w:pPr>
      <w:r>
        <w:rPr>
          <w:rFonts w:eastAsia="Times New Roman"/>
          <w:lang w:val="sl-SI"/>
        </w:rPr>
        <w:t>Yuflyma vsebuje učinkovino adalimumab.</w:t>
      </w:r>
    </w:p>
    <w:p w14:paraId="2D200A66" w14:textId="77777777" w:rsidR="006E1AB3" w:rsidRDefault="006E1AB3" w:rsidP="006E1AB3">
      <w:pPr>
        <w:pStyle w:val="a3"/>
        <w:rPr>
          <w:lang w:val="sl-SI"/>
        </w:rPr>
      </w:pPr>
    </w:p>
    <w:p w14:paraId="413BB47C" w14:textId="77777777" w:rsidR="006E1AB3" w:rsidRDefault="006E1AB3" w:rsidP="006E1AB3">
      <w:pPr>
        <w:pStyle w:val="a3"/>
        <w:rPr>
          <w:lang w:val="sl-SI"/>
        </w:rPr>
      </w:pPr>
      <w:r>
        <w:rPr>
          <w:rFonts w:eastAsia="Times New Roman"/>
          <w:lang w:val="sl-SI"/>
        </w:rPr>
        <w:t>Zdravilo Yuflyma je namenjeno zdravljenju naslednjih vnetnih bolezni:</w:t>
      </w:r>
    </w:p>
    <w:p w14:paraId="2A87D330" w14:textId="77777777" w:rsidR="006E1AB3" w:rsidRDefault="006E1AB3" w:rsidP="006E1AB3">
      <w:pPr>
        <w:pStyle w:val="a3"/>
        <w:numPr>
          <w:ilvl w:val="0"/>
          <w:numId w:val="5"/>
        </w:numPr>
        <w:ind w:left="660" w:hanging="660"/>
        <w:rPr>
          <w:lang w:val="sl-SI"/>
        </w:rPr>
      </w:pPr>
      <w:r>
        <w:rPr>
          <w:rFonts w:eastAsia="Times New Roman"/>
          <w:lang w:val="sl-SI"/>
        </w:rPr>
        <w:t>poliartikularni juvenilni idiopatični artritis</w:t>
      </w:r>
    </w:p>
    <w:p w14:paraId="37BD9F9F" w14:textId="77777777" w:rsidR="006E1AB3" w:rsidRDefault="006E1AB3" w:rsidP="006E1AB3">
      <w:pPr>
        <w:pStyle w:val="a3"/>
        <w:numPr>
          <w:ilvl w:val="0"/>
          <w:numId w:val="5"/>
        </w:numPr>
        <w:ind w:left="660" w:hanging="660"/>
        <w:rPr>
          <w:lang w:val="sl-SI"/>
        </w:rPr>
      </w:pPr>
      <w:r>
        <w:rPr>
          <w:rFonts w:eastAsia="Times New Roman"/>
          <w:lang w:val="sl-SI"/>
        </w:rPr>
        <w:t>artritis, povezan z entezitisom</w:t>
      </w:r>
    </w:p>
    <w:p w14:paraId="00A15FAC" w14:textId="77777777" w:rsidR="006E1AB3" w:rsidRDefault="006E1AB3" w:rsidP="006E1AB3">
      <w:pPr>
        <w:pStyle w:val="a3"/>
        <w:numPr>
          <w:ilvl w:val="0"/>
          <w:numId w:val="5"/>
        </w:numPr>
        <w:ind w:left="660" w:hanging="660"/>
        <w:rPr>
          <w:lang w:val="sl-SI"/>
        </w:rPr>
      </w:pPr>
      <w:r w:rsidRPr="00566D4D">
        <w:rPr>
          <w:lang w:val="sl-SI"/>
        </w:rPr>
        <w:t>luskavica (psoriaza) v plakih pri pediatričnih bolnikih</w:t>
      </w:r>
    </w:p>
    <w:p w14:paraId="49DFF2D8" w14:textId="77777777" w:rsidR="006E1AB3" w:rsidRDefault="006E1AB3" w:rsidP="006E1AB3">
      <w:pPr>
        <w:pStyle w:val="a3"/>
        <w:numPr>
          <w:ilvl w:val="0"/>
          <w:numId w:val="5"/>
        </w:numPr>
        <w:ind w:left="660" w:hanging="660"/>
        <w:rPr>
          <w:lang w:val="sl-SI"/>
        </w:rPr>
      </w:pPr>
      <w:r w:rsidRPr="00323C29">
        <w:rPr>
          <w:lang w:val="sl-SI"/>
        </w:rPr>
        <w:t>Crohnova bolezen pri pediatričnih bolnikih</w:t>
      </w:r>
    </w:p>
    <w:p w14:paraId="2F742C80" w14:textId="77777777" w:rsidR="006E1AB3" w:rsidRDefault="006E1AB3" w:rsidP="006E1AB3">
      <w:pPr>
        <w:pStyle w:val="a3"/>
        <w:numPr>
          <w:ilvl w:val="0"/>
          <w:numId w:val="5"/>
        </w:numPr>
        <w:ind w:left="660" w:hanging="660"/>
        <w:rPr>
          <w:lang w:val="sl-SI"/>
        </w:rPr>
      </w:pPr>
      <w:r w:rsidRPr="007811C6">
        <w:rPr>
          <w:lang w:val="sl-SI"/>
        </w:rPr>
        <w:t>uveitis pri pediatričnih bolnikih</w:t>
      </w:r>
    </w:p>
    <w:p w14:paraId="16DBFC40" w14:textId="77777777" w:rsidR="006E1AB3" w:rsidRDefault="006E1AB3" w:rsidP="006E1AB3">
      <w:pPr>
        <w:spacing w:before="10" w:line="240" w:lineRule="exact"/>
        <w:rPr>
          <w:sz w:val="24"/>
          <w:szCs w:val="24"/>
          <w:lang w:val="sl-SI"/>
        </w:rPr>
      </w:pPr>
    </w:p>
    <w:p w14:paraId="1068DD3F" w14:textId="77777777" w:rsidR="006E1AB3" w:rsidRDefault="006E1AB3" w:rsidP="006E1AB3">
      <w:pPr>
        <w:pStyle w:val="a3"/>
        <w:rPr>
          <w:lang w:val="sl-SI"/>
        </w:rPr>
      </w:pPr>
      <w:r>
        <w:rPr>
          <w:rFonts w:eastAsia="Times New Roman"/>
          <w:lang w:val="sl-SI"/>
        </w:rPr>
        <w:t>Učinkovina v zdravilu Yuflyma, adalimumab, je humano monoklonsko protitelo. Monoklonska protitelesa so beljakovine, ki se vežejo na specifične tarče.</w:t>
      </w:r>
    </w:p>
    <w:p w14:paraId="21FC83FE" w14:textId="77777777" w:rsidR="006E1AB3" w:rsidRDefault="006E1AB3" w:rsidP="006E1AB3">
      <w:pPr>
        <w:spacing w:before="16" w:line="240" w:lineRule="exact"/>
        <w:rPr>
          <w:sz w:val="24"/>
          <w:szCs w:val="24"/>
          <w:lang w:val="sl-SI"/>
        </w:rPr>
      </w:pPr>
    </w:p>
    <w:p w14:paraId="6F607366" w14:textId="77777777" w:rsidR="006E1AB3" w:rsidRDefault="006E1AB3" w:rsidP="006E1AB3">
      <w:pPr>
        <w:pStyle w:val="a3"/>
        <w:rPr>
          <w:lang w:val="sl-SI"/>
        </w:rPr>
      </w:pPr>
      <w:r>
        <w:rPr>
          <w:rFonts w:eastAsia="Times New Roman"/>
          <w:lang w:val="sl-SI"/>
        </w:rPr>
        <w:t>Tarča adalimumaba je beljakovina, ki se imenuje tumor nekrotizirajoči faktor (TNFα), ki je vključen v imunski (obrambni) sistem in je prisoten v povečanih koncentracijah pri zgoraj navedenih vnetnih boleznih. Z vezavo na TNFα zdravilo Yuflyma zmanjša vnetni proces pri teh boleznih.</w:t>
      </w:r>
    </w:p>
    <w:p w14:paraId="6237FEDF" w14:textId="77777777" w:rsidR="006E1AB3" w:rsidRDefault="006E1AB3" w:rsidP="006E1AB3">
      <w:pPr>
        <w:pStyle w:val="a3"/>
        <w:rPr>
          <w:lang w:val="sl-SI"/>
        </w:rPr>
      </w:pPr>
    </w:p>
    <w:p w14:paraId="1939A3BB" w14:textId="77777777" w:rsidR="006E1AB3" w:rsidRDefault="006E1AB3" w:rsidP="006E1AB3">
      <w:pPr>
        <w:pStyle w:val="a3"/>
        <w:rPr>
          <w:b/>
          <w:lang w:val="sl-SI"/>
        </w:rPr>
      </w:pPr>
      <w:r>
        <w:rPr>
          <w:rFonts w:eastAsia="Times New Roman"/>
          <w:b/>
          <w:bCs/>
          <w:lang w:val="sl-SI"/>
        </w:rPr>
        <w:t>Poliartikularni juvenilni idiopatski artritis</w:t>
      </w:r>
    </w:p>
    <w:p w14:paraId="534AF3EE" w14:textId="77777777" w:rsidR="006E1AB3" w:rsidRDefault="006E1AB3" w:rsidP="006E1AB3">
      <w:pPr>
        <w:spacing w:before="9" w:line="240" w:lineRule="exact"/>
        <w:rPr>
          <w:sz w:val="24"/>
          <w:szCs w:val="24"/>
          <w:lang w:val="sl-SI"/>
        </w:rPr>
      </w:pPr>
    </w:p>
    <w:p w14:paraId="7D7CD7BC" w14:textId="77777777" w:rsidR="006E1AB3" w:rsidRDefault="006E1AB3" w:rsidP="006E1AB3">
      <w:pPr>
        <w:pStyle w:val="a3"/>
        <w:rPr>
          <w:lang w:val="sl-SI"/>
        </w:rPr>
      </w:pPr>
      <w:r w:rsidRPr="007811C6">
        <w:rPr>
          <w:lang w:val="sl-SI"/>
        </w:rPr>
        <w:t>Poliartikularni juvenilni idiopatski artritis je vnetna bolezen sklepov, ki se običajno prvič pojavi v otroštvu</w:t>
      </w:r>
      <w:r>
        <w:rPr>
          <w:rFonts w:eastAsia="Times New Roman"/>
          <w:lang w:val="sl-SI"/>
        </w:rPr>
        <w:t>.</w:t>
      </w:r>
    </w:p>
    <w:p w14:paraId="396D452D" w14:textId="77777777" w:rsidR="006E1AB3" w:rsidRDefault="006E1AB3" w:rsidP="006E1AB3">
      <w:pPr>
        <w:spacing w:before="13" w:line="240" w:lineRule="exact"/>
        <w:rPr>
          <w:sz w:val="24"/>
          <w:szCs w:val="24"/>
          <w:lang w:val="sl-SI"/>
        </w:rPr>
      </w:pPr>
    </w:p>
    <w:p w14:paraId="3003AF2F" w14:textId="77777777" w:rsidR="006E1AB3" w:rsidRDefault="006E1AB3" w:rsidP="006E1AB3">
      <w:pPr>
        <w:pStyle w:val="a3"/>
        <w:rPr>
          <w:lang w:val="sl-SI"/>
        </w:rPr>
      </w:pPr>
      <w:r w:rsidRPr="007811C6">
        <w:rPr>
          <w:lang w:val="sl-SI"/>
        </w:rPr>
        <w:t xml:space="preserve">Zdravilo Yuflyma se uporablja za zdravljenje poliartikularnega juvenilnega idiopatskega artritisa pri bolnikih od 2. leta starosti. </w:t>
      </w:r>
      <w:r w:rsidRPr="00385E1F">
        <w:rPr>
          <w:lang w:val="sl-SI"/>
        </w:rPr>
        <w:t>Vaš otrok bo morda najprej prejel druga imunomodulirajoča zdravila, npr. metotreksat. Če ta zdravila ne delujejo dovolj dobro, bo vaš otrok za zdravljenje poliartikularnega juvenilnega idiopatskega artritisa prejel zdravilo Yuflyma</w:t>
      </w:r>
      <w:r>
        <w:rPr>
          <w:rFonts w:eastAsia="Times New Roman"/>
          <w:lang w:val="sl-SI"/>
        </w:rPr>
        <w:t>.</w:t>
      </w:r>
    </w:p>
    <w:p w14:paraId="18645DC4" w14:textId="77777777" w:rsidR="006E1AB3" w:rsidRDefault="006E1AB3" w:rsidP="006E1AB3">
      <w:pPr>
        <w:spacing w:before="13" w:line="240" w:lineRule="exact"/>
        <w:rPr>
          <w:sz w:val="24"/>
          <w:szCs w:val="24"/>
          <w:lang w:val="sl-SI"/>
        </w:rPr>
      </w:pPr>
    </w:p>
    <w:p w14:paraId="5D6DEAD0" w14:textId="77777777" w:rsidR="006E1AB3" w:rsidRDefault="006E1AB3" w:rsidP="006E1AB3">
      <w:pPr>
        <w:pStyle w:val="a3"/>
        <w:rPr>
          <w:lang w:val="sl-SI"/>
        </w:rPr>
      </w:pPr>
      <w:r>
        <w:rPr>
          <w:rFonts w:eastAsia="Times New Roman"/>
          <w:lang w:val="sl-SI"/>
        </w:rPr>
        <w:t>Vaš zdravnik se bo odločil, ali je treba zdravilo Yuflyma uporabljati skupaj z metotreksatom ali samostojno.</w:t>
      </w:r>
    </w:p>
    <w:p w14:paraId="5CD619C2" w14:textId="77777777" w:rsidR="006E1AB3" w:rsidRDefault="006E1AB3" w:rsidP="006E1AB3">
      <w:pPr>
        <w:spacing w:before="16" w:line="240" w:lineRule="exact"/>
        <w:rPr>
          <w:sz w:val="24"/>
          <w:szCs w:val="24"/>
          <w:lang w:val="sl-SI"/>
        </w:rPr>
      </w:pPr>
    </w:p>
    <w:p w14:paraId="1CA70C68" w14:textId="77777777" w:rsidR="006E1AB3" w:rsidRDefault="006E1AB3" w:rsidP="006E1AB3">
      <w:pPr>
        <w:pStyle w:val="a3"/>
        <w:rPr>
          <w:b/>
          <w:lang w:val="sl-SI"/>
        </w:rPr>
      </w:pPr>
      <w:r>
        <w:rPr>
          <w:rFonts w:eastAsia="Times New Roman"/>
          <w:b/>
          <w:bCs/>
          <w:lang w:val="sl-SI"/>
        </w:rPr>
        <w:t>Artritis, povezan z entezitisom</w:t>
      </w:r>
    </w:p>
    <w:p w14:paraId="4F93BEF5" w14:textId="77777777" w:rsidR="006E1AB3" w:rsidRDefault="006E1AB3" w:rsidP="006E1AB3">
      <w:pPr>
        <w:spacing w:before="9" w:line="240" w:lineRule="exact"/>
        <w:rPr>
          <w:sz w:val="24"/>
          <w:szCs w:val="24"/>
          <w:lang w:val="sl-SI"/>
        </w:rPr>
      </w:pPr>
    </w:p>
    <w:p w14:paraId="72119A49" w14:textId="77777777" w:rsidR="006E1AB3" w:rsidRDefault="006E1AB3" w:rsidP="006E1AB3">
      <w:pPr>
        <w:pStyle w:val="a3"/>
        <w:rPr>
          <w:lang w:val="sl-SI"/>
        </w:rPr>
      </w:pPr>
      <w:r>
        <w:rPr>
          <w:rFonts w:eastAsia="Times New Roman"/>
          <w:lang w:val="sl-SI"/>
        </w:rPr>
        <w:t>Artritis, povezan z entezitisom, je vnetna bolezen sklepov in mest, kjer se kite pripnejo na kost.</w:t>
      </w:r>
    </w:p>
    <w:p w14:paraId="2858E832" w14:textId="77777777" w:rsidR="006E1AB3" w:rsidRDefault="006E1AB3" w:rsidP="006E1AB3">
      <w:pPr>
        <w:spacing w:before="10" w:line="240" w:lineRule="exact"/>
        <w:rPr>
          <w:sz w:val="24"/>
          <w:szCs w:val="24"/>
          <w:lang w:val="sl-SI"/>
        </w:rPr>
      </w:pPr>
    </w:p>
    <w:p w14:paraId="75D07B6F" w14:textId="77777777" w:rsidR="006E1AB3" w:rsidRDefault="006E1AB3" w:rsidP="006E1AB3">
      <w:pPr>
        <w:pStyle w:val="a3"/>
        <w:rPr>
          <w:lang w:val="sl-SI"/>
        </w:rPr>
      </w:pPr>
      <w:r w:rsidRPr="007811C6">
        <w:rPr>
          <w:lang w:val="sl-SI"/>
        </w:rPr>
        <w:t xml:space="preserve">Zdravilo Yuflyma se uporablja za zdravljenje artritisa, povezanega z entezitisom pri bolnikih od 6. leta starosti. </w:t>
      </w:r>
      <w:r w:rsidRPr="00385E1F">
        <w:rPr>
          <w:lang w:val="sl-SI"/>
        </w:rPr>
        <w:t>Vaš otrok bo morda najprej prejel druga imunomodulirajoča zdravila, npr. metotreksat. Če ta zdravila ne delujejo dovolj dobro, bo vaš otrok za zdravljenje artritisa, povezanega z entezitisom, prejel zdravilo Yuflyma</w:t>
      </w:r>
      <w:r>
        <w:rPr>
          <w:rFonts w:eastAsia="Times New Roman"/>
          <w:lang w:val="sl-SI"/>
        </w:rPr>
        <w:t>.</w:t>
      </w:r>
    </w:p>
    <w:p w14:paraId="5A1C5725" w14:textId="77777777" w:rsidR="006E1AB3" w:rsidRDefault="006E1AB3" w:rsidP="006E1AB3">
      <w:pPr>
        <w:spacing w:before="2" w:line="260" w:lineRule="exact"/>
        <w:rPr>
          <w:sz w:val="26"/>
          <w:szCs w:val="26"/>
          <w:lang w:val="sl-SI"/>
        </w:rPr>
      </w:pPr>
    </w:p>
    <w:p w14:paraId="0C48102B" w14:textId="77777777" w:rsidR="006E1AB3" w:rsidRDefault="006E1AB3" w:rsidP="006E1AB3">
      <w:pPr>
        <w:pStyle w:val="a3"/>
        <w:rPr>
          <w:rFonts w:eastAsia="Times New Roman"/>
          <w:b/>
          <w:bCs/>
          <w:lang w:val="sl-SI"/>
        </w:rPr>
      </w:pPr>
      <w:r w:rsidRPr="007811C6">
        <w:rPr>
          <w:rFonts w:eastAsia="Times New Roman"/>
          <w:b/>
          <w:bCs/>
          <w:lang w:val="sl-SI"/>
        </w:rPr>
        <w:t>Luskavica (psoriaza) v plakih pri pediatričnih bolnikih</w:t>
      </w:r>
    </w:p>
    <w:p w14:paraId="43A10069" w14:textId="77777777" w:rsidR="006E1AB3" w:rsidRPr="00ED041A" w:rsidRDefault="006E1AB3" w:rsidP="006E1AB3">
      <w:pPr>
        <w:pStyle w:val="a3"/>
        <w:rPr>
          <w:sz w:val="24"/>
          <w:szCs w:val="24"/>
          <w:lang w:val="sl-SI"/>
        </w:rPr>
      </w:pPr>
    </w:p>
    <w:p w14:paraId="12999E3B" w14:textId="77777777" w:rsidR="006E1AB3" w:rsidRPr="007811C6" w:rsidRDefault="006E1AB3" w:rsidP="006E1AB3">
      <w:pPr>
        <w:pStyle w:val="a3"/>
        <w:rPr>
          <w:lang w:val="sl-SI"/>
        </w:rPr>
      </w:pPr>
      <w:r>
        <w:rPr>
          <w:rFonts w:eastAsia="Times New Roman"/>
          <w:lang w:val="sl-SI"/>
        </w:rPr>
        <w:t>Luskavica v plakih je bolezen kože, pri kateri nastajajo rdeče, kosmičaste, krastave lise na koži, pokrite s srebrnimi luskami. Luskavica v plakih lahko prizadene tudi nohte, ki postanejo krušljivi, zadebeljeni in se dvignejo od nohtne posteljice, kar je lahko boleče.</w:t>
      </w:r>
      <w:r w:rsidRPr="007811C6">
        <w:rPr>
          <w:lang w:val="sl-SI"/>
        </w:rPr>
        <w:t xml:space="preserve"> Domneva se, da luskavico povzroči motnja v delovanju imunskega sistema, ki ima za posledico povečano nastajanje kožnih celic</w:t>
      </w:r>
      <w:r>
        <w:rPr>
          <w:lang w:val="sl-SI"/>
        </w:rPr>
        <w:t>.</w:t>
      </w:r>
    </w:p>
    <w:p w14:paraId="2A57E7FF" w14:textId="77777777" w:rsidR="006E1AB3" w:rsidRDefault="006E1AB3" w:rsidP="006E1AB3">
      <w:pPr>
        <w:spacing w:before="13" w:line="240" w:lineRule="exact"/>
        <w:rPr>
          <w:sz w:val="24"/>
          <w:szCs w:val="24"/>
          <w:lang w:val="sl-SI"/>
        </w:rPr>
      </w:pPr>
    </w:p>
    <w:p w14:paraId="096BDBB6" w14:textId="77777777" w:rsidR="006E1AB3" w:rsidRDefault="006E1AB3" w:rsidP="006E1AB3">
      <w:pPr>
        <w:pStyle w:val="a3"/>
        <w:rPr>
          <w:lang w:val="sl-SI"/>
        </w:rPr>
      </w:pPr>
      <w:r>
        <w:rPr>
          <w:rFonts w:eastAsia="Times New Roman"/>
          <w:lang w:val="sl-SI"/>
        </w:rPr>
        <w:t>Zdravilo Yuflyma se uporablja za zdravljenje hude luskavice v plakih pri otrocih in mladostnikih, starih od 4 do 17 let, pri katerih lokalno zdravljenje in zdravljenje s svetlobo nista dovolj dobro delovala ali pa nista primerna.</w:t>
      </w:r>
    </w:p>
    <w:p w14:paraId="09D87FD4" w14:textId="77777777" w:rsidR="006E1AB3" w:rsidRDefault="006E1AB3" w:rsidP="006E1AB3">
      <w:pPr>
        <w:spacing w:before="15" w:line="240" w:lineRule="exact"/>
        <w:rPr>
          <w:sz w:val="24"/>
          <w:szCs w:val="24"/>
          <w:lang w:val="sl-SI"/>
        </w:rPr>
      </w:pPr>
    </w:p>
    <w:p w14:paraId="51ACB005" w14:textId="77777777" w:rsidR="006E1AB3" w:rsidRDefault="006E1AB3" w:rsidP="006E1AB3">
      <w:pPr>
        <w:pStyle w:val="a3"/>
        <w:rPr>
          <w:rFonts w:eastAsia="Times New Roman"/>
          <w:b/>
          <w:bCs/>
          <w:lang w:val="sl-SI"/>
        </w:rPr>
      </w:pPr>
      <w:r w:rsidRPr="007811C6">
        <w:rPr>
          <w:rFonts w:eastAsia="Times New Roman"/>
          <w:b/>
          <w:bCs/>
          <w:lang w:val="sl-SI"/>
        </w:rPr>
        <w:t>Crohnova bolezen pri pediatričnih bolnikih</w:t>
      </w:r>
    </w:p>
    <w:p w14:paraId="68E99F02" w14:textId="77777777" w:rsidR="006E1AB3" w:rsidRDefault="006E1AB3" w:rsidP="006E1AB3">
      <w:pPr>
        <w:pStyle w:val="a3"/>
        <w:rPr>
          <w:u w:val="single"/>
          <w:lang w:val="sl-SI"/>
        </w:rPr>
      </w:pPr>
    </w:p>
    <w:p w14:paraId="6585FED8" w14:textId="77777777" w:rsidR="006E1AB3" w:rsidRDefault="006E1AB3" w:rsidP="006E1AB3">
      <w:pPr>
        <w:pStyle w:val="a3"/>
        <w:rPr>
          <w:rFonts w:eastAsia="Times New Roman"/>
          <w:lang w:val="sl-SI"/>
        </w:rPr>
      </w:pPr>
      <w:r>
        <w:rPr>
          <w:rFonts w:eastAsia="Times New Roman"/>
          <w:lang w:val="sl-SI"/>
        </w:rPr>
        <w:t>Crohnova bolezen je vnetna bolezen prebavil.</w:t>
      </w:r>
    </w:p>
    <w:p w14:paraId="608E8C9E" w14:textId="77777777" w:rsidR="006E1AB3" w:rsidRDefault="006E1AB3" w:rsidP="006E1AB3">
      <w:pPr>
        <w:pStyle w:val="a3"/>
        <w:rPr>
          <w:lang w:val="sl-SI"/>
        </w:rPr>
      </w:pPr>
      <w:r>
        <w:rPr>
          <w:rFonts w:eastAsia="Times New Roman"/>
          <w:lang w:val="sl-SI"/>
        </w:rPr>
        <w:t>Zdravilo Yuflyma se uporablja za zdravljenje zmerne do hude Crohnove bolezni pri otrocih in mladostnikih, starih od 6 do 17 let.</w:t>
      </w:r>
    </w:p>
    <w:p w14:paraId="57B575AB" w14:textId="77777777" w:rsidR="006E1AB3" w:rsidRDefault="006E1AB3" w:rsidP="006E1AB3">
      <w:pPr>
        <w:spacing w:before="16" w:line="240" w:lineRule="exact"/>
        <w:rPr>
          <w:sz w:val="24"/>
          <w:szCs w:val="24"/>
          <w:lang w:val="sl-SI"/>
        </w:rPr>
      </w:pPr>
    </w:p>
    <w:p w14:paraId="67700D04" w14:textId="77777777" w:rsidR="006E1AB3" w:rsidRDefault="006E1AB3" w:rsidP="006E1AB3">
      <w:pPr>
        <w:pStyle w:val="a3"/>
        <w:rPr>
          <w:lang w:val="sl-SI"/>
        </w:rPr>
      </w:pPr>
      <w:r w:rsidRPr="00566D4D">
        <w:rPr>
          <w:lang w:val="sl-SI"/>
        </w:rPr>
        <w:t>Vaš otrok bo morda najprej prejel druga zdravila. Če ta zdravila ne delujejo dovolj dobro, bo vaš otrok za zmanjšanje znakov in simptomov Crohnove bolezni prejel zdravilo Yuflyma</w:t>
      </w:r>
      <w:r>
        <w:rPr>
          <w:rFonts w:eastAsia="Times New Roman"/>
          <w:lang w:val="sl-SI"/>
        </w:rPr>
        <w:t>.</w:t>
      </w:r>
    </w:p>
    <w:p w14:paraId="50B041DF" w14:textId="77777777" w:rsidR="006E1AB3" w:rsidRDefault="006E1AB3" w:rsidP="006E1AB3">
      <w:pPr>
        <w:spacing w:before="15" w:line="240" w:lineRule="exact"/>
        <w:rPr>
          <w:sz w:val="24"/>
          <w:szCs w:val="24"/>
          <w:lang w:val="sl-SI"/>
        </w:rPr>
      </w:pPr>
    </w:p>
    <w:p w14:paraId="14DBE5AD" w14:textId="77777777" w:rsidR="006E1AB3" w:rsidRPr="007811C6" w:rsidRDefault="006E1AB3" w:rsidP="006E1AB3">
      <w:pPr>
        <w:pStyle w:val="a3"/>
        <w:rPr>
          <w:rFonts w:eastAsia="Times New Roman"/>
          <w:b/>
          <w:bCs/>
          <w:lang w:val="sl-SI"/>
        </w:rPr>
      </w:pPr>
      <w:r w:rsidRPr="007811C6">
        <w:rPr>
          <w:rFonts w:eastAsia="Times New Roman"/>
          <w:b/>
          <w:bCs/>
          <w:lang w:val="sl-SI"/>
        </w:rPr>
        <w:t>Uveitis pri pediatričnih bolnikih</w:t>
      </w:r>
    </w:p>
    <w:p w14:paraId="5306D345" w14:textId="77777777" w:rsidR="006E1AB3" w:rsidRDefault="006E1AB3" w:rsidP="006E1AB3">
      <w:pPr>
        <w:pStyle w:val="a3"/>
        <w:rPr>
          <w:lang w:val="sl-SI"/>
        </w:rPr>
      </w:pPr>
    </w:p>
    <w:p w14:paraId="47E3EB76" w14:textId="77777777" w:rsidR="006E1AB3" w:rsidRDefault="006E1AB3" w:rsidP="006E1AB3">
      <w:pPr>
        <w:pStyle w:val="a3"/>
        <w:rPr>
          <w:rFonts w:eastAsia="Times New Roman"/>
          <w:lang w:val="sl-SI"/>
        </w:rPr>
      </w:pPr>
      <w:r>
        <w:rPr>
          <w:rFonts w:eastAsia="Times New Roman"/>
          <w:lang w:val="sl-SI"/>
        </w:rPr>
        <w:t>Neinfekcijski uveitis je vnetna bolezen, ki prizadene določene dele očesa.</w:t>
      </w:r>
    </w:p>
    <w:p w14:paraId="0DCCEF34" w14:textId="77777777" w:rsidR="006E1AB3" w:rsidRDefault="006E1AB3" w:rsidP="006E1AB3">
      <w:pPr>
        <w:pStyle w:val="a3"/>
        <w:rPr>
          <w:rFonts w:eastAsia="Times New Roman"/>
          <w:lang w:val="sl-SI"/>
        </w:rPr>
      </w:pPr>
    </w:p>
    <w:p w14:paraId="0A014F7F" w14:textId="77777777" w:rsidR="006E1AB3" w:rsidRDefault="006E1AB3" w:rsidP="006E1AB3">
      <w:pPr>
        <w:pStyle w:val="a3"/>
        <w:rPr>
          <w:lang w:val="sl-SI"/>
        </w:rPr>
      </w:pPr>
      <w:r>
        <w:rPr>
          <w:rFonts w:eastAsia="Times New Roman"/>
          <w:lang w:val="sl-SI"/>
        </w:rPr>
        <w:t>Zdravilo Yuflyma se uporablja za zdravljenje otrok, starejših od 2 let, s kroničnim neinfekcijskim uveitisom, kjer vnetje prizadene sprednji del očesa.</w:t>
      </w:r>
    </w:p>
    <w:p w14:paraId="6F53780D" w14:textId="77777777" w:rsidR="006E1AB3" w:rsidRDefault="006E1AB3" w:rsidP="006E1AB3">
      <w:pPr>
        <w:pStyle w:val="a3"/>
        <w:rPr>
          <w:lang w:val="sl-SI"/>
        </w:rPr>
      </w:pPr>
    </w:p>
    <w:p w14:paraId="70317E69" w14:textId="77777777" w:rsidR="006E1AB3" w:rsidRDefault="006E1AB3" w:rsidP="006E1AB3">
      <w:pPr>
        <w:pStyle w:val="a3"/>
        <w:rPr>
          <w:lang w:val="sl-SI"/>
        </w:rPr>
      </w:pPr>
      <w:r>
        <w:rPr>
          <w:rFonts w:eastAsia="Times New Roman"/>
          <w:lang w:val="sl-SI"/>
        </w:rPr>
        <w:t>To vnetje lahko povzroči poslabšanje vida in/ali prisotnost delcev v očesu (črnih pik ali koprenastih črt, ki se premikajo po vidnem polju). Zdravilo Yuflyma deluje tako, da zmanjša takšno vnetje.</w:t>
      </w:r>
    </w:p>
    <w:p w14:paraId="35CB6D5E" w14:textId="77777777" w:rsidR="006E1AB3" w:rsidRDefault="006E1AB3" w:rsidP="006E1AB3">
      <w:pPr>
        <w:spacing w:before="10" w:line="240" w:lineRule="exact"/>
        <w:rPr>
          <w:sz w:val="24"/>
          <w:szCs w:val="24"/>
          <w:lang w:val="sl-SI"/>
        </w:rPr>
      </w:pPr>
    </w:p>
    <w:p w14:paraId="582F864A" w14:textId="77777777" w:rsidR="006E1AB3" w:rsidRDefault="006E1AB3" w:rsidP="006E1AB3">
      <w:pPr>
        <w:pStyle w:val="a3"/>
        <w:rPr>
          <w:lang w:val="sl-SI"/>
        </w:rPr>
      </w:pPr>
      <w:r w:rsidRPr="00566D4D">
        <w:rPr>
          <w:lang w:val="sl-SI"/>
        </w:rPr>
        <w:t>Vaš otrok bo morda najprej prejel druga zdravila. Če ta zdravila ne delujejo dovolj dobro, bo vaš otrok za zmanjšanje znakov in simptomov te bolezni prejel zdravilo Yuflyma</w:t>
      </w:r>
      <w:r>
        <w:rPr>
          <w:rFonts w:eastAsia="Times New Roman"/>
          <w:lang w:val="sl-SI"/>
        </w:rPr>
        <w:t>.</w:t>
      </w:r>
    </w:p>
    <w:p w14:paraId="323FA83D" w14:textId="77777777" w:rsidR="006E1AB3" w:rsidRDefault="006E1AB3" w:rsidP="006E1AB3">
      <w:pPr>
        <w:spacing w:before="18" w:line="240" w:lineRule="exact"/>
        <w:rPr>
          <w:rFonts w:ascii="Times New Roman" w:hAnsi="Times New Roman" w:cs="Times New Roman"/>
          <w:b/>
          <w:lang w:val="sl-SI"/>
        </w:rPr>
      </w:pPr>
    </w:p>
    <w:p w14:paraId="4F260074" w14:textId="77777777" w:rsidR="006E1AB3" w:rsidRDefault="006E1AB3" w:rsidP="006E1AB3">
      <w:pPr>
        <w:spacing w:before="18" w:line="240" w:lineRule="exact"/>
        <w:rPr>
          <w:rFonts w:ascii="Times New Roman" w:hAnsi="Times New Roman" w:cs="Times New Roman"/>
          <w:b/>
          <w:lang w:val="sl-SI"/>
        </w:rPr>
      </w:pPr>
    </w:p>
    <w:p w14:paraId="7FEC493D" w14:textId="77777777" w:rsidR="006E1AB3" w:rsidRPr="007811C6" w:rsidRDefault="006E1AB3" w:rsidP="006E1AB3">
      <w:pPr>
        <w:pStyle w:val="a4"/>
        <w:numPr>
          <w:ilvl w:val="0"/>
          <w:numId w:val="141"/>
        </w:numPr>
        <w:spacing w:before="18" w:line="240" w:lineRule="exact"/>
        <w:ind w:left="357" w:hanging="357"/>
        <w:rPr>
          <w:rFonts w:ascii="Times New Roman" w:eastAsia="Times New Roman" w:hAnsi="Times New Roman" w:cs="Times New Roman"/>
          <w:b/>
          <w:bCs/>
          <w:lang w:val="sl-SI"/>
        </w:rPr>
      </w:pPr>
      <w:r w:rsidRPr="007811C6">
        <w:rPr>
          <w:rFonts w:ascii="Times New Roman" w:eastAsia="Times New Roman" w:hAnsi="Times New Roman" w:cs="Times New Roman"/>
          <w:b/>
          <w:bCs/>
          <w:lang w:val="sl-SI"/>
        </w:rPr>
        <w:t xml:space="preserve">Kaj morate vedeti, preden bo vaš otrok uporabil zdravilo </w:t>
      </w:r>
      <w:r>
        <w:rPr>
          <w:rFonts w:ascii="Times New Roman" w:eastAsia="Times New Roman" w:hAnsi="Times New Roman" w:cs="Times New Roman"/>
          <w:b/>
          <w:bCs/>
          <w:lang w:val="sl-SI"/>
        </w:rPr>
        <w:t>Yuflyma</w:t>
      </w:r>
    </w:p>
    <w:p w14:paraId="26C2A6F7" w14:textId="77777777" w:rsidR="006E1AB3" w:rsidRDefault="006E1AB3" w:rsidP="006E1AB3">
      <w:pPr>
        <w:spacing w:before="18" w:line="240" w:lineRule="exact"/>
        <w:rPr>
          <w:b/>
          <w:bCs/>
          <w:lang w:val="sl-SI"/>
        </w:rPr>
      </w:pPr>
    </w:p>
    <w:p w14:paraId="148C2AAC" w14:textId="77777777" w:rsidR="006E1AB3" w:rsidRDefault="006E1AB3" w:rsidP="006E1AB3">
      <w:pPr>
        <w:pStyle w:val="a3"/>
        <w:rPr>
          <w:b/>
          <w:lang w:val="sl-SI"/>
        </w:rPr>
      </w:pPr>
      <w:r>
        <w:rPr>
          <w:rFonts w:eastAsia="Times New Roman"/>
          <w:b/>
          <w:bCs/>
          <w:lang w:val="sl-SI"/>
        </w:rPr>
        <w:t>Ne uporabljajte zdravila Yuflyma:</w:t>
      </w:r>
    </w:p>
    <w:p w14:paraId="604DD343" w14:textId="77777777" w:rsidR="006E1AB3" w:rsidRDefault="006E1AB3" w:rsidP="006E1AB3">
      <w:pPr>
        <w:pStyle w:val="a3"/>
        <w:rPr>
          <w:b/>
          <w:lang w:val="sl-SI"/>
        </w:rPr>
      </w:pPr>
    </w:p>
    <w:p w14:paraId="24AE95D2" w14:textId="77777777" w:rsidR="006E1AB3" w:rsidRDefault="006E1AB3" w:rsidP="006E1AB3">
      <w:pPr>
        <w:pStyle w:val="a3"/>
        <w:numPr>
          <w:ilvl w:val="1"/>
          <w:numId w:val="4"/>
        </w:numPr>
        <w:ind w:left="660" w:hanging="660"/>
        <w:rPr>
          <w:lang w:val="sl-SI"/>
        </w:rPr>
      </w:pPr>
      <w:r w:rsidRPr="007811C6">
        <w:rPr>
          <w:lang w:val="sl-SI"/>
        </w:rPr>
        <w:t>če je vaš otrok alergičen na adalimumab ali katero koli sestavino tega zdravila (navedeno v poglavju 6</w:t>
      </w:r>
      <w:r>
        <w:rPr>
          <w:rFonts w:eastAsia="Times New Roman"/>
          <w:lang w:val="sl-SI"/>
        </w:rPr>
        <w:t>).</w:t>
      </w:r>
    </w:p>
    <w:p w14:paraId="58B66304" w14:textId="77777777" w:rsidR="006E1AB3" w:rsidRDefault="006E1AB3" w:rsidP="006E1AB3">
      <w:pPr>
        <w:pStyle w:val="a3"/>
        <w:numPr>
          <w:ilvl w:val="0"/>
          <w:numId w:val="0"/>
        </w:numPr>
        <w:ind w:left="660"/>
        <w:rPr>
          <w:lang w:val="sl-SI"/>
        </w:rPr>
      </w:pPr>
    </w:p>
    <w:p w14:paraId="68018677" w14:textId="77777777" w:rsidR="006E1AB3" w:rsidRDefault="006E1AB3" w:rsidP="006E1AB3">
      <w:pPr>
        <w:pStyle w:val="a3"/>
        <w:numPr>
          <w:ilvl w:val="1"/>
          <w:numId w:val="4"/>
        </w:numPr>
        <w:ind w:left="660" w:hanging="660"/>
        <w:rPr>
          <w:lang w:val="sl-SI"/>
        </w:rPr>
      </w:pPr>
      <w:r w:rsidRPr="00566D4D">
        <w:rPr>
          <w:lang w:val="sl-SI"/>
        </w:rPr>
        <w:t>če ima vaš otrok aktivno tuberkulozo ali druge hude okužbe (glejte "Opozorila in previdnostni ukrepi"). Pomembno je, da zdravniku poveste, če ima vaš otrok simptome okužb, npr. zvišano telesno temperaturo, rane, občutek utrujenosti ali težave z zobmi</w:t>
      </w:r>
      <w:r>
        <w:rPr>
          <w:rFonts w:eastAsia="Times New Roman"/>
          <w:lang w:val="sl-SI"/>
        </w:rPr>
        <w:t>.</w:t>
      </w:r>
    </w:p>
    <w:p w14:paraId="1D90604B" w14:textId="77777777" w:rsidR="006E1AB3" w:rsidRDefault="006E1AB3" w:rsidP="006E1AB3">
      <w:pPr>
        <w:pStyle w:val="a3"/>
        <w:numPr>
          <w:ilvl w:val="0"/>
          <w:numId w:val="0"/>
        </w:numPr>
        <w:ind w:left="660"/>
        <w:rPr>
          <w:lang w:val="sl-SI"/>
        </w:rPr>
      </w:pPr>
    </w:p>
    <w:p w14:paraId="46CAE7A6" w14:textId="77777777" w:rsidR="006E1AB3" w:rsidRDefault="006E1AB3" w:rsidP="006E1AB3">
      <w:pPr>
        <w:pStyle w:val="a3"/>
        <w:numPr>
          <w:ilvl w:val="1"/>
          <w:numId w:val="4"/>
        </w:numPr>
        <w:ind w:left="660" w:hanging="660"/>
        <w:rPr>
          <w:lang w:val="sl-SI"/>
        </w:rPr>
      </w:pPr>
      <w:r w:rsidRPr="00566D4D">
        <w:rPr>
          <w:lang w:val="sl-SI"/>
        </w:rPr>
        <w:t>če ima vaš otrok zmerno ali hudo srčno popuščanje. Pomembno je, da zdravniku poveste, če je vaš otrok imel ali ima resno bolezen srca (glejte "Opozorila in previdnostni ukrepi")</w:t>
      </w:r>
      <w:r>
        <w:rPr>
          <w:rFonts w:eastAsia="Times New Roman"/>
          <w:lang w:val="sl-SI"/>
        </w:rPr>
        <w:t>.</w:t>
      </w:r>
    </w:p>
    <w:p w14:paraId="7125B34D" w14:textId="77777777" w:rsidR="006E1AB3" w:rsidRDefault="006E1AB3" w:rsidP="006E1AB3">
      <w:pPr>
        <w:spacing w:before="13" w:line="240" w:lineRule="exact"/>
        <w:rPr>
          <w:sz w:val="24"/>
          <w:szCs w:val="24"/>
          <w:lang w:val="sl-SI"/>
        </w:rPr>
      </w:pPr>
    </w:p>
    <w:p w14:paraId="4E5C95AC" w14:textId="77777777" w:rsidR="006E1AB3" w:rsidRDefault="006E1AB3" w:rsidP="006E1AB3">
      <w:pPr>
        <w:pStyle w:val="a3"/>
        <w:rPr>
          <w:b/>
          <w:lang w:val="sl-SI"/>
        </w:rPr>
      </w:pPr>
      <w:r>
        <w:rPr>
          <w:rFonts w:eastAsia="Times New Roman"/>
          <w:b/>
          <w:bCs/>
          <w:lang w:val="sl-SI"/>
        </w:rPr>
        <w:t>Opozorila in previdnostni ukrepi</w:t>
      </w:r>
    </w:p>
    <w:p w14:paraId="50E6B556" w14:textId="77777777" w:rsidR="006E1AB3" w:rsidRDefault="006E1AB3" w:rsidP="006E1AB3">
      <w:pPr>
        <w:spacing w:before="9" w:line="240" w:lineRule="exact"/>
        <w:rPr>
          <w:sz w:val="24"/>
          <w:szCs w:val="24"/>
          <w:lang w:val="sl-SI"/>
        </w:rPr>
      </w:pPr>
    </w:p>
    <w:p w14:paraId="3DC77384" w14:textId="77777777" w:rsidR="006E1AB3" w:rsidRDefault="006E1AB3" w:rsidP="006E1AB3">
      <w:pPr>
        <w:pStyle w:val="a3"/>
        <w:rPr>
          <w:lang w:val="sl-SI"/>
        </w:rPr>
      </w:pPr>
      <w:r>
        <w:rPr>
          <w:rFonts w:eastAsia="Times New Roman"/>
          <w:lang w:val="sl-SI"/>
        </w:rPr>
        <w:t>Pred začetkom uporabe zdravila Yuflyma se posvetujte s svojim zdravnikom ali farmacevtom.</w:t>
      </w:r>
    </w:p>
    <w:p w14:paraId="27A76F8A" w14:textId="77777777" w:rsidR="006E1AB3" w:rsidRDefault="006E1AB3" w:rsidP="006E1AB3">
      <w:pPr>
        <w:pStyle w:val="a3"/>
        <w:rPr>
          <w:lang w:val="sl-SI"/>
        </w:rPr>
      </w:pPr>
    </w:p>
    <w:p w14:paraId="5D6EB9C7" w14:textId="77777777" w:rsidR="006E1AB3" w:rsidRDefault="006E1AB3" w:rsidP="006E1AB3">
      <w:pPr>
        <w:pStyle w:val="a3"/>
        <w:rPr>
          <w:u w:val="single" w:color="000000"/>
          <w:lang w:val="sl-SI"/>
        </w:rPr>
      </w:pPr>
      <w:r>
        <w:rPr>
          <w:rFonts w:eastAsia="Times New Roman"/>
          <w:u w:val="single" w:color="000000"/>
          <w:lang w:val="sl-SI"/>
        </w:rPr>
        <w:t>Alergijske reakcije</w:t>
      </w:r>
    </w:p>
    <w:p w14:paraId="7BD9ED6B" w14:textId="77777777" w:rsidR="006E1AB3" w:rsidRDefault="006E1AB3" w:rsidP="006E1AB3">
      <w:pPr>
        <w:pStyle w:val="a3"/>
        <w:rPr>
          <w:u w:val="single"/>
          <w:lang w:val="sl-SI"/>
        </w:rPr>
      </w:pPr>
    </w:p>
    <w:p w14:paraId="727611D0" w14:textId="77777777" w:rsidR="006E1AB3" w:rsidRDefault="006E1AB3" w:rsidP="006E1AB3">
      <w:pPr>
        <w:pStyle w:val="a3"/>
        <w:numPr>
          <w:ilvl w:val="1"/>
          <w:numId w:val="4"/>
        </w:numPr>
        <w:ind w:left="660" w:hanging="660"/>
        <w:rPr>
          <w:lang w:val="sl-SI"/>
        </w:rPr>
      </w:pPr>
      <w:r w:rsidRPr="007811C6">
        <w:rPr>
          <w:lang w:val="sl-SI"/>
        </w:rPr>
        <w:t xml:space="preserve">Če vaš otrok doživi alergijske reakcije s simptomi, kot so tiščanje v prsih, piskajoče dihanje, omotica, otekanje ali izpuščaj, zdravila </w:t>
      </w:r>
      <w:r>
        <w:rPr>
          <w:lang w:val="sl-SI"/>
        </w:rPr>
        <w:t>Yuflyma</w:t>
      </w:r>
      <w:r w:rsidRPr="007811C6">
        <w:rPr>
          <w:lang w:val="sl-SI"/>
        </w:rPr>
        <w:t xml:space="preserve"> ne injicirajte več in se takoj posvetujte z zdravnikom, saj so v redkih primerih te reakcije lahko življensko ogrožajoče</w:t>
      </w:r>
      <w:r>
        <w:rPr>
          <w:rFonts w:eastAsia="Times New Roman"/>
          <w:lang w:val="sl-SI"/>
        </w:rPr>
        <w:t>.</w:t>
      </w:r>
    </w:p>
    <w:p w14:paraId="369640CA" w14:textId="77777777" w:rsidR="006E1AB3" w:rsidRDefault="006E1AB3" w:rsidP="006E1AB3">
      <w:pPr>
        <w:pStyle w:val="a3"/>
        <w:rPr>
          <w:b/>
          <w:lang w:val="sl-SI"/>
        </w:rPr>
      </w:pPr>
    </w:p>
    <w:p w14:paraId="3D405256" w14:textId="77777777" w:rsidR="006E1AB3" w:rsidRDefault="006E1AB3" w:rsidP="006E1AB3">
      <w:pPr>
        <w:pStyle w:val="a3"/>
        <w:rPr>
          <w:u w:val="single"/>
          <w:lang w:val="sl-SI"/>
        </w:rPr>
      </w:pPr>
      <w:r>
        <w:rPr>
          <w:rFonts w:eastAsia="Times New Roman"/>
          <w:u w:val="single"/>
          <w:lang w:val="sl-SI"/>
        </w:rPr>
        <w:t>Okužbe</w:t>
      </w:r>
    </w:p>
    <w:p w14:paraId="67A3759F" w14:textId="77777777" w:rsidR="006E1AB3" w:rsidRDefault="006E1AB3" w:rsidP="006E1AB3">
      <w:pPr>
        <w:pStyle w:val="a3"/>
        <w:rPr>
          <w:b/>
          <w:lang w:val="sl-SI"/>
        </w:rPr>
      </w:pPr>
    </w:p>
    <w:p w14:paraId="04E44070" w14:textId="6B304ADF" w:rsidR="006E1AB3" w:rsidRDefault="006E1AB3" w:rsidP="006E1AB3">
      <w:pPr>
        <w:pStyle w:val="a3"/>
        <w:numPr>
          <w:ilvl w:val="1"/>
          <w:numId w:val="4"/>
        </w:numPr>
        <w:ind w:left="660" w:hanging="660"/>
        <w:rPr>
          <w:lang w:val="sl-SI"/>
        </w:rPr>
      </w:pPr>
      <w:r w:rsidRPr="007811C6">
        <w:rPr>
          <w:lang w:val="sl-SI"/>
        </w:rPr>
        <w:t xml:space="preserve">Če ima vaš otrok okužbo, vključno z dolgotrajno okužbo ali omejeno okužbo v enem delu telesa (npr. razjedo na nogi), se pred uporabo zdravila </w:t>
      </w:r>
      <w:r>
        <w:rPr>
          <w:lang w:val="sl-SI"/>
        </w:rPr>
        <w:t>Yuflyma</w:t>
      </w:r>
      <w:r w:rsidRPr="007811C6">
        <w:rPr>
          <w:lang w:val="sl-SI"/>
        </w:rPr>
        <w:t xml:space="preserve"> posvetujte z zdravnikom. Če niste </w:t>
      </w:r>
      <w:r w:rsidR="006238AA" w:rsidRPr="0027578E">
        <w:rPr>
          <w:rFonts w:eastAsia="Times New Roman"/>
          <w:lang w:val="sl-SI"/>
        </w:rPr>
        <w:t>prepričani</w:t>
      </w:r>
      <w:r w:rsidRPr="007811C6">
        <w:rPr>
          <w:lang w:val="sl-SI"/>
        </w:rPr>
        <w:t>, se posvetujte z zdravnikom</w:t>
      </w:r>
      <w:r>
        <w:rPr>
          <w:rFonts w:eastAsia="Times New Roman"/>
          <w:lang w:val="sl-SI"/>
        </w:rPr>
        <w:t>.</w:t>
      </w:r>
    </w:p>
    <w:p w14:paraId="4388BCD6" w14:textId="77777777" w:rsidR="006E1AB3" w:rsidRDefault="006E1AB3" w:rsidP="006E1AB3">
      <w:pPr>
        <w:pStyle w:val="a3"/>
        <w:rPr>
          <w:lang w:val="sl-SI"/>
        </w:rPr>
      </w:pPr>
    </w:p>
    <w:p w14:paraId="6FC147C3" w14:textId="77777777" w:rsidR="006E1AB3" w:rsidRDefault="006E1AB3" w:rsidP="006E1AB3">
      <w:pPr>
        <w:pStyle w:val="a3"/>
        <w:numPr>
          <w:ilvl w:val="1"/>
          <w:numId w:val="4"/>
        </w:numPr>
        <w:ind w:left="660" w:hanging="660"/>
        <w:rPr>
          <w:lang w:val="sl-SI"/>
        </w:rPr>
      </w:pPr>
      <w:r w:rsidRPr="007811C6">
        <w:rPr>
          <w:lang w:val="sl-SI"/>
        </w:rPr>
        <w:t xml:space="preserve">Med zdravljenjem z zdravilom </w:t>
      </w:r>
      <w:r>
        <w:rPr>
          <w:lang w:val="sl-SI"/>
        </w:rPr>
        <w:t>Yuflyma</w:t>
      </w:r>
      <w:r w:rsidRPr="007811C6">
        <w:rPr>
          <w:lang w:val="sl-SI"/>
        </w:rPr>
        <w:t xml:space="preserve"> se pri vašem otroku lahko poveča dovzetnost za okužbe. Tveganje je lahko večje, če ima vaš otrok okvarjeno delovanje pljuč. </w:t>
      </w:r>
      <w:r>
        <w:t>Te okužbe so lahko resne in vključujejo</w:t>
      </w:r>
      <w:r>
        <w:rPr>
          <w:rFonts w:eastAsia="Times New Roman"/>
          <w:lang w:val="sl-SI"/>
        </w:rPr>
        <w:t>:</w:t>
      </w:r>
    </w:p>
    <w:p w14:paraId="64EB04DD" w14:textId="77777777" w:rsidR="006E1AB3" w:rsidRDefault="006E1AB3" w:rsidP="006E1AB3">
      <w:pPr>
        <w:pStyle w:val="a3"/>
        <w:numPr>
          <w:ilvl w:val="1"/>
          <w:numId w:val="4"/>
        </w:numPr>
        <w:ind w:left="660" w:firstLine="49"/>
        <w:rPr>
          <w:lang w:val="sl-SI"/>
        </w:rPr>
      </w:pPr>
      <w:r>
        <w:rPr>
          <w:rFonts w:eastAsia="Times New Roman"/>
          <w:lang w:val="sl-SI"/>
        </w:rPr>
        <w:t>tuberkulozo,</w:t>
      </w:r>
    </w:p>
    <w:p w14:paraId="27268A66" w14:textId="77777777" w:rsidR="006E1AB3" w:rsidRDefault="006E1AB3" w:rsidP="006E1AB3">
      <w:pPr>
        <w:pStyle w:val="a3"/>
        <w:numPr>
          <w:ilvl w:val="1"/>
          <w:numId w:val="4"/>
        </w:numPr>
        <w:ind w:left="660" w:firstLine="49"/>
        <w:rPr>
          <w:lang w:val="sl-SI"/>
        </w:rPr>
      </w:pPr>
      <w:r>
        <w:rPr>
          <w:rFonts w:eastAsia="Times New Roman"/>
          <w:lang w:val="sl-SI"/>
        </w:rPr>
        <w:t>okužbe, ki jih povzročajo virusi, glive, zajedavci ali bakterije,</w:t>
      </w:r>
    </w:p>
    <w:p w14:paraId="0C98250D" w14:textId="77777777" w:rsidR="006E1AB3" w:rsidRDefault="006E1AB3" w:rsidP="006E1AB3">
      <w:pPr>
        <w:pStyle w:val="a3"/>
        <w:numPr>
          <w:ilvl w:val="1"/>
          <w:numId w:val="4"/>
        </w:numPr>
        <w:ind w:left="660" w:firstLine="49"/>
        <w:rPr>
          <w:lang w:val="sl-SI"/>
        </w:rPr>
      </w:pPr>
      <w:r>
        <w:rPr>
          <w:rFonts w:eastAsia="Times New Roman"/>
          <w:lang w:val="sl-SI"/>
        </w:rPr>
        <w:t>hude okužbe krvi (sepso).</w:t>
      </w:r>
    </w:p>
    <w:p w14:paraId="43D22DD4" w14:textId="77777777" w:rsidR="006E1AB3" w:rsidRDefault="006E1AB3" w:rsidP="006E1AB3">
      <w:pPr>
        <w:pStyle w:val="a3"/>
        <w:rPr>
          <w:lang w:val="sl-SI"/>
        </w:rPr>
      </w:pPr>
    </w:p>
    <w:p w14:paraId="7134EA24" w14:textId="77777777" w:rsidR="006E1AB3" w:rsidRDefault="006E1AB3" w:rsidP="006E1AB3">
      <w:pPr>
        <w:pStyle w:val="a3"/>
        <w:numPr>
          <w:ilvl w:val="0"/>
          <w:numId w:val="0"/>
        </w:numPr>
        <w:ind w:leftChars="300" w:left="660"/>
        <w:rPr>
          <w:lang w:val="sl-SI"/>
        </w:rPr>
      </w:pPr>
      <w:r w:rsidRPr="007811C6">
        <w:rPr>
          <w:lang w:val="sl-SI"/>
        </w:rPr>
        <w:t xml:space="preserve">V redkih primerih so lahko te okužbe življenjsko ogrožajoče. Pomembno je, da zdravniku poveste, če se pri vašem otroku pojavijo simptomi, kot so npr. zvišana telesna temperatura, rane, občutek utrujenosti ali težave z zobmi. Zdravnik vam bo morda povedal, da za nekaj časa prenehate z uporabo zdravila </w:t>
      </w:r>
      <w:r>
        <w:rPr>
          <w:lang w:val="sl-SI"/>
        </w:rPr>
        <w:t>Yuflyma</w:t>
      </w:r>
      <w:r>
        <w:rPr>
          <w:rFonts w:eastAsia="Times New Roman"/>
          <w:lang w:val="sl-SI"/>
        </w:rPr>
        <w:t>.</w:t>
      </w:r>
    </w:p>
    <w:p w14:paraId="160755E6" w14:textId="77777777" w:rsidR="006E1AB3" w:rsidRDefault="006E1AB3" w:rsidP="006E1AB3">
      <w:pPr>
        <w:pStyle w:val="a3"/>
        <w:rPr>
          <w:lang w:val="sl-SI"/>
        </w:rPr>
      </w:pPr>
    </w:p>
    <w:p w14:paraId="327724E8" w14:textId="77777777" w:rsidR="006E1AB3" w:rsidRDefault="006E1AB3" w:rsidP="006E1AB3">
      <w:pPr>
        <w:pStyle w:val="a3"/>
        <w:numPr>
          <w:ilvl w:val="1"/>
          <w:numId w:val="4"/>
        </w:numPr>
        <w:ind w:left="660" w:hanging="660"/>
        <w:rPr>
          <w:lang w:val="sl-SI"/>
        </w:rPr>
      </w:pPr>
      <w:r w:rsidRPr="007811C6">
        <w:rPr>
          <w:lang w:val="sl-SI"/>
        </w:rPr>
        <w:t>Zdravniku povejte, če vaš otrok živi na območju ali potuje v regije, kjer so glivične okužbe (na primer histoplazmoza, kokcidiomikoza ali blastomikoza) zelo pogoste</w:t>
      </w:r>
      <w:r>
        <w:rPr>
          <w:rFonts w:eastAsia="Times New Roman"/>
          <w:lang w:val="sl-SI"/>
        </w:rPr>
        <w:t>.</w:t>
      </w:r>
    </w:p>
    <w:p w14:paraId="1FCFB5A5" w14:textId="77777777" w:rsidR="006E1AB3" w:rsidRDefault="006E1AB3" w:rsidP="006E1AB3">
      <w:pPr>
        <w:pStyle w:val="a3"/>
        <w:rPr>
          <w:lang w:val="sl-SI"/>
        </w:rPr>
      </w:pPr>
    </w:p>
    <w:p w14:paraId="7E783ADA" w14:textId="77777777" w:rsidR="006E1AB3" w:rsidRDefault="006E1AB3" w:rsidP="006E1AB3">
      <w:pPr>
        <w:pStyle w:val="a3"/>
        <w:numPr>
          <w:ilvl w:val="1"/>
          <w:numId w:val="4"/>
        </w:numPr>
        <w:ind w:left="660" w:hanging="660"/>
        <w:rPr>
          <w:lang w:val="sl-SI"/>
        </w:rPr>
      </w:pPr>
      <w:r w:rsidRPr="007811C6">
        <w:rPr>
          <w:lang w:val="sl-SI"/>
        </w:rPr>
        <w:t>Zdravniku povejte, če je vaš otrok imel v preteklosti ponavljajoče se okužbe ali druga stanja, ki povečajo tveganje za okužbe</w:t>
      </w:r>
      <w:r>
        <w:rPr>
          <w:rFonts w:eastAsia="Times New Roman"/>
          <w:lang w:val="sl-SI"/>
        </w:rPr>
        <w:t>.</w:t>
      </w:r>
    </w:p>
    <w:p w14:paraId="6576BB13" w14:textId="77777777" w:rsidR="006E1AB3" w:rsidRDefault="006E1AB3" w:rsidP="006E1AB3">
      <w:pPr>
        <w:pStyle w:val="a3"/>
        <w:numPr>
          <w:ilvl w:val="0"/>
          <w:numId w:val="0"/>
        </w:numPr>
        <w:rPr>
          <w:lang w:val="sl-SI"/>
        </w:rPr>
      </w:pPr>
    </w:p>
    <w:p w14:paraId="16F3A7BD" w14:textId="77777777" w:rsidR="006E1AB3" w:rsidRDefault="006E1AB3" w:rsidP="006E1AB3">
      <w:pPr>
        <w:pStyle w:val="a3"/>
        <w:numPr>
          <w:ilvl w:val="1"/>
          <w:numId w:val="4"/>
        </w:numPr>
        <w:ind w:left="660" w:hanging="660"/>
        <w:rPr>
          <w:lang w:val="sl-SI"/>
        </w:rPr>
      </w:pPr>
      <w:r w:rsidRPr="007811C6">
        <w:rPr>
          <w:lang w:val="sl-SI"/>
        </w:rPr>
        <w:t xml:space="preserve">Vaš otrok in njegov zdravnik morata biti posebej pozorna na znake okužbe, medtem ko se vaš otrok zdravi z zdravilom </w:t>
      </w:r>
      <w:r>
        <w:rPr>
          <w:lang w:val="sl-SI"/>
        </w:rPr>
        <w:t>Yuflyma</w:t>
      </w:r>
      <w:r w:rsidRPr="007811C6">
        <w:rPr>
          <w:lang w:val="sl-SI"/>
        </w:rPr>
        <w:t>. Pomembno je, da zdravniku poveste, če se pri vašem otroku razvijejo znaki okužbe, kot so zvišana telesna temperatura, rane, utrujenost ali problemi z zobmi</w:t>
      </w:r>
      <w:r>
        <w:rPr>
          <w:rFonts w:eastAsia="Times New Roman"/>
          <w:lang w:val="sl-SI"/>
        </w:rPr>
        <w:t>.</w:t>
      </w:r>
    </w:p>
    <w:p w14:paraId="1C76BD5A" w14:textId="77777777" w:rsidR="006E1AB3" w:rsidRDefault="006E1AB3" w:rsidP="006E1AB3">
      <w:pPr>
        <w:spacing w:before="11" w:line="240" w:lineRule="exact"/>
        <w:rPr>
          <w:sz w:val="24"/>
          <w:szCs w:val="24"/>
          <w:lang w:val="sl-SI"/>
        </w:rPr>
      </w:pPr>
    </w:p>
    <w:p w14:paraId="124AE84F" w14:textId="77777777" w:rsidR="006E1AB3" w:rsidRDefault="006E1AB3" w:rsidP="006E1AB3">
      <w:pPr>
        <w:pStyle w:val="a3"/>
        <w:rPr>
          <w:u w:val="single"/>
          <w:lang w:val="sl-SI"/>
        </w:rPr>
      </w:pPr>
      <w:r>
        <w:rPr>
          <w:rFonts w:eastAsia="Times New Roman"/>
          <w:u w:val="single" w:color="000000"/>
          <w:lang w:val="sl-SI"/>
        </w:rPr>
        <w:t>Tuberkuloza</w:t>
      </w:r>
    </w:p>
    <w:p w14:paraId="5EBEE488" w14:textId="77777777" w:rsidR="006E1AB3" w:rsidRPr="007811C6" w:rsidRDefault="006E1AB3" w:rsidP="006E1AB3">
      <w:pPr>
        <w:pStyle w:val="a3"/>
        <w:numPr>
          <w:ilvl w:val="0"/>
          <w:numId w:val="0"/>
        </w:numPr>
        <w:rPr>
          <w:lang w:val="sl-SI"/>
        </w:rPr>
      </w:pPr>
    </w:p>
    <w:p w14:paraId="5C521A55" w14:textId="77777777" w:rsidR="006E1AB3" w:rsidRPr="007811C6" w:rsidRDefault="006E1AB3" w:rsidP="006E1AB3">
      <w:pPr>
        <w:pStyle w:val="a3"/>
        <w:numPr>
          <w:ilvl w:val="1"/>
          <w:numId w:val="4"/>
        </w:numPr>
        <w:ind w:left="426" w:hanging="340"/>
        <w:rPr>
          <w:lang w:val="sl-SI"/>
        </w:rPr>
      </w:pPr>
      <w:r w:rsidRPr="007811C6">
        <w:rPr>
          <w:lang w:val="sl-SI"/>
        </w:rPr>
        <w:t xml:space="preserve">Ker so bili pri bolnikih, zdravljenih z zdravilom </w:t>
      </w:r>
      <w:r>
        <w:rPr>
          <w:lang w:val="sl-SI"/>
        </w:rPr>
        <w:t>Yuflyma</w:t>
      </w:r>
      <w:r w:rsidRPr="007811C6">
        <w:rPr>
          <w:lang w:val="sl-SI"/>
        </w:rPr>
        <w:t xml:space="preserve">, opisani primeri tuberkuloze, bo zdravnik vašega otroka pred začetkom zdravljenja z zdravilom </w:t>
      </w:r>
      <w:r>
        <w:rPr>
          <w:lang w:val="sl-SI"/>
        </w:rPr>
        <w:t>Yuflyma</w:t>
      </w:r>
      <w:r w:rsidRPr="007811C6">
        <w:rPr>
          <w:lang w:val="sl-SI"/>
        </w:rPr>
        <w:t xml:space="preserve"> preiskal glede znakov in simptomov </w:t>
      </w:r>
      <w:r w:rsidRPr="007811C6">
        <w:rPr>
          <w:lang w:val="sl-SI"/>
        </w:rPr>
        <w:lastRenderedPageBreak/>
        <w:t xml:space="preserve">tuberkuloze. To bo vključevalo natančno zdravniško oceno vključno s poizvedbo o zdravju vašega otroka v preteklosti in ustrezne preiskave (npr. rentgensko slikanje prsnega koša in tuberkulinski test). </w:t>
      </w:r>
      <w:r w:rsidRPr="00566D4D">
        <w:rPr>
          <w:lang w:val="de-DE"/>
        </w:rPr>
        <w:t xml:space="preserve">Izvedbo in rezultate teh preiskav je treba zabeležiti na </w:t>
      </w:r>
      <w:r w:rsidRPr="00566D4D">
        <w:rPr>
          <w:b/>
          <w:lang w:val="de-DE"/>
        </w:rPr>
        <w:t>opozorilni kartici za bolnika</w:t>
      </w:r>
      <w:r w:rsidRPr="007811C6">
        <w:rPr>
          <w:rFonts w:eastAsia="Times New Roman"/>
          <w:lang w:val="sl-SI"/>
        </w:rPr>
        <w:t>.</w:t>
      </w:r>
    </w:p>
    <w:p w14:paraId="54C9226B" w14:textId="77777777" w:rsidR="006E1AB3" w:rsidRPr="007811C6" w:rsidRDefault="006E1AB3" w:rsidP="006E1AB3">
      <w:pPr>
        <w:pStyle w:val="a3"/>
        <w:numPr>
          <w:ilvl w:val="0"/>
          <w:numId w:val="0"/>
        </w:numPr>
        <w:rPr>
          <w:lang w:val="sl-SI"/>
        </w:rPr>
      </w:pPr>
    </w:p>
    <w:p w14:paraId="433A4028" w14:textId="77777777" w:rsidR="006E1AB3" w:rsidRPr="007811C6" w:rsidRDefault="006E1AB3" w:rsidP="006E1AB3">
      <w:pPr>
        <w:pStyle w:val="a3"/>
        <w:numPr>
          <w:ilvl w:val="1"/>
          <w:numId w:val="4"/>
        </w:numPr>
        <w:ind w:left="998" w:hanging="340"/>
        <w:rPr>
          <w:lang w:val="sl-SI"/>
        </w:rPr>
      </w:pPr>
      <w:r>
        <w:rPr>
          <w:rFonts w:eastAsia="Times New Roman"/>
          <w:lang w:val="sl-SI"/>
        </w:rPr>
        <w:t>Zelo pomembno je, da svojemu zdravniku poveste, če ste kdaj imeli tuberkulozo ali če ste bili v tesnem stiku s kom, ki jo je imel. Če imate aktivno tuberkulozo, ne uporabljajte zdravila Yuflyma.</w:t>
      </w:r>
    </w:p>
    <w:p w14:paraId="2CBC1DD7" w14:textId="77777777" w:rsidR="006E1AB3" w:rsidRDefault="006E1AB3" w:rsidP="006E1AB3">
      <w:pPr>
        <w:pStyle w:val="a3"/>
        <w:numPr>
          <w:ilvl w:val="1"/>
          <w:numId w:val="4"/>
        </w:numPr>
        <w:ind w:left="998" w:hanging="340"/>
        <w:rPr>
          <w:lang w:val="sl-SI"/>
        </w:rPr>
      </w:pPr>
      <w:r w:rsidRPr="007811C6">
        <w:rPr>
          <w:lang w:val="sl-SI"/>
        </w:rPr>
        <w:t>Tuberkuloza se lahko razvije med zdravljenjem, tudi če je vaš otrok prejel preventivno zdravljenje za tuberkulozo</w:t>
      </w:r>
      <w:r>
        <w:rPr>
          <w:rFonts w:eastAsia="Times New Roman"/>
          <w:lang w:val="sl-SI"/>
        </w:rPr>
        <w:t>.</w:t>
      </w:r>
    </w:p>
    <w:p w14:paraId="47D19CBE" w14:textId="77777777" w:rsidR="006E1AB3" w:rsidRDefault="006E1AB3" w:rsidP="006E1AB3">
      <w:pPr>
        <w:pStyle w:val="a3"/>
        <w:numPr>
          <w:ilvl w:val="1"/>
          <w:numId w:val="4"/>
        </w:numPr>
        <w:ind w:left="998" w:hanging="340"/>
        <w:rPr>
          <w:lang w:val="sl-SI"/>
        </w:rPr>
      </w:pPr>
      <w:r>
        <w:rPr>
          <w:rFonts w:eastAsia="Times New Roman"/>
          <w:lang w:val="sl-SI"/>
        </w:rPr>
        <w:t>Če se med zdravljenjem ali po njem pojavijo simptomi tuberkuloze (npr. kašelj, ki ne preneha, hujšanje, pomanjkanje energije, rahlo zvišana telesna temperatura) ali kakšne druge okužbe, to takoj povejte zdravniku.</w:t>
      </w:r>
    </w:p>
    <w:p w14:paraId="4F77047B" w14:textId="77777777" w:rsidR="006E1AB3" w:rsidRDefault="006E1AB3" w:rsidP="006E1AB3">
      <w:pPr>
        <w:spacing w:before="11" w:line="240" w:lineRule="exact"/>
        <w:rPr>
          <w:sz w:val="24"/>
          <w:szCs w:val="24"/>
          <w:lang w:val="sl-SI"/>
        </w:rPr>
      </w:pPr>
    </w:p>
    <w:p w14:paraId="23F3CC42" w14:textId="77777777" w:rsidR="006E1AB3" w:rsidRDefault="006E1AB3" w:rsidP="006E1AB3">
      <w:pPr>
        <w:pStyle w:val="a3"/>
        <w:rPr>
          <w:u w:val="single"/>
          <w:lang w:val="sl-SI"/>
        </w:rPr>
      </w:pPr>
      <w:r>
        <w:rPr>
          <w:rFonts w:eastAsia="Times New Roman"/>
          <w:u w:val="single" w:color="000000"/>
          <w:lang w:val="sl-SI"/>
        </w:rPr>
        <w:t>Hepatitis B</w:t>
      </w:r>
    </w:p>
    <w:p w14:paraId="5AEFD731" w14:textId="77777777" w:rsidR="006E1AB3" w:rsidRDefault="006E1AB3" w:rsidP="006E1AB3">
      <w:pPr>
        <w:spacing w:before="4" w:line="190" w:lineRule="exact"/>
        <w:rPr>
          <w:sz w:val="19"/>
          <w:szCs w:val="19"/>
          <w:lang w:val="sl-SI"/>
        </w:rPr>
      </w:pPr>
    </w:p>
    <w:p w14:paraId="3E1F5D20" w14:textId="77777777" w:rsidR="006E1AB3" w:rsidRDefault="006E1AB3" w:rsidP="006E1AB3">
      <w:pPr>
        <w:pStyle w:val="a3"/>
        <w:numPr>
          <w:ilvl w:val="1"/>
          <w:numId w:val="4"/>
        </w:numPr>
        <w:ind w:left="660" w:hanging="660"/>
        <w:rPr>
          <w:lang w:val="sl-SI"/>
        </w:rPr>
      </w:pPr>
      <w:r w:rsidRPr="007811C6">
        <w:rPr>
          <w:lang w:val="sl-SI"/>
        </w:rPr>
        <w:t>Zdravniku morate povedati, če je vaš otrok nosilec virusa hepatitisa B (HBV), če ima aktiven HBV ali če mislite, da bi lahko dobil HBV</w:t>
      </w:r>
      <w:r>
        <w:rPr>
          <w:rFonts w:eastAsia="Times New Roman"/>
          <w:lang w:val="sl-SI"/>
        </w:rPr>
        <w:t>.</w:t>
      </w:r>
    </w:p>
    <w:p w14:paraId="544464CC" w14:textId="77777777" w:rsidR="006E1AB3" w:rsidRDefault="006E1AB3" w:rsidP="006E1AB3">
      <w:pPr>
        <w:pStyle w:val="a3"/>
        <w:numPr>
          <w:ilvl w:val="1"/>
          <w:numId w:val="4"/>
        </w:numPr>
        <w:ind w:left="998" w:hanging="340"/>
        <w:rPr>
          <w:lang w:val="sl-SI"/>
        </w:rPr>
      </w:pPr>
      <w:r>
        <w:rPr>
          <w:rFonts w:eastAsia="Times New Roman"/>
          <w:lang w:val="sl-SI"/>
        </w:rPr>
        <w:t>Vaš zdravnik vas mora testirati na HBV. Zdravilo Yuflyma lahko pri nosilcih HBV povzroči reaktivacijo tega virusa.</w:t>
      </w:r>
    </w:p>
    <w:p w14:paraId="5EDBCD95" w14:textId="77777777" w:rsidR="006E1AB3" w:rsidRDefault="006E1AB3" w:rsidP="006E1AB3">
      <w:pPr>
        <w:pStyle w:val="a3"/>
        <w:numPr>
          <w:ilvl w:val="1"/>
          <w:numId w:val="4"/>
        </w:numPr>
        <w:ind w:left="998" w:hanging="340"/>
        <w:rPr>
          <w:lang w:val="sl-SI"/>
        </w:rPr>
      </w:pPr>
      <w:r w:rsidRPr="007811C6">
        <w:rPr>
          <w:lang w:val="sl-SI"/>
        </w:rPr>
        <w:t>V redkih primerih, zlasti če vaš otrok uporablja druga zdravila, ki zavirajo imunski sistem, je reaktivacija HBV lahko življenjsko ogrožajoča</w:t>
      </w:r>
      <w:r>
        <w:rPr>
          <w:rFonts w:eastAsia="Times New Roman"/>
          <w:lang w:val="sl-SI"/>
        </w:rPr>
        <w:t>.</w:t>
      </w:r>
    </w:p>
    <w:p w14:paraId="316AC76A" w14:textId="77777777" w:rsidR="006E1AB3" w:rsidRDefault="006E1AB3" w:rsidP="006E1AB3">
      <w:pPr>
        <w:spacing w:before="11" w:line="240" w:lineRule="exact"/>
        <w:rPr>
          <w:sz w:val="24"/>
          <w:szCs w:val="24"/>
          <w:lang w:val="sl-SI"/>
        </w:rPr>
      </w:pPr>
    </w:p>
    <w:p w14:paraId="6870F1C4" w14:textId="77777777" w:rsidR="006E1AB3" w:rsidRDefault="006E1AB3" w:rsidP="006E1AB3">
      <w:pPr>
        <w:pStyle w:val="a3"/>
        <w:rPr>
          <w:u w:val="single"/>
          <w:lang w:val="sl-SI"/>
        </w:rPr>
      </w:pPr>
      <w:r>
        <w:rPr>
          <w:rFonts w:eastAsia="Times New Roman"/>
          <w:u w:val="single" w:color="000000"/>
          <w:lang w:val="sl-SI"/>
        </w:rPr>
        <w:t>Kirurški poseg ali poseg na zobeh</w:t>
      </w:r>
    </w:p>
    <w:p w14:paraId="4FF7D840" w14:textId="77777777" w:rsidR="006E1AB3" w:rsidRDefault="006E1AB3" w:rsidP="006E1AB3">
      <w:pPr>
        <w:spacing w:before="4" w:line="190" w:lineRule="exact"/>
        <w:rPr>
          <w:sz w:val="19"/>
          <w:szCs w:val="19"/>
          <w:lang w:val="sl-SI"/>
        </w:rPr>
      </w:pPr>
    </w:p>
    <w:p w14:paraId="722FE63D" w14:textId="77777777" w:rsidR="006E1AB3" w:rsidRDefault="006E1AB3" w:rsidP="006E1AB3">
      <w:pPr>
        <w:pStyle w:val="a3"/>
        <w:numPr>
          <w:ilvl w:val="1"/>
          <w:numId w:val="4"/>
        </w:numPr>
        <w:ind w:left="660" w:hanging="660"/>
        <w:rPr>
          <w:lang w:val="sl-SI"/>
        </w:rPr>
      </w:pPr>
      <w:r w:rsidRPr="007811C6">
        <w:rPr>
          <w:lang w:val="sl-SI"/>
        </w:rPr>
        <w:t xml:space="preserve">Če bo vaš otrok imel kirurški poseg ali poseg na zobeh, prosimo, povejte zdravniku, da jemlje zdravilo </w:t>
      </w:r>
      <w:r>
        <w:rPr>
          <w:lang w:val="sl-SI"/>
        </w:rPr>
        <w:t>Yuflyma</w:t>
      </w:r>
      <w:r w:rsidRPr="007811C6">
        <w:rPr>
          <w:lang w:val="sl-SI"/>
        </w:rPr>
        <w:t>. Zdravnik bo morda priporočil začasno prenehanje uporabe zdravila Yuflyma</w:t>
      </w:r>
      <w:r>
        <w:rPr>
          <w:rFonts w:eastAsia="Times New Roman"/>
          <w:lang w:val="sl-SI"/>
        </w:rPr>
        <w:t>.</w:t>
      </w:r>
    </w:p>
    <w:p w14:paraId="32A0ADF1" w14:textId="77777777" w:rsidR="006E1AB3" w:rsidRDefault="006E1AB3" w:rsidP="006E1AB3">
      <w:pPr>
        <w:spacing w:before="8" w:line="240" w:lineRule="exact"/>
        <w:rPr>
          <w:sz w:val="24"/>
          <w:szCs w:val="24"/>
          <w:lang w:val="sl-SI"/>
        </w:rPr>
      </w:pPr>
    </w:p>
    <w:p w14:paraId="593DD316" w14:textId="77777777" w:rsidR="006E1AB3" w:rsidRDefault="006E1AB3" w:rsidP="006E1AB3">
      <w:pPr>
        <w:pStyle w:val="a3"/>
        <w:rPr>
          <w:u w:val="single"/>
          <w:lang w:val="sl-SI"/>
        </w:rPr>
      </w:pPr>
      <w:r>
        <w:rPr>
          <w:rFonts w:eastAsia="Times New Roman"/>
          <w:u w:val="single" w:color="000000"/>
          <w:lang w:val="sl-SI"/>
        </w:rPr>
        <w:t>Demielinizirajoča bolezen</w:t>
      </w:r>
    </w:p>
    <w:p w14:paraId="33D7D958" w14:textId="77777777" w:rsidR="006E1AB3" w:rsidRDefault="006E1AB3" w:rsidP="006E1AB3">
      <w:pPr>
        <w:spacing w:before="4" w:line="190" w:lineRule="exact"/>
        <w:rPr>
          <w:sz w:val="19"/>
          <w:szCs w:val="19"/>
          <w:lang w:val="sl-SI"/>
        </w:rPr>
      </w:pPr>
    </w:p>
    <w:p w14:paraId="7AB9E373" w14:textId="77777777" w:rsidR="006E1AB3" w:rsidRDefault="006E1AB3" w:rsidP="006E1AB3">
      <w:pPr>
        <w:pStyle w:val="a3"/>
        <w:numPr>
          <w:ilvl w:val="1"/>
          <w:numId w:val="4"/>
        </w:numPr>
        <w:ind w:left="660" w:hanging="660"/>
        <w:rPr>
          <w:lang w:val="sl-SI"/>
        </w:rPr>
      </w:pPr>
      <w:r w:rsidRPr="007811C6">
        <w:rPr>
          <w:lang w:val="sl-SI"/>
        </w:rPr>
        <w:t xml:space="preserve">Če vaš otrok ima ali pa se pri njem razvija demielinizirajoča bolezen (bolezen, ki prizadene izolacijsko plast okoli živcev, kot je multipla skleroza), bo zdravnik presodil, ali lahko prejema zdravilo </w:t>
      </w:r>
      <w:r>
        <w:rPr>
          <w:lang w:val="sl-SI"/>
        </w:rPr>
        <w:t>Yuflyma</w:t>
      </w:r>
      <w:r w:rsidRPr="007811C6">
        <w:rPr>
          <w:lang w:val="sl-SI"/>
        </w:rPr>
        <w:t>. Zdravniku takoj povejte, če se pri vašem otroku pojavijo simptomi, kot so spremembe vida, šibkost rok ali nog ali pa odrevenelost ali mravljinčenje v katerem koli delu telesa</w:t>
      </w:r>
      <w:r>
        <w:rPr>
          <w:rFonts w:eastAsia="Times New Roman"/>
          <w:lang w:val="sl-SI"/>
        </w:rPr>
        <w:t>.</w:t>
      </w:r>
    </w:p>
    <w:p w14:paraId="4857B4DA" w14:textId="77777777" w:rsidR="006E1AB3" w:rsidRDefault="006E1AB3" w:rsidP="006E1AB3">
      <w:pPr>
        <w:spacing w:before="14" w:line="240" w:lineRule="exact"/>
        <w:rPr>
          <w:sz w:val="24"/>
          <w:szCs w:val="24"/>
          <w:lang w:val="sl-SI"/>
        </w:rPr>
      </w:pPr>
    </w:p>
    <w:p w14:paraId="67C1F59F" w14:textId="77777777" w:rsidR="006E1AB3" w:rsidRDefault="006E1AB3" w:rsidP="006E1AB3">
      <w:pPr>
        <w:pStyle w:val="a3"/>
        <w:rPr>
          <w:u w:val="single"/>
          <w:lang w:val="sl-SI"/>
        </w:rPr>
      </w:pPr>
      <w:r>
        <w:rPr>
          <w:rFonts w:eastAsia="Times New Roman"/>
          <w:u w:val="single" w:color="000000"/>
          <w:lang w:val="sl-SI"/>
        </w:rPr>
        <w:t>Cepljenja</w:t>
      </w:r>
    </w:p>
    <w:p w14:paraId="16F8BA38" w14:textId="77777777" w:rsidR="006E1AB3" w:rsidRDefault="006E1AB3" w:rsidP="006E1AB3">
      <w:pPr>
        <w:spacing w:before="4" w:line="190" w:lineRule="exact"/>
        <w:rPr>
          <w:sz w:val="19"/>
          <w:szCs w:val="19"/>
          <w:lang w:val="sl-SI"/>
        </w:rPr>
      </w:pPr>
    </w:p>
    <w:p w14:paraId="5F0CA792" w14:textId="77777777" w:rsidR="006E1AB3" w:rsidRDefault="006E1AB3" w:rsidP="006E1AB3">
      <w:pPr>
        <w:pStyle w:val="a3"/>
        <w:numPr>
          <w:ilvl w:val="1"/>
          <w:numId w:val="4"/>
        </w:numPr>
        <w:ind w:left="660" w:hanging="660"/>
        <w:rPr>
          <w:lang w:val="sl-SI"/>
        </w:rPr>
      </w:pPr>
      <w:r>
        <w:rPr>
          <w:rFonts w:eastAsia="Times New Roman"/>
          <w:lang w:val="sl-SI"/>
        </w:rPr>
        <w:t>Določena cepiva lahko povzročijo okužbe, zato se jih med zdravljenjem z zdravilom Yuflyma ne sme uporabljati.</w:t>
      </w:r>
    </w:p>
    <w:p w14:paraId="038572D8" w14:textId="77777777" w:rsidR="006E1AB3" w:rsidRDefault="006E1AB3" w:rsidP="006E1AB3">
      <w:pPr>
        <w:spacing w:before="11" w:line="240" w:lineRule="exact"/>
        <w:rPr>
          <w:sz w:val="24"/>
          <w:szCs w:val="24"/>
          <w:lang w:val="sl-SI"/>
        </w:rPr>
      </w:pPr>
    </w:p>
    <w:p w14:paraId="3193840A" w14:textId="77777777" w:rsidR="006E1AB3" w:rsidRDefault="006E1AB3" w:rsidP="006E1AB3">
      <w:pPr>
        <w:pStyle w:val="a3"/>
        <w:numPr>
          <w:ilvl w:val="1"/>
          <w:numId w:val="4"/>
        </w:numPr>
        <w:ind w:left="998" w:hanging="340"/>
        <w:rPr>
          <w:lang w:val="sl-SI"/>
        </w:rPr>
      </w:pPr>
      <w:r w:rsidRPr="007811C6">
        <w:rPr>
          <w:lang w:val="sl-SI"/>
        </w:rPr>
        <w:t>Preden vaš otrok opravi kakršno koli cepljenje, se posvetujte z zdravnikom</w:t>
      </w:r>
      <w:r>
        <w:rPr>
          <w:rFonts w:eastAsia="Times New Roman"/>
          <w:lang w:val="sl-SI"/>
        </w:rPr>
        <w:t>.</w:t>
      </w:r>
    </w:p>
    <w:p w14:paraId="033D369F" w14:textId="77777777" w:rsidR="006E1AB3" w:rsidRDefault="006E1AB3" w:rsidP="006E1AB3">
      <w:pPr>
        <w:pStyle w:val="a3"/>
        <w:numPr>
          <w:ilvl w:val="1"/>
          <w:numId w:val="4"/>
        </w:numPr>
        <w:ind w:left="998" w:hanging="340"/>
        <w:rPr>
          <w:lang w:val="sl-SI"/>
        </w:rPr>
      </w:pPr>
      <w:r>
        <w:rPr>
          <w:rFonts w:eastAsia="Times New Roman"/>
          <w:lang w:val="sl-SI"/>
        </w:rPr>
        <w:t>Priporočljivo je, če je le mogoče, da otroci pred začetkom zdravljenja z zdravilom Yuflyma opravijo vsa cepljenja za svojo starost.</w:t>
      </w:r>
    </w:p>
    <w:p w14:paraId="5E653412" w14:textId="77777777" w:rsidR="006E1AB3" w:rsidRDefault="006E1AB3" w:rsidP="006E1AB3">
      <w:pPr>
        <w:pStyle w:val="a3"/>
        <w:numPr>
          <w:ilvl w:val="1"/>
          <w:numId w:val="4"/>
        </w:numPr>
        <w:ind w:left="998" w:hanging="340"/>
        <w:rPr>
          <w:lang w:val="sl-SI"/>
        </w:rPr>
      </w:pPr>
      <w:r w:rsidRPr="007811C6">
        <w:rPr>
          <w:lang w:val="sl-SI"/>
        </w:rPr>
        <w:t xml:space="preserve">Če ste prejemali zdravilo </w:t>
      </w:r>
      <w:r>
        <w:rPr>
          <w:lang w:val="sl-SI"/>
        </w:rPr>
        <w:t>Yuflyma</w:t>
      </w:r>
      <w:r w:rsidRPr="007811C6">
        <w:rPr>
          <w:lang w:val="sl-SI"/>
        </w:rPr>
        <w:t xml:space="preserve"> med nosečnostjo, obstaja večje tveganje, da bo vaš otrok dobil takšno okužbo do približno pet mesecev po zadnjem odmerku, ki ste ga prejeli med nosečnostjo. Zato je pomembno, da obvestite zdravnika vašega otroka in druge zdravstvene delavce, da ste med nosečnostjo prejemali zdravilo </w:t>
      </w:r>
      <w:r>
        <w:rPr>
          <w:lang w:val="sl-SI"/>
        </w:rPr>
        <w:t>Yuflyma</w:t>
      </w:r>
      <w:r w:rsidRPr="007811C6">
        <w:rPr>
          <w:lang w:val="sl-SI"/>
        </w:rPr>
        <w:t>, da se lahko odločijo, kdaj bo vaš otrok lahko prejel katero koli cepivo</w:t>
      </w:r>
      <w:r>
        <w:rPr>
          <w:rFonts w:eastAsia="Times New Roman"/>
          <w:lang w:val="sl-SI"/>
        </w:rPr>
        <w:t>.</w:t>
      </w:r>
    </w:p>
    <w:p w14:paraId="6B8B8D3A" w14:textId="77777777" w:rsidR="006E1AB3" w:rsidRDefault="006E1AB3" w:rsidP="006E1AB3">
      <w:pPr>
        <w:spacing w:before="14" w:line="240" w:lineRule="exact"/>
        <w:rPr>
          <w:sz w:val="24"/>
          <w:szCs w:val="24"/>
          <w:lang w:val="sl-SI"/>
        </w:rPr>
      </w:pPr>
    </w:p>
    <w:p w14:paraId="63B5D01F" w14:textId="77777777" w:rsidR="006E1AB3" w:rsidRDefault="006E1AB3" w:rsidP="006E1AB3">
      <w:pPr>
        <w:pStyle w:val="a3"/>
        <w:rPr>
          <w:u w:val="single"/>
          <w:lang w:val="sl-SI"/>
        </w:rPr>
      </w:pPr>
      <w:r>
        <w:rPr>
          <w:rFonts w:eastAsia="Times New Roman"/>
          <w:u w:val="single" w:color="000000"/>
          <w:lang w:val="sl-SI"/>
        </w:rPr>
        <w:t>Srčno popuščanje</w:t>
      </w:r>
    </w:p>
    <w:p w14:paraId="50FE1E63" w14:textId="77777777" w:rsidR="006E1AB3" w:rsidRDefault="006E1AB3" w:rsidP="006E1AB3">
      <w:pPr>
        <w:spacing w:before="4" w:line="190" w:lineRule="exact"/>
        <w:rPr>
          <w:sz w:val="19"/>
          <w:szCs w:val="19"/>
          <w:lang w:val="sl-SI"/>
        </w:rPr>
      </w:pPr>
    </w:p>
    <w:p w14:paraId="3FE08FBC" w14:textId="77777777" w:rsidR="006E1AB3" w:rsidRDefault="006E1AB3" w:rsidP="006E1AB3">
      <w:pPr>
        <w:pStyle w:val="a3"/>
        <w:numPr>
          <w:ilvl w:val="1"/>
          <w:numId w:val="4"/>
        </w:numPr>
        <w:ind w:left="660" w:hanging="660"/>
        <w:rPr>
          <w:lang w:val="sl-SI"/>
        </w:rPr>
      </w:pPr>
      <w:r w:rsidRPr="007811C6">
        <w:rPr>
          <w:lang w:val="sl-SI"/>
        </w:rPr>
        <w:t xml:space="preserve">Če ima vaš otrok blago srčno popuščanje in se zdravi z zdravilom </w:t>
      </w:r>
      <w:r>
        <w:rPr>
          <w:lang w:val="sl-SI"/>
        </w:rPr>
        <w:t>Yuflyma</w:t>
      </w:r>
      <w:r w:rsidRPr="007811C6">
        <w:rPr>
          <w:lang w:val="sl-SI"/>
        </w:rPr>
        <w:t xml:space="preserve">, mora zdravnik natančno nadzorovati stanje srčnega popuščanja pri vašem otroku. Pomembno je, da zdravniku poveste, če je vaš otrok imel ali ima kakšno resno bolezen srca. Če se simptomi srčnega popuščanja (npr. težko dihanje ali otekanje nog) pojavijo na novo ali se poslabšajo, se morate takoj obrniti na zdravnika. </w:t>
      </w:r>
      <w:r w:rsidRPr="00566D4D">
        <w:rPr>
          <w:lang w:val="sl-SI"/>
        </w:rPr>
        <w:t>On se bo odločil, ali lahko vaš otrok dobiva zdravilo Yuflyma</w:t>
      </w:r>
      <w:r>
        <w:rPr>
          <w:rFonts w:eastAsia="Times New Roman"/>
          <w:lang w:val="sl-SI"/>
        </w:rPr>
        <w:t>.</w:t>
      </w:r>
    </w:p>
    <w:p w14:paraId="24F6FBFC" w14:textId="77777777" w:rsidR="006E1AB3" w:rsidRDefault="006E1AB3" w:rsidP="006E1AB3">
      <w:pPr>
        <w:spacing w:before="14" w:line="240" w:lineRule="exact"/>
        <w:rPr>
          <w:sz w:val="24"/>
          <w:szCs w:val="24"/>
          <w:lang w:val="sl-SI"/>
        </w:rPr>
      </w:pPr>
    </w:p>
    <w:p w14:paraId="322DC079" w14:textId="77777777" w:rsidR="006E1AB3" w:rsidRDefault="006E1AB3" w:rsidP="006E1AB3">
      <w:pPr>
        <w:pStyle w:val="a3"/>
        <w:rPr>
          <w:u w:val="single"/>
          <w:lang w:val="sl-SI"/>
        </w:rPr>
      </w:pPr>
      <w:r>
        <w:rPr>
          <w:rFonts w:eastAsia="Times New Roman"/>
          <w:u w:val="single" w:color="000000"/>
          <w:lang w:val="sl-SI"/>
        </w:rPr>
        <w:t>Zvišana telesna temperatura, podplutbe, krvavitve ali bledica</w:t>
      </w:r>
    </w:p>
    <w:p w14:paraId="203DB834" w14:textId="77777777" w:rsidR="006E1AB3" w:rsidRDefault="006E1AB3" w:rsidP="006E1AB3">
      <w:pPr>
        <w:spacing w:before="4" w:line="190" w:lineRule="exact"/>
        <w:rPr>
          <w:sz w:val="19"/>
          <w:szCs w:val="19"/>
          <w:lang w:val="sl-SI"/>
        </w:rPr>
      </w:pPr>
    </w:p>
    <w:p w14:paraId="7AD058FC" w14:textId="77777777" w:rsidR="006E1AB3" w:rsidRDefault="006E1AB3" w:rsidP="006E1AB3">
      <w:pPr>
        <w:pStyle w:val="a3"/>
        <w:numPr>
          <w:ilvl w:val="1"/>
          <w:numId w:val="4"/>
        </w:numPr>
        <w:ind w:left="660" w:hanging="660"/>
        <w:rPr>
          <w:lang w:val="sl-SI"/>
        </w:rPr>
      </w:pPr>
      <w:r w:rsidRPr="007811C6">
        <w:rPr>
          <w:lang w:val="sl-SI"/>
        </w:rPr>
        <w:t xml:space="preserve">Pri nekaterih bolnikih telo ne ustvari dovolj krvnih celic, ki pomagajo pri premagovanju okužbe ali ustavitvi krvavitve. Če vaš otrok dobi zvišano telesno temperaturo, ki ne mine, če se mu pojavljajo podplutbe, zlahka zakrvavi ali je zelo bled, se takoj posvetujte z zdravnikom. </w:t>
      </w:r>
      <w:r>
        <w:t>Morda se bo odločil, da se zdravljenje prekine</w:t>
      </w:r>
      <w:r>
        <w:rPr>
          <w:rFonts w:eastAsia="Times New Roman"/>
          <w:lang w:val="sl-SI"/>
        </w:rPr>
        <w:t>.</w:t>
      </w:r>
    </w:p>
    <w:p w14:paraId="25F2C14C" w14:textId="77777777" w:rsidR="006E1AB3" w:rsidRDefault="006E1AB3" w:rsidP="006E1AB3">
      <w:pPr>
        <w:pStyle w:val="a3"/>
        <w:rPr>
          <w:u w:val="single"/>
          <w:lang w:val="sl-SI"/>
        </w:rPr>
      </w:pPr>
    </w:p>
    <w:p w14:paraId="6CEE3CED" w14:textId="77777777" w:rsidR="006E1AB3" w:rsidRDefault="006E1AB3" w:rsidP="006E1AB3">
      <w:pPr>
        <w:pStyle w:val="a3"/>
        <w:rPr>
          <w:u w:val="single"/>
          <w:lang w:val="sl-SI"/>
        </w:rPr>
      </w:pPr>
      <w:r>
        <w:rPr>
          <w:rFonts w:eastAsia="Times New Roman"/>
          <w:u w:val="single"/>
          <w:lang w:val="sl-SI"/>
        </w:rPr>
        <w:t>Rak</w:t>
      </w:r>
    </w:p>
    <w:p w14:paraId="0AA43268" w14:textId="77777777" w:rsidR="006E1AB3" w:rsidRDefault="006E1AB3" w:rsidP="006E1AB3">
      <w:pPr>
        <w:pStyle w:val="a3"/>
        <w:rPr>
          <w:u w:val="single"/>
          <w:lang w:val="sl-SI"/>
        </w:rPr>
      </w:pPr>
    </w:p>
    <w:p w14:paraId="582E7F3F" w14:textId="77777777" w:rsidR="006E1AB3" w:rsidRDefault="006E1AB3" w:rsidP="006E1AB3">
      <w:pPr>
        <w:pStyle w:val="a3"/>
        <w:numPr>
          <w:ilvl w:val="1"/>
          <w:numId w:val="4"/>
        </w:numPr>
        <w:ind w:left="660" w:hanging="660"/>
        <w:rPr>
          <w:lang w:val="sl-SI"/>
        </w:rPr>
      </w:pPr>
      <w:r>
        <w:rPr>
          <w:rFonts w:eastAsia="Times New Roman"/>
          <w:lang w:val="sl-SI"/>
        </w:rPr>
        <w:t>Med bolniki (otroci in odraslimi), ki so jemali zdravilo Yuflyma ali druge zaviralce TNF, so se pojavili zelo redki primeri določenih vrst raka.</w:t>
      </w:r>
    </w:p>
    <w:p w14:paraId="0AD467F6" w14:textId="77777777" w:rsidR="006E1AB3" w:rsidRDefault="006E1AB3" w:rsidP="006E1AB3">
      <w:pPr>
        <w:pStyle w:val="a3"/>
        <w:rPr>
          <w:lang w:val="sl-SI"/>
        </w:rPr>
      </w:pPr>
    </w:p>
    <w:p w14:paraId="11A4F434" w14:textId="77777777" w:rsidR="006E1AB3" w:rsidRDefault="006E1AB3" w:rsidP="006E1AB3">
      <w:pPr>
        <w:pStyle w:val="a3"/>
        <w:numPr>
          <w:ilvl w:val="1"/>
          <w:numId w:val="4"/>
        </w:numPr>
        <w:ind w:left="998" w:hanging="340"/>
        <w:rPr>
          <w:lang w:val="sl-SI"/>
        </w:rPr>
      </w:pPr>
      <w:r>
        <w:rPr>
          <w:rFonts w:eastAsia="Times New Roman"/>
          <w:lang w:val="sl-SI"/>
        </w:rPr>
        <w:t>Pri bolnikih z resnejšim revmatoidnim artritisom, ki imajo bolezen že dolgo, obstaja povečana verjetnost, da zbolijo za limfomom (rak, ki prizadene limfatični sistem) in levkemijo (rak, ki prizadene kri in kostni mozeg).</w:t>
      </w:r>
    </w:p>
    <w:p w14:paraId="00392C56" w14:textId="77777777" w:rsidR="006E1AB3" w:rsidRDefault="006E1AB3" w:rsidP="006E1AB3">
      <w:pPr>
        <w:pStyle w:val="a3"/>
        <w:numPr>
          <w:ilvl w:val="1"/>
          <w:numId w:val="4"/>
        </w:numPr>
        <w:ind w:left="998" w:hanging="340"/>
        <w:rPr>
          <w:lang w:val="sl-SI"/>
        </w:rPr>
      </w:pPr>
      <w:r w:rsidRPr="007811C6">
        <w:rPr>
          <w:lang w:val="sl-SI"/>
        </w:rPr>
        <w:t xml:space="preserve">Če vaš otrok uporablja zdravilo </w:t>
      </w:r>
      <w:r>
        <w:rPr>
          <w:lang w:val="sl-SI"/>
        </w:rPr>
        <w:t>Yuflyma</w:t>
      </w:r>
      <w:r w:rsidRPr="007811C6">
        <w:rPr>
          <w:lang w:val="sl-SI"/>
        </w:rPr>
        <w:t xml:space="preserve">, se mu lahko poveča tveganje za pojav limfoma, levkemije ali drugih vrst raka. </w:t>
      </w:r>
      <w:r w:rsidRPr="00566D4D">
        <w:rPr>
          <w:lang w:val="sl-SI"/>
        </w:rPr>
        <w:t>V redkih primerih so pri bolnikih, ki dobivajo zdravilo Yuflyma, opazili specifično in resno obliko limfoma. Nekateri od teh bolnikov so bili zdravljeni tudi z azatioprinom ali 6-merkaptopurinom</w:t>
      </w:r>
      <w:r>
        <w:rPr>
          <w:rFonts w:eastAsia="Times New Roman"/>
          <w:lang w:val="sl-SI"/>
        </w:rPr>
        <w:t>.</w:t>
      </w:r>
    </w:p>
    <w:p w14:paraId="2C66909F" w14:textId="77777777" w:rsidR="006E1AB3" w:rsidRDefault="006E1AB3" w:rsidP="006E1AB3">
      <w:pPr>
        <w:pStyle w:val="a3"/>
        <w:numPr>
          <w:ilvl w:val="1"/>
          <w:numId w:val="4"/>
        </w:numPr>
        <w:ind w:left="998" w:hanging="340"/>
        <w:rPr>
          <w:lang w:val="sl-SI"/>
        </w:rPr>
      </w:pPr>
      <w:r w:rsidRPr="007811C6">
        <w:rPr>
          <w:lang w:val="sl-SI"/>
        </w:rPr>
        <w:t xml:space="preserve">Povejte zdravniku, če vaš otrok prejema azatioprin ali 6-merkaptopurin sočasno z zdravilom </w:t>
      </w:r>
      <w:r>
        <w:rPr>
          <w:lang w:val="sl-SI"/>
        </w:rPr>
        <w:t>Yuflyma</w:t>
      </w:r>
      <w:r>
        <w:rPr>
          <w:rFonts w:eastAsia="Times New Roman"/>
          <w:lang w:val="sl-SI"/>
        </w:rPr>
        <w:t>.</w:t>
      </w:r>
    </w:p>
    <w:p w14:paraId="75C6F223" w14:textId="77777777" w:rsidR="006E1AB3" w:rsidRDefault="006E1AB3" w:rsidP="006E1AB3">
      <w:pPr>
        <w:pStyle w:val="a3"/>
        <w:numPr>
          <w:ilvl w:val="1"/>
          <w:numId w:val="4"/>
        </w:numPr>
        <w:ind w:left="998" w:hanging="340"/>
        <w:rPr>
          <w:lang w:val="sl-SI"/>
        </w:rPr>
      </w:pPr>
      <w:r>
        <w:rPr>
          <w:rFonts w:eastAsia="Times New Roman"/>
          <w:lang w:val="sl-SI"/>
        </w:rPr>
        <w:t>Poleg tega so pri bolnikih, zdravljenih z zdravilom Yuflyma, opazili primere nemelanomskega kožnega raka.</w:t>
      </w:r>
    </w:p>
    <w:p w14:paraId="6C4410CA" w14:textId="77777777" w:rsidR="006E1AB3" w:rsidRDefault="006E1AB3" w:rsidP="006E1AB3">
      <w:pPr>
        <w:pStyle w:val="a3"/>
        <w:numPr>
          <w:ilvl w:val="1"/>
          <w:numId w:val="4"/>
        </w:numPr>
        <w:ind w:left="998" w:hanging="340"/>
        <w:rPr>
          <w:lang w:val="sl-SI"/>
        </w:rPr>
      </w:pPr>
      <w:r>
        <w:rPr>
          <w:rFonts w:eastAsia="Times New Roman"/>
          <w:lang w:val="sl-SI"/>
        </w:rPr>
        <w:t>Če se vam med zdravljenjem ali po njem pojavijo nove spremembe na koži, ali če se vam spremeni videz obstoječih sprememb, morate to povedati zdravniku.</w:t>
      </w:r>
    </w:p>
    <w:p w14:paraId="0A44FAC4" w14:textId="77777777" w:rsidR="006E1AB3" w:rsidRDefault="006E1AB3" w:rsidP="006E1AB3">
      <w:pPr>
        <w:pStyle w:val="a3"/>
        <w:rPr>
          <w:lang w:val="sl-SI"/>
        </w:rPr>
      </w:pPr>
    </w:p>
    <w:p w14:paraId="1354DB8A" w14:textId="77777777" w:rsidR="006E1AB3" w:rsidRDefault="006E1AB3" w:rsidP="006E1AB3">
      <w:pPr>
        <w:pStyle w:val="a3"/>
        <w:numPr>
          <w:ilvl w:val="1"/>
          <w:numId w:val="4"/>
        </w:numPr>
        <w:ind w:left="660" w:hanging="660"/>
        <w:rPr>
          <w:lang w:val="sl-SI"/>
        </w:rPr>
      </w:pPr>
      <w:r w:rsidRPr="007811C6">
        <w:rPr>
          <w:lang w:val="sl-SI"/>
        </w:rPr>
        <w:t>Pri bolnikih s posebno boleznijo pljuč, t.i. kronično obstruktivno pljučno boleznijo (KOPB), zdravljenih z nekim drugim zaviralcem TNF, so bili primeri rakov, ki niso bili limfomi. Če ima vaš otrok KOPB ali če veliko kadi, se morate z zdravnikom posvetovati, ali je zdravljenje z zaviralcem TNF za vašega otroka primerno</w:t>
      </w:r>
      <w:r>
        <w:rPr>
          <w:rFonts w:eastAsia="Times New Roman"/>
          <w:lang w:val="sl-SI"/>
        </w:rPr>
        <w:t>.</w:t>
      </w:r>
    </w:p>
    <w:p w14:paraId="397708A9" w14:textId="77777777" w:rsidR="006E1AB3" w:rsidRDefault="006E1AB3" w:rsidP="006E1AB3">
      <w:pPr>
        <w:spacing w:before="11" w:line="240" w:lineRule="exact"/>
        <w:rPr>
          <w:sz w:val="24"/>
          <w:szCs w:val="24"/>
          <w:lang w:val="sl-SI"/>
        </w:rPr>
      </w:pPr>
    </w:p>
    <w:p w14:paraId="269418D5" w14:textId="77777777" w:rsidR="006E1AB3" w:rsidRDefault="006E1AB3" w:rsidP="006E1AB3">
      <w:pPr>
        <w:pStyle w:val="a3"/>
        <w:rPr>
          <w:u w:val="single"/>
          <w:lang w:val="sl-SI"/>
        </w:rPr>
      </w:pPr>
      <w:r>
        <w:rPr>
          <w:rFonts w:eastAsia="Times New Roman"/>
          <w:u w:val="single" w:color="000000"/>
          <w:lang w:val="sl-SI"/>
        </w:rPr>
        <w:t>Avtoimunska bolezen</w:t>
      </w:r>
    </w:p>
    <w:p w14:paraId="1A896A44" w14:textId="77777777" w:rsidR="006E1AB3" w:rsidRDefault="006E1AB3" w:rsidP="006E1AB3">
      <w:pPr>
        <w:spacing w:before="4" w:line="190" w:lineRule="exact"/>
        <w:rPr>
          <w:sz w:val="19"/>
          <w:szCs w:val="19"/>
          <w:lang w:val="sl-SI"/>
        </w:rPr>
      </w:pPr>
    </w:p>
    <w:p w14:paraId="24BE5FBD" w14:textId="77777777" w:rsidR="006E1AB3" w:rsidRDefault="006E1AB3" w:rsidP="006E1AB3">
      <w:pPr>
        <w:pStyle w:val="a3"/>
        <w:numPr>
          <w:ilvl w:val="1"/>
          <w:numId w:val="4"/>
        </w:numPr>
        <w:ind w:left="660" w:hanging="660"/>
        <w:rPr>
          <w:lang w:val="sl-SI"/>
        </w:rPr>
      </w:pPr>
      <w:r>
        <w:rPr>
          <w:rFonts w:eastAsia="Times New Roman"/>
          <w:lang w:val="sl-SI"/>
        </w:rPr>
        <w:t>V redkih primerih lahko zdravljenje z zdravilom Yuflyma povzroči lupusu podoben sindrom. Če se pojavijo simptomi, kot so trdovratni nepojasnjeni izpuščaji, zvišana telesna temperatura, bolečine v sklepih ali utrujenost, se posvetujte z zdravnikom.</w:t>
      </w:r>
    </w:p>
    <w:p w14:paraId="366B8F81" w14:textId="77777777" w:rsidR="006E1AB3" w:rsidRDefault="006E1AB3" w:rsidP="006E1AB3">
      <w:pPr>
        <w:spacing w:before="15" w:line="240" w:lineRule="exact"/>
        <w:rPr>
          <w:sz w:val="24"/>
          <w:szCs w:val="24"/>
          <w:lang w:val="sl-SI"/>
        </w:rPr>
      </w:pPr>
    </w:p>
    <w:p w14:paraId="5A5DD574" w14:textId="77777777" w:rsidR="006E1AB3" w:rsidRDefault="006E1AB3" w:rsidP="006E1AB3">
      <w:pPr>
        <w:pStyle w:val="a3"/>
        <w:rPr>
          <w:b/>
          <w:lang w:val="sl-SI"/>
        </w:rPr>
      </w:pPr>
      <w:r>
        <w:rPr>
          <w:rFonts w:eastAsia="Times New Roman"/>
          <w:b/>
          <w:bCs/>
          <w:lang w:val="sl-SI"/>
        </w:rPr>
        <w:t>Druga zdravila in zdravilo Yuflyma</w:t>
      </w:r>
    </w:p>
    <w:p w14:paraId="5CD2A9CA" w14:textId="77777777" w:rsidR="006E1AB3" w:rsidRDefault="006E1AB3" w:rsidP="006E1AB3">
      <w:pPr>
        <w:pStyle w:val="a3"/>
        <w:rPr>
          <w:b/>
          <w:lang w:val="sl-SI"/>
        </w:rPr>
      </w:pPr>
    </w:p>
    <w:p w14:paraId="18C8A4BE" w14:textId="77777777" w:rsidR="006E1AB3" w:rsidRDefault="006E1AB3" w:rsidP="006E1AB3">
      <w:pPr>
        <w:pStyle w:val="a3"/>
        <w:rPr>
          <w:rFonts w:eastAsia="Times New Roman"/>
          <w:lang w:val="sl-SI"/>
        </w:rPr>
      </w:pPr>
      <w:r w:rsidRPr="007811C6">
        <w:rPr>
          <w:lang w:val="sl-SI"/>
        </w:rPr>
        <w:t>Obvestite otrokovega zdravnika ali farmacevta, če vaš otrok jemlje, je pred kratkim jemal ali pa bo morda začel jemati katero koli drugo zdravilo</w:t>
      </w:r>
      <w:r>
        <w:rPr>
          <w:rFonts w:eastAsia="Times New Roman"/>
          <w:lang w:val="sl-SI"/>
        </w:rPr>
        <w:t>.</w:t>
      </w:r>
    </w:p>
    <w:p w14:paraId="6464D840" w14:textId="77777777" w:rsidR="006E1AB3" w:rsidRDefault="006E1AB3" w:rsidP="006E1AB3">
      <w:pPr>
        <w:pStyle w:val="a3"/>
        <w:rPr>
          <w:rFonts w:eastAsia="Times New Roman"/>
          <w:lang w:val="sl-SI"/>
        </w:rPr>
      </w:pPr>
    </w:p>
    <w:p w14:paraId="0BC8F72E" w14:textId="77777777" w:rsidR="006E1AB3" w:rsidRDefault="006E1AB3" w:rsidP="006E1AB3">
      <w:pPr>
        <w:pStyle w:val="a3"/>
        <w:rPr>
          <w:lang w:val="sl-SI"/>
        </w:rPr>
      </w:pPr>
      <w:r w:rsidRPr="007811C6">
        <w:rPr>
          <w:lang w:val="sl-SI"/>
        </w:rPr>
        <w:t xml:space="preserve">Zaradi povečanega tveganja za resne okužbe vaš otrok zdravila </w:t>
      </w:r>
      <w:r>
        <w:rPr>
          <w:lang w:val="sl-SI"/>
        </w:rPr>
        <w:t>Yuflyma</w:t>
      </w:r>
      <w:r w:rsidRPr="007811C6">
        <w:rPr>
          <w:lang w:val="sl-SI"/>
        </w:rPr>
        <w:t xml:space="preserve"> ne sme jemati z zdravili, ki vsebujejo naslednje učinkovine</w:t>
      </w:r>
      <w:r>
        <w:rPr>
          <w:rFonts w:eastAsia="Times New Roman"/>
          <w:lang w:val="sl-SI"/>
        </w:rPr>
        <w:t>:</w:t>
      </w:r>
    </w:p>
    <w:p w14:paraId="37BF50B7" w14:textId="77777777" w:rsidR="006E1AB3" w:rsidRDefault="006E1AB3" w:rsidP="006E1AB3">
      <w:pPr>
        <w:pStyle w:val="a3"/>
        <w:numPr>
          <w:ilvl w:val="1"/>
          <w:numId w:val="4"/>
        </w:numPr>
        <w:ind w:left="660" w:hanging="660"/>
        <w:rPr>
          <w:lang w:val="sl-SI"/>
        </w:rPr>
      </w:pPr>
      <w:r>
        <w:rPr>
          <w:rFonts w:eastAsia="Times New Roman"/>
          <w:lang w:val="sl-SI"/>
        </w:rPr>
        <w:t>anakinra,</w:t>
      </w:r>
    </w:p>
    <w:p w14:paraId="41884E61" w14:textId="77777777" w:rsidR="006E1AB3" w:rsidRDefault="006E1AB3" w:rsidP="006E1AB3">
      <w:pPr>
        <w:pStyle w:val="a3"/>
        <w:numPr>
          <w:ilvl w:val="1"/>
          <w:numId w:val="4"/>
        </w:numPr>
        <w:ind w:left="660" w:hanging="660"/>
        <w:rPr>
          <w:lang w:val="sl-SI"/>
        </w:rPr>
      </w:pPr>
      <w:r>
        <w:rPr>
          <w:rFonts w:eastAsia="Times New Roman"/>
          <w:lang w:val="sl-SI"/>
        </w:rPr>
        <w:t>abatacept.</w:t>
      </w:r>
    </w:p>
    <w:p w14:paraId="2533A72C" w14:textId="77777777" w:rsidR="006E1AB3" w:rsidRDefault="006E1AB3" w:rsidP="006E1AB3">
      <w:pPr>
        <w:pStyle w:val="a3"/>
        <w:rPr>
          <w:lang w:val="sl-SI"/>
        </w:rPr>
      </w:pPr>
    </w:p>
    <w:p w14:paraId="49A104D9" w14:textId="77777777" w:rsidR="006E1AB3" w:rsidRDefault="006E1AB3" w:rsidP="006E1AB3">
      <w:pPr>
        <w:pStyle w:val="a3"/>
        <w:rPr>
          <w:lang w:val="sl-SI"/>
        </w:rPr>
      </w:pPr>
      <w:r>
        <w:rPr>
          <w:rFonts w:eastAsia="Times New Roman"/>
          <w:lang w:val="sl-SI"/>
        </w:rPr>
        <w:t>Zdravilo Yuflyma se lahko jemlje skupaj z:</w:t>
      </w:r>
    </w:p>
    <w:p w14:paraId="4143C5B5" w14:textId="77777777" w:rsidR="006E1AB3" w:rsidRDefault="006E1AB3" w:rsidP="006E1AB3">
      <w:pPr>
        <w:pStyle w:val="a3"/>
        <w:numPr>
          <w:ilvl w:val="1"/>
          <w:numId w:val="4"/>
        </w:numPr>
        <w:ind w:left="660" w:hanging="660"/>
        <w:rPr>
          <w:lang w:val="sl-SI"/>
        </w:rPr>
      </w:pPr>
      <w:r>
        <w:rPr>
          <w:rFonts w:eastAsia="Times New Roman"/>
          <w:lang w:val="sl-SI"/>
        </w:rPr>
        <w:t>metotreksatom</w:t>
      </w:r>
    </w:p>
    <w:p w14:paraId="60049887" w14:textId="77777777" w:rsidR="006E1AB3" w:rsidRDefault="006E1AB3" w:rsidP="006E1AB3">
      <w:pPr>
        <w:pStyle w:val="a3"/>
        <w:numPr>
          <w:ilvl w:val="1"/>
          <w:numId w:val="4"/>
        </w:numPr>
        <w:ind w:left="660" w:hanging="660"/>
        <w:rPr>
          <w:lang w:val="sl-SI"/>
        </w:rPr>
      </w:pPr>
      <w:r>
        <w:rPr>
          <w:rFonts w:eastAsia="Times New Roman"/>
          <w:lang w:val="sl-SI"/>
        </w:rPr>
        <w:t>nekaterimi antirevmatičnimi učinkovinami, ki spreminjajo potek bolezni (na primer sulfalasazin, hidroksiklorokin, leflunomid in pripravki zlata za injiciranje)</w:t>
      </w:r>
    </w:p>
    <w:p w14:paraId="2B5C62D6" w14:textId="77777777" w:rsidR="006E1AB3" w:rsidRDefault="006E1AB3" w:rsidP="006E1AB3">
      <w:pPr>
        <w:pStyle w:val="a3"/>
        <w:numPr>
          <w:ilvl w:val="1"/>
          <w:numId w:val="4"/>
        </w:numPr>
        <w:ind w:left="660" w:hanging="660"/>
        <w:rPr>
          <w:lang w:val="sl-SI"/>
        </w:rPr>
      </w:pPr>
      <w:r>
        <w:rPr>
          <w:rFonts w:eastAsia="Times New Roman"/>
          <w:lang w:val="sl-SI"/>
        </w:rPr>
        <w:t>steroidi ali zdravili proti bolečinam, vključno z nesteroidnimi protivnetnimi zdravili.</w:t>
      </w:r>
    </w:p>
    <w:p w14:paraId="124885E2" w14:textId="77777777" w:rsidR="006E1AB3" w:rsidRDefault="006E1AB3" w:rsidP="006E1AB3">
      <w:pPr>
        <w:pStyle w:val="a3"/>
        <w:rPr>
          <w:lang w:val="sl-SI"/>
        </w:rPr>
      </w:pPr>
    </w:p>
    <w:p w14:paraId="0344F64A" w14:textId="77777777" w:rsidR="006E1AB3" w:rsidRDefault="006E1AB3" w:rsidP="006E1AB3">
      <w:pPr>
        <w:pStyle w:val="a3"/>
        <w:rPr>
          <w:lang w:val="sl-SI"/>
        </w:rPr>
      </w:pPr>
      <w:r>
        <w:rPr>
          <w:rFonts w:eastAsia="Times New Roman"/>
          <w:lang w:val="sl-SI"/>
        </w:rPr>
        <w:lastRenderedPageBreak/>
        <w:t>Če imate dodatna vprašanja, se posvetujte z zdravnikom.</w:t>
      </w:r>
    </w:p>
    <w:p w14:paraId="07A9176E" w14:textId="77777777" w:rsidR="006E1AB3" w:rsidRDefault="006E1AB3" w:rsidP="006E1AB3">
      <w:pPr>
        <w:spacing w:before="18" w:line="240" w:lineRule="exact"/>
        <w:rPr>
          <w:sz w:val="24"/>
          <w:szCs w:val="24"/>
          <w:lang w:val="sl-SI"/>
        </w:rPr>
      </w:pPr>
    </w:p>
    <w:p w14:paraId="7CF48052" w14:textId="77777777" w:rsidR="006E1AB3" w:rsidRDefault="006E1AB3" w:rsidP="006E1AB3">
      <w:pPr>
        <w:pStyle w:val="a3"/>
        <w:rPr>
          <w:b/>
          <w:lang w:val="sl-SI"/>
        </w:rPr>
      </w:pPr>
      <w:r>
        <w:rPr>
          <w:rFonts w:eastAsia="Times New Roman"/>
          <w:b/>
          <w:bCs/>
          <w:lang w:val="sl-SI"/>
        </w:rPr>
        <w:t>Nosečnost in dojenje</w:t>
      </w:r>
    </w:p>
    <w:p w14:paraId="4AEBC4D0" w14:textId="77777777" w:rsidR="006E1AB3" w:rsidRDefault="006E1AB3" w:rsidP="006E1AB3">
      <w:pPr>
        <w:spacing w:before="9" w:line="260" w:lineRule="exact"/>
        <w:rPr>
          <w:sz w:val="26"/>
          <w:szCs w:val="26"/>
          <w:lang w:val="sl-SI"/>
        </w:rPr>
      </w:pPr>
    </w:p>
    <w:p w14:paraId="51EA3402" w14:textId="77777777" w:rsidR="006E1AB3" w:rsidRDefault="006E1AB3" w:rsidP="006E1AB3">
      <w:pPr>
        <w:pStyle w:val="a3"/>
        <w:numPr>
          <w:ilvl w:val="1"/>
          <w:numId w:val="4"/>
        </w:numPr>
        <w:ind w:left="660" w:hanging="660"/>
        <w:rPr>
          <w:lang w:val="sl-SI"/>
        </w:rPr>
      </w:pPr>
      <w:r w:rsidRPr="007811C6">
        <w:rPr>
          <w:lang w:val="sl-SI"/>
        </w:rPr>
        <w:t xml:space="preserve">Vaš otrok mora premisliti o uporabi ustrezne kontracepcijske zaščite za preprečitev nosečnosti in z njo nadaljevati vsaj še 5 mesecev po zadnjem zdravljenju z zdravilom </w:t>
      </w:r>
      <w:r>
        <w:rPr>
          <w:lang w:val="sl-SI"/>
        </w:rPr>
        <w:t>Yuflyma</w:t>
      </w:r>
      <w:r w:rsidDel="005055A9">
        <w:rPr>
          <w:rFonts w:eastAsia="Times New Roman"/>
          <w:lang w:val="sl-SI"/>
        </w:rPr>
        <w:t xml:space="preserve"> </w:t>
      </w:r>
      <w:r>
        <w:rPr>
          <w:rFonts w:eastAsia="Times New Roman"/>
          <w:lang w:val="sl-SI"/>
        </w:rPr>
        <w:t>.</w:t>
      </w:r>
    </w:p>
    <w:p w14:paraId="20D9FF67" w14:textId="77777777" w:rsidR="006E1AB3" w:rsidRDefault="006E1AB3" w:rsidP="006E1AB3">
      <w:pPr>
        <w:pStyle w:val="a3"/>
        <w:numPr>
          <w:ilvl w:val="1"/>
          <w:numId w:val="4"/>
        </w:numPr>
        <w:ind w:left="660" w:hanging="660"/>
        <w:rPr>
          <w:lang w:val="sl-SI"/>
        </w:rPr>
      </w:pPr>
      <w:r w:rsidRPr="007811C6">
        <w:rPr>
          <w:lang w:val="sl-SI"/>
        </w:rPr>
        <w:t>Če je vaš otrok noseč, misli, da je noseč ali načrtuje nosečnost, se glede uporabe tega zdravila posvetujte z otrokovim zdravnikom</w:t>
      </w:r>
      <w:r>
        <w:rPr>
          <w:rFonts w:eastAsia="Times New Roman"/>
          <w:lang w:val="sl-SI"/>
        </w:rPr>
        <w:t>.</w:t>
      </w:r>
    </w:p>
    <w:p w14:paraId="6627E19D" w14:textId="77777777" w:rsidR="006E1AB3" w:rsidRDefault="006E1AB3" w:rsidP="006E1AB3">
      <w:pPr>
        <w:pStyle w:val="a3"/>
        <w:numPr>
          <w:ilvl w:val="1"/>
          <w:numId w:val="4"/>
        </w:numPr>
        <w:ind w:left="660" w:hanging="660"/>
        <w:rPr>
          <w:lang w:val="sl-SI"/>
        </w:rPr>
      </w:pPr>
      <w:r>
        <w:rPr>
          <w:rFonts w:eastAsia="Times New Roman"/>
          <w:lang w:val="sl-SI"/>
        </w:rPr>
        <w:t>Zdravilo Yuflyma se sme med nosečnostjo uporabljati le, če je to potrebno.</w:t>
      </w:r>
    </w:p>
    <w:p w14:paraId="23074404" w14:textId="77777777" w:rsidR="006E1AB3" w:rsidRDefault="006E1AB3" w:rsidP="006E1AB3">
      <w:pPr>
        <w:pStyle w:val="a3"/>
        <w:numPr>
          <w:ilvl w:val="1"/>
          <w:numId w:val="4"/>
        </w:numPr>
        <w:ind w:left="660" w:hanging="660"/>
        <w:rPr>
          <w:lang w:val="sl-SI"/>
        </w:rPr>
      </w:pPr>
      <w:r>
        <w:rPr>
          <w:rFonts w:eastAsia="Times New Roman"/>
          <w:lang w:val="sl-SI"/>
        </w:rPr>
        <w:t>Glede na študijo nosečnosti ni bilo povečanega tveganja za prirojene okvare, če je mati med nosečnostjo prejemala zdravilo Yuflyma, v primerjavi z materami z isto boleznijo, ki zdravila Yuflyma niso prejemale.</w:t>
      </w:r>
    </w:p>
    <w:p w14:paraId="68C90A38" w14:textId="77777777" w:rsidR="006E1AB3" w:rsidRDefault="006E1AB3" w:rsidP="006E1AB3">
      <w:pPr>
        <w:pStyle w:val="a3"/>
        <w:numPr>
          <w:ilvl w:val="1"/>
          <w:numId w:val="4"/>
        </w:numPr>
        <w:ind w:left="660" w:hanging="660"/>
        <w:rPr>
          <w:lang w:val="sl-SI"/>
        </w:rPr>
      </w:pPr>
      <w:r>
        <w:rPr>
          <w:rFonts w:eastAsia="Times New Roman"/>
          <w:lang w:val="sl-SI"/>
        </w:rPr>
        <w:t>Zdravilo Yuflyma se lahko uporablja med dojenjem.</w:t>
      </w:r>
    </w:p>
    <w:p w14:paraId="0399EC1A" w14:textId="77777777" w:rsidR="006E1AB3" w:rsidRDefault="006E1AB3" w:rsidP="006E1AB3">
      <w:pPr>
        <w:pStyle w:val="a3"/>
        <w:numPr>
          <w:ilvl w:val="1"/>
          <w:numId w:val="4"/>
        </w:numPr>
        <w:ind w:left="660" w:hanging="660"/>
        <w:rPr>
          <w:lang w:val="sl-SI"/>
        </w:rPr>
      </w:pPr>
      <w:r w:rsidRPr="007811C6">
        <w:rPr>
          <w:lang w:val="sl-SI"/>
        </w:rPr>
        <w:t xml:space="preserve">Če je vaš otrok prejel zdravilo </w:t>
      </w:r>
      <w:r>
        <w:rPr>
          <w:lang w:val="sl-SI"/>
        </w:rPr>
        <w:t>Yuflyma</w:t>
      </w:r>
      <w:r w:rsidRPr="007811C6">
        <w:rPr>
          <w:lang w:val="sl-SI"/>
        </w:rPr>
        <w:t xml:space="preserve"> med nosečnostjo, obstaja večje tveganje, da bo njegov dojenček dobil okužbo</w:t>
      </w:r>
      <w:r>
        <w:rPr>
          <w:rFonts w:eastAsia="Times New Roman"/>
          <w:lang w:val="sl-SI"/>
        </w:rPr>
        <w:t>.</w:t>
      </w:r>
    </w:p>
    <w:p w14:paraId="4303482F" w14:textId="77777777" w:rsidR="006E1AB3" w:rsidRDefault="006E1AB3" w:rsidP="006E1AB3">
      <w:pPr>
        <w:pStyle w:val="a3"/>
        <w:numPr>
          <w:ilvl w:val="1"/>
          <w:numId w:val="4"/>
        </w:numPr>
        <w:ind w:left="660" w:hanging="660"/>
        <w:rPr>
          <w:lang w:val="sl-SI"/>
        </w:rPr>
      </w:pPr>
      <w:r w:rsidRPr="007811C6">
        <w:rPr>
          <w:lang w:val="sl-SI"/>
        </w:rPr>
        <w:t xml:space="preserve"> Pomembno je, da obvestite zdravnika dojenčka in druge zdravstvene delavce, da je vaš otrok med nosečnostjo prejemal zdravilo </w:t>
      </w:r>
      <w:r>
        <w:rPr>
          <w:lang w:val="sl-SI"/>
        </w:rPr>
        <w:t>Yuflyma</w:t>
      </w:r>
      <w:r w:rsidRPr="007811C6">
        <w:rPr>
          <w:lang w:val="sl-SI"/>
        </w:rPr>
        <w:t xml:space="preserve">, preden bo dojenček prejel katerokoli cepivo. </w:t>
      </w:r>
      <w:r w:rsidRPr="00566D4D">
        <w:rPr>
          <w:lang w:val="sl-SI"/>
        </w:rPr>
        <w:t>Za več informacij o cepljenju glejte poglavje "Opozorila in previdnostni ukrepi"</w:t>
      </w:r>
      <w:r>
        <w:rPr>
          <w:rFonts w:eastAsia="Times New Roman"/>
          <w:lang w:val="sl-SI"/>
        </w:rPr>
        <w:t>.</w:t>
      </w:r>
    </w:p>
    <w:p w14:paraId="6FF50964" w14:textId="77777777" w:rsidR="006E1AB3" w:rsidRDefault="006E1AB3" w:rsidP="006E1AB3">
      <w:pPr>
        <w:spacing w:before="15" w:line="240" w:lineRule="exact"/>
        <w:rPr>
          <w:b/>
          <w:sz w:val="24"/>
          <w:szCs w:val="24"/>
          <w:lang w:val="sl-SI"/>
        </w:rPr>
      </w:pPr>
    </w:p>
    <w:p w14:paraId="267624C3" w14:textId="77777777" w:rsidR="006E1AB3" w:rsidRDefault="006E1AB3" w:rsidP="006E1AB3">
      <w:pPr>
        <w:pStyle w:val="a3"/>
        <w:rPr>
          <w:b/>
          <w:lang w:val="sl-SI"/>
        </w:rPr>
      </w:pPr>
      <w:r>
        <w:rPr>
          <w:rFonts w:eastAsia="Times New Roman"/>
          <w:b/>
          <w:bCs/>
          <w:lang w:val="sl-SI"/>
        </w:rPr>
        <w:t>Vpliv na sposobnost upravljanja vozil in strojev</w:t>
      </w:r>
    </w:p>
    <w:p w14:paraId="1D6D01D1" w14:textId="77777777" w:rsidR="006E1AB3" w:rsidRDefault="006E1AB3" w:rsidP="006E1AB3">
      <w:pPr>
        <w:spacing w:before="12" w:line="240" w:lineRule="exact"/>
        <w:rPr>
          <w:sz w:val="24"/>
          <w:szCs w:val="24"/>
          <w:lang w:val="sl-SI"/>
        </w:rPr>
      </w:pPr>
    </w:p>
    <w:p w14:paraId="79EB7282" w14:textId="77777777" w:rsidR="006E1AB3" w:rsidRDefault="006E1AB3" w:rsidP="006E1AB3">
      <w:pPr>
        <w:pStyle w:val="a3"/>
        <w:rPr>
          <w:lang w:val="sl-SI"/>
        </w:rPr>
      </w:pPr>
      <w:r w:rsidRPr="007811C6">
        <w:rPr>
          <w:lang w:val="sl-SI"/>
        </w:rPr>
        <w:t xml:space="preserve">Zdravilo </w:t>
      </w:r>
      <w:r>
        <w:rPr>
          <w:lang w:val="sl-SI"/>
        </w:rPr>
        <w:t>Yuflyma</w:t>
      </w:r>
      <w:r w:rsidRPr="007811C6">
        <w:rPr>
          <w:lang w:val="sl-SI"/>
        </w:rPr>
        <w:t xml:space="preserve"> ima lahko blag vpliv na otrokovo sposobnost vožnje, kolesarjenja ali upravljanja strojev. </w:t>
      </w:r>
      <w:r w:rsidRPr="00566D4D">
        <w:rPr>
          <w:lang w:val="sl-SI"/>
        </w:rPr>
        <w:t>Po dajanju zdravila Yuflyma se lahko pojavita vrtoglavica in poslabšanje vida</w:t>
      </w:r>
      <w:r>
        <w:rPr>
          <w:rFonts w:eastAsia="Times New Roman"/>
          <w:lang w:val="sl-SI"/>
        </w:rPr>
        <w:t>.</w:t>
      </w:r>
    </w:p>
    <w:p w14:paraId="5894DF49" w14:textId="77777777" w:rsidR="006E1AB3" w:rsidRDefault="006E1AB3" w:rsidP="006E1AB3">
      <w:pPr>
        <w:pStyle w:val="a3"/>
        <w:rPr>
          <w:lang w:val="sl-SI"/>
        </w:rPr>
      </w:pPr>
    </w:p>
    <w:p w14:paraId="6246C950" w14:textId="000BA772" w:rsidR="006E1AB3" w:rsidRDefault="006E1AB3" w:rsidP="006E1AB3">
      <w:pPr>
        <w:pStyle w:val="a3"/>
        <w:rPr>
          <w:b/>
          <w:lang w:val="sl-SI"/>
        </w:rPr>
      </w:pPr>
      <w:r w:rsidRPr="00366D10">
        <w:rPr>
          <w:rFonts w:eastAsia="Times New Roman"/>
          <w:b/>
          <w:lang w:val="sl-SI"/>
        </w:rPr>
        <w:t xml:space="preserve">Zdravilo </w:t>
      </w:r>
      <w:r w:rsidR="00FE3CB3">
        <w:rPr>
          <w:rFonts w:hint="eastAsia"/>
          <w:b/>
          <w:lang w:val="sl-SI" w:eastAsia="ko-KR"/>
        </w:rPr>
        <w:t>Yuflyma</w:t>
      </w:r>
      <w:r w:rsidR="00FE3CB3">
        <w:rPr>
          <w:rFonts w:eastAsia="Times New Roman"/>
          <w:b/>
          <w:bCs/>
          <w:lang w:val="sl-SI"/>
        </w:rPr>
        <w:t xml:space="preserve"> </w:t>
      </w:r>
      <w:r>
        <w:rPr>
          <w:rFonts w:eastAsia="Times New Roman"/>
          <w:b/>
          <w:bCs/>
          <w:lang w:val="sl-SI"/>
        </w:rPr>
        <w:t>vsebuje natrij</w:t>
      </w:r>
    </w:p>
    <w:p w14:paraId="50A5DB14" w14:textId="77777777" w:rsidR="006E1AB3" w:rsidRDefault="006E1AB3" w:rsidP="006E1AB3">
      <w:pPr>
        <w:spacing w:before="12" w:line="240" w:lineRule="exact"/>
        <w:rPr>
          <w:sz w:val="24"/>
          <w:szCs w:val="24"/>
          <w:lang w:val="sl-SI"/>
        </w:rPr>
      </w:pPr>
    </w:p>
    <w:p w14:paraId="05D26004" w14:textId="77777777" w:rsidR="006E1AB3" w:rsidRDefault="006E1AB3" w:rsidP="006E1AB3">
      <w:pPr>
        <w:spacing w:line="200" w:lineRule="exact"/>
        <w:rPr>
          <w:sz w:val="20"/>
          <w:szCs w:val="20"/>
          <w:lang w:val="sl-SI"/>
        </w:rPr>
      </w:pPr>
      <w:r>
        <w:rPr>
          <w:rFonts w:ascii="Times New Roman" w:eastAsia="Times New Roman" w:hAnsi="Times New Roman" w:cs="Times New Roman"/>
          <w:lang w:val="sl-SI"/>
        </w:rPr>
        <w:t>To zdravilo vsebuje manj kot 1 mmol natrija (23</w:t>
      </w:r>
      <w:r>
        <w:rPr>
          <w:rFonts w:ascii="Calibri" w:eastAsia="Calibri" w:hAnsi="Calibri" w:cs="Calibri"/>
          <w:lang w:val="sl-SI"/>
        </w:rPr>
        <w:t> </w:t>
      </w:r>
      <w:r>
        <w:rPr>
          <w:rFonts w:ascii="Times New Roman" w:eastAsia="Times New Roman" w:hAnsi="Times New Roman" w:cs="Times New Roman"/>
          <w:lang w:val="sl-SI"/>
        </w:rPr>
        <w:t>mg) na odmerek 0,2</w:t>
      </w:r>
      <w:r>
        <w:rPr>
          <w:rFonts w:ascii="Calibri" w:eastAsia="Calibri" w:hAnsi="Calibri" w:cs="Calibri"/>
          <w:lang w:val="sl-SI"/>
        </w:rPr>
        <w:t> </w:t>
      </w:r>
      <w:r>
        <w:rPr>
          <w:rFonts w:ascii="Times New Roman" w:eastAsia="Times New Roman" w:hAnsi="Times New Roman" w:cs="Times New Roman"/>
          <w:lang w:val="sl-SI"/>
        </w:rPr>
        <w:t>ml, kar v bistvu pomeni ‛brez natrija’.</w:t>
      </w:r>
    </w:p>
    <w:p w14:paraId="72BA3372" w14:textId="77777777" w:rsidR="006E1AB3" w:rsidRDefault="006E1AB3" w:rsidP="006E1AB3">
      <w:pPr>
        <w:spacing w:line="200" w:lineRule="exact"/>
        <w:rPr>
          <w:sz w:val="20"/>
          <w:szCs w:val="20"/>
          <w:lang w:val="sl-SI"/>
        </w:rPr>
      </w:pPr>
    </w:p>
    <w:p w14:paraId="6C548CE1" w14:textId="77777777" w:rsidR="006E1AB3" w:rsidRDefault="006E1AB3" w:rsidP="006E1AB3">
      <w:pPr>
        <w:spacing w:line="200" w:lineRule="exact"/>
        <w:rPr>
          <w:sz w:val="20"/>
          <w:szCs w:val="20"/>
          <w:lang w:val="sl-SI"/>
        </w:rPr>
      </w:pPr>
    </w:p>
    <w:p w14:paraId="02AD864F" w14:textId="77777777" w:rsidR="006E1AB3" w:rsidRDefault="006E1AB3" w:rsidP="006E1AB3">
      <w:pPr>
        <w:pStyle w:val="a4"/>
        <w:numPr>
          <w:ilvl w:val="0"/>
          <w:numId w:val="141"/>
        </w:numPr>
        <w:spacing w:before="18" w:line="240" w:lineRule="exact"/>
        <w:ind w:left="357" w:hanging="357"/>
        <w:rPr>
          <w:rFonts w:ascii="Times New Roman" w:hAnsi="Times New Roman" w:cs="Times New Roman"/>
          <w:b/>
          <w:lang w:val="sl-SI"/>
        </w:rPr>
      </w:pPr>
      <w:r>
        <w:rPr>
          <w:rFonts w:ascii="Times New Roman" w:eastAsia="Times New Roman" w:hAnsi="Times New Roman" w:cs="Times New Roman"/>
          <w:b/>
          <w:bCs/>
          <w:lang w:val="sl-SI"/>
        </w:rPr>
        <w:t>Kako uporabljati zdravilo Yuflyma</w:t>
      </w:r>
    </w:p>
    <w:p w14:paraId="56062DD5" w14:textId="77777777" w:rsidR="006E1AB3" w:rsidRDefault="006E1AB3" w:rsidP="006E1AB3">
      <w:pPr>
        <w:spacing w:before="9" w:line="240" w:lineRule="exact"/>
        <w:rPr>
          <w:sz w:val="24"/>
          <w:szCs w:val="24"/>
          <w:lang w:val="sl-SI"/>
        </w:rPr>
      </w:pPr>
    </w:p>
    <w:p w14:paraId="461939DE" w14:textId="77777777" w:rsidR="006E1AB3" w:rsidRDefault="006E1AB3" w:rsidP="006E1AB3">
      <w:pPr>
        <w:pStyle w:val="a3"/>
        <w:rPr>
          <w:lang w:val="sl-SI"/>
        </w:rPr>
      </w:pPr>
      <w:r>
        <w:rPr>
          <w:rFonts w:eastAsia="Times New Roman"/>
          <w:lang w:val="sl-SI"/>
        </w:rPr>
        <w:t>Pri uporabi tega zdravila natančno upoštevajte navodila zdravnika ali farmacevta. Če ste negotovi, se posvetujte z zdravnikom ali farmacevtom.</w:t>
      </w:r>
    </w:p>
    <w:p w14:paraId="50CDE34C" w14:textId="77777777" w:rsidR="006E1AB3" w:rsidRDefault="006E1AB3" w:rsidP="006E1AB3">
      <w:pPr>
        <w:spacing w:before="10" w:line="240" w:lineRule="exact"/>
        <w:rPr>
          <w:sz w:val="24"/>
          <w:szCs w:val="24"/>
          <w:lang w:val="sl-SI"/>
        </w:rPr>
      </w:pPr>
    </w:p>
    <w:p w14:paraId="0595B8CC" w14:textId="77777777" w:rsidR="006E1AB3" w:rsidRDefault="006E1AB3" w:rsidP="006E1AB3">
      <w:pPr>
        <w:pStyle w:val="a3"/>
        <w:rPr>
          <w:lang w:val="sl-SI"/>
        </w:rPr>
      </w:pPr>
      <w:r w:rsidRPr="007811C6">
        <w:rPr>
          <w:lang w:val="sl-SI"/>
        </w:rPr>
        <w:t>Priporočeni odmerki zdravila Yuflyma za vsako odobreno uporabo so prikazani v naslednji tabeli. Zdravnik lahko predpiše vašemu otroku drugo jakost zdravila Yuflyma, če vaš otrok potrebuje drugačen odmerek</w:t>
      </w:r>
      <w:r>
        <w:rPr>
          <w:rFonts w:eastAsia="Times New Roman"/>
          <w:lang w:val="sl-SI"/>
        </w:rPr>
        <w:t>.</w:t>
      </w:r>
    </w:p>
    <w:p w14:paraId="5BDF29F2" w14:textId="77777777" w:rsidR="006E1AB3" w:rsidRDefault="006E1AB3" w:rsidP="006E1AB3">
      <w:pPr>
        <w:spacing w:before="12"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6E1AB3" w14:paraId="4526C59B" w14:textId="77777777" w:rsidTr="007130E8">
        <w:tc>
          <w:tcPr>
            <w:tcW w:w="9288" w:type="dxa"/>
            <w:gridSpan w:val="3"/>
            <w:tcBorders>
              <w:top w:val="single" w:sz="5" w:space="0" w:color="000000"/>
              <w:left w:val="single" w:sz="5" w:space="0" w:color="000000"/>
              <w:bottom w:val="single" w:sz="5" w:space="0" w:color="000000"/>
              <w:right w:val="single" w:sz="5" w:space="0" w:color="000000"/>
            </w:tcBorders>
          </w:tcPr>
          <w:p w14:paraId="1B591FD4" w14:textId="77777777" w:rsidR="006E1AB3" w:rsidRDefault="006E1AB3" w:rsidP="007130E8">
            <w:pPr>
              <w:pStyle w:val="TableParagraph"/>
              <w:spacing w:line="250"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Poliartikularni juvenilni idiopatski artritis</w:t>
            </w:r>
          </w:p>
        </w:tc>
      </w:tr>
      <w:tr w:rsidR="006E1AB3" w14:paraId="6F795905" w14:textId="77777777" w:rsidTr="007130E8">
        <w:tc>
          <w:tcPr>
            <w:tcW w:w="3096" w:type="dxa"/>
            <w:tcBorders>
              <w:top w:val="single" w:sz="5" w:space="0" w:color="000000"/>
              <w:left w:val="single" w:sz="5" w:space="0" w:color="000000"/>
              <w:bottom w:val="single" w:sz="5" w:space="0" w:color="000000"/>
              <w:right w:val="single" w:sz="5" w:space="0" w:color="000000"/>
            </w:tcBorders>
          </w:tcPr>
          <w:p w14:paraId="7B77B0FC" w14:textId="77777777" w:rsidR="006E1AB3" w:rsidRDefault="006E1AB3" w:rsidP="007130E8">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096" w:type="dxa"/>
            <w:tcBorders>
              <w:top w:val="single" w:sz="5" w:space="0" w:color="000000"/>
              <w:left w:val="single" w:sz="5" w:space="0" w:color="000000"/>
              <w:bottom w:val="single" w:sz="5" w:space="0" w:color="000000"/>
              <w:right w:val="single" w:sz="5" w:space="0" w:color="000000"/>
            </w:tcBorders>
          </w:tcPr>
          <w:p w14:paraId="39CDA00B" w14:textId="77777777" w:rsidR="006E1AB3" w:rsidRDefault="006E1AB3" w:rsidP="007130E8">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2081A070" w14:textId="77777777" w:rsidR="006E1AB3" w:rsidRDefault="006E1AB3" w:rsidP="007130E8">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096" w:type="dxa"/>
            <w:tcBorders>
              <w:top w:val="single" w:sz="5" w:space="0" w:color="000000"/>
              <w:left w:val="single" w:sz="5" w:space="0" w:color="000000"/>
              <w:bottom w:val="single" w:sz="5" w:space="0" w:color="000000"/>
              <w:right w:val="single" w:sz="5" w:space="0" w:color="000000"/>
            </w:tcBorders>
          </w:tcPr>
          <w:p w14:paraId="27F4A562" w14:textId="77777777" w:rsidR="006E1AB3" w:rsidRDefault="006E1AB3" w:rsidP="007130E8">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6E1AB3" w14:paraId="152D8588" w14:textId="77777777" w:rsidTr="007130E8">
        <w:tc>
          <w:tcPr>
            <w:tcW w:w="3096" w:type="dxa"/>
            <w:tcBorders>
              <w:top w:val="single" w:sz="5" w:space="0" w:color="000000"/>
              <w:left w:val="single" w:sz="5" w:space="0" w:color="000000"/>
              <w:bottom w:val="single" w:sz="5" w:space="0" w:color="000000"/>
              <w:right w:val="single" w:sz="5" w:space="0" w:color="000000"/>
            </w:tcBorders>
          </w:tcPr>
          <w:p w14:paraId="1D590C68" w14:textId="77777777" w:rsidR="006E1AB3" w:rsidRDefault="006E1AB3" w:rsidP="007130E8">
            <w:pPr>
              <w:pStyle w:val="TableParagraph"/>
              <w:spacing w:before="5" w:line="252"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Otroci, mladostniki in odrasli starejši od 2 let, s telesno maso 30 kg ali več</w:t>
            </w:r>
          </w:p>
        </w:tc>
        <w:tc>
          <w:tcPr>
            <w:tcW w:w="3096" w:type="dxa"/>
            <w:tcBorders>
              <w:top w:val="single" w:sz="5" w:space="0" w:color="000000"/>
              <w:left w:val="single" w:sz="5" w:space="0" w:color="000000"/>
              <w:bottom w:val="single" w:sz="5" w:space="0" w:color="000000"/>
              <w:right w:val="single" w:sz="5" w:space="0" w:color="000000"/>
            </w:tcBorders>
          </w:tcPr>
          <w:p w14:paraId="7C3DA15B" w14:textId="77777777" w:rsidR="006E1AB3" w:rsidRDefault="006E1AB3" w:rsidP="007130E8">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40 mg vsak drugi teden</w:t>
            </w:r>
          </w:p>
        </w:tc>
        <w:tc>
          <w:tcPr>
            <w:tcW w:w="3096" w:type="dxa"/>
            <w:tcBorders>
              <w:top w:val="single" w:sz="5" w:space="0" w:color="000000"/>
              <w:left w:val="single" w:sz="5" w:space="0" w:color="000000"/>
              <w:bottom w:val="single" w:sz="5" w:space="0" w:color="000000"/>
              <w:right w:val="single" w:sz="5" w:space="0" w:color="000000"/>
            </w:tcBorders>
          </w:tcPr>
          <w:p w14:paraId="63642D5F" w14:textId="77777777" w:rsidR="006E1AB3" w:rsidRDefault="006E1AB3" w:rsidP="007130E8">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Navedba smiselno ni potrebna.</w:t>
            </w:r>
          </w:p>
        </w:tc>
      </w:tr>
      <w:tr w:rsidR="006E1AB3" w:rsidRPr="007811C6" w14:paraId="64727265" w14:textId="77777777" w:rsidTr="007130E8">
        <w:tc>
          <w:tcPr>
            <w:tcW w:w="3096" w:type="dxa"/>
            <w:tcBorders>
              <w:top w:val="single" w:sz="5" w:space="0" w:color="000000"/>
              <w:left w:val="single" w:sz="5" w:space="0" w:color="000000"/>
              <w:bottom w:val="single" w:sz="5" w:space="0" w:color="000000"/>
              <w:right w:val="single" w:sz="5" w:space="0" w:color="000000"/>
            </w:tcBorders>
          </w:tcPr>
          <w:p w14:paraId="0E687B17" w14:textId="77777777" w:rsidR="006E1AB3" w:rsidRDefault="006E1AB3" w:rsidP="007130E8">
            <w:pPr>
              <w:pStyle w:val="TableParagraph"/>
              <w:spacing w:before="5" w:line="252" w:lineRule="exact"/>
              <w:ind w:left="102"/>
              <w:rPr>
                <w:rFonts w:ascii="Times New Roman" w:eastAsia="Times New Roman" w:hAnsi="Times New Roman" w:cs="Times New Roman"/>
                <w:spacing w:val="-1"/>
                <w:lang w:val="sl-SI"/>
              </w:rPr>
            </w:pPr>
            <w:r w:rsidRPr="007811C6">
              <w:rPr>
                <w:rFonts w:ascii="Times New Roman" w:eastAsia="Times New Roman" w:hAnsi="Times New Roman" w:cs="Times New Roman"/>
                <w:spacing w:val="-1"/>
                <w:lang w:val="sl-SI"/>
              </w:rPr>
              <w:t>Otroci in mladostniki, starejši od 2 let, ki tehtajo od 10 kg do manj kot 30 kg</w:t>
            </w:r>
          </w:p>
        </w:tc>
        <w:tc>
          <w:tcPr>
            <w:tcW w:w="3096" w:type="dxa"/>
            <w:tcBorders>
              <w:top w:val="single" w:sz="5" w:space="0" w:color="000000"/>
              <w:left w:val="single" w:sz="5" w:space="0" w:color="000000"/>
              <w:bottom w:val="single" w:sz="5" w:space="0" w:color="000000"/>
              <w:right w:val="single" w:sz="5" w:space="0" w:color="000000"/>
            </w:tcBorders>
          </w:tcPr>
          <w:p w14:paraId="5946DC2C" w14:textId="77777777" w:rsidR="006E1AB3" w:rsidRDefault="006E1AB3" w:rsidP="007130E8">
            <w:pPr>
              <w:pStyle w:val="TableParagraph"/>
              <w:spacing w:before="5" w:line="252" w:lineRule="exact"/>
              <w:ind w:left="102"/>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20 mg vsak drugi teden</w:t>
            </w:r>
          </w:p>
        </w:tc>
        <w:tc>
          <w:tcPr>
            <w:tcW w:w="3096" w:type="dxa"/>
            <w:tcBorders>
              <w:top w:val="single" w:sz="5" w:space="0" w:color="000000"/>
              <w:left w:val="single" w:sz="5" w:space="0" w:color="000000"/>
              <w:bottom w:val="single" w:sz="5" w:space="0" w:color="000000"/>
              <w:right w:val="single" w:sz="5" w:space="0" w:color="000000"/>
            </w:tcBorders>
          </w:tcPr>
          <w:p w14:paraId="0E797461" w14:textId="77777777" w:rsidR="006E1AB3" w:rsidRDefault="006E1AB3" w:rsidP="007130E8">
            <w:pPr>
              <w:pStyle w:val="TableParagraph"/>
              <w:spacing w:before="5" w:line="252" w:lineRule="exact"/>
              <w:ind w:left="102"/>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Navedba smiselno ni potrebna.</w:t>
            </w:r>
          </w:p>
        </w:tc>
      </w:tr>
    </w:tbl>
    <w:p w14:paraId="159B7FA2" w14:textId="77777777" w:rsidR="006E1AB3" w:rsidRDefault="006E1AB3" w:rsidP="006E1AB3">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6E1AB3" w14:paraId="7D270706" w14:textId="77777777" w:rsidTr="007130E8">
        <w:tc>
          <w:tcPr>
            <w:tcW w:w="9288" w:type="dxa"/>
            <w:gridSpan w:val="3"/>
            <w:tcBorders>
              <w:top w:val="single" w:sz="5" w:space="0" w:color="000000"/>
              <w:left w:val="single" w:sz="5" w:space="0" w:color="000000"/>
              <w:bottom w:val="single" w:sz="5" w:space="0" w:color="000000"/>
              <w:right w:val="single" w:sz="5" w:space="0" w:color="000000"/>
            </w:tcBorders>
          </w:tcPr>
          <w:p w14:paraId="097C35C2" w14:textId="77777777" w:rsidR="006E1AB3" w:rsidRDefault="006E1AB3" w:rsidP="007130E8">
            <w:pPr>
              <w:pStyle w:val="TableParagraph"/>
              <w:spacing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Artritis, povezan z entezitisom</w:t>
            </w:r>
          </w:p>
        </w:tc>
      </w:tr>
      <w:tr w:rsidR="006E1AB3" w14:paraId="5D232814" w14:textId="77777777" w:rsidTr="007130E8">
        <w:tc>
          <w:tcPr>
            <w:tcW w:w="3096" w:type="dxa"/>
            <w:tcBorders>
              <w:top w:val="single" w:sz="5" w:space="0" w:color="000000"/>
              <w:left w:val="single" w:sz="5" w:space="0" w:color="000000"/>
              <w:bottom w:val="single" w:sz="5" w:space="0" w:color="000000"/>
              <w:right w:val="single" w:sz="5" w:space="0" w:color="000000"/>
            </w:tcBorders>
          </w:tcPr>
          <w:p w14:paraId="5D45702F" w14:textId="77777777" w:rsidR="006E1AB3" w:rsidRDefault="006E1AB3" w:rsidP="007130E8">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096" w:type="dxa"/>
            <w:tcBorders>
              <w:top w:val="single" w:sz="5" w:space="0" w:color="000000"/>
              <w:left w:val="single" w:sz="5" w:space="0" w:color="000000"/>
              <w:bottom w:val="single" w:sz="5" w:space="0" w:color="000000"/>
              <w:right w:val="single" w:sz="5" w:space="0" w:color="000000"/>
            </w:tcBorders>
          </w:tcPr>
          <w:p w14:paraId="4BED906B" w14:textId="77777777" w:rsidR="006E1AB3" w:rsidRDefault="006E1AB3" w:rsidP="007130E8">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73CA2E70" w14:textId="77777777" w:rsidR="006E1AB3" w:rsidRDefault="006E1AB3" w:rsidP="007130E8">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096" w:type="dxa"/>
            <w:tcBorders>
              <w:top w:val="single" w:sz="5" w:space="0" w:color="000000"/>
              <w:left w:val="single" w:sz="5" w:space="0" w:color="000000"/>
              <w:bottom w:val="single" w:sz="5" w:space="0" w:color="000000"/>
              <w:right w:val="single" w:sz="5" w:space="0" w:color="000000"/>
            </w:tcBorders>
          </w:tcPr>
          <w:p w14:paraId="2E646929" w14:textId="77777777" w:rsidR="006E1AB3" w:rsidRDefault="006E1AB3" w:rsidP="007130E8">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6E1AB3" w14:paraId="4355EA96" w14:textId="77777777" w:rsidTr="007130E8">
        <w:tc>
          <w:tcPr>
            <w:tcW w:w="3096" w:type="dxa"/>
            <w:tcBorders>
              <w:top w:val="single" w:sz="5" w:space="0" w:color="000000"/>
              <w:left w:val="single" w:sz="5" w:space="0" w:color="000000"/>
              <w:bottom w:val="single" w:sz="5" w:space="0" w:color="000000"/>
              <w:right w:val="single" w:sz="5" w:space="0" w:color="000000"/>
            </w:tcBorders>
          </w:tcPr>
          <w:p w14:paraId="28C56D78" w14:textId="77777777" w:rsidR="006E1AB3" w:rsidRDefault="006E1AB3" w:rsidP="007130E8">
            <w:pPr>
              <w:pStyle w:val="TableParagraph"/>
              <w:spacing w:before="5" w:line="252" w:lineRule="exact"/>
              <w:ind w:left="102"/>
              <w:rPr>
                <w:rFonts w:ascii="Times New Roman" w:eastAsia="Times New Roman" w:hAnsi="Times New Roman" w:cs="Times New Roman"/>
                <w:lang w:val="sl-SI"/>
              </w:rPr>
            </w:pPr>
            <w:r>
              <w:rPr>
                <w:rFonts w:ascii="Times New Roman" w:eastAsia="Times New Roman" w:hAnsi="Times New Roman" w:cs="Times New Roman"/>
                <w:spacing w:val="-1"/>
                <w:lang w:val="sl-SI"/>
              </w:rPr>
              <w:t>Otroci, mladostniki in odrasli starejši od 6 let, s telesno maso 30 kg ali več</w:t>
            </w:r>
          </w:p>
        </w:tc>
        <w:tc>
          <w:tcPr>
            <w:tcW w:w="3096" w:type="dxa"/>
            <w:tcBorders>
              <w:top w:val="single" w:sz="5" w:space="0" w:color="000000"/>
              <w:left w:val="single" w:sz="5" w:space="0" w:color="000000"/>
              <w:bottom w:val="single" w:sz="5" w:space="0" w:color="000000"/>
              <w:right w:val="single" w:sz="5" w:space="0" w:color="000000"/>
            </w:tcBorders>
          </w:tcPr>
          <w:p w14:paraId="39056524" w14:textId="77777777" w:rsidR="006E1AB3" w:rsidRDefault="006E1AB3" w:rsidP="007130E8">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40 mg vsak drugi teden</w:t>
            </w:r>
          </w:p>
        </w:tc>
        <w:tc>
          <w:tcPr>
            <w:tcW w:w="3096" w:type="dxa"/>
            <w:tcBorders>
              <w:top w:val="single" w:sz="5" w:space="0" w:color="000000"/>
              <w:left w:val="single" w:sz="5" w:space="0" w:color="000000"/>
              <w:bottom w:val="single" w:sz="5" w:space="0" w:color="000000"/>
              <w:right w:val="single" w:sz="5" w:space="0" w:color="000000"/>
            </w:tcBorders>
          </w:tcPr>
          <w:p w14:paraId="1F05FA09" w14:textId="77777777" w:rsidR="006E1AB3" w:rsidRDefault="006E1AB3" w:rsidP="007130E8">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Navedba smiselno ni potrebna.</w:t>
            </w:r>
          </w:p>
        </w:tc>
      </w:tr>
      <w:tr w:rsidR="006E1AB3" w:rsidRPr="007811C6" w14:paraId="5CB2EDEE" w14:textId="77777777" w:rsidTr="007130E8">
        <w:tc>
          <w:tcPr>
            <w:tcW w:w="3096" w:type="dxa"/>
            <w:tcBorders>
              <w:top w:val="single" w:sz="5" w:space="0" w:color="000000"/>
              <w:left w:val="single" w:sz="5" w:space="0" w:color="000000"/>
              <w:bottom w:val="single" w:sz="5" w:space="0" w:color="000000"/>
              <w:right w:val="single" w:sz="5" w:space="0" w:color="000000"/>
            </w:tcBorders>
          </w:tcPr>
          <w:p w14:paraId="521542A0" w14:textId="77777777" w:rsidR="006E1AB3" w:rsidRDefault="006E1AB3" w:rsidP="007130E8">
            <w:pPr>
              <w:pStyle w:val="TableParagraph"/>
              <w:spacing w:before="5" w:line="252" w:lineRule="exact"/>
              <w:ind w:left="102"/>
              <w:rPr>
                <w:rFonts w:ascii="Times New Roman" w:eastAsia="Times New Roman" w:hAnsi="Times New Roman" w:cs="Times New Roman"/>
                <w:spacing w:val="-1"/>
                <w:lang w:val="sl-SI"/>
              </w:rPr>
            </w:pPr>
            <w:r w:rsidRPr="007811C6">
              <w:rPr>
                <w:rFonts w:ascii="Times New Roman" w:eastAsia="Times New Roman" w:hAnsi="Times New Roman" w:cs="Times New Roman"/>
                <w:spacing w:val="-1"/>
                <w:lang w:val="sl-SI"/>
              </w:rPr>
              <w:t xml:space="preserve">Otroci in mladostniki, starejši od </w:t>
            </w:r>
            <w:r w:rsidRPr="007811C6">
              <w:rPr>
                <w:rFonts w:ascii="Times New Roman" w:eastAsia="Times New Roman" w:hAnsi="Times New Roman" w:cs="Times New Roman"/>
                <w:spacing w:val="-1"/>
                <w:lang w:val="sl-SI"/>
              </w:rPr>
              <w:lastRenderedPageBreak/>
              <w:t>6 let, ki tehtajo od 15 kg do manj kot 30 kg</w:t>
            </w:r>
          </w:p>
        </w:tc>
        <w:tc>
          <w:tcPr>
            <w:tcW w:w="3096" w:type="dxa"/>
            <w:tcBorders>
              <w:top w:val="single" w:sz="5" w:space="0" w:color="000000"/>
              <w:left w:val="single" w:sz="5" w:space="0" w:color="000000"/>
              <w:bottom w:val="single" w:sz="5" w:space="0" w:color="000000"/>
              <w:right w:val="single" w:sz="5" w:space="0" w:color="000000"/>
            </w:tcBorders>
          </w:tcPr>
          <w:p w14:paraId="14A9CE91" w14:textId="77777777" w:rsidR="006E1AB3" w:rsidRDefault="006E1AB3" w:rsidP="007130E8">
            <w:pPr>
              <w:pStyle w:val="TableParagraph"/>
              <w:spacing w:before="5" w:line="252" w:lineRule="exact"/>
              <w:ind w:left="102"/>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lastRenderedPageBreak/>
              <w:t>20 mg vsak drugi teden</w:t>
            </w:r>
          </w:p>
        </w:tc>
        <w:tc>
          <w:tcPr>
            <w:tcW w:w="3096" w:type="dxa"/>
            <w:tcBorders>
              <w:top w:val="single" w:sz="5" w:space="0" w:color="000000"/>
              <w:left w:val="single" w:sz="5" w:space="0" w:color="000000"/>
              <w:bottom w:val="single" w:sz="5" w:space="0" w:color="000000"/>
              <w:right w:val="single" w:sz="5" w:space="0" w:color="000000"/>
            </w:tcBorders>
          </w:tcPr>
          <w:p w14:paraId="51664D5E" w14:textId="77777777" w:rsidR="006E1AB3" w:rsidRDefault="006E1AB3" w:rsidP="007130E8">
            <w:pPr>
              <w:pStyle w:val="TableParagraph"/>
              <w:spacing w:before="5" w:line="252" w:lineRule="exact"/>
              <w:ind w:left="102"/>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Navedba smiselno ni potrebna.</w:t>
            </w:r>
          </w:p>
        </w:tc>
      </w:tr>
    </w:tbl>
    <w:p w14:paraId="575EBB0C" w14:textId="77777777" w:rsidR="006E1AB3" w:rsidRDefault="006E1AB3" w:rsidP="006E1AB3">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6E1AB3" w:rsidRPr="00475A1E" w14:paraId="29E51DED" w14:textId="77777777" w:rsidTr="007130E8">
        <w:tc>
          <w:tcPr>
            <w:tcW w:w="9288" w:type="dxa"/>
            <w:gridSpan w:val="3"/>
            <w:tcBorders>
              <w:top w:val="single" w:sz="5" w:space="0" w:color="000000"/>
              <w:left w:val="single" w:sz="5" w:space="0" w:color="000000"/>
              <w:bottom w:val="single" w:sz="5" w:space="0" w:color="000000"/>
              <w:right w:val="single" w:sz="5" w:space="0" w:color="000000"/>
            </w:tcBorders>
          </w:tcPr>
          <w:p w14:paraId="683A914D" w14:textId="77777777" w:rsidR="006E1AB3" w:rsidRPr="007811C6" w:rsidRDefault="006E1AB3" w:rsidP="007130E8">
            <w:pPr>
              <w:pStyle w:val="TableParagraph"/>
              <w:spacing w:line="252" w:lineRule="exact"/>
              <w:ind w:left="102"/>
              <w:rPr>
                <w:rFonts w:ascii="Times New Roman" w:eastAsia="Times New Roman" w:hAnsi="Times New Roman" w:cs="Times New Roman"/>
                <w:b/>
                <w:bCs/>
                <w:spacing w:val="-1"/>
                <w:lang w:val="sl-SI"/>
              </w:rPr>
            </w:pPr>
            <w:r w:rsidRPr="007811C6">
              <w:rPr>
                <w:rFonts w:ascii="Times New Roman" w:eastAsia="Times New Roman" w:hAnsi="Times New Roman" w:cs="Times New Roman"/>
                <w:b/>
                <w:bCs/>
                <w:spacing w:val="-1"/>
                <w:lang w:val="sl-SI"/>
              </w:rPr>
              <w:t>Luskavica (psoriaza) v plakih pri pediatričnih bolnikih</w:t>
            </w:r>
          </w:p>
        </w:tc>
      </w:tr>
      <w:tr w:rsidR="006E1AB3" w14:paraId="1A0D0259" w14:textId="77777777" w:rsidTr="007130E8">
        <w:tc>
          <w:tcPr>
            <w:tcW w:w="3096" w:type="dxa"/>
            <w:tcBorders>
              <w:top w:val="single" w:sz="5" w:space="0" w:color="000000"/>
              <w:left w:val="single" w:sz="5" w:space="0" w:color="000000"/>
              <w:bottom w:val="single" w:sz="5" w:space="0" w:color="000000"/>
              <w:right w:val="single" w:sz="5" w:space="0" w:color="000000"/>
            </w:tcBorders>
          </w:tcPr>
          <w:p w14:paraId="55B9D69A" w14:textId="77777777" w:rsidR="006E1AB3" w:rsidRDefault="006E1AB3" w:rsidP="007130E8">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096" w:type="dxa"/>
            <w:tcBorders>
              <w:top w:val="single" w:sz="5" w:space="0" w:color="000000"/>
              <w:left w:val="single" w:sz="5" w:space="0" w:color="000000"/>
              <w:bottom w:val="single" w:sz="5" w:space="0" w:color="000000"/>
              <w:right w:val="single" w:sz="5" w:space="0" w:color="000000"/>
            </w:tcBorders>
          </w:tcPr>
          <w:p w14:paraId="556AB30D" w14:textId="77777777" w:rsidR="006E1AB3" w:rsidRDefault="006E1AB3" w:rsidP="007130E8">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7963E325" w14:textId="77777777" w:rsidR="006E1AB3" w:rsidRDefault="006E1AB3" w:rsidP="007130E8">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096" w:type="dxa"/>
            <w:tcBorders>
              <w:top w:val="single" w:sz="5" w:space="0" w:color="000000"/>
              <w:left w:val="single" w:sz="5" w:space="0" w:color="000000"/>
              <w:bottom w:val="single" w:sz="5" w:space="0" w:color="000000"/>
              <w:right w:val="single" w:sz="5" w:space="0" w:color="000000"/>
            </w:tcBorders>
          </w:tcPr>
          <w:p w14:paraId="080DF217" w14:textId="77777777" w:rsidR="006E1AB3" w:rsidRDefault="006E1AB3" w:rsidP="007130E8">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6E1AB3" w:rsidRPr="007811C6" w14:paraId="73D7F340" w14:textId="77777777" w:rsidTr="007130E8">
        <w:tc>
          <w:tcPr>
            <w:tcW w:w="3096" w:type="dxa"/>
            <w:tcBorders>
              <w:top w:val="single" w:sz="5" w:space="0" w:color="000000"/>
              <w:left w:val="single" w:sz="5" w:space="0" w:color="000000"/>
              <w:bottom w:val="single" w:sz="5" w:space="0" w:color="000000"/>
              <w:right w:val="single" w:sz="5" w:space="0" w:color="000000"/>
            </w:tcBorders>
          </w:tcPr>
          <w:p w14:paraId="001FC755" w14:textId="77777777" w:rsidR="006E1AB3" w:rsidRDefault="006E1AB3" w:rsidP="007130E8">
            <w:pPr>
              <w:pStyle w:val="TableParagraph"/>
              <w:spacing w:line="246" w:lineRule="exact"/>
              <w:ind w:left="102" w:right="57"/>
              <w:rPr>
                <w:rFonts w:ascii="Times New Roman" w:eastAsia="Times New Roman" w:hAnsi="Times New Roman" w:cs="Times New Roman"/>
                <w:lang w:val="sl-SI"/>
              </w:rPr>
            </w:pPr>
            <w:r>
              <w:rPr>
                <w:rFonts w:ascii="Times New Roman" w:eastAsia="Times New Roman" w:hAnsi="Times New Roman" w:cs="Times New Roman"/>
                <w:spacing w:val="-1"/>
                <w:lang w:val="sl-SI"/>
              </w:rPr>
              <w:t>Otroci in mladostniki, stari od 4 do 17 let s telesno maso 30 kg ali več</w:t>
            </w:r>
          </w:p>
        </w:tc>
        <w:tc>
          <w:tcPr>
            <w:tcW w:w="3096" w:type="dxa"/>
            <w:tcBorders>
              <w:top w:val="single" w:sz="5" w:space="0" w:color="000000"/>
              <w:left w:val="single" w:sz="5" w:space="0" w:color="000000"/>
              <w:bottom w:val="single" w:sz="5" w:space="0" w:color="000000"/>
              <w:right w:val="single" w:sz="5" w:space="0" w:color="000000"/>
            </w:tcBorders>
          </w:tcPr>
          <w:p w14:paraId="5E2EC7CB" w14:textId="77777777" w:rsidR="006E1AB3" w:rsidRDefault="006E1AB3" w:rsidP="007130E8">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Prvi odmerek 40 mg, ki mu sledi 40 mg en teden kasneje.</w:t>
            </w:r>
          </w:p>
          <w:p w14:paraId="43B38E44" w14:textId="77777777" w:rsidR="006E1AB3" w:rsidRDefault="006E1AB3" w:rsidP="007130E8">
            <w:pPr>
              <w:pStyle w:val="TableParagraph"/>
              <w:spacing w:line="246" w:lineRule="exact"/>
              <w:ind w:left="102" w:right="57"/>
              <w:rPr>
                <w:rFonts w:ascii="Times New Roman" w:eastAsia="Times New Roman" w:hAnsi="Times New Roman" w:cs="Times New Roman"/>
                <w:spacing w:val="-1"/>
                <w:lang w:val="sl-SI"/>
              </w:rPr>
            </w:pPr>
          </w:p>
          <w:p w14:paraId="62D7DBCC" w14:textId="77777777" w:rsidR="006E1AB3" w:rsidRDefault="006E1AB3" w:rsidP="007130E8">
            <w:pPr>
              <w:pStyle w:val="TableParagraph"/>
              <w:spacing w:before="1" w:line="239" w:lineRule="auto"/>
              <w:ind w:left="102" w:right="51"/>
              <w:rPr>
                <w:rFonts w:ascii="Times New Roman" w:eastAsia="Times New Roman" w:hAnsi="Times New Roman" w:cs="Times New Roman"/>
                <w:spacing w:val="-1"/>
                <w:lang w:val="sl-SI"/>
              </w:rPr>
            </w:pPr>
            <w:r>
              <w:rPr>
                <w:rFonts w:ascii="Times New Roman" w:eastAsia="Times New Roman" w:hAnsi="Times New Roman" w:cs="Times New Roman"/>
                <w:lang w:val="sl-SI"/>
              </w:rPr>
              <w:t>Nato je običajni odmerek 40 </w:t>
            </w:r>
            <w:r>
              <w:rPr>
                <w:rFonts w:ascii="Times New Roman" w:eastAsia="Times New Roman" w:hAnsi="Times New Roman" w:cs="Times New Roman"/>
                <w:spacing w:val="-1"/>
                <w:lang w:val="sl-SI"/>
              </w:rPr>
              <w:t>mg vsak drugi teden.</w:t>
            </w:r>
          </w:p>
          <w:p w14:paraId="5A658E8F" w14:textId="77777777" w:rsidR="00101260" w:rsidRDefault="00101260" w:rsidP="007130E8">
            <w:pPr>
              <w:pStyle w:val="TableParagraph"/>
              <w:spacing w:before="1" w:line="239" w:lineRule="auto"/>
              <w:ind w:left="102" w:right="51"/>
              <w:rPr>
                <w:rFonts w:ascii="Times New Roman" w:eastAsia="Times New Roman" w:hAnsi="Times New Roman" w:cs="Times New Roman"/>
                <w:lang w:val="sl-SI"/>
              </w:rPr>
            </w:pPr>
          </w:p>
        </w:tc>
        <w:tc>
          <w:tcPr>
            <w:tcW w:w="3096" w:type="dxa"/>
            <w:tcBorders>
              <w:top w:val="single" w:sz="5" w:space="0" w:color="000000"/>
              <w:left w:val="single" w:sz="5" w:space="0" w:color="000000"/>
              <w:bottom w:val="single" w:sz="5" w:space="0" w:color="000000"/>
              <w:right w:val="single" w:sz="5" w:space="0" w:color="000000"/>
            </w:tcBorders>
          </w:tcPr>
          <w:p w14:paraId="051AE536" w14:textId="77777777" w:rsidR="006E1AB3" w:rsidRDefault="006E1AB3" w:rsidP="007130E8">
            <w:pPr>
              <w:pStyle w:val="TableParagraph"/>
              <w:spacing w:before="1" w:line="239" w:lineRule="auto"/>
              <w:ind w:left="102" w:right="193"/>
              <w:rPr>
                <w:rFonts w:ascii="Times New Roman" w:eastAsia="Times New Roman" w:hAnsi="Times New Roman" w:cs="Times New Roman"/>
                <w:lang w:val="sl-SI"/>
              </w:rPr>
            </w:pPr>
            <w:r>
              <w:rPr>
                <w:rFonts w:ascii="Times New Roman" w:eastAsia="Times New Roman" w:hAnsi="Times New Roman" w:cs="Times New Roman"/>
                <w:spacing w:val="-1"/>
                <w:lang w:val="sl-SI"/>
              </w:rPr>
              <w:t>Navedba smiselno ni potrebna.</w:t>
            </w:r>
          </w:p>
        </w:tc>
      </w:tr>
      <w:tr w:rsidR="006E1AB3" w:rsidRPr="007811C6" w14:paraId="32326825" w14:textId="77777777" w:rsidTr="007130E8">
        <w:tc>
          <w:tcPr>
            <w:tcW w:w="3096" w:type="dxa"/>
            <w:tcBorders>
              <w:top w:val="single" w:sz="5" w:space="0" w:color="000000"/>
              <w:left w:val="single" w:sz="5" w:space="0" w:color="000000"/>
              <w:bottom w:val="single" w:sz="5" w:space="0" w:color="000000"/>
              <w:right w:val="single" w:sz="5" w:space="0" w:color="000000"/>
            </w:tcBorders>
          </w:tcPr>
          <w:p w14:paraId="3E9BC5A7" w14:textId="77777777"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r w:rsidRPr="007811C6">
              <w:rPr>
                <w:rFonts w:ascii="Times New Roman" w:eastAsia="Times New Roman" w:hAnsi="Times New Roman" w:cs="Times New Roman"/>
                <w:spacing w:val="-1"/>
                <w:lang w:val="sl-SI"/>
              </w:rPr>
              <w:t xml:space="preserve">Otroci in mladostniki, stari od 4 do 17 let, ki tehtajo od 15 kg do manj kot 30 kg </w:t>
            </w:r>
          </w:p>
        </w:tc>
        <w:tc>
          <w:tcPr>
            <w:tcW w:w="3096" w:type="dxa"/>
            <w:tcBorders>
              <w:top w:val="single" w:sz="5" w:space="0" w:color="000000"/>
              <w:left w:val="single" w:sz="5" w:space="0" w:color="000000"/>
              <w:bottom w:val="single" w:sz="5" w:space="0" w:color="000000"/>
              <w:right w:val="single" w:sz="5" w:space="0" w:color="000000"/>
            </w:tcBorders>
          </w:tcPr>
          <w:p w14:paraId="78FA649E" w14:textId="77777777" w:rsidR="006E1AB3" w:rsidRDefault="006E1AB3" w:rsidP="007130E8">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Prvi odmerek 20 mg, ki mu sledi 20 mg en teden kasneje.</w:t>
            </w:r>
          </w:p>
          <w:p w14:paraId="38F2F025" w14:textId="77777777" w:rsidR="006E1AB3" w:rsidRDefault="006E1AB3" w:rsidP="007130E8">
            <w:pPr>
              <w:pStyle w:val="TableParagraph"/>
              <w:spacing w:line="246" w:lineRule="exact"/>
              <w:ind w:left="102" w:right="57"/>
              <w:rPr>
                <w:rFonts w:ascii="Times New Roman" w:eastAsia="Times New Roman" w:hAnsi="Times New Roman" w:cs="Times New Roman"/>
                <w:spacing w:val="-1"/>
                <w:lang w:val="sl-SI"/>
              </w:rPr>
            </w:pPr>
          </w:p>
          <w:p w14:paraId="5AF380E6" w14:textId="77777777"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r w:rsidRPr="007811C6">
              <w:rPr>
                <w:rFonts w:ascii="Times New Roman" w:eastAsia="Times New Roman" w:hAnsi="Times New Roman" w:cs="Times New Roman"/>
                <w:spacing w:val="-1"/>
                <w:lang w:val="sl-SI"/>
              </w:rPr>
              <w:t>Nato je običajni odmerek 20 </w:t>
            </w:r>
            <w:r>
              <w:rPr>
                <w:rFonts w:ascii="Times New Roman" w:eastAsia="Times New Roman" w:hAnsi="Times New Roman" w:cs="Times New Roman"/>
                <w:spacing w:val="-1"/>
                <w:lang w:val="sl-SI"/>
              </w:rPr>
              <w:t>mg vsak drugi teden.</w:t>
            </w:r>
          </w:p>
        </w:tc>
        <w:tc>
          <w:tcPr>
            <w:tcW w:w="3096" w:type="dxa"/>
            <w:tcBorders>
              <w:top w:val="single" w:sz="5" w:space="0" w:color="000000"/>
              <w:left w:val="single" w:sz="5" w:space="0" w:color="000000"/>
              <w:bottom w:val="single" w:sz="5" w:space="0" w:color="000000"/>
              <w:right w:val="single" w:sz="5" w:space="0" w:color="000000"/>
            </w:tcBorders>
          </w:tcPr>
          <w:p w14:paraId="4AA4E001" w14:textId="77777777"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Navedba smiselno ni potrebna.</w:t>
            </w:r>
          </w:p>
        </w:tc>
      </w:tr>
    </w:tbl>
    <w:p w14:paraId="52D22EDA" w14:textId="77777777" w:rsidR="006E1AB3" w:rsidRDefault="006E1AB3" w:rsidP="006E1AB3">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6E1AB3" w:rsidRPr="00475A1E" w14:paraId="44C6F21C" w14:textId="77777777" w:rsidTr="007130E8">
        <w:tc>
          <w:tcPr>
            <w:tcW w:w="9288" w:type="dxa"/>
            <w:gridSpan w:val="3"/>
            <w:tcBorders>
              <w:top w:val="single" w:sz="5" w:space="0" w:color="000000"/>
              <w:left w:val="single" w:sz="5" w:space="0" w:color="000000"/>
              <w:bottom w:val="single" w:sz="5" w:space="0" w:color="000000"/>
              <w:right w:val="single" w:sz="5" w:space="0" w:color="000000"/>
            </w:tcBorders>
          </w:tcPr>
          <w:p w14:paraId="645C521C" w14:textId="77777777" w:rsidR="006E1AB3" w:rsidRPr="007811C6" w:rsidRDefault="006E1AB3" w:rsidP="007130E8">
            <w:pPr>
              <w:pStyle w:val="TableParagraph"/>
              <w:spacing w:line="252" w:lineRule="exact"/>
              <w:ind w:left="102"/>
              <w:rPr>
                <w:rFonts w:ascii="Times New Roman" w:eastAsia="Times New Roman" w:hAnsi="Times New Roman" w:cs="Times New Roman"/>
                <w:b/>
                <w:bCs/>
                <w:spacing w:val="-1"/>
                <w:lang w:val="sl-SI"/>
              </w:rPr>
            </w:pPr>
            <w:r w:rsidRPr="007811C6">
              <w:rPr>
                <w:rFonts w:ascii="Times New Roman" w:eastAsia="Times New Roman" w:hAnsi="Times New Roman" w:cs="Times New Roman"/>
                <w:b/>
                <w:bCs/>
                <w:spacing w:val="-1"/>
                <w:lang w:val="sl-SI"/>
              </w:rPr>
              <w:t>Crohnova bolezen pri pediatričnih bolnikih</w:t>
            </w:r>
          </w:p>
        </w:tc>
      </w:tr>
      <w:tr w:rsidR="006E1AB3" w14:paraId="063FB786" w14:textId="77777777" w:rsidTr="007130E8">
        <w:tc>
          <w:tcPr>
            <w:tcW w:w="3096" w:type="dxa"/>
            <w:tcBorders>
              <w:top w:val="single" w:sz="5" w:space="0" w:color="000000"/>
              <w:left w:val="single" w:sz="5" w:space="0" w:color="000000"/>
              <w:bottom w:val="single" w:sz="5" w:space="0" w:color="000000"/>
              <w:right w:val="single" w:sz="5" w:space="0" w:color="000000"/>
            </w:tcBorders>
          </w:tcPr>
          <w:p w14:paraId="1F42F244" w14:textId="77777777" w:rsidR="006E1AB3" w:rsidRDefault="006E1AB3" w:rsidP="007130E8">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096" w:type="dxa"/>
            <w:tcBorders>
              <w:top w:val="single" w:sz="5" w:space="0" w:color="000000"/>
              <w:left w:val="single" w:sz="5" w:space="0" w:color="000000"/>
              <w:bottom w:val="single" w:sz="5" w:space="0" w:color="000000"/>
              <w:right w:val="single" w:sz="5" w:space="0" w:color="000000"/>
            </w:tcBorders>
          </w:tcPr>
          <w:p w14:paraId="6654E93A" w14:textId="77777777" w:rsidR="006E1AB3" w:rsidRDefault="006E1AB3" w:rsidP="007130E8">
            <w:pPr>
              <w:pStyle w:val="TableParagraph"/>
              <w:spacing w:before="1" w:line="252" w:lineRule="exact"/>
              <w:ind w:left="102"/>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 vzeti?</w:t>
            </w:r>
          </w:p>
        </w:tc>
        <w:tc>
          <w:tcPr>
            <w:tcW w:w="3096" w:type="dxa"/>
            <w:tcBorders>
              <w:top w:val="single" w:sz="5" w:space="0" w:color="000000"/>
              <w:left w:val="single" w:sz="5" w:space="0" w:color="000000"/>
              <w:bottom w:val="single" w:sz="5" w:space="0" w:color="000000"/>
              <w:right w:val="single" w:sz="5" w:space="0" w:color="000000"/>
            </w:tcBorders>
          </w:tcPr>
          <w:p w14:paraId="62843DB2" w14:textId="77777777" w:rsidR="006E1AB3" w:rsidRDefault="006E1AB3" w:rsidP="007130E8">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6E1AB3" w:rsidRPr="00475A1E" w14:paraId="69DA08FE" w14:textId="77777777" w:rsidTr="007130E8">
        <w:tc>
          <w:tcPr>
            <w:tcW w:w="3096" w:type="dxa"/>
            <w:tcBorders>
              <w:top w:val="single" w:sz="5" w:space="0" w:color="000000"/>
              <w:left w:val="single" w:sz="5" w:space="0" w:color="000000"/>
              <w:bottom w:val="single" w:sz="5" w:space="0" w:color="000000"/>
              <w:right w:val="single" w:sz="5" w:space="0" w:color="000000"/>
            </w:tcBorders>
          </w:tcPr>
          <w:p w14:paraId="55704BB2" w14:textId="77777777"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r w:rsidRPr="007811C6">
              <w:rPr>
                <w:rFonts w:ascii="Times New Roman" w:eastAsia="Times New Roman" w:hAnsi="Times New Roman" w:cs="Times New Roman"/>
                <w:spacing w:val="-1"/>
                <w:lang w:val="sl-SI"/>
              </w:rPr>
              <w:t>Otroci in mladostniki, stari od 6 do 17 let, ki tehtajo 40 kg ali več</w:t>
            </w:r>
          </w:p>
        </w:tc>
        <w:tc>
          <w:tcPr>
            <w:tcW w:w="3096" w:type="dxa"/>
            <w:tcBorders>
              <w:top w:val="single" w:sz="5" w:space="0" w:color="000000"/>
              <w:left w:val="single" w:sz="5" w:space="0" w:color="000000"/>
              <w:bottom w:val="single" w:sz="5" w:space="0" w:color="000000"/>
              <w:right w:val="single" w:sz="5" w:space="0" w:color="000000"/>
            </w:tcBorders>
          </w:tcPr>
          <w:p w14:paraId="5014D876" w14:textId="77777777"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r w:rsidRPr="007811C6">
              <w:rPr>
                <w:rFonts w:ascii="Times New Roman" w:eastAsia="Times New Roman" w:hAnsi="Times New Roman" w:cs="Times New Roman"/>
                <w:spacing w:val="-1"/>
                <w:lang w:val="sl-SI"/>
              </w:rPr>
              <w:t>Začetni odmerek je 80 mg, ki mu sledi 40 mg dva tedna kasneje</w:t>
            </w:r>
            <w:r>
              <w:rPr>
                <w:rFonts w:ascii="Times New Roman" w:eastAsia="Times New Roman" w:hAnsi="Times New Roman" w:cs="Times New Roman"/>
                <w:spacing w:val="-1"/>
                <w:lang w:val="sl-SI"/>
              </w:rPr>
              <w:t>.</w:t>
            </w:r>
          </w:p>
          <w:p w14:paraId="4AC0F6D1" w14:textId="77777777"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p>
          <w:p w14:paraId="67C9827F" w14:textId="77777777"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r w:rsidRPr="007811C6">
              <w:rPr>
                <w:rFonts w:ascii="Times New Roman" w:eastAsia="Times New Roman" w:hAnsi="Times New Roman" w:cs="Times New Roman"/>
                <w:spacing w:val="-1"/>
                <w:lang w:val="sl-SI"/>
              </w:rPr>
              <w:t>Če je potreben hitrejši odziv, lahko zdravnik vašega otroka predpiše začetni odmerek 160 mg, ki mu sledi 80 mg dva tedna kasneje</w:t>
            </w:r>
            <w:r>
              <w:rPr>
                <w:rFonts w:ascii="Times New Roman" w:eastAsia="Times New Roman" w:hAnsi="Times New Roman" w:cs="Times New Roman"/>
                <w:spacing w:val="-1"/>
                <w:lang w:val="sl-SI"/>
              </w:rPr>
              <w:t>.</w:t>
            </w:r>
          </w:p>
          <w:p w14:paraId="38A0226C" w14:textId="77777777"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p>
          <w:p w14:paraId="0D37B482" w14:textId="77777777" w:rsidR="00101260" w:rsidRDefault="006E1AB3" w:rsidP="007130E8">
            <w:pPr>
              <w:pStyle w:val="TableParagraph"/>
              <w:spacing w:line="246" w:lineRule="exact"/>
              <w:ind w:left="102" w:right="57"/>
              <w:rPr>
                <w:rFonts w:ascii="Times New Roman" w:eastAsia="Times New Roman" w:hAnsi="Times New Roman" w:cs="Times New Roman"/>
                <w:spacing w:val="-1"/>
                <w:lang w:val="sl-SI"/>
              </w:rPr>
            </w:pPr>
            <w:r w:rsidRPr="007811C6">
              <w:rPr>
                <w:rFonts w:ascii="Times New Roman" w:eastAsia="Times New Roman" w:hAnsi="Times New Roman" w:cs="Times New Roman"/>
                <w:spacing w:val="-1"/>
                <w:lang w:val="sl-SI"/>
              </w:rPr>
              <w:t>Zatem je običajni odmerek 40 mg vsak drugi teden</w:t>
            </w:r>
          </w:p>
          <w:p w14:paraId="72554C5E" w14:textId="0272E7EA"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w:t>
            </w:r>
          </w:p>
        </w:tc>
        <w:tc>
          <w:tcPr>
            <w:tcW w:w="3096" w:type="dxa"/>
            <w:tcBorders>
              <w:top w:val="single" w:sz="5" w:space="0" w:color="000000"/>
              <w:left w:val="single" w:sz="5" w:space="0" w:color="000000"/>
              <w:bottom w:val="single" w:sz="5" w:space="0" w:color="000000"/>
              <w:right w:val="single" w:sz="5" w:space="0" w:color="000000"/>
            </w:tcBorders>
          </w:tcPr>
          <w:p w14:paraId="4D5FA8C2" w14:textId="77777777"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r w:rsidRPr="007811C6">
              <w:rPr>
                <w:rFonts w:ascii="Times New Roman" w:eastAsia="Times New Roman" w:hAnsi="Times New Roman" w:cs="Times New Roman"/>
                <w:spacing w:val="-1"/>
                <w:lang w:val="sl-SI"/>
              </w:rPr>
              <w:t>Zdravnik vašemu otroku lahko poveča odmerek na 40 mg vsak teden ali na 80 mg vsak drugi teden</w:t>
            </w:r>
            <w:r>
              <w:rPr>
                <w:rFonts w:ascii="Times New Roman" w:eastAsia="Times New Roman" w:hAnsi="Times New Roman" w:cs="Times New Roman"/>
                <w:spacing w:val="-1"/>
                <w:lang w:val="sl-SI"/>
              </w:rPr>
              <w:t>.</w:t>
            </w:r>
          </w:p>
        </w:tc>
      </w:tr>
      <w:tr w:rsidR="006E1AB3" w:rsidRPr="00475A1E" w14:paraId="31F8C679" w14:textId="77777777" w:rsidTr="007130E8">
        <w:tc>
          <w:tcPr>
            <w:tcW w:w="3096" w:type="dxa"/>
            <w:tcBorders>
              <w:top w:val="single" w:sz="5" w:space="0" w:color="000000"/>
              <w:left w:val="single" w:sz="5" w:space="0" w:color="000000"/>
              <w:bottom w:val="single" w:sz="5" w:space="0" w:color="000000"/>
              <w:right w:val="single" w:sz="5" w:space="0" w:color="000000"/>
            </w:tcBorders>
          </w:tcPr>
          <w:p w14:paraId="6C97F567" w14:textId="77777777"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r w:rsidRPr="007811C6">
              <w:rPr>
                <w:rFonts w:ascii="Times New Roman" w:eastAsia="Times New Roman" w:hAnsi="Times New Roman" w:cs="Times New Roman"/>
                <w:spacing w:val="-1"/>
                <w:lang w:val="sl-SI"/>
              </w:rPr>
              <w:t>Otroci in mladostniki, stari od 6 do 17 let, ki tehtajo manj kot 40 kg</w:t>
            </w:r>
          </w:p>
        </w:tc>
        <w:tc>
          <w:tcPr>
            <w:tcW w:w="3096" w:type="dxa"/>
            <w:tcBorders>
              <w:top w:val="single" w:sz="5" w:space="0" w:color="000000"/>
              <w:left w:val="single" w:sz="5" w:space="0" w:color="000000"/>
              <w:bottom w:val="single" w:sz="5" w:space="0" w:color="000000"/>
              <w:right w:val="single" w:sz="5" w:space="0" w:color="000000"/>
            </w:tcBorders>
          </w:tcPr>
          <w:p w14:paraId="1CAE574C" w14:textId="77777777"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r w:rsidRPr="007811C6">
              <w:rPr>
                <w:rFonts w:ascii="Times New Roman" w:eastAsia="Times New Roman" w:hAnsi="Times New Roman" w:cs="Times New Roman"/>
                <w:spacing w:val="-1"/>
                <w:lang w:val="sl-SI"/>
              </w:rPr>
              <w:t>Začetni odmerek je 40 mg, ki mu sledi 20 mg dva tedna kasneje.</w:t>
            </w:r>
          </w:p>
          <w:p w14:paraId="6757C138" w14:textId="77777777"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p>
          <w:p w14:paraId="2C9C6D8B" w14:textId="77777777"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r w:rsidRPr="007811C6">
              <w:rPr>
                <w:rFonts w:ascii="Times New Roman" w:eastAsia="Times New Roman" w:hAnsi="Times New Roman" w:cs="Times New Roman"/>
                <w:spacing w:val="-1"/>
                <w:lang w:val="sl-SI"/>
              </w:rPr>
              <w:t>Če je potreben hitrejši odziv, lahko zdravnik predpiše začetni odmerek 80 mg, ki mu sledi 40 mg dva tedna kasneje.</w:t>
            </w:r>
          </w:p>
          <w:p w14:paraId="08232C11" w14:textId="77777777"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p>
          <w:p w14:paraId="485E2EFD" w14:textId="77777777" w:rsidR="006E1AB3" w:rsidRDefault="006E1AB3" w:rsidP="007130E8">
            <w:pPr>
              <w:pStyle w:val="TableParagraph"/>
              <w:spacing w:line="246" w:lineRule="exact"/>
              <w:ind w:left="102" w:right="57"/>
              <w:rPr>
                <w:rFonts w:ascii="Times New Roman" w:eastAsia="Times New Roman" w:hAnsi="Times New Roman" w:cs="Times New Roman"/>
                <w:spacing w:val="-1"/>
                <w:lang w:val="sl-SI"/>
              </w:rPr>
            </w:pPr>
            <w:r w:rsidRPr="007811C6">
              <w:rPr>
                <w:rFonts w:ascii="Times New Roman" w:eastAsia="Times New Roman" w:hAnsi="Times New Roman" w:cs="Times New Roman"/>
                <w:spacing w:val="-1"/>
                <w:lang w:val="sl-SI"/>
              </w:rPr>
              <w:t>Zatem je običajni odmerek 20 mg vsak drugi teden</w:t>
            </w:r>
          </w:p>
        </w:tc>
        <w:tc>
          <w:tcPr>
            <w:tcW w:w="3096" w:type="dxa"/>
            <w:tcBorders>
              <w:top w:val="single" w:sz="5" w:space="0" w:color="000000"/>
              <w:left w:val="single" w:sz="5" w:space="0" w:color="000000"/>
              <w:bottom w:val="single" w:sz="5" w:space="0" w:color="000000"/>
              <w:right w:val="single" w:sz="5" w:space="0" w:color="000000"/>
            </w:tcBorders>
          </w:tcPr>
          <w:p w14:paraId="603D7D32" w14:textId="77777777"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r w:rsidRPr="007811C6">
              <w:rPr>
                <w:rFonts w:ascii="Times New Roman" w:eastAsia="Times New Roman" w:hAnsi="Times New Roman" w:cs="Times New Roman"/>
                <w:spacing w:val="-1"/>
                <w:lang w:val="sl-SI"/>
              </w:rPr>
              <w:t>Zdravnik vašemu otroku lahko poveča pogostnost odmerjanja na 20 mg vsak teden.</w:t>
            </w:r>
          </w:p>
        </w:tc>
      </w:tr>
    </w:tbl>
    <w:p w14:paraId="2FE2EB98" w14:textId="77777777" w:rsidR="006E1AB3" w:rsidRDefault="006E1AB3" w:rsidP="006E1AB3">
      <w:pPr>
        <w:spacing w:before="10" w:line="240" w:lineRule="exact"/>
        <w:rPr>
          <w:sz w:val="24"/>
          <w:szCs w:val="24"/>
          <w:lang w:val="sl-SI"/>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6E1AB3" w:rsidRPr="007811C6" w14:paraId="3767A76C" w14:textId="77777777" w:rsidTr="007130E8">
        <w:trPr>
          <w:trHeight w:val="20"/>
        </w:trPr>
        <w:tc>
          <w:tcPr>
            <w:tcW w:w="9288" w:type="dxa"/>
            <w:gridSpan w:val="3"/>
            <w:tcBorders>
              <w:top w:val="single" w:sz="5" w:space="0" w:color="000000"/>
              <w:left w:val="single" w:sz="5" w:space="0" w:color="000000"/>
              <w:bottom w:val="single" w:sz="5" w:space="0" w:color="000000"/>
              <w:right w:val="single" w:sz="5" w:space="0" w:color="000000"/>
            </w:tcBorders>
          </w:tcPr>
          <w:p w14:paraId="2F7505AE" w14:textId="424B37B3" w:rsidR="006E1AB3" w:rsidRPr="007811C6" w:rsidRDefault="006E1AB3" w:rsidP="007130E8">
            <w:pPr>
              <w:pStyle w:val="TableParagraph"/>
              <w:spacing w:line="252" w:lineRule="exact"/>
              <w:ind w:left="102"/>
              <w:rPr>
                <w:rFonts w:ascii="Times New Roman" w:eastAsia="Times New Roman" w:hAnsi="Times New Roman" w:cs="Times New Roman"/>
                <w:b/>
                <w:bCs/>
                <w:spacing w:val="-1"/>
                <w:lang w:val="sl-SI"/>
              </w:rPr>
            </w:pPr>
            <w:r w:rsidRPr="007811C6">
              <w:rPr>
                <w:rFonts w:ascii="Times New Roman" w:eastAsia="Times New Roman" w:hAnsi="Times New Roman" w:cs="Times New Roman"/>
                <w:b/>
                <w:bCs/>
                <w:spacing w:val="-1"/>
                <w:lang w:val="sl-SI"/>
              </w:rPr>
              <w:t>Uveitis pri pediatričnih bolnikih</w:t>
            </w:r>
          </w:p>
        </w:tc>
      </w:tr>
      <w:tr w:rsidR="006E1AB3" w14:paraId="692B854B" w14:textId="77777777" w:rsidTr="007130E8">
        <w:trPr>
          <w:trHeight w:val="20"/>
        </w:trPr>
        <w:tc>
          <w:tcPr>
            <w:tcW w:w="3096" w:type="dxa"/>
            <w:tcBorders>
              <w:top w:val="single" w:sz="5" w:space="0" w:color="000000"/>
              <w:left w:val="single" w:sz="5" w:space="0" w:color="000000"/>
              <w:bottom w:val="single" w:sz="5" w:space="0" w:color="000000"/>
              <w:right w:val="single" w:sz="5" w:space="0" w:color="000000"/>
            </w:tcBorders>
          </w:tcPr>
          <w:p w14:paraId="1E8EB174" w14:textId="77777777" w:rsidR="006E1AB3" w:rsidRDefault="006E1AB3" w:rsidP="007130E8">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Starost ali telesna masa</w:t>
            </w:r>
          </w:p>
        </w:tc>
        <w:tc>
          <w:tcPr>
            <w:tcW w:w="3096" w:type="dxa"/>
            <w:tcBorders>
              <w:top w:val="single" w:sz="5" w:space="0" w:color="000000"/>
              <w:left w:val="single" w:sz="5" w:space="0" w:color="000000"/>
              <w:bottom w:val="single" w:sz="5" w:space="0" w:color="000000"/>
              <w:right w:val="single" w:sz="5" w:space="0" w:color="000000"/>
            </w:tcBorders>
          </w:tcPr>
          <w:p w14:paraId="633A7319" w14:textId="77777777" w:rsidR="006E1AB3" w:rsidRDefault="006E1AB3" w:rsidP="007130E8">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spacing w:val="-1"/>
                <w:lang w:val="sl-SI"/>
              </w:rPr>
              <w:t>Koliko in kako pogosto</w:t>
            </w:r>
          </w:p>
          <w:p w14:paraId="545E7C9E" w14:textId="77777777" w:rsidR="006E1AB3" w:rsidRDefault="006E1AB3" w:rsidP="007130E8">
            <w:pPr>
              <w:pStyle w:val="TableParagraph"/>
              <w:spacing w:before="1" w:line="252"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vzeti?</w:t>
            </w:r>
          </w:p>
        </w:tc>
        <w:tc>
          <w:tcPr>
            <w:tcW w:w="3096" w:type="dxa"/>
            <w:tcBorders>
              <w:top w:val="single" w:sz="5" w:space="0" w:color="000000"/>
              <w:left w:val="single" w:sz="5" w:space="0" w:color="000000"/>
              <w:bottom w:val="single" w:sz="5" w:space="0" w:color="000000"/>
              <w:right w:val="single" w:sz="5" w:space="0" w:color="000000"/>
            </w:tcBorders>
          </w:tcPr>
          <w:p w14:paraId="47DFA0E0" w14:textId="77777777" w:rsidR="006E1AB3" w:rsidRDefault="006E1AB3" w:rsidP="007130E8">
            <w:pPr>
              <w:pStyle w:val="TableParagraph"/>
              <w:spacing w:line="251" w:lineRule="exact"/>
              <w:ind w:left="102" w:right="57"/>
              <w:rPr>
                <w:rFonts w:ascii="Times New Roman" w:eastAsia="Times New Roman" w:hAnsi="Times New Roman" w:cs="Times New Roman"/>
                <w:lang w:val="sl-SI"/>
              </w:rPr>
            </w:pPr>
            <w:r>
              <w:rPr>
                <w:rFonts w:ascii="Times New Roman" w:eastAsia="Times New Roman" w:hAnsi="Times New Roman" w:cs="Times New Roman"/>
                <w:b/>
                <w:bCs/>
                <w:lang w:val="sl-SI"/>
              </w:rPr>
              <w:t>Opombe</w:t>
            </w:r>
          </w:p>
        </w:tc>
      </w:tr>
      <w:tr w:rsidR="006E1AB3" w:rsidRPr="00475A1E" w14:paraId="20A1A187" w14:textId="77777777" w:rsidTr="007130E8">
        <w:trPr>
          <w:trHeight w:val="20"/>
        </w:trPr>
        <w:tc>
          <w:tcPr>
            <w:tcW w:w="3096" w:type="dxa"/>
            <w:tcBorders>
              <w:top w:val="single" w:sz="5" w:space="0" w:color="000000"/>
              <w:left w:val="single" w:sz="5" w:space="0" w:color="000000"/>
              <w:bottom w:val="single" w:sz="5" w:space="0" w:color="000000"/>
              <w:right w:val="single" w:sz="5" w:space="0" w:color="000000"/>
            </w:tcBorders>
          </w:tcPr>
          <w:p w14:paraId="45A578DE" w14:textId="77777777"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r w:rsidRPr="007811C6">
              <w:rPr>
                <w:rFonts w:ascii="Times New Roman" w:eastAsia="Times New Roman" w:hAnsi="Times New Roman" w:cs="Times New Roman"/>
                <w:spacing w:val="-1"/>
                <w:lang w:val="sl-SI"/>
              </w:rPr>
              <w:t>Otroci in mladostniki, starejši od 2 let, ki tehtajo manj kot 30 kg</w:t>
            </w:r>
          </w:p>
        </w:tc>
        <w:tc>
          <w:tcPr>
            <w:tcW w:w="3096" w:type="dxa"/>
            <w:tcBorders>
              <w:top w:val="single" w:sz="5" w:space="0" w:color="000000"/>
              <w:left w:val="single" w:sz="5" w:space="0" w:color="000000"/>
              <w:bottom w:val="single" w:sz="5" w:space="0" w:color="000000"/>
              <w:right w:val="single" w:sz="5" w:space="0" w:color="000000"/>
            </w:tcBorders>
          </w:tcPr>
          <w:p w14:paraId="781AC8B1" w14:textId="77777777"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r w:rsidRPr="007811C6">
              <w:rPr>
                <w:rFonts w:ascii="Times New Roman" w:eastAsia="Times New Roman" w:hAnsi="Times New Roman" w:cs="Times New Roman"/>
                <w:spacing w:val="-1"/>
                <w:lang w:val="sl-SI"/>
              </w:rPr>
              <w:t>20 mg vsak drugi teden</w:t>
            </w:r>
          </w:p>
        </w:tc>
        <w:tc>
          <w:tcPr>
            <w:tcW w:w="3096" w:type="dxa"/>
            <w:tcBorders>
              <w:top w:val="single" w:sz="5" w:space="0" w:color="000000"/>
              <w:left w:val="single" w:sz="5" w:space="0" w:color="000000"/>
              <w:bottom w:val="single" w:sz="5" w:space="0" w:color="000000"/>
              <w:right w:val="single" w:sz="5" w:space="0" w:color="000000"/>
            </w:tcBorders>
          </w:tcPr>
          <w:p w14:paraId="36922BA8" w14:textId="77777777"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r w:rsidRPr="007811C6">
              <w:rPr>
                <w:rFonts w:ascii="Times New Roman" w:eastAsia="Times New Roman" w:hAnsi="Times New Roman" w:cs="Times New Roman"/>
                <w:spacing w:val="-1"/>
                <w:lang w:val="sl-SI"/>
              </w:rPr>
              <w:t xml:space="preserve">Zdravnik lahko vašemu otroku predpiše začetni odmerek 40 mg, ki se ga lahko uporabi en teden pred začetkom zdravljenja z običajnim odmerkom 20 mg vsak drugi teden. Zdravilo </w:t>
            </w:r>
            <w:r>
              <w:rPr>
                <w:rFonts w:ascii="Times New Roman" w:eastAsia="Times New Roman" w:hAnsi="Times New Roman" w:cs="Times New Roman"/>
                <w:spacing w:val="-1"/>
                <w:lang w:val="sl-SI"/>
              </w:rPr>
              <w:t>Yuflyma</w:t>
            </w:r>
            <w:r w:rsidRPr="007811C6">
              <w:rPr>
                <w:rFonts w:ascii="Times New Roman" w:eastAsia="Times New Roman" w:hAnsi="Times New Roman" w:cs="Times New Roman"/>
                <w:spacing w:val="-1"/>
                <w:lang w:val="sl-SI"/>
              </w:rPr>
              <w:t xml:space="preserve"> je priporočljivo jemati skupaj z metotreksatom.</w:t>
            </w:r>
          </w:p>
        </w:tc>
      </w:tr>
      <w:tr w:rsidR="006E1AB3" w:rsidRPr="00475A1E" w14:paraId="60FB874C" w14:textId="77777777" w:rsidTr="007130E8">
        <w:trPr>
          <w:trHeight w:val="20"/>
        </w:trPr>
        <w:tc>
          <w:tcPr>
            <w:tcW w:w="3096" w:type="dxa"/>
            <w:tcBorders>
              <w:top w:val="single" w:sz="5" w:space="0" w:color="000000"/>
              <w:left w:val="single" w:sz="5" w:space="0" w:color="000000"/>
              <w:bottom w:val="single" w:sz="5" w:space="0" w:color="000000"/>
              <w:right w:val="single" w:sz="5" w:space="0" w:color="000000"/>
            </w:tcBorders>
          </w:tcPr>
          <w:p w14:paraId="73BE752E" w14:textId="77777777"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r w:rsidRPr="007811C6">
              <w:rPr>
                <w:rFonts w:ascii="Times New Roman" w:eastAsia="Times New Roman" w:hAnsi="Times New Roman" w:cs="Times New Roman"/>
                <w:spacing w:val="-1"/>
                <w:lang w:val="sl-SI"/>
              </w:rPr>
              <w:t xml:space="preserve">Otroci in mladostniki, starejši od </w:t>
            </w:r>
            <w:r w:rsidRPr="007811C6">
              <w:rPr>
                <w:rFonts w:ascii="Times New Roman" w:eastAsia="Times New Roman" w:hAnsi="Times New Roman" w:cs="Times New Roman"/>
                <w:spacing w:val="-1"/>
                <w:lang w:val="sl-SI"/>
              </w:rPr>
              <w:lastRenderedPageBreak/>
              <w:t>2 let, ki tehtajo 30 kg ali več</w:t>
            </w:r>
          </w:p>
        </w:tc>
        <w:tc>
          <w:tcPr>
            <w:tcW w:w="3096" w:type="dxa"/>
            <w:tcBorders>
              <w:top w:val="single" w:sz="5" w:space="0" w:color="000000"/>
              <w:left w:val="single" w:sz="5" w:space="0" w:color="000000"/>
              <w:bottom w:val="single" w:sz="5" w:space="0" w:color="000000"/>
              <w:right w:val="single" w:sz="5" w:space="0" w:color="000000"/>
            </w:tcBorders>
          </w:tcPr>
          <w:p w14:paraId="6CA26E4E" w14:textId="77777777"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r w:rsidRPr="007811C6">
              <w:rPr>
                <w:rFonts w:ascii="Times New Roman" w:eastAsia="Times New Roman" w:hAnsi="Times New Roman" w:cs="Times New Roman"/>
                <w:spacing w:val="-1"/>
                <w:lang w:val="sl-SI"/>
              </w:rPr>
              <w:lastRenderedPageBreak/>
              <w:t>40 mg vsak drugi teden</w:t>
            </w:r>
          </w:p>
        </w:tc>
        <w:tc>
          <w:tcPr>
            <w:tcW w:w="3096" w:type="dxa"/>
            <w:tcBorders>
              <w:top w:val="single" w:sz="5" w:space="0" w:color="000000"/>
              <w:left w:val="single" w:sz="5" w:space="0" w:color="000000"/>
              <w:bottom w:val="single" w:sz="5" w:space="0" w:color="000000"/>
              <w:right w:val="single" w:sz="5" w:space="0" w:color="000000"/>
            </w:tcBorders>
          </w:tcPr>
          <w:p w14:paraId="2E6E8546" w14:textId="77777777" w:rsidR="006E1AB3" w:rsidRPr="007811C6" w:rsidRDefault="006E1AB3" w:rsidP="007130E8">
            <w:pPr>
              <w:pStyle w:val="TableParagraph"/>
              <w:spacing w:line="246" w:lineRule="exact"/>
              <w:ind w:left="102" w:right="57"/>
              <w:rPr>
                <w:rFonts w:ascii="Times New Roman" w:eastAsia="Times New Roman" w:hAnsi="Times New Roman" w:cs="Times New Roman"/>
                <w:spacing w:val="-1"/>
                <w:lang w:val="sl-SI"/>
              </w:rPr>
            </w:pPr>
            <w:r>
              <w:rPr>
                <w:rFonts w:ascii="Times New Roman" w:eastAsia="Times New Roman" w:hAnsi="Times New Roman" w:cs="Times New Roman"/>
                <w:spacing w:val="-1"/>
                <w:lang w:val="sl-SI"/>
              </w:rPr>
              <w:t xml:space="preserve">Zdravnik lahko predpiše začetni </w:t>
            </w:r>
            <w:r>
              <w:rPr>
                <w:rFonts w:ascii="Times New Roman" w:eastAsia="Times New Roman" w:hAnsi="Times New Roman" w:cs="Times New Roman"/>
                <w:spacing w:val="-1"/>
                <w:lang w:val="sl-SI"/>
              </w:rPr>
              <w:lastRenderedPageBreak/>
              <w:t xml:space="preserve">odmerek 80 mg, ki se ga lahko uporabi en teden pred začetkom zdravljenja z običajnim odmerkom </w:t>
            </w:r>
            <w:r w:rsidRPr="007811C6">
              <w:rPr>
                <w:rFonts w:ascii="Times New Roman" w:eastAsia="Times New Roman" w:hAnsi="Times New Roman" w:cs="Times New Roman"/>
                <w:spacing w:val="-1"/>
                <w:lang w:val="sl-SI"/>
              </w:rPr>
              <w:t>40 mg vsak drugi teden Zdravilo Yuflyma se priporoča za uporabo v kombinaciji z metotreksatom.</w:t>
            </w:r>
          </w:p>
        </w:tc>
      </w:tr>
    </w:tbl>
    <w:p w14:paraId="2497047F" w14:textId="77777777" w:rsidR="00D902B3" w:rsidRDefault="00D902B3" w:rsidP="00D902B3">
      <w:pPr>
        <w:pStyle w:val="a3"/>
        <w:rPr>
          <w:lang w:val="sl-SI"/>
        </w:rPr>
      </w:pPr>
    </w:p>
    <w:p w14:paraId="50942FE9" w14:textId="77777777" w:rsidR="00D902B3" w:rsidRDefault="00D902B3" w:rsidP="00D902B3">
      <w:pPr>
        <w:pStyle w:val="a3"/>
        <w:rPr>
          <w:b/>
          <w:lang w:val="sl-SI"/>
        </w:rPr>
      </w:pPr>
      <w:r>
        <w:rPr>
          <w:rFonts w:eastAsia="Times New Roman"/>
          <w:b/>
          <w:bCs/>
          <w:lang w:val="sl-SI"/>
        </w:rPr>
        <w:t>Postopek in pot uporabe zdravila</w:t>
      </w:r>
    </w:p>
    <w:p w14:paraId="5FFEEB30" w14:textId="77777777" w:rsidR="00D902B3" w:rsidRDefault="00D902B3" w:rsidP="00D902B3">
      <w:pPr>
        <w:spacing w:before="9" w:line="240" w:lineRule="exact"/>
        <w:rPr>
          <w:sz w:val="24"/>
          <w:szCs w:val="24"/>
          <w:lang w:val="sl-SI"/>
        </w:rPr>
      </w:pPr>
    </w:p>
    <w:p w14:paraId="51917FB5" w14:textId="77777777" w:rsidR="00D902B3" w:rsidRDefault="00D902B3" w:rsidP="00D902B3">
      <w:pPr>
        <w:pStyle w:val="a3"/>
        <w:rPr>
          <w:lang w:val="sl-SI"/>
        </w:rPr>
      </w:pPr>
      <w:r>
        <w:rPr>
          <w:rFonts w:eastAsia="Times New Roman"/>
          <w:lang w:val="sl-SI"/>
        </w:rPr>
        <w:t>Zdravilo Yuflyma se injicira pod kožo (s subkutano injekcijo).</w:t>
      </w:r>
    </w:p>
    <w:p w14:paraId="55DD127A" w14:textId="77777777" w:rsidR="00D902B3" w:rsidRDefault="00D902B3" w:rsidP="00D902B3">
      <w:pPr>
        <w:spacing w:before="18" w:line="240" w:lineRule="exact"/>
        <w:rPr>
          <w:sz w:val="24"/>
          <w:szCs w:val="24"/>
          <w:lang w:val="sl-SI"/>
        </w:rPr>
      </w:pPr>
    </w:p>
    <w:p w14:paraId="1D1AB65A" w14:textId="77777777" w:rsidR="00D902B3" w:rsidRDefault="00D902B3" w:rsidP="00D902B3">
      <w:pPr>
        <w:pStyle w:val="a3"/>
        <w:rPr>
          <w:b/>
          <w:lang w:val="sl-SI"/>
        </w:rPr>
      </w:pPr>
      <w:r>
        <w:rPr>
          <w:rFonts w:eastAsia="Times New Roman"/>
          <w:b/>
          <w:bCs/>
          <w:lang w:val="sl-SI"/>
        </w:rPr>
        <w:t>Podrobna navodila o tem injiciranju zdravila Yuflyma so navedena v poglavju 7 „</w:t>
      </w:r>
      <w:r w:rsidRPr="00366D10">
        <w:rPr>
          <w:lang w:val="sl-SI"/>
        </w:rPr>
        <w:t xml:space="preserve"> </w:t>
      </w:r>
      <w:r w:rsidRPr="007F6B22">
        <w:rPr>
          <w:rFonts w:eastAsia="Times New Roman"/>
          <w:b/>
          <w:bCs/>
          <w:lang w:val="sl-SI"/>
        </w:rPr>
        <w:t>Navodila za uporabo</w:t>
      </w:r>
      <w:r>
        <w:rPr>
          <w:rFonts w:eastAsia="Times New Roman"/>
          <w:b/>
          <w:bCs/>
          <w:lang w:val="sl-SI"/>
        </w:rPr>
        <w:t>“.</w:t>
      </w:r>
    </w:p>
    <w:p w14:paraId="24D260FB" w14:textId="77777777" w:rsidR="00D902B3" w:rsidRDefault="00D902B3" w:rsidP="00D902B3">
      <w:pPr>
        <w:pStyle w:val="a3"/>
        <w:rPr>
          <w:b/>
          <w:lang w:val="sl-SI"/>
        </w:rPr>
      </w:pPr>
    </w:p>
    <w:p w14:paraId="35DF3F32" w14:textId="77777777" w:rsidR="00D902B3" w:rsidRDefault="00D902B3" w:rsidP="00D902B3">
      <w:pPr>
        <w:pStyle w:val="a3"/>
        <w:rPr>
          <w:b/>
          <w:lang w:val="sl-SI"/>
        </w:rPr>
      </w:pPr>
      <w:r>
        <w:rPr>
          <w:rFonts w:eastAsia="Times New Roman"/>
          <w:b/>
          <w:bCs/>
          <w:lang w:val="sl-SI"/>
        </w:rPr>
        <w:t>Če ste uporabili večji odmerek zdravila Yuflyma, kot bi smeli</w:t>
      </w:r>
    </w:p>
    <w:p w14:paraId="50883BFA" w14:textId="77777777" w:rsidR="00D902B3" w:rsidRDefault="00D902B3" w:rsidP="00D902B3">
      <w:pPr>
        <w:pStyle w:val="a3"/>
        <w:rPr>
          <w:lang w:val="sl-SI"/>
        </w:rPr>
      </w:pPr>
    </w:p>
    <w:p w14:paraId="1571C55B" w14:textId="18756DF7" w:rsidR="00D902B3" w:rsidRDefault="005055A9" w:rsidP="00D902B3">
      <w:pPr>
        <w:pStyle w:val="a3"/>
        <w:rPr>
          <w:lang w:val="sl-SI"/>
        </w:rPr>
      </w:pPr>
      <w:r w:rsidRPr="007811C6">
        <w:rPr>
          <w:lang w:val="sl-SI"/>
        </w:rPr>
        <w:t xml:space="preserve">Če pomotoma injicirate zdravilo </w:t>
      </w:r>
      <w:r w:rsidR="007811C6">
        <w:rPr>
          <w:lang w:val="sl-SI"/>
        </w:rPr>
        <w:t>Yuflyma</w:t>
      </w:r>
      <w:r w:rsidRPr="007811C6">
        <w:rPr>
          <w:lang w:val="sl-SI"/>
        </w:rPr>
        <w:t xml:space="preserve"> pogosteje, kot vam je naročil zdravnik, se morate posvetovati z zdravnikom ali farmacevtom in jima povedati, da je vaš otrok uporabil večji odmerek. </w:t>
      </w:r>
      <w:r w:rsidRPr="00566D4D">
        <w:rPr>
          <w:lang w:val="sl-SI"/>
        </w:rPr>
        <w:t>Vedno vzemite s seboj zunanjo ovojnino zdravila, tudi če je prazna</w:t>
      </w:r>
      <w:r w:rsidR="00D902B3">
        <w:rPr>
          <w:rFonts w:eastAsia="Times New Roman"/>
          <w:lang w:val="sl-SI"/>
        </w:rPr>
        <w:t>.</w:t>
      </w:r>
    </w:p>
    <w:p w14:paraId="48ACFE3D" w14:textId="77777777" w:rsidR="00D902B3" w:rsidRDefault="00D902B3" w:rsidP="00D902B3">
      <w:pPr>
        <w:spacing w:before="18" w:line="240" w:lineRule="exact"/>
        <w:rPr>
          <w:b/>
          <w:sz w:val="24"/>
          <w:szCs w:val="24"/>
          <w:lang w:val="sl-SI"/>
        </w:rPr>
      </w:pPr>
    </w:p>
    <w:p w14:paraId="2FA23D42" w14:textId="77777777" w:rsidR="00D902B3" w:rsidRDefault="00D902B3" w:rsidP="00D902B3">
      <w:pPr>
        <w:pStyle w:val="a3"/>
        <w:rPr>
          <w:b/>
          <w:lang w:val="sl-SI"/>
        </w:rPr>
      </w:pPr>
      <w:r>
        <w:rPr>
          <w:rFonts w:eastAsia="Times New Roman"/>
          <w:b/>
          <w:bCs/>
          <w:lang w:val="sl-SI"/>
        </w:rPr>
        <w:t>Če ste pozabili uporabiti zdravilo Yuflyma</w:t>
      </w:r>
    </w:p>
    <w:p w14:paraId="7E14D14F" w14:textId="77777777" w:rsidR="00D902B3" w:rsidRDefault="00D902B3" w:rsidP="00D902B3">
      <w:pPr>
        <w:spacing w:before="9" w:line="240" w:lineRule="exact"/>
        <w:rPr>
          <w:sz w:val="24"/>
          <w:szCs w:val="24"/>
          <w:lang w:val="sl-SI"/>
        </w:rPr>
      </w:pPr>
    </w:p>
    <w:p w14:paraId="7FAEB6B6" w14:textId="31DC06A4" w:rsidR="00D902B3" w:rsidRDefault="005055A9" w:rsidP="00D902B3">
      <w:pPr>
        <w:pStyle w:val="a3"/>
        <w:rPr>
          <w:lang w:val="sl-SI"/>
        </w:rPr>
      </w:pPr>
      <w:r w:rsidRPr="007811C6">
        <w:rPr>
          <w:lang w:val="sl-SI"/>
        </w:rPr>
        <w:t xml:space="preserve">Če pozabite dati vašemu otroku injekcijo zdravila </w:t>
      </w:r>
      <w:r w:rsidR="007811C6">
        <w:rPr>
          <w:lang w:val="sl-SI"/>
        </w:rPr>
        <w:t>Yuflyma</w:t>
      </w:r>
      <w:r w:rsidRPr="007811C6">
        <w:rPr>
          <w:lang w:val="sl-SI"/>
        </w:rPr>
        <w:t xml:space="preserve">, mu morate odmerek zdravila </w:t>
      </w:r>
      <w:r w:rsidR="007811C6">
        <w:rPr>
          <w:lang w:val="sl-SI"/>
        </w:rPr>
        <w:t>Yuflyma</w:t>
      </w:r>
      <w:r w:rsidRPr="007811C6">
        <w:rPr>
          <w:lang w:val="sl-SI"/>
        </w:rPr>
        <w:t xml:space="preserve"> injicirati takoj, ko se spomnite. Nato dajte vašemu otroku naslednji odmerek, kot bi ga uporabili po prvotnem urniku injiciranja, če ne bi pozabili odmerka</w:t>
      </w:r>
      <w:r w:rsidR="00D902B3">
        <w:rPr>
          <w:rFonts w:eastAsia="Times New Roman"/>
          <w:lang w:val="sl-SI"/>
        </w:rPr>
        <w:t>.</w:t>
      </w:r>
    </w:p>
    <w:p w14:paraId="6CA45D6C" w14:textId="77777777" w:rsidR="00D902B3" w:rsidRDefault="00D902B3" w:rsidP="00D902B3">
      <w:pPr>
        <w:spacing w:before="18" w:line="240" w:lineRule="exact"/>
        <w:rPr>
          <w:sz w:val="24"/>
          <w:szCs w:val="24"/>
          <w:lang w:val="sl-SI"/>
        </w:rPr>
      </w:pPr>
    </w:p>
    <w:p w14:paraId="78A0FB6E" w14:textId="77777777" w:rsidR="00D902B3" w:rsidRDefault="00D902B3" w:rsidP="00D902B3">
      <w:pPr>
        <w:pStyle w:val="a3"/>
        <w:rPr>
          <w:b/>
          <w:lang w:val="sl-SI"/>
        </w:rPr>
      </w:pPr>
      <w:r>
        <w:rPr>
          <w:rFonts w:eastAsia="Times New Roman"/>
          <w:b/>
          <w:bCs/>
          <w:lang w:val="sl-SI"/>
        </w:rPr>
        <w:t>Če ste prenehali uporabljati zdravilo Yuflyma</w:t>
      </w:r>
    </w:p>
    <w:p w14:paraId="52DAAD43" w14:textId="77777777" w:rsidR="00D902B3" w:rsidRDefault="00D902B3" w:rsidP="00D902B3">
      <w:pPr>
        <w:spacing w:before="6" w:line="240" w:lineRule="exact"/>
        <w:rPr>
          <w:sz w:val="24"/>
          <w:szCs w:val="24"/>
          <w:lang w:val="sl-SI"/>
        </w:rPr>
      </w:pPr>
    </w:p>
    <w:p w14:paraId="2A35B863" w14:textId="62E0491E" w:rsidR="00D902B3" w:rsidRDefault="007811C6" w:rsidP="00D902B3">
      <w:pPr>
        <w:pStyle w:val="a3"/>
        <w:rPr>
          <w:lang w:val="sl-SI"/>
        </w:rPr>
      </w:pPr>
      <w:r w:rsidRPr="007811C6">
        <w:rPr>
          <w:lang w:val="sl-SI"/>
        </w:rPr>
        <w:t xml:space="preserve">O odločitvi, da bi prenehali uporabljati zdravilo </w:t>
      </w:r>
      <w:r>
        <w:rPr>
          <w:lang w:val="sl-SI"/>
        </w:rPr>
        <w:t>Yuflyma</w:t>
      </w:r>
      <w:r w:rsidRPr="007811C6">
        <w:rPr>
          <w:lang w:val="sl-SI"/>
        </w:rPr>
        <w:t xml:space="preserve">, se morate posvetovati z otrokovim zdravnikom. Simptomi vašega otroka se lahko po prekinitvi zdravljenja z zdravilom </w:t>
      </w:r>
      <w:r>
        <w:rPr>
          <w:lang w:val="sl-SI"/>
        </w:rPr>
        <w:t>Yuflyma</w:t>
      </w:r>
      <w:r w:rsidRPr="007811C6">
        <w:rPr>
          <w:lang w:val="sl-SI"/>
        </w:rPr>
        <w:t xml:space="preserve"> povrnejo</w:t>
      </w:r>
      <w:r w:rsidR="00D902B3">
        <w:rPr>
          <w:rFonts w:eastAsia="Times New Roman"/>
          <w:lang w:val="sl-SI"/>
        </w:rPr>
        <w:t>.</w:t>
      </w:r>
    </w:p>
    <w:p w14:paraId="69EF67A8" w14:textId="77777777" w:rsidR="00D902B3" w:rsidRDefault="00D902B3" w:rsidP="00D902B3">
      <w:pPr>
        <w:spacing w:before="12" w:line="240" w:lineRule="exact"/>
        <w:rPr>
          <w:sz w:val="24"/>
          <w:szCs w:val="24"/>
          <w:lang w:val="sl-SI"/>
        </w:rPr>
      </w:pPr>
    </w:p>
    <w:p w14:paraId="206892FE" w14:textId="77777777" w:rsidR="00D902B3" w:rsidRDefault="00D902B3" w:rsidP="00D902B3">
      <w:pPr>
        <w:pStyle w:val="a3"/>
        <w:rPr>
          <w:lang w:val="sl-SI"/>
        </w:rPr>
      </w:pPr>
      <w:r>
        <w:rPr>
          <w:rFonts w:eastAsia="Times New Roman"/>
          <w:lang w:val="sl-SI"/>
        </w:rPr>
        <w:t>Če imate dodatna vprašanja o uporabi zdravila, se posvetujte z zdravnikom ali farmacevtom.</w:t>
      </w:r>
    </w:p>
    <w:p w14:paraId="66DBD085" w14:textId="77777777" w:rsidR="00D902B3" w:rsidRDefault="00D902B3" w:rsidP="00D902B3">
      <w:pPr>
        <w:spacing w:line="110" w:lineRule="exact"/>
        <w:rPr>
          <w:sz w:val="11"/>
          <w:szCs w:val="11"/>
          <w:lang w:val="sl-SI"/>
        </w:rPr>
      </w:pPr>
    </w:p>
    <w:p w14:paraId="19DB6BA4" w14:textId="77777777" w:rsidR="00D902B3" w:rsidRPr="00ED041A" w:rsidRDefault="00D902B3" w:rsidP="00D902B3">
      <w:pPr>
        <w:spacing w:line="200" w:lineRule="exact"/>
        <w:rPr>
          <w:sz w:val="20"/>
          <w:szCs w:val="20"/>
          <w:lang w:val="sl-SI"/>
        </w:rPr>
      </w:pPr>
    </w:p>
    <w:p w14:paraId="11BD2695" w14:textId="77777777" w:rsidR="00D902B3" w:rsidRDefault="00D902B3" w:rsidP="007811C6">
      <w:pPr>
        <w:pStyle w:val="a4"/>
        <w:numPr>
          <w:ilvl w:val="0"/>
          <w:numId w:val="141"/>
        </w:numPr>
        <w:spacing w:before="18" w:line="240" w:lineRule="exact"/>
        <w:ind w:left="357" w:hanging="357"/>
        <w:rPr>
          <w:rFonts w:ascii="Times New Roman" w:hAnsi="Times New Roman" w:cs="Times New Roman"/>
          <w:b/>
          <w:lang w:val="sl-SI"/>
        </w:rPr>
      </w:pPr>
      <w:r>
        <w:rPr>
          <w:rFonts w:ascii="Times New Roman" w:eastAsia="Times New Roman" w:hAnsi="Times New Roman" w:cs="Times New Roman"/>
          <w:b/>
          <w:bCs/>
          <w:lang w:val="sl-SI"/>
        </w:rPr>
        <w:t>Možni neželeni učinki</w:t>
      </w:r>
    </w:p>
    <w:p w14:paraId="207DD7DB" w14:textId="77777777" w:rsidR="00D902B3" w:rsidRDefault="00D902B3" w:rsidP="00D902B3">
      <w:pPr>
        <w:spacing w:before="12" w:line="240" w:lineRule="exact"/>
        <w:rPr>
          <w:sz w:val="24"/>
          <w:szCs w:val="24"/>
          <w:lang w:val="sl-SI"/>
        </w:rPr>
      </w:pPr>
    </w:p>
    <w:p w14:paraId="16CEA91A" w14:textId="77777777" w:rsidR="00D902B3" w:rsidRDefault="00D902B3" w:rsidP="00D902B3">
      <w:pPr>
        <w:pStyle w:val="a3"/>
        <w:rPr>
          <w:lang w:val="sl-SI"/>
        </w:rPr>
      </w:pPr>
      <w:r>
        <w:rPr>
          <w:rFonts w:eastAsia="Times New Roman"/>
          <w:lang w:val="sl-SI"/>
        </w:rPr>
        <w:t>Kot vsa zdravila ima lahko tudi to zdravilo neželene učinke, ki pa se ne pojavijo pri vseh bolnikih. Večina neželenih učinkov je blagih do zmernih. Vendar pa so lahko nekateri resni in zahtevajo zdravljenje. Neželeni učinki se lahko pojavijo vsaj še 4 mesece po zadnji injekciji zdravila Yuflyma.</w:t>
      </w:r>
    </w:p>
    <w:p w14:paraId="113A1B4C" w14:textId="77777777" w:rsidR="00D902B3" w:rsidRDefault="00D902B3" w:rsidP="00D902B3">
      <w:pPr>
        <w:spacing w:before="15" w:line="240" w:lineRule="exact"/>
        <w:rPr>
          <w:sz w:val="24"/>
          <w:szCs w:val="24"/>
          <w:lang w:val="sl-SI"/>
        </w:rPr>
      </w:pPr>
    </w:p>
    <w:p w14:paraId="7D35E5B5" w14:textId="77777777" w:rsidR="00D902B3" w:rsidRDefault="00D902B3" w:rsidP="00D902B3">
      <w:pPr>
        <w:pStyle w:val="a3"/>
        <w:rPr>
          <w:b/>
          <w:lang w:val="sl-SI"/>
        </w:rPr>
      </w:pPr>
      <w:r>
        <w:rPr>
          <w:rFonts w:eastAsia="Times New Roman"/>
          <w:b/>
          <w:bCs/>
          <w:lang w:val="sl-SI"/>
        </w:rPr>
        <w:t>Zdravniku takoj povejte, če opazite kaj od naslednjega:</w:t>
      </w:r>
    </w:p>
    <w:p w14:paraId="17BA4C50" w14:textId="77777777" w:rsidR="00D902B3" w:rsidRDefault="00D902B3" w:rsidP="00D902B3">
      <w:pPr>
        <w:spacing w:before="10" w:line="240" w:lineRule="exact"/>
        <w:rPr>
          <w:sz w:val="24"/>
          <w:szCs w:val="24"/>
          <w:lang w:val="sl-SI"/>
        </w:rPr>
      </w:pPr>
    </w:p>
    <w:p w14:paraId="610E60C4" w14:textId="77777777" w:rsidR="00D902B3" w:rsidRDefault="00D902B3" w:rsidP="00D902B3">
      <w:pPr>
        <w:pStyle w:val="a3"/>
        <w:numPr>
          <w:ilvl w:val="0"/>
          <w:numId w:val="16"/>
        </w:numPr>
        <w:ind w:left="660" w:hanging="660"/>
        <w:rPr>
          <w:lang w:val="sl-SI"/>
        </w:rPr>
      </w:pPr>
      <w:r>
        <w:rPr>
          <w:rFonts w:eastAsia="Times New Roman"/>
          <w:lang w:val="sl-SI"/>
        </w:rPr>
        <w:t>hud izpuščaj, koprivnico ali druge znake alergijske reakcije;</w:t>
      </w:r>
    </w:p>
    <w:p w14:paraId="7FA338E2" w14:textId="77777777" w:rsidR="00D902B3" w:rsidRDefault="00D902B3" w:rsidP="00D902B3">
      <w:pPr>
        <w:pStyle w:val="a3"/>
        <w:numPr>
          <w:ilvl w:val="0"/>
          <w:numId w:val="16"/>
        </w:numPr>
        <w:ind w:left="660" w:hanging="660"/>
        <w:rPr>
          <w:lang w:val="sl-SI"/>
        </w:rPr>
      </w:pPr>
      <w:r>
        <w:rPr>
          <w:rFonts w:eastAsia="Times New Roman"/>
          <w:lang w:val="sl-SI"/>
        </w:rPr>
        <w:t>oteklost obraza, dlani in stopal;</w:t>
      </w:r>
    </w:p>
    <w:p w14:paraId="33CA35B5" w14:textId="77777777" w:rsidR="00D902B3" w:rsidRDefault="00D902B3" w:rsidP="00D902B3">
      <w:pPr>
        <w:pStyle w:val="a3"/>
        <w:numPr>
          <w:ilvl w:val="0"/>
          <w:numId w:val="16"/>
        </w:numPr>
        <w:ind w:left="660" w:hanging="660"/>
        <w:rPr>
          <w:lang w:val="sl-SI"/>
        </w:rPr>
      </w:pPr>
      <w:r>
        <w:rPr>
          <w:rFonts w:eastAsia="Times New Roman"/>
          <w:lang w:val="sl-SI"/>
        </w:rPr>
        <w:t>težave pri dihanju, požiranju;</w:t>
      </w:r>
    </w:p>
    <w:p w14:paraId="6F7B211D" w14:textId="77777777" w:rsidR="00D902B3" w:rsidRDefault="00D902B3" w:rsidP="00D902B3">
      <w:pPr>
        <w:pStyle w:val="a3"/>
        <w:numPr>
          <w:ilvl w:val="0"/>
          <w:numId w:val="16"/>
        </w:numPr>
        <w:ind w:left="660" w:hanging="660"/>
        <w:rPr>
          <w:lang w:val="sl-SI"/>
        </w:rPr>
      </w:pPr>
      <w:r>
        <w:rPr>
          <w:rFonts w:eastAsia="Times New Roman"/>
          <w:lang w:val="sl-SI"/>
        </w:rPr>
        <w:t>težko dihanje ob naporu ali med ležanjem ali otekanje stopal.</w:t>
      </w:r>
    </w:p>
    <w:p w14:paraId="61B256DC" w14:textId="77777777" w:rsidR="00D902B3" w:rsidRDefault="00D902B3" w:rsidP="00D902B3">
      <w:pPr>
        <w:spacing w:before="15" w:line="240" w:lineRule="exact"/>
        <w:rPr>
          <w:sz w:val="24"/>
          <w:szCs w:val="24"/>
          <w:lang w:val="sl-SI"/>
        </w:rPr>
      </w:pPr>
    </w:p>
    <w:p w14:paraId="11BB238C" w14:textId="77777777" w:rsidR="00D902B3" w:rsidRDefault="00D902B3" w:rsidP="00D902B3">
      <w:pPr>
        <w:pStyle w:val="a3"/>
        <w:rPr>
          <w:b/>
          <w:lang w:val="sl-SI"/>
        </w:rPr>
      </w:pPr>
      <w:r>
        <w:rPr>
          <w:rFonts w:eastAsia="Times New Roman"/>
          <w:b/>
          <w:bCs/>
          <w:lang w:val="sl-SI"/>
        </w:rPr>
        <w:t>Zdravniku čim prej povejte, če opazite kaj od naslednjega:</w:t>
      </w:r>
    </w:p>
    <w:p w14:paraId="534F5B5E" w14:textId="77777777" w:rsidR="00D902B3" w:rsidRDefault="00D902B3" w:rsidP="00D902B3">
      <w:pPr>
        <w:spacing w:before="10" w:line="240" w:lineRule="exact"/>
        <w:rPr>
          <w:sz w:val="24"/>
          <w:szCs w:val="24"/>
          <w:lang w:val="sl-SI"/>
        </w:rPr>
      </w:pPr>
    </w:p>
    <w:p w14:paraId="2671171E" w14:textId="77777777" w:rsidR="00D902B3" w:rsidRDefault="00D902B3" w:rsidP="00D902B3">
      <w:pPr>
        <w:pStyle w:val="a3"/>
        <w:numPr>
          <w:ilvl w:val="0"/>
          <w:numId w:val="16"/>
        </w:numPr>
        <w:ind w:left="660" w:hanging="660"/>
        <w:rPr>
          <w:lang w:val="sl-SI"/>
        </w:rPr>
      </w:pPr>
      <w:r>
        <w:rPr>
          <w:rFonts w:eastAsia="Times New Roman"/>
          <w:lang w:val="sl-SI"/>
        </w:rPr>
        <w:t>znake okužbe, npr. zvišano telesno temperaturo, splošno slabo počutje, rane, težave z zobmi, pekoč občutek med uriniranjem;</w:t>
      </w:r>
    </w:p>
    <w:p w14:paraId="5B9097F0" w14:textId="77777777" w:rsidR="00D902B3" w:rsidRDefault="00D902B3" w:rsidP="00D902B3">
      <w:pPr>
        <w:pStyle w:val="a3"/>
        <w:numPr>
          <w:ilvl w:val="0"/>
          <w:numId w:val="16"/>
        </w:numPr>
        <w:ind w:left="660" w:hanging="660"/>
        <w:rPr>
          <w:lang w:val="sl-SI"/>
        </w:rPr>
      </w:pPr>
      <w:r>
        <w:rPr>
          <w:rFonts w:eastAsia="Times New Roman"/>
          <w:lang w:val="sl-SI"/>
        </w:rPr>
        <w:t>občutek šibkosti ali utrujenosti;</w:t>
      </w:r>
    </w:p>
    <w:p w14:paraId="5521BB50" w14:textId="77777777" w:rsidR="00D902B3" w:rsidRDefault="00D902B3" w:rsidP="00D902B3">
      <w:pPr>
        <w:pStyle w:val="a3"/>
        <w:numPr>
          <w:ilvl w:val="0"/>
          <w:numId w:val="16"/>
        </w:numPr>
        <w:ind w:left="660" w:hanging="660"/>
        <w:rPr>
          <w:lang w:val="sl-SI"/>
        </w:rPr>
      </w:pPr>
      <w:r>
        <w:rPr>
          <w:rFonts w:eastAsia="Times New Roman"/>
          <w:lang w:val="sl-SI"/>
        </w:rPr>
        <w:t>kašelj;</w:t>
      </w:r>
    </w:p>
    <w:p w14:paraId="0A1BBFD6" w14:textId="77777777" w:rsidR="00D902B3" w:rsidRDefault="00D902B3" w:rsidP="00D902B3">
      <w:pPr>
        <w:pStyle w:val="a3"/>
        <w:numPr>
          <w:ilvl w:val="0"/>
          <w:numId w:val="16"/>
        </w:numPr>
        <w:ind w:left="660" w:hanging="660"/>
        <w:rPr>
          <w:lang w:val="sl-SI"/>
        </w:rPr>
      </w:pPr>
      <w:r>
        <w:rPr>
          <w:rFonts w:eastAsia="Times New Roman"/>
          <w:lang w:val="sl-SI"/>
        </w:rPr>
        <w:t>mravljinčenje;</w:t>
      </w:r>
    </w:p>
    <w:p w14:paraId="659B2B10" w14:textId="77777777" w:rsidR="00D902B3" w:rsidRDefault="00D902B3" w:rsidP="00D902B3">
      <w:pPr>
        <w:pStyle w:val="a3"/>
        <w:numPr>
          <w:ilvl w:val="0"/>
          <w:numId w:val="16"/>
        </w:numPr>
        <w:ind w:left="660" w:hanging="660"/>
        <w:rPr>
          <w:lang w:val="sl-SI"/>
        </w:rPr>
      </w:pPr>
      <w:r>
        <w:rPr>
          <w:rFonts w:eastAsia="Times New Roman"/>
          <w:lang w:val="sl-SI"/>
        </w:rPr>
        <w:lastRenderedPageBreak/>
        <w:t>omrtvelost;</w:t>
      </w:r>
    </w:p>
    <w:p w14:paraId="0CCFF91B" w14:textId="77777777" w:rsidR="00D902B3" w:rsidRDefault="00D902B3" w:rsidP="00D902B3">
      <w:pPr>
        <w:pStyle w:val="a3"/>
        <w:numPr>
          <w:ilvl w:val="0"/>
          <w:numId w:val="16"/>
        </w:numPr>
        <w:ind w:left="660" w:hanging="660"/>
        <w:rPr>
          <w:lang w:val="sl-SI"/>
        </w:rPr>
      </w:pPr>
      <w:r>
        <w:rPr>
          <w:rFonts w:eastAsia="Times New Roman"/>
          <w:lang w:val="sl-SI"/>
        </w:rPr>
        <w:t>dvojni vid;</w:t>
      </w:r>
    </w:p>
    <w:p w14:paraId="219430B1" w14:textId="77777777" w:rsidR="00D902B3" w:rsidRDefault="00D902B3" w:rsidP="00D902B3">
      <w:pPr>
        <w:pStyle w:val="a3"/>
        <w:numPr>
          <w:ilvl w:val="0"/>
          <w:numId w:val="16"/>
        </w:numPr>
        <w:ind w:left="660" w:hanging="660"/>
        <w:rPr>
          <w:lang w:val="sl-SI"/>
        </w:rPr>
      </w:pPr>
      <w:r>
        <w:rPr>
          <w:rFonts w:eastAsia="Times New Roman"/>
          <w:lang w:val="sl-SI"/>
        </w:rPr>
        <w:t>šibkost rok ali nog;</w:t>
      </w:r>
    </w:p>
    <w:p w14:paraId="4D1CAC66" w14:textId="77777777" w:rsidR="00D902B3" w:rsidRDefault="00D902B3" w:rsidP="00D902B3">
      <w:pPr>
        <w:pStyle w:val="a3"/>
        <w:numPr>
          <w:ilvl w:val="0"/>
          <w:numId w:val="16"/>
        </w:numPr>
        <w:ind w:left="660" w:hanging="660"/>
        <w:rPr>
          <w:lang w:val="sl-SI"/>
        </w:rPr>
      </w:pPr>
      <w:r>
        <w:rPr>
          <w:rFonts w:eastAsia="Times New Roman"/>
          <w:lang w:val="sl-SI"/>
        </w:rPr>
        <w:t>bulo ali odprto rano, ki se ne zaceli;</w:t>
      </w:r>
    </w:p>
    <w:p w14:paraId="600EA470" w14:textId="77777777" w:rsidR="00D902B3" w:rsidRDefault="00D902B3" w:rsidP="00D902B3">
      <w:pPr>
        <w:pStyle w:val="a3"/>
        <w:numPr>
          <w:ilvl w:val="0"/>
          <w:numId w:val="16"/>
        </w:numPr>
        <w:ind w:left="660" w:hanging="660"/>
        <w:rPr>
          <w:lang w:val="sl-SI"/>
        </w:rPr>
      </w:pPr>
      <w:r>
        <w:rPr>
          <w:rFonts w:eastAsia="Times New Roman"/>
          <w:lang w:val="sl-SI"/>
        </w:rPr>
        <w:t>znake in simptome, ki nakazujejo bolezni krvi, npr. dolgotrajno zvišana telesna temperatura, modrice, krvavitve, bledica.</w:t>
      </w:r>
    </w:p>
    <w:p w14:paraId="2CC73F4B" w14:textId="77777777" w:rsidR="00D902B3" w:rsidRDefault="00D902B3" w:rsidP="00D902B3">
      <w:pPr>
        <w:pStyle w:val="a3"/>
        <w:numPr>
          <w:ilvl w:val="0"/>
          <w:numId w:val="0"/>
        </w:numPr>
        <w:ind w:left="660"/>
        <w:rPr>
          <w:lang w:val="sl-SI"/>
        </w:rPr>
      </w:pPr>
    </w:p>
    <w:p w14:paraId="72D3FB95" w14:textId="77777777" w:rsidR="00D902B3" w:rsidRDefault="00D902B3" w:rsidP="00D902B3">
      <w:pPr>
        <w:pStyle w:val="a3"/>
        <w:rPr>
          <w:lang w:val="sl-SI"/>
        </w:rPr>
      </w:pPr>
      <w:r>
        <w:rPr>
          <w:rFonts w:eastAsia="Times New Roman"/>
          <w:lang w:val="sl-SI"/>
        </w:rPr>
        <w:t>Zgoraj opisani simptomi so lahko znaki spodaj navedenih neželenih učinkov, ki so jih opazili med uporabo zdravila Yuflyma.</w:t>
      </w:r>
    </w:p>
    <w:p w14:paraId="49676D14" w14:textId="77777777" w:rsidR="00D902B3" w:rsidRDefault="00D902B3" w:rsidP="00D902B3">
      <w:pPr>
        <w:spacing w:before="10" w:line="240" w:lineRule="exact"/>
        <w:rPr>
          <w:sz w:val="24"/>
          <w:szCs w:val="24"/>
          <w:lang w:val="sl-SI"/>
        </w:rPr>
      </w:pPr>
    </w:p>
    <w:p w14:paraId="1FD06C1D" w14:textId="77777777" w:rsidR="00D902B3" w:rsidRDefault="00D902B3" w:rsidP="00D902B3">
      <w:pPr>
        <w:pStyle w:val="a3"/>
        <w:rPr>
          <w:lang w:val="sl-SI"/>
        </w:rPr>
      </w:pPr>
      <w:r>
        <w:rPr>
          <w:rFonts w:eastAsia="Times New Roman"/>
          <w:b/>
          <w:bCs/>
          <w:lang w:val="sl-SI"/>
        </w:rPr>
        <w:t xml:space="preserve">Zelo pogosti </w:t>
      </w:r>
      <w:r>
        <w:rPr>
          <w:rFonts w:eastAsia="Times New Roman"/>
          <w:lang w:val="sl-SI"/>
        </w:rPr>
        <w:t>(pojavijo se lahko pri več kot 1 od 10 bolnikov)</w:t>
      </w:r>
    </w:p>
    <w:p w14:paraId="19D051D4" w14:textId="77777777" w:rsidR="00D902B3" w:rsidRDefault="00D902B3" w:rsidP="00D902B3">
      <w:pPr>
        <w:spacing w:before="14" w:line="240" w:lineRule="exact"/>
        <w:rPr>
          <w:sz w:val="24"/>
          <w:szCs w:val="24"/>
          <w:lang w:val="sl-SI"/>
        </w:rPr>
      </w:pPr>
    </w:p>
    <w:p w14:paraId="67DFFBD1" w14:textId="77777777" w:rsidR="00D902B3" w:rsidRDefault="00D902B3" w:rsidP="00D902B3">
      <w:pPr>
        <w:pStyle w:val="a3"/>
        <w:numPr>
          <w:ilvl w:val="0"/>
          <w:numId w:val="16"/>
        </w:numPr>
        <w:ind w:left="660" w:hanging="660"/>
        <w:rPr>
          <w:lang w:val="sl-SI"/>
        </w:rPr>
      </w:pPr>
      <w:r>
        <w:rPr>
          <w:rFonts w:eastAsia="Times New Roman"/>
          <w:lang w:val="sl-SI"/>
        </w:rPr>
        <w:t>reakcije na mestu injiciranja (vključno z bolečino, otekanjem, pordelostjo ali srbenjem);</w:t>
      </w:r>
    </w:p>
    <w:p w14:paraId="16CC7DE9" w14:textId="77777777" w:rsidR="00D902B3" w:rsidRDefault="00D902B3" w:rsidP="00D902B3">
      <w:pPr>
        <w:pStyle w:val="a3"/>
        <w:numPr>
          <w:ilvl w:val="0"/>
          <w:numId w:val="16"/>
        </w:numPr>
        <w:ind w:left="660" w:hanging="660"/>
        <w:rPr>
          <w:lang w:val="sl-SI"/>
        </w:rPr>
      </w:pPr>
      <w:r>
        <w:rPr>
          <w:rFonts w:eastAsia="Times New Roman"/>
          <w:lang w:val="sl-SI"/>
        </w:rPr>
        <w:t>okužbe dihal (vključno s prehladom, izcedkom iz nosu, okužbo sinusov, pljučnico);</w:t>
      </w:r>
    </w:p>
    <w:p w14:paraId="3E070639" w14:textId="77777777" w:rsidR="00D902B3" w:rsidRDefault="00D902B3" w:rsidP="00D902B3">
      <w:pPr>
        <w:pStyle w:val="a3"/>
        <w:numPr>
          <w:ilvl w:val="0"/>
          <w:numId w:val="16"/>
        </w:numPr>
        <w:ind w:left="660" w:hanging="660"/>
        <w:rPr>
          <w:lang w:val="sl-SI"/>
        </w:rPr>
      </w:pPr>
      <w:r>
        <w:rPr>
          <w:rFonts w:eastAsia="Times New Roman"/>
          <w:lang w:val="sl-SI"/>
        </w:rPr>
        <w:t>glavobol;</w:t>
      </w:r>
    </w:p>
    <w:p w14:paraId="2E86837D" w14:textId="77777777" w:rsidR="00D902B3" w:rsidRDefault="00D902B3" w:rsidP="00D902B3">
      <w:pPr>
        <w:pStyle w:val="a3"/>
        <w:numPr>
          <w:ilvl w:val="0"/>
          <w:numId w:val="16"/>
        </w:numPr>
        <w:ind w:left="660" w:hanging="660"/>
        <w:rPr>
          <w:lang w:val="sl-SI"/>
        </w:rPr>
      </w:pPr>
      <w:r>
        <w:rPr>
          <w:rFonts w:eastAsia="Times New Roman"/>
          <w:lang w:val="sl-SI"/>
        </w:rPr>
        <w:t>bolečine v trebuhu;</w:t>
      </w:r>
    </w:p>
    <w:p w14:paraId="796F1086" w14:textId="77777777" w:rsidR="00D902B3" w:rsidRDefault="00D902B3" w:rsidP="00D902B3">
      <w:pPr>
        <w:pStyle w:val="a3"/>
        <w:numPr>
          <w:ilvl w:val="0"/>
          <w:numId w:val="16"/>
        </w:numPr>
        <w:ind w:left="660" w:hanging="660"/>
        <w:rPr>
          <w:lang w:val="sl-SI"/>
        </w:rPr>
      </w:pPr>
      <w:r>
        <w:rPr>
          <w:rFonts w:eastAsia="Times New Roman"/>
          <w:lang w:val="sl-SI"/>
        </w:rPr>
        <w:t>siljenje na bruhanje in bruhanje;</w:t>
      </w:r>
    </w:p>
    <w:p w14:paraId="34D9D4C6" w14:textId="77777777" w:rsidR="00D902B3" w:rsidRDefault="00D902B3" w:rsidP="00D902B3">
      <w:pPr>
        <w:pStyle w:val="a3"/>
        <w:numPr>
          <w:ilvl w:val="0"/>
          <w:numId w:val="16"/>
        </w:numPr>
        <w:ind w:left="660" w:hanging="660"/>
        <w:rPr>
          <w:lang w:val="sl-SI"/>
        </w:rPr>
      </w:pPr>
      <w:r>
        <w:rPr>
          <w:rFonts w:eastAsia="Times New Roman"/>
          <w:lang w:val="sl-SI"/>
        </w:rPr>
        <w:t>izpuščaj;</w:t>
      </w:r>
    </w:p>
    <w:p w14:paraId="23C47F95" w14:textId="77777777" w:rsidR="00D902B3" w:rsidRDefault="00D902B3" w:rsidP="00D902B3">
      <w:pPr>
        <w:pStyle w:val="a3"/>
        <w:numPr>
          <w:ilvl w:val="0"/>
          <w:numId w:val="16"/>
        </w:numPr>
        <w:ind w:left="660" w:hanging="660"/>
        <w:rPr>
          <w:lang w:val="sl-SI"/>
        </w:rPr>
      </w:pPr>
      <w:r>
        <w:rPr>
          <w:rFonts w:eastAsia="Times New Roman"/>
          <w:lang w:val="sl-SI"/>
        </w:rPr>
        <w:t>mišičnoskeletne bolečine.</w:t>
      </w:r>
    </w:p>
    <w:p w14:paraId="445F2DD4" w14:textId="77777777" w:rsidR="00D902B3" w:rsidRDefault="00D902B3" w:rsidP="00D902B3">
      <w:pPr>
        <w:spacing w:before="9" w:line="220" w:lineRule="exact"/>
        <w:rPr>
          <w:lang w:val="sl-SI"/>
        </w:rPr>
      </w:pPr>
    </w:p>
    <w:p w14:paraId="126DE86C" w14:textId="77777777" w:rsidR="00D902B3" w:rsidRDefault="00D902B3" w:rsidP="00D902B3">
      <w:pPr>
        <w:pStyle w:val="a3"/>
        <w:rPr>
          <w:lang w:val="sl-SI"/>
        </w:rPr>
      </w:pPr>
      <w:r>
        <w:rPr>
          <w:rFonts w:eastAsia="Times New Roman"/>
          <w:b/>
          <w:bCs/>
          <w:lang w:val="sl-SI"/>
        </w:rPr>
        <w:t xml:space="preserve">Pogosti </w:t>
      </w:r>
      <w:r>
        <w:rPr>
          <w:rFonts w:eastAsia="Times New Roman"/>
          <w:lang w:val="sl-SI"/>
        </w:rPr>
        <w:t>(pojavijo se lahko pri največ 1 od 10 bolnikov)</w:t>
      </w:r>
    </w:p>
    <w:p w14:paraId="1D7A38E0" w14:textId="77777777" w:rsidR="00D902B3" w:rsidRDefault="00D902B3" w:rsidP="00D902B3">
      <w:pPr>
        <w:spacing w:before="14" w:line="240" w:lineRule="exact"/>
        <w:rPr>
          <w:sz w:val="24"/>
          <w:szCs w:val="24"/>
          <w:lang w:val="sl-SI"/>
        </w:rPr>
      </w:pPr>
    </w:p>
    <w:p w14:paraId="74E4A158" w14:textId="77777777" w:rsidR="00D902B3" w:rsidRDefault="00D902B3" w:rsidP="00D902B3">
      <w:pPr>
        <w:pStyle w:val="a3"/>
        <w:numPr>
          <w:ilvl w:val="0"/>
          <w:numId w:val="16"/>
        </w:numPr>
        <w:ind w:left="660" w:hanging="660"/>
        <w:rPr>
          <w:lang w:val="sl-SI"/>
        </w:rPr>
      </w:pPr>
      <w:r>
        <w:rPr>
          <w:rFonts w:eastAsia="Times New Roman"/>
          <w:lang w:val="sl-SI"/>
        </w:rPr>
        <w:t>resne okužbe (vključno z zastrupitvijo krvi in gripo);</w:t>
      </w:r>
    </w:p>
    <w:p w14:paraId="020EA11D" w14:textId="77777777" w:rsidR="00D902B3" w:rsidRDefault="00D902B3" w:rsidP="00D902B3">
      <w:pPr>
        <w:pStyle w:val="a3"/>
        <w:numPr>
          <w:ilvl w:val="0"/>
          <w:numId w:val="16"/>
        </w:numPr>
        <w:ind w:left="660" w:hanging="660"/>
        <w:rPr>
          <w:lang w:val="sl-SI"/>
        </w:rPr>
      </w:pPr>
      <w:r>
        <w:rPr>
          <w:rFonts w:eastAsia="Times New Roman"/>
          <w:lang w:val="sl-SI"/>
        </w:rPr>
        <w:t>črevesne okužbe (vključno z gastroenteritisom);</w:t>
      </w:r>
    </w:p>
    <w:p w14:paraId="064777A2" w14:textId="77777777" w:rsidR="00D902B3" w:rsidRDefault="00D902B3" w:rsidP="00D902B3">
      <w:pPr>
        <w:pStyle w:val="a3"/>
        <w:numPr>
          <w:ilvl w:val="0"/>
          <w:numId w:val="16"/>
        </w:numPr>
        <w:ind w:left="660" w:hanging="660"/>
        <w:rPr>
          <w:lang w:val="sl-SI"/>
        </w:rPr>
      </w:pPr>
      <w:r>
        <w:rPr>
          <w:rFonts w:eastAsia="Times New Roman"/>
          <w:lang w:val="sl-SI"/>
        </w:rPr>
        <w:t>okužbe kože (vključno s celulitisom in pasovcem);</w:t>
      </w:r>
    </w:p>
    <w:p w14:paraId="7EC527C4" w14:textId="77777777" w:rsidR="00D902B3" w:rsidRDefault="00D902B3" w:rsidP="00D902B3">
      <w:pPr>
        <w:pStyle w:val="a3"/>
        <w:numPr>
          <w:ilvl w:val="0"/>
          <w:numId w:val="16"/>
        </w:numPr>
        <w:ind w:left="660" w:hanging="660"/>
        <w:rPr>
          <w:lang w:val="sl-SI"/>
        </w:rPr>
      </w:pPr>
      <w:r>
        <w:rPr>
          <w:rFonts w:eastAsia="Times New Roman"/>
          <w:lang w:val="sl-SI"/>
        </w:rPr>
        <w:t>okužbe ušesa;</w:t>
      </w:r>
    </w:p>
    <w:p w14:paraId="6C937796" w14:textId="77777777" w:rsidR="00D902B3" w:rsidRDefault="00D902B3" w:rsidP="00D902B3">
      <w:pPr>
        <w:pStyle w:val="a3"/>
        <w:numPr>
          <w:ilvl w:val="0"/>
          <w:numId w:val="16"/>
        </w:numPr>
        <w:ind w:left="660" w:hanging="660"/>
        <w:rPr>
          <w:lang w:val="sl-SI"/>
        </w:rPr>
      </w:pPr>
      <w:r>
        <w:rPr>
          <w:rFonts w:eastAsia="Times New Roman"/>
          <w:lang w:val="sl-SI"/>
        </w:rPr>
        <w:t>okužbe ustne votline (vključno z okužbami zob in herpesom);</w:t>
      </w:r>
    </w:p>
    <w:p w14:paraId="705FAE0D" w14:textId="77777777" w:rsidR="00D902B3" w:rsidRDefault="00D902B3" w:rsidP="00D902B3">
      <w:pPr>
        <w:pStyle w:val="a3"/>
        <w:numPr>
          <w:ilvl w:val="0"/>
          <w:numId w:val="16"/>
        </w:numPr>
        <w:ind w:left="660" w:hanging="660"/>
        <w:rPr>
          <w:lang w:val="sl-SI"/>
        </w:rPr>
      </w:pPr>
      <w:r>
        <w:rPr>
          <w:rFonts w:eastAsia="Times New Roman"/>
          <w:lang w:val="sl-SI"/>
        </w:rPr>
        <w:t>okužbe rodil;</w:t>
      </w:r>
    </w:p>
    <w:p w14:paraId="21A50C9B" w14:textId="77777777" w:rsidR="00D902B3" w:rsidRDefault="00D902B3" w:rsidP="00D902B3">
      <w:pPr>
        <w:pStyle w:val="a3"/>
        <w:numPr>
          <w:ilvl w:val="0"/>
          <w:numId w:val="16"/>
        </w:numPr>
        <w:ind w:left="660" w:hanging="660"/>
        <w:rPr>
          <w:lang w:val="sl-SI"/>
        </w:rPr>
      </w:pPr>
      <w:r>
        <w:rPr>
          <w:rFonts w:eastAsia="Times New Roman"/>
          <w:lang w:val="sl-SI"/>
        </w:rPr>
        <w:t>okužbe sečil;</w:t>
      </w:r>
    </w:p>
    <w:p w14:paraId="53E14EBB" w14:textId="77777777" w:rsidR="00D902B3" w:rsidRDefault="00D902B3" w:rsidP="00D902B3">
      <w:pPr>
        <w:pStyle w:val="a3"/>
        <w:numPr>
          <w:ilvl w:val="0"/>
          <w:numId w:val="16"/>
        </w:numPr>
        <w:ind w:left="660" w:hanging="660"/>
        <w:rPr>
          <w:lang w:val="sl-SI"/>
        </w:rPr>
      </w:pPr>
      <w:r>
        <w:rPr>
          <w:rFonts w:eastAsia="Times New Roman"/>
          <w:lang w:val="sl-SI"/>
        </w:rPr>
        <w:t>glivične okužbe;</w:t>
      </w:r>
    </w:p>
    <w:p w14:paraId="05962D29" w14:textId="77777777" w:rsidR="00D902B3" w:rsidRDefault="00D902B3" w:rsidP="00D902B3">
      <w:pPr>
        <w:pStyle w:val="a3"/>
        <w:numPr>
          <w:ilvl w:val="0"/>
          <w:numId w:val="16"/>
        </w:numPr>
        <w:ind w:left="660" w:hanging="660"/>
        <w:rPr>
          <w:lang w:val="sl-SI"/>
        </w:rPr>
      </w:pPr>
      <w:r>
        <w:rPr>
          <w:rFonts w:eastAsia="Times New Roman"/>
          <w:lang w:val="sl-SI"/>
        </w:rPr>
        <w:t>okužbe sklepov;</w:t>
      </w:r>
    </w:p>
    <w:p w14:paraId="6D4F2D79" w14:textId="77777777" w:rsidR="00D902B3" w:rsidRDefault="00D902B3" w:rsidP="00D902B3">
      <w:pPr>
        <w:pStyle w:val="a3"/>
        <w:numPr>
          <w:ilvl w:val="0"/>
          <w:numId w:val="16"/>
        </w:numPr>
        <w:ind w:left="660" w:hanging="660"/>
        <w:rPr>
          <w:lang w:val="sl-SI"/>
        </w:rPr>
      </w:pPr>
      <w:r>
        <w:rPr>
          <w:rFonts w:eastAsia="Times New Roman"/>
          <w:lang w:val="sl-SI"/>
        </w:rPr>
        <w:t>benigni tumorji;</w:t>
      </w:r>
    </w:p>
    <w:p w14:paraId="119061E9" w14:textId="77777777" w:rsidR="00D902B3" w:rsidRDefault="00D902B3" w:rsidP="00D902B3">
      <w:pPr>
        <w:pStyle w:val="a3"/>
        <w:numPr>
          <w:ilvl w:val="0"/>
          <w:numId w:val="16"/>
        </w:numPr>
        <w:ind w:left="660" w:hanging="660"/>
        <w:rPr>
          <w:lang w:val="sl-SI"/>
        </w:rPr>
      </w:pPr>
      <w:r>
        <w:rPr>
          <w:rFonts w:eastAsia="Times New Roman"/>
          <w:lang w:val="sl-SI"/>
        </w:rPr>
        <w:t>kožni rak;</w:t>
      </w:r>
    </w:p>
    <w:p w14:paraId="6B08F14C" w14:textId="77777777" w:rsidR="00D902B3" w:rsidRDefault="00D902B3" w:rsidP="00D902B3">
      <w:pPr>
        <w:pStyle w:val="a3"/>
        <w:numPr>
          <w:ilvl w:val="0"/>
          <w:numId w:val="16"/>
        </w:numPr>
        <w:ind w:left="660" w:hanging="660"/>
        <w:rPr>
          <w:lang w:val="sl-SI"/>
        </w:rPr>
      </w:pPr>
      <w:r>
        <w:rPr>
          <w:rFonts w:eastAsia="Times New Roman"/>
          <w:lang w:val="sl-SI"/>
        </w:rPr>
        <w:t>alergijske reakcije (vključno s sezonskimi alergijami);</w:t>
      </w:r>
    </w:p>
    <w:p w14:paraId="511DDFA7" w14:textId="77777777" w:rsidR="00D902B3" w:rsidRDefault="00D902B3" w:rsidP="00D902B3">
      <w:pPr>
        <w:pStyle w:val="a3"/>
        <w:numPr>
          <w:ilvl w:val="0"/>
          <w:numId w:val="16"/>
        </w:numPr>
        <w:ind w:left="660" w:hanging="660"/>
        <w:rPr>
          <w:lang w:val="sl-SI"/>
        </w:rPr>
      </w:pPr>
      <w:r>
        <w:rPr>
          <w:rFonts w:eastAsia="Times New Roman"/>
          <w:lang w:val="sl-SI"/>
        </w:rPr>
        <w:t>dehidracija;</w:t>
      </w:r>
    </w:p>
    <w:p w14:paraId="0219EB01" w14:textId="77777777" w:rsidR="00D902B3" w:rsidRDefault="00D902B3" w:rsidP="00D902B3">
      <w:pPr>
        <w:pStyle w:val="a3"/>
        <w:numPr>
          <w:ilvl w:val="0"/>
          <w:numId w:val="16"/>
        </w:numPr>
        <w:ind w:left="660" w:hanging="660"/>
        <w:rPr>
          <w:lang w:val="sl-SI"/>
        </w:rPr>
      </w:pPr>
      <w:r>
        <w:rPr>
          <w:rFonts w:eastAsia="Times New Roman"/>
          <w:lang w:val="sl-SI"/>
        </w:rPr>
        <w:t>spremenljivo razpoloženje (vključno z depresijo);</w:t>
      </w:r>
    </w:p>
    <w:p w14:paraId="375936F7" w14:textId="77777777" w:rsidR="00D902B3" w:rsidRDefault="00D902B3" w:rsidP="00D902B3">
      <w:pPr>
        <w:pStyle w:val="a3"/>
        <w:numPr>
          <w:ilvl w:val="0"/>
          <w:numId w:val="16"/>
        </w:numPr>
        <w:ind w:left="660" w:hanging="660"/>
        <w:rPr>
          <w:lang w:val="sl-SI"/>
        </w:rPr>
      </w:pPr>
      <w:r>
        <w:rPr>
          <w:rFonts w:eastAsia="Times New Roman"/>
          <w:lang w:val="sl-SI"/>
        </w:rPr>
        <w:t>anksioznost;</w:t>
      </w:r>
    </w:p>
    <w:p w14:paraId="749E8503" w14:textId="77777777" w:rsidR="00D902B3" w:rsidRDefault="00D902B3" w:rsidP="00D902B3">
      <w:pPr>
        <w:pStyle w:val="a3"/>
        <w:numPr>
          <w:ilvl w:val="0"/>
          <w:numId w:val="16"/>
        </w:numPr>
        <w:ind w:left="660" w:hanging="660"/>
        <w:rPr>
          <w:lang w:val="sl-SI"/>
        </w:rPr>
      </w:pPr>
      <w:r>
        <w:rPr>
          <w:rFonts w:eastAsia="Times New Roman"/>
          <w:lang w:val="sl-SI"/>
        </w:rPr>
        <w:t>težave s spanjem;</w:t>
      </w:r>
    </w:p>
    <w:p w14:paraId="0061A86C" w14:textId="77777777" w:rsidR="00D902B3" w:rsidRDefault="00D902B3" w:rsidP="00D902B3">
      <w:pPr>
        <w:pStyle w:val="a3"/>
        <w:numPr>
          <w:ilvl w:val="0"/>
          <w:numId w:val="16"/>
        </w:numPr>
        <w:ind w:left="660" w:hanging="660"/>
        <w:rPr>
          <w:lang w:val="sl-SI"/>
        </w:rPr>
      </w:pPr>
      <w:r>
        <w:rPr>
          <w:rFonts w:eastAsia="Times New Roman"/>
          <w:lang w:val="sl-SI"/>
        </w:rPr>
        <w:t>motnje v občutenju kot so ščemenje, zbadanje ali omrtvelost;</w:t>
      </w:r>
    </w:p>
    <w:p w14:paraId="3D86F31A" w14:textId="77777777" w:rsidR="00D902B3" w:rsidRDefault="00D902B3" w:rsidP="00D902B3">
      <w:pPr>
        <w:pStyle w:val="a3"/>
        <w:numPr>
          <w:ilvl w:val="0"/>
          <w:numId w:val="16"/>
        </w:numPr>
        <w:ind w:left="660" w:hanging="660"/>
        <w:rPr>
          <w:lang w:val="sl-SI"/>
        </w:rPr>
      </w:pPr>
      <w:r>
        <w:rPr>
          <w:rFonts w:eastAsia="Times New Roman"/>
          <w:lang w:val="sl-SI"/>
        </w:rPr>
        <w:t>migrena;</w:t>
      </w:r>
    </w:p>
    <w:p w14:paraId="7D290B4D" w14:textId="77777777" w:rsidR="00D902B3" w:rsidRDefault="00D902B3" w:rsidP="00D902B3">
      <w:pPr>
        <w:pStyle w:val="a3"/>
        <w:numPr>
          <w:ilvl w:val="0"/>
          <w:numId w:val="16"/>
        </w:numPr>
        <w:ind w:left="660" w:hanging="660"/>
        <w:rPr>
          <w:lang w:val="sl-SI"/>
        </w:rPr>
      </w:pPr>
      <w:r>
        <w:rPr>
          <w:rFonts w:eastAsia="Times New Roman"/>
          <w:lang w:val="sl-SI"/>
        </w:rPr>
        <w:t>stisnenje živčnih korenin (vključno z bolečino v spodnjem delu hrbta in nogah);</w:t>
      </w:r>
    </w:p>
    <w:p w14:paraId="2AA395EA" w14:textId="77777777" w:rsidR="00D902B3" w:rsidRDefault="00D902B3" w:rsidP="00D902B3">
      <w:pPr>
        <w:pStyle w:val="a3"/>
        <w:numPr>
          <w:ilvl w:val="0"/>
          <w:numId w:val="16"/>
        </w:numPr>
        <w:ind w:left="660" w:hanging="660"/>
        <w:rPr>
          <w:lang w:val="sl-SI"/>
        </w:rPr>
      </w:pPr>
      <w:r>
        <w:rPr>
          <w:rFonts w:eastAsia="Times New Roman"/>
          <w:lang w:val="sl-SI"/>
        </w:rPr>
        <w:t>motnje vida;</w:t>
      </w:r>
    </w:p>
    <w:p w14:paraId="60BAFF1B" w14:textId="77777777" w:rsidR="00D902B3" w:rsidRDefault="00D902B3" w:rsidP="00D902B3">
      <w:pPr>
        <w:pStyle w:val="a3"/>
        <w:numPr>
          <w:ilvl w:val="0"/>
          <w:numId w:val="16"/>
        </w:numPr>
        <w:ind w:left="660" w:hanging="660"/>
        <w:rPr>
          <w:lang w:val="sl-SI"/>
        </w:rPr>
      </w:pPr>
      <w:r>
        <w:rPr>
          <w:rFonts w:eastAsia="Times New Roman"/>
          <w:lang w:val="sl-SI"/>
        </w:rPr>
        <w:t>vnetje oči;</w:t>
      </w:r>
    </w:p>
    <w:p w14:paraId="00D9AB7E" w14:textId="77777777" w:rsidR="00D902B3" w:rsidRDefault="00D902B3" w:rsidP="00D902B3">
      <w:pPr>
        <w:pStyle w:val="a3"/>
        <w:numPr>
          <w:ilvl w:val="0"/>
          <w:numId w:val="16"/>
        </w:numPr>
        <w:ind w:left="660" w:hanging="660"/>
        <w:rPr>
          <w:lang w:val="sl-SI"/>
        </w:rPr>
      </w:pPr>
      <w:r>
        <w:rPr>
          <w:rFonts w:eastAsia="Times New Roman"/>
          <w:lang w:val="sl-SI"/>
        </w:rPr>
        <w:t>vnetje očesnih vek in otekanje oči;</w:t>
      </w:r>
    </w:p>
    <w:p w14:paraId="3994BDD7" w14:textId="77777777" w:rsidR="00D902B3" w:rsidRDefault="00D902B3" w:rsidP="00D902B3">
      <w:pPr>
        <w:pStyle w:val="a3"/>
        <w:numPr>
          <w:ilvl w:val="0"/>
          <w:numId w:val="16"/>
        </w:numPr>
        <w:ind w:left="660" w:hanging="660"/>
        <w:rPr>
          <w:lang w:val="sl-SI"/>
        </w:rPr>
      </w:pPr>
      <w:r>
        <w:rPr>
          <w:rFonts w:eastAsia="Times New Roman"/>
          <w:lang w:val="sl-SI"/>
        </w:rPr>
        <w:t>vrtoglavica (občutek omotice ali vrtenja);</w:t>
      </w:r>
    </w:p>
    <w:p w14:paraId="1A43BC5F" w14:textId="77777777" w:rsidR="00D902B3" w:rsidRDefault="00D902B3" w:rsidP="00D902B3">
      <w:pPr>
        <w:pStyle w:val="a3"/>
        <w:numPr>
          <w:ilvl w:val="0"/>
          <w:numId w:val="16"/>
        </w:numPr>
        <w:ind w:left="660" w:hanging="660"/>
        <w:rPr>
          <w:lang w:val="sl-SI"/>
        </w:rPr>
      </w:pPr>
      <w:r>
        <w:rPr>
          <w:rFonts w:eastAsia="Times New Roman"/>
          <w:lang w:val="sl-SI"/>
        </w:rPr>
        <w:t>občutek hitrega bitja srca;</w:t>
      </w:r>
    </w:p>
    <w:p w14:paraId="339E5098" w14:textId="77777777" w:rsidR="00D902B3" w:rsidRDefault="00D902B3" w:rsidP="00D902B3">
      <w:pPr>
        <w:pStyle w:val="a3"/>
        <w:numPr>
          <w:ilvl w:val="0"/>
          <w:numId w:val="16"/>
        </w:numPr>
        <w:ind w:left="660" w:hanging="660"/>
        <w:rPr>
          <w:lang w:val="sl-SI"/>
        </w:rPr>
      </w:pPr>
      <w:r>
        <w:rPr>
          <w:rFonts w:eastAsia="Times New Roman"/>
          <w:lang w:val="sl-SI"/>
        </w:rPr>
        <w:t>visok krvni tlak;</w:t>
      </w:r>
    </w:p>
    <w:p w14:paraId="5B86A704" w14:textId="77777777" w:rsidR="00D902B3" w:rsidRDefault="00D902B3" w:rsidP="00D902B3">
      <w:pPr>
        <w:pStyle w:val="a3"/>
        <w:numPr>
          <w:ilvl w:val="0"/>
          <w:numId w:val="16"/>
        </w:numPr>
        <w:ind w:left="660" w:hanging="660"/>
        <w:rPr>
          <w:lang w:val="sl-SI"/>
        </w:rPr>
      </w:pPr>
      <w:r>
        <w:rPr>
          <w:rFonts w:eastAsia="Times New Roman"/>
          <w:lang w:val="sl-SI"/>
        </w:rPr>
        <w:t>zardevanje;</w:t>
      </w:r>
    </w:p>
    <w:p w14:paraId="57C22F73" w14:textId="77777777" w:rsidR="00D902B3" w:rsidRDefault="00D902B3" w:rsidP="00D902B3">
      <w:pPr>
        <w:pStyle w:val="a3"/>
        <w:numPr>
          <w:ilvl w:val="0"/>
          <w:numId w:val="16"/>
        </w:numPr>
        <w:ind w:left="660" w:hanging="660"/>
        <w:rPr>
          <w:lang w:val="sl-SI"/>
        </w:rPr>
      </w:pPr>
      <w:r>
        <w:rPr>
          <w:rFonts w:eastAsia="Times New Roman"/>
          <w:lang w:val="sl-SI"/>
        </w:rPr>
        <w:t>hematom (nabiranje krvi zunaj krvnih žil);</w:t>
      </w:r>
    </w:p>
    <w:p w14:paraId="4FA3374D" w14:textId="77777777" w:rsidR="00D902B3" w:rsidRDefault="00D902B3" w:rsidP="00D902B3">
      <w:pPr>
        <w:pStyle w:val="a3"/>
        <w:numPr>
          <w:ilvl w:val="0"/>
          <w:numId w:val="16"/>
        </w:numPr>
        <w:ind w:left="660" w:hanging="660"/>
        <w:rPr>
          <w:lang w:val="sl-SI"/>
        </w:rPr>
      </w:pPr>
      <w:r>
        <w:rPr>
          <w:rFonts w:eastAsia="Times New Roman"/>
          <w:lang w:val="sl-SI"/>
        </w:rPr>
        <w:t>kašelj;</w:t>
      </w:r>
    </w:p>
    <w:p w14:paraId="438D6DB9" w14:textId="77777777" w:rsidR="00D902B3" w:rsidRDefault="00D902B3" w:rsidP="00D902B3">
      <w:pPr>
        <w:pStyle w:val="a3"/>
        <w:numPr>
          <w:ilvl w:val="0"/>
          <w:numId w:val="16"/>
        </w:numPr>
        <w:ind w:left="660" w:hanging="660"/>
        <w:rPr>
          <w:lang w:val="sl-SI"/>
        </w:rPr>
      </w:pPr>
      <w:r>
        <w:rPr>
          <w:rFonts w:eastAsia="Times New Roman"/>
          <w:lang w:val="sl-SI"/>
        </w:rPr>
        <w:t>astma;</w:t>
      </w:r>
    </w:p>
    <w:p w14:paraId="23B72980" w14:textId="77777777" w:rsidR="00D902B3" w:rsidRDefault="00D902B3" w:rsidP="00D902B3">
      <w:pPr>
        <w:pStyle w:val="a3"/>
        <w:numPr>
          <w:ilvl w:val="0"/>
          <w:numId w:val="16"/>
        </w:numPr>
        <w:ind w:left="660" w:hanging="660"/>
        <w:rPr>
          <w:lang w:val="sl-SI"/>
        </w:rPr>
      </w:pPr>
      <w:r>
        <w:rPr>
          <w:rFonts w:eastAsia="Times New Roman"/>
          <w:lang w:val="sl-SI"/>
        </w:rPr>
        <w:t>kratka sapa;</w:t>
      </w:r>
    </w:p>
    <w:p w14:paraId="44BFDE6E" w14:textId="77777777" w:rsidR="00D902B3" w:rsidRDefault="00D902B3" w:rsidP="00D902B3">
      <w:pPr>
        <w:pStyle w:val="a3"/>
        <w:numPr>
          <w:ilvl w:val="0"/>
          <w:numId w:val="16"/>
        </w:numPr>
        <w:ind w:left="660" w:hanging="660"/>
        <w:rPr>
          <w:lang w:val="sl-SI"/>
        </w:rPr>
      </w:pPr>
      <w:r>
        <w:rPr>
          <w:rFonts w:eastAsia="Times New Roman"/>
          <w:lang w:val="sl-SI"/>
        </w:rPr>
        <w:lastRenderedPageBreak/>
        <w:t>krvavitev v prebavilih;</w:t>
      </w:r>
    </w:p>
    <w:p w14:paraId="0FC4EE04" w14:textId="77777777" w:rsidR="00D902B3" w:rsidRDefault="00D902B3" w:rsidP="00D902B3">
      <w:pPr>
        <w:pStyle w:val="a3"/>
        <w:numPr>
          <w:ilvl w:val="0"/>
          <w:numId w:val="16"/>
        </w:numPr>
        <w:ind w:left="660" w:hanging="660"/>
        <w:rPr>
          <w:lang w:val="sl-SI"/>
        </w:rPr>
      </w:pPr>
      <w:r>
        <w:rPr>
          <w:rFonts w:eastAsia="Times New Roman"/>
          <w:lang w:val="sl-SI"/>
        </w:rPr>
        <w:t>dispepsija (prebavne motnje, napihnjenost, zgaga);</w:t>
      </w:r>
    </w:p>
    <w:p w14:paraId="10EBD0F2" w14:textId="77777777" w:rsidR="00D902B3" w:rsidRDefault="00D902B3" w:rsidP="00D902B3">
      <w:pPr>
        <w:pStyle w:val="a3"/>
        <w:numPr>
          <w:ilvl w:val="0"/>
          <w:numId w:val="16"/>
        </w:numPr>
        <w:ind w:left="660" w:hanging="660"/>
        <w:rPr>
          <w:lang w:val="sl-SI"/>
        </w:rPr>
      </w:pPr>
      <w:r>
        <w:rPr>
          <w:rFonts w:eastAsia="Times New Roman"/>
          <w:lang w:val="sl-SI"/>
        </w:rPr>
        <w:t>bolezen refluksa kisline;</w:t>
      </w:r>
    </w:p>
    <w:p w14:paraId="41BB7DF3" w14:textId="77777777" w:rsidR="00D902B3" w:rsidRDefault="00D902B3" w:rsidP="00D902B3">
      <w:pPr>
        <w:pStyle w:val="a3"/>
        <w:numPr>
          <w:ilvl w:val="0"/>
          <w:numId w:val="16"/>
        </w:numPr>
        <w:ind w:left="660" w:hanging="660"/>
        <w:rPr>
          <w:lang w:val="sl-SI"/>
        </w:rPr>
      </w:pPr>
      <w:r>
        <w:rPr>
          <w:rFonts w:eastAsia="Times New Roman"/>
          <w:lang w:val="sl-SI"/>
        </w:rPr>
        <w:t>Sjögrenov sindrom (vključno s suhimi očmi in suhimi usti);</w:t>
      </w:r>
    </w:p>
    <w:p w14:paraId="50DBA94B" w14:textId="77777777" w:rsidR="00D902B3" w:rsidRDefault="00D902B3" w:rsidP="00D902B3">
      <w:pPr>
        <w:pStyle w:val="a3"/>
        <w:numPr>
          <w:ilvl w:val="0"/>
          <w:numId w:val="16"/>
        </w:numPr>
        <w:ind w:left="660" w:hanging="660"/>
        <w:rPr>
          <w:lang w:val="sl-SI"/>
        </w:rPr>
      </w:pPr>
      <w:r>
        <w:rPr>
          <w:rFonts w:eastAsia="Times New Roman"/>
          <w:lang w:val="sl-SI"/>
        </w:rPr>
        <w:t>srbenje;</w:t>
      </w:r>
    </w:p>
    <w:p w14:paraId="15FA902B" w14:textId="77777777" w:rsidR="00D902B3" w:rsidRDefault="00D902B3" w:rsidP="00D902B3">
      <w:pPr>
        <w:pStyle w:val="a3"/>
        <w:numPr>
          <w:ilvl w:val="0"/>
          <w:numId w:val="16"/>
        </w:numPr>
        <w:ind w:left="660" w:hanging="660"/>
        <w:rPr>
          <w:rFonts w:eastAsia="Times New Roman"/>
          <w:spacing w:val="-1"/>
          <w:lang w:val="sl-SI"/>
        </w:rPr>
      </w:pPr>
      <w:r>
        <w:rPr>
          <w:rFonts w:eastAsia="Times New Roman"/>
          <w:lang w:val="sl-SI"/>
        </w:rPr>
        <w:t>srbeč izpuščaj;</w:t>
      </w:r>
    </w:p>
    <w:p w14:paraId="48798701" w14:textId="77777777" w:rsidR="00D902B3" w:rsidRDefault="00D902B3" w:rsidP="00D902B3">
      <w:pPr>
        <w:pStyle w:val="a3"/>
        <w:numPr>
          <w:ilvl w:val="0"/>
          <w:numId w:val="16"/>
        </w:numPr>
        <w:ind w:left="660" w:hanging="660"/>
        <w:rPr>
          <w:lang w:val="sl-SI"/>
        </w:rPr>
      </w:pPr>
      <w:r>
        <w:rPr>
          <w:rFonts w:eastAsia="Times New Roman"/>
          <w:lang w:val="sl-SI"/>
        </w:rPr>
        <w:t>modrice;</w:t>
      </w:r>
    </w:p>
    <w:p w14:paraId="793D12D8" w14:textId="77777777" w:rsidR="00D902B3" w:rsidRDefault="00D902B3" w:rsidP="00D902B3">
      <w:pPr>
        <w:pStyle w:val="a3"/>
        <w:numPr>
          <w:ilvl w:val="0"/>
          <w:numId w:val="16"/>
        </w:numPr>
        <w:ind w:left="660" w:hanging="660"/>
        <w:rPr>
          <w:lang w:val="sl-SI"/>
        </w:rPr>
      </w:pPr>
      <w:r>
        <w:rPr>
          <w:rFonts w:eastAsia="Times New Roman"/>
          <w:lang w:val="sl-SI"/>
        </w:rPr>
        <w:t>vnetje kože (npr. ekcem);</w:t>
      </w:r>
    </w:p>
    <w:p w14:paraId="3708CE5F" w14:textId="77777777" w:rsidR="00D902B3" w:rsidRDefault="00D902B3" w:rsidP="00D902B3">
      <w:pPr>
        <w:pStyle w:val="a3"/>
        <w:numPr>
          <w:ilvl w:val="0"/>
          <w:numId w:val="16"/>
        </w:numPr>
        <w:ind w:left="660" w:hanging="660"/>
        <w:rPr>
          <w:lang w:val="sl-SI"/>
        </w:rPr>
      </w:pPr>
      <w:r>
        <w:rPr>
          <w:rFonts w:eastAsia="Times New Roman"/>
          <w:lang w:val="sl-SI"/>
        </w:rPr>
        <w:t>lomljivost nohtov na rokah in nogah;</w:t>
      </w:r>
    </w:p>
    <w:p w14:paraId="67E1ED8C" w14:textId="77777777" w:rsidR="00D902B3" w:rsidRDefault="00D902B3" w:rsidP="00D902B3">
      <w:pPr>
        <w:pStyle w:val="a3"/>
        <w:numPr>
          <w:ilvl w:val="0"/>
          <w:numId w:val="16"/>
        </w:numPr>
        <w:ind w:left="660" w:hanging="660"/>
        <w:rPr>
          <w:lang w:val="sl-SI"/>
        </w:rPr>
      </w:pPr>
      <w:r>
        <w:rPr>
          <w:rFonts w:eastAsia="Times New Roman"/>
          <w:lang w:val="sl-SI"/>
        </w:rPr>
        <w:t>povečano potenje;</w:t>
      </w:r>
    </w:p>
    <w:p w14:paraId="6163084C" w14:textId="77777777" w:rsidR="00D902B3" w:rsidRDefault="00D902B3" w:rsidP="00D902B3">
      <w:pPr>
        <w:pStyle w:val="a3"/>
        <w:numPr>
          <w:ilvl w:val="0"/>
          <w:numId w:val="16"/>
        </w:numPr>
        <w:ind w:left="660" w:hanging="660"/>
        <w:rPr>
          <w:lang w:val="sl-SI"/>
        </w:rPr>
      </w:pPr>
      <w:r>
        <w:rPr>
          <w:rFonts w:eastAsia="Times New Roman"/>
          <w:lang w:val="sl-SI"/>
        </w:rPr>
        <w:t>izpadanje las;</w:t>
      </w:r>
    </w:p>
    <w:p w14:paraId="2F422FCA" w14:textId="77777777" w:rsidR="00D902B3" w:rsidRDefault="00D902B3" w:rsidP="00D902B3">
      <w:pPr>
        <w:pStyle w:val="a3"/>
        <w:numPr>
          <w:ilvl w:val="0"/>
          <w:numId w:val="16"/>
        </w:numPr>
        <w:ind w:left="660" w:hanging="660"/>
        <w:rPr>
          <w:lang w:val="sl-SI"/>
        </w:rPr>
      </w:pPr>
      <w:r>
        <w:rPr>
          <w:rFonts w:eastAsia="Times New Roman"/>
          <w:lang w:val="sl-SI"/>
        </w:rPr>
        <w:t>pojav ali poslabšanje psoriaze;</w:t>
      </w:r>
    </w:p>
    <w:p w14:paraId="19302C9B" w14:textId="77777777" w:rsidR="00D902B3" w:rsidRDefault="00D902B3" w:rsidP="00D902B3">
      <w:pPr>
        <w:pStyle w:val="a3"/>
        <w:numPr>
          <w:ilvl w:val="0"/>
          <w:numId w:val="16"/>
        </w:numPr>
        <w:ind w:left="660" w:hanging="660"/>
        <w:rPr>
          <w:lang w:val="sl-SI"/>
        </w:rPr>
      </w:pPr>
      <w:r>
        <w:rPr>
          <w:rFonts w:eastAsia="Times New Roman"/>
          <w:lang w:val="sl-SI"/>
        </w:rPr>
        <w:t>mišični krči;</w:t>
      </w:r>
    </w:p>
    <w:p w14:paraId="682BF014" w14:textId="77777777" w:rsidR="00D902B3" w:rsidRDefault="00D902B3" w:rsidP="00D902B3">
      <w:pPr>
        <w:pStyle w:val="a3"/>
        <w:numPr>
          <w:ilvl w:val="0"/>
          <w:numId w:val="16"/>
        </w:numPr>
        <w:ind w:left="660" w:hanging="660"/>
        <w:rPr>
          <w:lang w:val="sl-SI"/>
        </w:rPr>
      </w:pPr>
      <w:r>
        <w:rPr>
          <w:rFonts w:eastAsia="Times New Roman"/>
          <w:lang w:val="sl-SI"/>
        </w:rPr>
        <w:t>kri v urinu;</w:t>
      </w:r>
    </w:p>
    <w:p w14:paraId="78A60AD3" w14:textId="77777777" w:rsidR="00D902B3" w:rsidRDefault="00D902B3" w:rsidP="00D902B3">
      <w:pPr>
        <w:pStyle w:val="a3"/>
        <w:numPr>
          <w:ilvl w:val="0"/>
          <w:numId w:val="16"/>
        </w:numPr>
        <w:ind w:left="660" w:hanging="660"/>
        <w:rPr>
          <w:lang w:val="sl-SI"/>
        </w:rPr>
      </w:pPr>
      <w:r>
        <w:rPr>
          <w:rFonts w:eastAsia="Times New Roman"/>
          <w:lang w:val="sl-SI"/>
        </w:rPr>
        <w:t>težave z ledvicami;</w:t>
      </w:r>
    </w:p>
    <w:p w14:paraId="14FA3F82" w14:textId="77777777" w:rsidR="00D902B3" w:rsidRDefault="00D902B3" w:rsidP="00D902B3">
      <w:pPr>
        <w:pStyle w:val="a3"/>
        <w:numPr>
          <w:ilvl w:val="0"/>
          <w:numId w:val="16"/>
        </w:numPr>
        <w:ind w:left="660" w:hanging="660"/>
        <w:rPr>
          <w:lang w:val="sl-SI"/>
        </w:rPr>
      </w:pPr>
      <w:r>
        <w:rPr>
          <w:rFonts w:eastAsia="Times New Roman"/>
          <w:lang w:val="sl-SI"/>
        </w:rPr>
        <w:t>bolečina v prsnem košu;</w:t>
      </w:r>
    </w:p>
    <w:p w14:paraId="5F6325A2" w14:textId="77777777" w:rsidR="00D902B3" w:rsidRDefault="00D902B3" w:rsidP="00D902B3">
      <w:pPr>
        <w:pStyle w:val="a3"/>
        <w:numPr>
          <w:ilvl w:val="0"/>
          <w:numId w:val="16"/>
        </w:numPr>
        <w:ind w:left="660" w:hanging="660"/>
        <w:rPr>
          <w:lang w:val="sl-SI"/>
        </w:rPr>
      </w:pPr>
      <w:r>
        <w:rPr>
          <w:rFonts w:eastAsia="Times New Roman"/>
          <w:lang w:val="sl-SI"/>
        </w:rPr>
        <w:t>edem (otekanje);</w:t>
      </w:r>
    </w:p>
    <w:p w14:paraId="79A795A9" w14:textId="77777777" w:rsidR="00D902B3" w:rsidRDefault="00D902B3" w:rsidP="00D902B3">
      <w:pPr>
        <w:pStyle w:val="a3"/>
        <w:numPr>
          <w:ilvl w:val="0"/>
          <w:numId w:val="16"/>
        </w:numPr>
        <w:ind w:left="660" w:hanging="660"/>
        <w:rPr>
          <w:lang w:val="sl-SI"/>
        </w:rPr>
      </w:pPr>
      <w:r>
        <w:rPr>
          <w:rFonts w:eastAsia="Times New Roman"/>
          <w:lang w:val="sl-SI"/>
        </w:rPr>
        <w:t>zvišana telesna temperatura;</w:t>
      </w:r>
    </w:p>
    <w:p w14:paraId="2D255E1F" w14:textId="77777777" w:rsidR="00D902B3" w:rsidRDefault="00D902B3" w:rsidP="00D902B3">
      <w:pPr>
        <w:pStyle w:val="a3"/>
        <w:numPr>
          <w:ilvl w:val="0"/>
          <w:numId w:val="16"/>
        </w:numPr>
        <w:ind w:left="660" w:hanging="660"/>
        <w:rPr>
          <w:lang w:val="sl-SI"/>
        </w:rPr>
      </w:pPr>
      <w:r>
        <w:rPr>
          <w:rFonts w:eastAsia="Times New Roman"/>
          <w:lang w:val="sl-SI"/>
        </w:rPr>
        <w:t>zmanjšanje števila krvnih ploščic, kar poveča tveganje za krvavitev ali podplutbe;</w:t>
      </w:r>
    </w:p>
    <w:p w14:paraId="0D988A21" w14:textId="77777777" w:rsidR="00D902B3" w:rsidRDefault="00D902B3" w:rsidP="00D902B3">
      <w:pPr>
        <w:pStyle w:val="a3"/>
        <w:numPr>
          <w:ilvl w:val="0"/>
          <w:numId w:val="16"/>
        </w:numPr>
        <w:ind w:left="660" w:hanging="660"/>
        <w:rPr>
          <w:lang w:val="sl-SI"/>
        </w:rPr>
      </w:pPr>
      <w:r>
        <w:rPr>
          <w:rFonts w:eastAsia="Times New Roman"/>
          <w:lang w:val="sl-SI"/>
        </w:rPr>
        <w:t>slabše celjenje.</w:t>
      </w:r>
    </w:p>
    <w:p w14:paraId="2FF7D6AD" w14:textId="77777777" w:rsidR="00D902B3" w:rsidRDefault="00D902B3" w:rsidP="00D902B3">
      <w:pPr>
        <w:spacing w:before="10" w:line="240" w:lineRule="exact"/>
        <w:rPr>
          <w:sz w:val="24"/>
          <w:szCs w:val="24"/>
          <w:lang w:val="sl-SI"/>
        </w:rPr>
      </w:pPr>
    </w:p>
    <w:p w14:paraId="51F377A6" w14:textId="77777777" w:rsidR="00D902B3" w:rsidRDefault="00D902B3" w:rsidP="00D902B3">
      <w:pPr>
        <w:rPr>
          <w:rFonts w:ascii="Times New Roman" w:eastAsia="Times New Roman" w:hAnsi="Times New Roman" w:cs="Times New Roman"/>
          <w:lang w:val="sl-SI"/>
        </w:rPr>
      </w:pPr>
      <w:r>
        <w:rPr>
          <w:rFonts w:ascii="Times New Roman" w:eastAsia="Times New Roman" w:hAnsi="Times New Roman" w:cs="Times New Roman"/>
          <w:b/>
          <w:bCs/>
          <w:spacing w:val="-1"/>
          <w:lang w:val="sl-SI"/>
        </w:rPr>
        <w:t xml:space="preserve">Občasni </w:t>
      </w:r>
      <w:r>
        <w:rPr>
          <w:rFonts w:ascii="Times New Roman" w:eastAsia="Times New Roman" w:hAnsi="Times New Roman" w:cs="Times New Roman"/>
          <w:spacing w:val="-1"/>
          <w:lang w:val="sl-SI"/>
        </w:rPr>
        <w:t>(pojavijo se lahko pri največ 1 od 100 bolnikov)</w:t>
      </w:r>
    </w:p>
    <w:p w14:paraId="0441FC1E" w14:textId="77777777" w:rsidR="00D902B3" w:rsidRDefault="00D902B3" w:rsidP="00D902B3">
      <w:pPr>
        <w:spacing w:before="14" w:line="260" w:lineRule="exact"/>
        <w:rPr>
          <w:sz w:val="26"/>
          <w:szCs w:val="26"/>
          <w:lang w:val="sl-SI"/>
        </w:rPr>
      </w:pPr>
    </w:p>
    <w:p w14:paraId="7271B215" w14:textId="77777777" w:rsidR="00D902B3" w:rsidRDefault="00D902B3" w:rsidP="00D902B3">
      <w:pPr>
        <w:pStyle w:val="a3"/>
        <w:numPr>
          <w:ilvl w:val="0"/>
          <w:numId w:val="16"/>
        </w:numPr>
        <w:ind w:left="660" w:hanging="660"/>
        <w:rPr>
          <w:lang w:val="sl-SI"/>
        </w:rPr>
      </w:pPr>
      <w:r>
        <w:rPr>
          <w:rFonts w:eastAsia="Times New Roman"/>
          <w:lang w:val="sl-SI"/>
        </w:rPr>
        <w:t>oportunistične okužbe (ki vključujejo tuberkulozo in druge okužbe, ki se pojavijo ob slabši odpornosti proti bolezni);</w:t>
      </w:r>
    </w:p>
    <w:p w14:paraId="0EC9CFC2" w14:textId="77777777" w:rsidR="00D902B3" w:rsidRDefault="00D902B3" w:rsidP="00D902B3">
      <w:pPr>
        <w:pStyle w:val="a3"/>
        <w:numPr>
          <w:ilvl w:val="0"/>
          <w:numId w:val="16"/>
        </w:numPr>
        <w:ind w:left="660" w:hanging="660"/>
        <w:rPr>
          <w:lang w:val="sl-SI"/>
        </w:rPr>
      </w:pPr>
      <w:r>
        <w:rPr>
          <w:rFonts w:eastAsia="Times New Roman"/>
          <w:lang w:val="sl-SI"/>
        </w:rPr>
        <w:t>nevrološke okužbe (vključno s virusnim meningitisom);</w:t>
      </w:r>
    </w:p>
    <w:p w14:paraId="6F341054" w14:textId="77777777" w:rsidR="00D902B3" w:rsidRDefault="00D902B3" w:rsidP="00D902B3">
      <w:pPr>
        <w:pStyle w:val="a3"/>
        <w:numPr>
          <w:ilvl w:val="0"/>
          <w:numId w:val="16"/>
        </w:numPr>
        <w:ind w:left="660" w:hanging="660"/>
        <w:rPr>
          <w:lang w:val="sl-SI"/>
        </w:rPr>
      </w:pPr>
      <w:r>
        <w:rPr>
          <w:rFonts w:eastAsia="Times New Roman"/>
          <w:lang w:val="sl-SI"/>
        </w:rPr>
        <w:t>okužbe oči;</w:t>
      </w:r>
    </w:p>
    <w:p w14:paraId="3B6351F7" w14:textId="77777777" w:rsidR="00D902B3" w:rsidRDefault="00D902B3" w:rsidP="00D902B3">
      <w:pPr>
        <w:pStyle w:val="a3"/>
        <w:numPr>
          <w:ilvl w:val="0"/>
          <w:numId w:val="16"/>
        </w:numPr>
        <w:ind w:left="660" w:hanging="660"/>
        <w:rPr>
          <w:lang w:val="sl-SI"/>
        </w:rPr>
      </w:pPr>
      <w:r>
        <w:rPr>
          <w:rFonts w:eastAsia="Times New Roman"/>
          <w:lang w:val="sl-SI"/>
        </w:rPr>
        <w:t>bakterijske okužbe;</w:t>
      </w:r>
    </w:p>
    <w:p w14:paraId="6C4C367D" w14:textId="77777777" w:rsidR="00D902B3" w:rsidRDefault="00D902B3" w:rsidP="00D902B3">
      <w:pPr>
        <w:pStyle w:val="a3"/>
        <w:numPr>
          <w:ilvl w:val="0"/>
          <w:numId w:val="16"/>
        </w:numPr>
        <w:ind w:left="660" w:hanging="660"/>
        <w:rPr>
          <w:lang w:val="sl-SI"/>
        </w:rPr>
      </w:pPr>
      <w:r>
        <w:rPr>
          <w:rFonts w:eastAsia="Times New Roman"/>
          <w:lang w:val="sl-SI"/>
        </w:rPr>
        <w:t>divertikulitis (vnetje in okužba debelega črevesa);</w:t>
      </w:r>
    </w:p>
    <w:p w14:paraId="42D3375F" w14:textId="77777777" w:rsidR="00D902B3" w:rsidRDefault="00D902B3" w:rsidP="00D902B3">
      <w:pPr>
        <w:pStyle w:val="a3"/>
        <w:numPr>
          <w:ilvl w:val="0"/>
          <w:numId w:val="16"/>
        </w:numPr>
        <w:ind w:left="660" w:hanging="660"/>
        <w:rPr>
          <w:lang w:val="sl-SI"/>
        </w:rPr>
      </w:pPr>
      <w:r>
        <w:rPr>
          <w:rFonts w:eastAsia="Times New Roman"/>
          <w:lang w:val="sl-SI"/>
        </w:rPr>
        <w:t>rak;</w:t>
      </w:r>
    </w:p>
    <w:p w14:paraId="3C0008F6" w14:textId="77777777" w:rsidR="00D902B3" w:rsidRDefault="00D902B3" w:rsidP="00D902B3">
      <w:pPr>
        <w:pStyle w:val="a3"/>
        <w:numPr>
          <w:ilvl w:val="0"/>
          <w:numId w:val="16"/>
        </w:numPr>
        <w:ind w:left="660" w:hanging="660"/>
        <w:rPr>
          <w:lang w:val="sl-SI"/>
        </w:rPr>
      </w:pPr>
      <w:r>
        <w:rPr>
          <w:rFonts w:eastAsia="Times New Roman"/>
          <w:lang w:val="sl-SI"/>
        </w:rPr>
        <w:t>rak, ki zajame limfni sistem;</w:t>
      </w:r>
    </w:p>
    <w:p w14:paraId="686489D9" w14:textId="77777777" w:rsidR="00D902B3" w:rsidRDefault="00D902B3" w:rsidP="00D902B3">
      <w:pPr>
        <w:pStyle w:val="a3"/>
        <w:numPr>
          <w:ilvl w:val="0"/>
          <w:numId w:val="16"/>
        </w:numPr>
        <w:ind w:left="660" w:hanging="660"/>
        <w:rPr>
          <w:lang w:val="sl-SI"/>
        </w:rPr>
      </w:pPr>
      <w:r>
        <w:rPr>
          <w:rFonts w:eastAsia="Times New Roman"/>
          <w:lang w:val="sl-SI"/>
        </w:rPr>
        <w:t>melanom;</w:t>
      </w:r>
    </w:p>
    <w:p w14:paraId="74094AC8" w14:textId="77777777" w:rsidR="00D902B3" w:rsidRDefault="00D902B3" w:rsidP="00D902B3">
      <w:pPr>
        <w:pStyle w:val="a3"/>
        <w:numPr>
          <w:ilvl w:val="0"/>
          <w:numId w:val="16"/>
        </w:numPr>
        <w:ind w:left="660" w:hanging="660"/>
        <w:rPr>
          <w:lang w:val="sl-SI"/>
        </w:rPr>
      </w:pPr>
      <w:r>
        <w:rPr>
          <w:rFonts w:eastAsia="Times New Roman"/>
          <w:lang w:val="sl-SI"/>
        </w:rPr>
        <w:t>imunske bolezni, ki lahko prizadenejo pljuča, kožo in bezgavke (najpogosteje kot sarkoidoza);</w:t>
      </w:r>
    </w:p>
    <w:p w14:paraId="2386CBA6" w14:textId="77777777" w:rsidR="00D902B3" w:rsidRDefault="00D902B3" w:rsidP="00D902B3">
      <w:pPr>
        <w:pStyle w:val="a3"/>
        <w:numPr>
          <w:ilvl w:val="0"/>
          <w:numId w:val="16"/>
        </w:numPr>
        <w:ind w:left="660" w:hanging="660"/>
        <w:rPr>
          <w:lang w:val="sl-SI"/>
        </w:rPr>
      </w:pPr>
      <w:r>
        <w:rPr>
          <w:rFonts w:eastAsia="Times New Roman"/>
          <w:lang w:val="sl-SI"/>
        </w:rPr>
        <w:t>vaskulitis (vnetje krvnih žil);</w:t>
      </w:r>
    </w:p>
    <w:p w14:paraId="053F75DA" w14:textId="77777777" w:rsidR="00D902B3" w:rsidRDefault="00D902B3" w:rsidP="00D902B3">
      <w:pPr>
        <w:pStyle w:val="a3"/>
        <w:numPr>
          <w:ilvl w:val="0"/>
          <w:numId w:val="16"/>
        </w:numPr>
        <w:ind w:left="660" w:hanging="660"/>
        <w:rPr>
          <w:lang w:val="sl-SI"/>
        </w:rPr>
      </w:pPr>
      <w:r>
        <w:rPr>
          <w:rFonts w:eastAsia="Times New Roman"/>
          <w:lang w:val="sl-SI"/>
        </w:rPr>
        <w:t>tremor (tresenje);</w:t>
      </w:r>
    </w:p>
    <w:p w14:paraId="6E98D7CD" w14:textId="77777777" w:rsidR="00D902B3" w:rsidRDefault="00D902B3" w:rsidP="00D902B3">
      <w:pPr>
        <w:pStyle w:val="a3"/>
        <w:numPr>
          <w:ilvl w:val="0"/>
          <w:numId w:val="16"/>
        </w:numPr>
        <w:ind w:left="660" w:hanging="660"/>
        <w:rPr>
          <w:lang w:val="sl-SI"/>
        </w:rPr>
      </w:pPr>
      <w:r>
        <w:rPr>
          <w:rFonts w:eastAsia="Times New Roman"/>
          <w:lang w:val="sl-SI"/>
        </w:rPr>
        <w:t>nevropatija (bolezen živcev);</w:t>
      </w:r>
    </w:p>
    <w:p w14:paraId="789BC8BB" w14:textId="77777777" w:rsidR="00D902B3" w:rsidRDefault="00D902B3" w:rsidP="00D902B3">
      <w:pPr>
        <w:pStyle w:val="a3"/>
        <w:numPr>
          <w:ilvl w:val="0"/>
          <w:numId w:val="16"/>
        </w:numPr>
        <w:ind w:left="660" w:hanging="660"/>
        <w:rPr>
          <w:lang w:val="sl-SI"/>
        </w:rPr>
      </w:pPr>
      <w:r>
        <w:rPr>
          <w:rFonts w:eastAsia="Times New Roman"/>
          <w:lang w:val="sl-SI"/>
        </w:rPr>
        <w:t>možganska kap;</w:t>
      </w:r>
    </w:p>
    <w:p w14:paraId="0B70B87B" w14:textId="77777777" w:rsidR="00D902B3" w:rsidRDefault="00D902B3" w:rsidP="00D902B3">
      <w:pPr>
        <w:pStyle w:val="a3"/>
        <w:numPr>
          <w:ilvl w:val="0"/>
          <w:numId w:val="16"/>
        </w:numPr>
        <w:ind w:left="660" w:hanging="660"/>
        <w:rPr>
          <w:lang w:val="sl-SI"/>
        </w:rPr>
      </w:pPr>
      <w:r>
        <w:rPr>
          <w:rFonts w:eastAsia="Times New Roman"/>
          <w:lang w:val="sl-SI"/>
        </w:rPr>
        <w:t>izguba sluha, šumenje v ušesih;</w:t>
      </w:r>
    </w:p>
    <w:p w14:paraId="7E61F49C" w14:textId="77777777" w:rsidR="00D902B3" w:rsidRDefault="00D902B3" w:rsidP="00D902B3">
      <w:pPr>
        <w:pStyle w:val="a3"/>
        <w:numPr>
          <w:ilvl w:val="0"/>
          <w:numId w:val="16"/>
        </w:numPr>
        <w:ind w:left="660" w:hanging="660"/>
        <w:rPr>
          <w:lang w:val="sl-SI"/>
        </w:rPr>
      </w:pPr>
      <w:r>
        <w:rPr>
          <w:rFonts w:eastAsia="Times New Roman"/>
          <w:lang w:val="sl-SI"/>
        </w:rPr>
        <w:t>občutek neenakomernega bitja srca kot je preskakovanje utripov;</w:t>
      </w:r>
    </w:p>
    <w:p w14:paraId="0EF21224" w14:textId="77777777" w:rsidR="00D902B3" w:rsidRDefault="00D902B3" w:rsidP="00D902B3">
      <w:pPr>
        <w:pStyle w:val="a3"/>
        <w:numPr>
          <w:ilvl w:val="0"/>
          <w:numId w:val="16"/>
        </w:numPr>
        <w:ind w:left="660" w:hanging="660"/>
        <w:rPr>
          <w:lang w:val="sl-SI"/>
        </w:rPr>
      </w:pPr>
      <w:r>
        <w:rPr>
          <w:rFonts w:eastAsia="Times New Roman"/>
          <w:lang w:val="sl-SI"/>
        </w:rPr>
        <w:t>težave s srcem, ki lahko povzročijo kratko sapo ali otekanje gležnjev;</w:t>
      </w:r>
    </w:p>
    <w:p w14:paraId="77AEA027" w14:textId="77777777" w:rsidR="00D902B3" w:rsidRDefault="00D902B3" w:rsidP="00D902B3">
      <w:pPr>
        <w:pStyle w:val="a3"/>
        <w:numPr>
          <w:ilvl w:val="0"/>
          <w:numId w:val="16"/>
        </w:numPr>
        <w:ind w:left="660" w:hanging="660"/>
        <w:rPr>
          <w:lang w:val="sl-SI"/>
        </w:rPr>
      </w:pPr>
      <w:r>
        <w:rPr>
          <w:rFonts w:eastAsia="Times New Roman"/>
          <w:lang w:val="sl-SI"/>
        </w:rPr>
        <w:t>srčni napad;</w:t>
      </w:r>
    </w:p>
    <w:p w14:paraId="0142F766" w14:textId="77777777" w:rsidR="00D902B3" w:rsidRDefault="00D902B3" w:rsidP="00D902B3">
      <w:pPr>
        <w:pStyle w:val="a3"/>
        <w:numPr>
          <w:ilvl w:val="0"/>
          <w:numId w:val="16"/>
        </w:numPr>
        <w:ind w:left="660" w:hanging="660"/>
        <w:rPr>
          <w:lang w:val="sl-SI"/>
        </w:rPr>
      </w:pPr>
      <w:r>
        <w:rPr>
          <w:rFonts w:eastAsia="Times New Roman"/>
          <w:lang w:val="sl-SI"/>
        </w:rPr>
        <w:t>razširitev v steni večje arterije, vnetje in krvni strdek v veni, zamašitev žile;</w:t>
      </w:r>
    </w:p>
    <w:p w14:paraId="0119C805" w14:textId="77777777" w:rsidR="00D902B3" w:rsidRDefault="00D902B3" w:rsidP="00D902B3">
      <w:pPr>
        <w:pStyle w:val="a3"/>
        <w:numPr>
          <w:ilvl w:val="0"/>
          <w:numId w:val="16"/>
        </w:numPr>
        <w:ind w:left="660" w:hanging="660"/>
        <w:rPr>
          <w:lang w:val="sl-SI"/>
        </w:rPr>
      </w:pPr>
      <w:r>
        <w:rPr>
          <w:rFonts w:eastAsia="Times New Roman"/>
          <w:lang w:val="sl-SI"/>
        </w:rPr>
        <w:t>pljučne bolezni, ki povzročajo kratko sapo (vključno z vnetjem);</w:t>
      </w:r>
    </w:p>
    <w:p w14:paraId="551B11A0" w14:textId="77777777" w:rsidR="00D902B3" w:rsidRDefault="00D902B3" w:rsidP="00D902B3">
      <w:pPr>
        <w:pStyle w:val="a3"/>
        <w:numPr>
          <w:ilvl w:val="0"/>
          <w:numId w:val="16"/>
        </w:numPr>
        <w:ind w:left="660" w:hanging="660"/>
        <w:rPr>
          <w:lang w:val="sl-SI"/>
        </w:rPr>
      </w:pPr>
      <w:r>
        <w:rPr>
          <w:rFonts w:eastAsia="Times New Roman"/>
          <w:lang w:val="sl-SI"/>
        </w:rPr>
        <w:t>pljučna embolija (zamašitev arterije v pljučih);</w:t>
      </w:r>
    </w:p>
    <w:p w14:paraId="0A801A1B" w14:textId="77777777" w:rsidR="00D902B3" w:rsidRDefault="00D902B3" w:rsidP="00D902B3">
      <w:pPr>
        <w:pStyle w:val="a3"/>
        <w:numPr>
          <w:ilvl w:val="0"/>
          <w:numId w:val="16"/>
        </w:numPr>
        <w:ind w:left="660" w:hanging="660"/>
        <w:rPr>
          <w:lang w:val="sl-SI"/>
        </w:rPr>
      </w:pPr>
      <w:r>
        <w:rPr>
          <w:rFonts w:eastAsia="Times New Roman"/>
          <w:lang w:val="sl-SI"/>
        </w:rPr>
        <w:t>plevralni izliv (nenormalno kopičenje tekočine v plevralnem prostoru);</w:t>
      </w:r>
    </w:p>
    <w:p w14:paraId="6F76230C" w14:textId="77777777" w:rsidR="00D902B3" w:rsidRDefault="00D902B3" w:rsidP="00D902B3">
      <w:pPr>
        <w:pStyle w:val="a3"/>
        <w:numPr>
          <w:ilvl w:val="0"/>
          <w:numId w:val="16"/>
        </w:numPr>
        <w:ind w:left="660" w:hanging="660"/>
        <w:rPr>
          <w:lang w:val="sl-SI"/>
        </w:rPr>
      </w:pPr>
      <w:r>
        <w:rPr>
          <w:rFonts w:eastAsia="Times New Roman"/>
          <w:lang w:val="sl-SI"/>
        </w:rPr>
        <w:t>vnetje trebušne slinavke, ki povzroča hude bolečine v trebuhu in hrbtu;</w:t>
      </w:r>
    </w:p>
    <w:p w14:paraId="222B67C4" w14:textId="77777777" w:rsidR="00D902B3" w:rsidRDefault="00D902B3" w:rsidP="00D902B3">
      <w:pPr>
        <w:pStyle w:val="a3"/>
        <w:numPr>
          <w:ilvl w:val="0"/>
          <w:numId w:val="16"/>
        </w:numPr>
        <w:ind w:left="660" w:hanging="660"/>
        <w:rPr>
          <w:lang w:val="sl-SI"/>
        </w:rPr>
      </w:pPr>
      <w:r>
        <w:rPr>
          <w:rFonts w:eastAsia="Times New Roman"/>
          <w:lang w:val="sl-SI"/>
        </w:rPr>
        <w:t>težave s požiranjem;</w:t>
      </w:r>
    </w:p>
    <w:p w14:paraId="76388CF6" w14:textId="77777777" w:rsidR="00D902B3" w:rsidRDefault="00D902B3" w:rsidP="00D902B3">
      <w:pPr>
        <w:pStyle w:val="a3"/>
        <w:numPr>
          <w:ilvl w:val="0"/>
          <w:numId w:val="16"/>
        </w:numPr>
        <w:ind w:left="660" w:hanging="660"/>
        <w:rPr>
          <w:lang w:val="sl-SI"/>
        </w:rPr>
      </w:pPr>
      <w:r>
        <w:rPr>
          <w:rFonts w:eastAsia="Times New Roman"/>
          <w:lang w:val="sl-SI"/>
        </w:rPr>
        <w:t>edem obraza (otekanje obraza);</w:t>
      </w:r>
    </w:p>
    <w:p w14:paraId="7284B37F" w14:textId="77777777" w:rsidR="00D902B3" w:rsidRDefault="00D902B3" w:rsidP="00D902B3">
      <w:pPr>
        <w:pStyle w:val="a3"/>
        <w:numPr>
          <w:ilvl w:val="0"/>
          <w:numId w:val="16"/>
        </w:numPr>
        <w:ind w:left="660" w:hanging="660"/>
        <w:rPr>
          <w:lang w:val="sl-SI"/>
        </w:rPr>
      </w:pPr>
      <w:r>
        <w:rPr>
          <w:rFonts w:eastAsia="Times New Roman"/>
          <w:lang w:val="sl-SI"/>
        </w:rPr>
        <w:t>vnetje žolčnika, žolčni kamni;</w:t>
      </w:r>
    </w:p>
    <w:p w14:paraId="67E71256" w14:textId="77777777" w:rsidR="00D902B3" w:rsidRDefault="00D902B3" w:rsidP="00D902B3">
      <w:pPr>
        <w:pStyle w:val="a3"/>
        <w:numPr>
          <w:ilvl w:val="0"/>
          <w:numId w:val="16"/>
        </w:numPr>
        <w:ind w:left="660" w:hanging="660"/>
        <w:rPr>
          <w:lang w:val="sl-SI"/>
        </w:rPr>
      </w:pPr>
      <w:r>
        <w:rPr>
          <w:rFonts w:eastAsia="Times New Roman"/>
          <w:lang w:val="sl-SI"/>
        </w:rPr>
        <w:t>zamaščena jetra;</w:t>
      </w:r>
    </w:p>
    <w:p w14:paraId="26B7492E" w14:textId="77777777" w:rsidR="00D902B3" w:rsidRDefault="00D902B3" w:rsidP="00D902B3">
      <w:pPr>
        <w:pStyle w:val="a3"/>
        <w:numPr>
          <w:ilvl w:val="0"/>
          <w:numId w:val="16"/>
        </w:numPr>
        <w:ind w:left="660" w:hanging="660"/>
        <w:rPr>
          <w:lang w:val="sl-SI"/>
        </w:rPr>
      </w:pPr>
      <w:r>
        <w:rPr>
          <w:rFonts w:eastAsia="Times New Roman"/>
          <w:lang w:val="sl-SI"/>
        </w:rPr>
        <w:t>nočno potenje;</w:t>
      </w:r>
    </w:p>
    <w:p w14:paraId="607F3EAE" w14:textId="77777777" w:rsidR="00D902B3" w:rsidRDefault="00D902B3" w:rsidP="00D902B3">
      <w:pPr>
        <w:pStyle w:val="a3"/>
        <w:numPr>
          <w:ilvl w:val="0"/>
          <w:numId w:val="16"/>
        </w:numPr>
        <w:ind w:left="660" w:hanging="660"/>
        <w:rPr>
          <w:lang w:val="sl-SI"/>
        </w:rPr>
      </w:pPr>
      <w:r>
        <w:rPr>
          <w:rFonts w:eastAsia="Times New Roman"/>
          <w:lang w:val="sl-SI"/>
        </w:rPr>
        <w:lastRenderedPageBreak/>
        <w:t>brazgotinjenje;</w:t>
      </w:r>
    </w:p>
    <w:p w14:paraId="0C94724E" w14:textId="77777777" w:rsidR="00D902B3" w:rsidRDefault="00D902B3" w:rsidP="00D902B3">
      <w:pPr>
        <w:pStyle w:val="a3"/>
        <w:numPr>
          <w:ilvl w:val="0"/>
          <w:numId w:val="16"/>
        </w:numPr>
        <w:ind w:left="660" w:hanging="660"/>
        <w:rPr>
          <w:lang w:val="sl-SI"/>
        </w:rPr>
      </w:pPr>
      <w:r>
        <w:rPr>
          <w:rFonts w:eastAsia="Times New Roman"/>
          <w:lang w:val="sl-SI"/>
        </w:rPr>
        <w:t>neobičajen razpad mišic;</w:t>
      </w:r>
    </w:p>
    <w:p w14:paraId="35F1CCB0" w14:textId="77777777" w:rsidR="00D902B3" w:rsidRDefault="00D902B3" w:rsidP="00D902B3">
      <w:pPr>
        <w:pStyle w:val="a3"/>
        <w:numPr>
          <w:ilvl w:val="0"/>
          <w:numId w:val="16"/>
        </w:numPr>
        <w:ind w:left="660" w:hanging="660"/>
        <w:rPr>
          <w:rFonts w:eastAsia="Times New Roman"/>
          <w:spacing w:val="-1"/>
          <w:lang w:val="sl-SI"/>
        </w:rPr>
      </w:pPr>
      <w:r>
        <w:rPr>
          <w:rFonts w:eastAsia="Times New Roman"/>
          <w:lang w:val="sl-SI"/>
        </w:rPr>
        <w:t>sistemski eritematozni lupus (vključno z vnetjem kože, srca, pljuč, sklepov in drugih organskih sistemov);</w:t>
      </w:r>
    </w:p>
    <w:p w14:paraId="1846582D" w14:textId="77777777" w:rsidR="00D902B3" w:rsidRDefault="00D902B3" w:rsidP="00D902B3">
      <w:pPr>
        <w:pStyle w:val="a3"/>
        <w:numPr>
          <w:ilvl w:val="0"/>
          <w:numId w:val="16"/>
        </w:numPr>
        <w:ind w:left="660" w:hanging="660"/>
        <w:rPr>
          <w:lang w:val="sl-SI"/>
        </w:rPr>
      </w:pPr>
      <w:r>
        <w:rPr>
          <w:rFonts w:eastAsia="Times New Roman"/>
          <w:lang w:val="sl-SI"/>
        </w:rPr>
        <w:t>motnje spanja;</w:t>
      </w:r>
    </w:p>
    <w:p w14:paraId="5DB180D3" w14:textId="77777777" w:rsidR="00D902B3" w:rsidRDefault="00D902B3" w:rsidP="00D902B3">
      <w:pPr>
        <w:pStyle w:val="a3"/>
        <w:numPr>
          <w:ilvl w:val="0"/>
          <w:numId w:val="16"/>
        </w:numPr>
        <w:ind w:left="660" w:hanging="660"/>
        <w:rPr>
          <w:lang w:val="sl-SI"/>
        </w:rPr>
      </w:pPr>
      <w:r>
        <w:rPr>
          <w:rFonts w:eastAsia="Times New Roman"/>
          <w:lang w:val="sl-SI"/>
        </w:rPr>
        <w:t>impotenca;</w:t>
      </w:r>
    </w:p>
    <w:p w14:paraId="7DA80D9E" w14:textId="77777777" w:rsidR="00D902B3" w:rsidRDefault="00D902B3" w:rsidP="00D902B3">
      <w:pPr>
        <w:pStyle w:val="a3"/>
        <w:numPr>
          <w:ilvl w:val="0"/>
          <w:numId w:val="16"/>
        </w:numPr>
        <w:ind w:left="660" w:hanging="660"/>
        <w:rPr>
          <w:lang w:val="sl-SI"/>
        </w:rPr>
      </w:pPr>
      <w:r>
        <w:rPr>
          <w:rFonts w:eastAsia="Times New Roman"/>
          <w:lang w:val="sl-SI"/>
        </w:rPr>
        <w:t>vnetja.</w:t>
      </w:r>
    </w:p>
    <w:p w14:paraId="331F66FA" w14:textId="77777777" w:rsidR="00D902B3" w:rsidRDefault="00D902B3" w:rsidP="00D902B3">
      <w:pPr>
        <w:spacing w:before="13" w:line="240" w:lineRule="exact"/>
        <w:rPr>
          <w:sz w:val="24"/>
          <w:szCs w:val="24"/>
          <w:lang w:val="sl-SI"/>
        </w:rPr>
      </w:pPr>
    </w:p>
    <w:p w14:paraId="56BE52F8" w14:textId="77777777" w:rsidR="00D902B3" w:rsidRDefault="00D902B3" w:rsidP="00D902B3">
      <w:pPr>
        <w:pStyle w:val="a3"/>
        <w:rPr>
          <w:lang w:val="sl-SI"/>
        </w:rPr>
      </w:pPr>
      <w:r>
        <w:rPr>
          <w:rFonts w:eastAsia="Times New Roman"/>
          <w:b/>
          <w:bCs/>
          <w:lang w:val="sl-SI"/>
        </w:rPr>
        <w:t xml:space="preserve">Redki </w:t>
      </w:r>
      <w:r>
        <w:rPr>
          <w:rFonts w:eastAsia="Times New Roman"/>
          <w:lang w:val="sl-SI"/>
        </w:rPr>
        <w:t>(pojavijo se lahko pri največ 1 od 1.000 bolnikov)</w:t>
      </w:r>
    </w:p>
    <w:p w14:paraId="5E81DF3D" w14:textId="77777777" w:rsidR="00D902B3" w:rsidRDefault="00D902B3" w:rsidP="00D902B3">
      <w:pPr>
        <w:spacing w:before="12" w:line="240" w:lineRule="exact"/>
        <w:rPr>
          <w:sz w:val="24"/>
          <w:szCs w:val="24"/>
          <w:lang w:val="sl-SI"/>
        </w:rPr>
      </w:pPr>
    </w:p>
    <w:p w14:paraId="375E1D9F" w14:textId="77777777" w:rsidR="00D902B3" w:rsidRDefault="00D902B3" w:rsidP="00D902B3">
      <w:pPr>
        <w:pStyle w:val="a3"/>
        <w:numPr>
          <w:ilvl w:val="0"/>
          <w:numId w:val="16"/>
        </w:numPr>
        <w:ind w:left="660" w:hanging="660"/>
        <w:rPr>
          <w:lang w:val="sl-SI"/>
        </w:rPr>
      </w:pPr>
      <w:r>
        <w:rPr>
          <w:rFonts w:eastAsia="Times New Roman"/>
          <w:lang w:val="sl-SI"/>
        </w:rPr>
        <w:t>levkemija (rak, ki prizadene kri in kostni mozeg);</w:t>
      </w:r>
    </w:p>
    <w:p w14:paraId="30A33D45" w14:textId="77777777" w:rsidR="00D902B3" w:rsidRDefault="00D902B3" w:rsidP="00D902B3">
      <w:pPr>
        <w:pStyle w:val="a3"/>
        <w:numPr>
          <w:ilvl w:val="0"/>
          <w:numId w:val="16"/>
        </w:numPr>
        <w:ind w:left="660" w:hanging="660"/>
        <w:rPr>
          <w:lang w:val="sl-SI"/>
        </w:rPr>
      </w:pPr>
      <w:r>
        <w:rPr>
          <w:rFonts w:eastAsia="Times New Roman"/>
          <w:lang w:val="sl-SI"/>
        </w:rPr>
        <w:t>huda alergijska reakcija s šokom;</w:t>
      </w:r>
    </w:p>
    <w:p w14:paraId="0172581C" w14:textId="77777777" w:rsidR="00D902B3" w:rsidRDefault="00D902B3" w:rsidP="00D902B3">
      <w:pPr>
        <w:pStyle w:val="a3"/>
        <w:numPr>
          <w:ilvl w:val="0"/>
          <w:numId w:val="16"/>
        </w:numPr>
        <w:ind w:left="660" w:hanging="660"/>
        <w:rPr>
          <w:lang w:val="sl-SI"/>
        </w:rPr>
      </w:pPr>
      <w:r>
        <w:rPr>
          <w:rFonts w:eastAsia="Times New Roman"/>
          <w:lang w:val="sl-SI"/>
        </w:rPr>
        <w:t>multipla skleroza;</w:t>
      </w:r>
    </w:p>
    <w:p w14:paraId="1AAAEE0F" w14:textId="77777777" w:rsidR="00D902B3" w:rsidRDefault="00D902B3" w:rsidP="00D902B3">
      <w:pPr>
        <w:pStyle w:val="a3"/>
        <w:numPr>
          <w:ilvl w:val="0"/>
          <w:numId w:val="16"/>
        </w:numPr>
        <w:ind w:left="660" w:hanging="660"/>
        <w:rPr>
          <w:lang w:val="sl-SI"/>
        </w:rPr>
      </w:pPr>
      <w:r>
        <w:rPr>
          <w:rFonts w:eastAsia="Times New Roman"/>
          <w:lang w:val="sl-SI"/>
        </w:rPr>
        <w:t>bolezni živčevja (kot je vnetje očesnega živca in sindrom Guillain-Barré, ki lahko povzroči šibkost mišic, nenormalna občutenja, mravljinčenje v rokah in zgornjem delu telesa);</w:t>
      </w:r>
    </w:p>
    <w:p w14:paraId="2A7B7EA8" w14:textId="77777777" w:rsidR="00D902B3" w:rsidRDefault="00D902B3" w:rsidP="00D902B3">
      <w:pPr>
        <w:pStyle w:val="a3"/>
        <w:numPr>
          <w:ilvl w:val="0"/>
          <w:numId w:val="16"/>
        </w:numPr>
        <w:ind w:left="660" w:hanging="660"/>
        <w:rPr>
          <w:lang w:val="sl-SI"/>
        </w:rPr>
      </w:pPr>
      <w:r>
        <w:rPr>
          <w:rFonts w:eastAsia="Times New Roman"/>
          <w:lang w:val="sl-SI"/>
        </w:rPr>
        <w:t>srce preneha črpati kri;</w:t>
      </w:r>
    </w:p>
    <w:p w14:paraId="5EB6C3C4" w14:textId="77777777" w:rsidR="00D902B3" w:rsidRDefault="00D902B3" w:rsidP="00D902B3">
      <w:pPr>
        <w:pStyle w:val="a3"/>
        <w:numPr>
          <w:ilvl w:val="0"/>
          <w:numId w:val="16"/>
        </w:numPr>
        <w:ind w:left="660" w:hanging="660"/>
        <w:rPr>
          <w:lang w:val="sl-SI"/>
        </w:rPr>
      </w:pPr>
      <w:r>
        <w:rPr>
          <w:rFonts w:eastAsia="Times New Roman"/>
          <w:lang w:val="sl-SI"/>
        </w:rPr>
        <w:t>pljučna fibroza (brazgotinjenje pljuč);</w:t>
      </w:r>
    </w:p>
    <w:p w14:paraId="24811866" w14:textId="77777777" w:rsidR="00D902B3" w:rsidRDefault="00D902B3" w:rsidP="00D902B3">
      <w:pPr>
        <w:pStyle w:val="a3"/>
        <w:numPr>
          <w:ilvl w:val="0"/>
          <w:numId w:val="16"/>
        </w:numPr>
        <w:ind w:left="660" w:hanging="660"/>
        <w:rPr>
          <w:lang w:val="sl-SI"/>
        </w:rPr>
      </w:pPr>
      <w:r>
        <w:rPr>
          <w:rFonts w:eastAsia="Times New Roman"/>
          <w:lang w:val="sl-SI"/>
        </w:rPr>
        <w:t>perforacija črevesja (luknja v črevesju);</w:t>
      </w:r>
    </w:p>
    <w:p w14:paraId="0791C94A" w14:textId="77777777" w:rsidR="00D902B3" w:rsidRDefault="00D902B3" w:rsidP="00D902B3">
      <w:pPr>
        <w:pStyle w:val="a3"/>
        <w:numPr>
          <w:ilvl w:val="0"/>
          <w:numId w:val="16"/>
        </w:numPr>
        <w:ind w:left="660" w:hanging="660"/>
        <w:rPr>
          <w:lang w:val="sl-SI"/>
        </w:rPr>
      </w:pPr>
      <w:r>
        <w:rPr>
          <w:rFonts w:eastAsia="Times New Roman"/>
          <w:lang w:val="sl-SI"/>
        </w:rPr>
        <w:t>hepatitis;</w:t>
      </w:r>
    </w:p>
    <w:p w14:paraId="7EE3D340" w14:textId="77777777" w:rsidR="00D902B3" w:rsidRDefault="00D902B3" w:rsidP="00D902B3">
      <w:pPr>
        <w:pStyle w:val="a3"/>
        <w:numPr>
          <w:ilvl w:val="0"/>
          <w:numId w:val="16"/>
        </w:numPr>
        <w:ind w:left="660" w:hanging="660"/>
        <w:rPr>
          <w:lang w:val="sl-SI"/>
        </w:rPr>
      </w:pPr>
      <w:r>
        <w:rPr>
          <w:rFonts w:eastAsia="Times New Roman"/>
          <w:lang w:val="sl-SI"/>
        </w:rPr>
        <w:t>ponovna aktivacija hepatitisa B;</w:t>
      </w:r>
    </w:p>
    <w:p w14:paraId="052C475F" w14:textId="77777777" w:rsidR="00D902B3" w:rsidRDefault="00D902B3" w:rsidP="00D902B3">
      <w:pPr>
        <w:pStyle w:val="a3"/>
        <w:numPr>
          <w:ilvl w:val="0"/>
          <w:numId w:val="16"/>
        </w:numPr>
        <w:ind w:left="660" w:hanging="660"/>
        <w:rPr>
          <w:lang w:val="sl-SI"/>
        </w:rPr>
      </w:pPr>
      <w:r>
        <w:rPr>
          <w:rFonts w:eastAsia="Times New Roman"/>
          <w:lang w:val="sl-SI"/>
        </w:rPr>
        <w:t>avtoimunski hepatitis (vnetje jeter, ki ga povzroči lastni imunski sistem);</w:t>
      </w:r>
    </w:p>
    <w:p w14:paraId="0EBACA93" w14:textId="77777777" w:rsidR="00D902B3" w:rsidRDefault="00D902B3" w:rsidP="00D902B3">
      <w:pPr>
        <w:pStyle w:val="a3"/>
        <w:numPr>
          <w:ilvl w:val="0"/>
          <w:numId w:val="16"/>
        </w:numPr>
        <w:ind w:left="660" w:hanging="660"/>
        <w:rPr>
          <w:lang w:val="sl-SI"/>
        </w:rPr>
      </w:pPr>
      <w:r>
        <w:rPr>
          <w:rFonts w:eastAsia="Times New Roman"/>
          <w:lang w:val="sl-SI"/>
        </w:rPr>
        <w:t>kožni vaskulitis (vnetje krvnih žil v koži);</w:t>
      </w:r>
    </w:p>
    <w:p w14:paraId="2EFA32AF" w14:textId="77777777" w:rsidR="00D902B3" w:rsidRDefault="00D902B3" w:rsidP="00D902B3">
      <w:pPr>
        <w:pStyle w:val="a3"/>
        <w:numPr>
          <w:ilvl w:val="0"/>
          <w:numId w:val="16"/>
        </w:numPr>
        <w:ind w:left="660" w:hanging="660"/>
        <w:rPr>
          <w:lang w:val="sl-SI"/>
        </w:rPr>
      </w:pPr>
      <w:r>
        <w:rPr>
          <w:rFonts w:eastAsia="Times New Roman"/>
          <w:lang w:val="sl-SI"/>
        </w:rPr>
        <w:t>Stevens-Johnsonov sindrom (zgodnji znaki vključujejo slabo počutje, povišano telesno temperaturo, glavobol in izpuščaj);</w:t>
      </w:r>
    </w:p>
    <w:p w14:paraId="4F772FC7" w14:textId="77777777" w:rsidR="00D902B3" w:rsidRDefault="00D902B3" w:rsidP="00D902B3">
      <w:pPr>
        <w:pStyle w:val="a3"/>
        <w:numPr>
          <w:ilvl w:val="0"/>
          <w:numId w:val="16"/>
        </w:numPr>
        <w:ind w:left="660" w:hanging="660"/>
        <w:rPr>
          <w:lang w:val="sl-SI"/>
        </w:rPr>
      </w:pPr>
      <w:r>
        <w:rPr>
          <w:rFonts w:eastAsia="Times New Roman"/>
          <w:lang w:val="sl-SI"/>
        </w:rPr>
        <w:t>edem obraza (otekanje obraza), ki je povezano z alergijskimi reakcijami;</w:t>
      </w:r>
    </w:p>
    <w:p w14:paraId="2A70B4B8" w14:textId="77777777" w:rsidR="00D902B3" w:rsidRDefault="00D902B3" w:rsidP="00D902B3">
      <w:pPr>
        <w:pStyle w:val="a3"/>
        <w:numPr>
          <w:ilvl w:val="0"/>
          <w:numId w:val="16"/>
        </w:numPr>
        <w:ind w:left="660" w:hanging="660"/>
        <w:rPr>
          <w:lang w:val="sl-SI"/>
        </w:rPr>
      </w:pPr>
      <w:r>
        <w:rPr>
          <w:rFonts w:eastAsia="Times New Roman"/>
          <w:lang w:val="sl-SI"/>
        </w:rPr>
        <w:t>multiformni eritem (vnetni kožni izpuščaj);</w:t>
      </w:r>
    </w:p>
    <w:p w14:paraId="40D1BF00" w14:textId="77777777" w:rsidR="00D902B3" w:rsidRDefault="00D902B3" w:rsidP="00D902B3">
      <w:pPr>
        <w:pStyle w:val="a3"/>
        <w:numPr>
          <w:ilvl w:val="0"/>
          <w:numId w:val="16"/>
        </w:numPr>
        <w:ind w:left="660" w:hanging="660"/>
        <w:rPr>
          <w:lang w:val="sl-SI"/>
        </w:rPr>
      </w:pPr>
      <w:r>
        <w:rPr>
          <w:rFonts w:eastAsia="Times New Roman"/>
          <w:lang w:val="sl-SI"/>
        </w:rPr>
        <w:t>lupusu podoben sindrom;</w:t>
      </w:r>
    </w:p>
    <w:p w14:paraId="499939C4" w14:textId="77777777" w:rsidR="00D902B3" w:rsidRDefault="00D902B3" w:rsidP="00D902B3">
      <w:pPr>
        <w:pStyle w:val="a3"/>
        <w:numPr>
          <w:ilvl w:val="0"/>
          <w:numId w:val="16"/>
        </w:numPr>
        <w:ind w:left="660" w:hanging="660"/>
        <w:rPr>
          <w:lang w:val="sl-SI"/>
        </w:rPr>
      </w:pPr>
      <w:r>
        <w:rPr>
          <w:rFonts w:eastAsia="Times New Roman"/>
          <w:lang w:val="sl-SI"/>
        </w:rPr>
        <w:t>angioedem (lokalizirano otekanje kože);</w:t>
      </w:r>
    </w:p>
    <w:p w14:paraId="1649FB15" w14:textId="77777777" w:rsidR="00D902B3" w:rsidRDefault="00D902B3" w:rsidP="00D902B3">
      <w:pPr>
        <w:pStyle w:val="a3"/>
        <w:numPr>
          <w:ilvl w:val="0"/>
          <w:numId w:val="16"/>
        </w:numPr>
        <w:ind w:left="660" w:hanging="660"/>
        <w:rPr>
          <w:lang w:val="sl-SI"/>
        </w:rPr>
      </w:pPr>
      <w:r>
        <w:rPr>
          <w:rFonts w:eastAsia="Times New Roman"/>
          <w:lang w:val="sl-SI"/>
        </w:rPr>
        <w:t>lihenoidna reakcija kože (srbeč rdeče-vijolični kožni izpuščaj).</w:t>
      </w:r>
    </w:p>
    <w:p w14:paraId="2F32172B" w14:textId="77777777" w:rsidR="00D902B3" w:rsidRDefault="00D902B3" w:rsidP="00D902B3">
      <w:pPr>
        <w:spacing w:before="10" w:line="240" w:lineRule="exact"/>
        <w:rPr>
          <w:sz w:val="24"/>
          <w:szCs w:val="24"/>
          <w:lang w:val="sl-SI"/>
        </w:rPr>
      </w:pPr>
    </w:p>
    <w:p w14:paraId="2FAF8B7D" w14:textId="09BCF76C" w:rsidR="00D902B3" w:rsidRDefault="00D902B3" w:rsidP="00D902B3">
      <w:pPr>
        <w:pStyle w:val="a3"/>
        <w:rPr>
          <w:lang w:val="sl-SI"/>
        </w:rPr>
      </w:pPr>
      <w:r>
        <w:rPr>
          <w:rFonts w:eastAsia="Times New Roman"/>
          <w:b/>
          <w:bCs/>
          <w:lang w:val="sl-SI"/>
        </w:rPr>
        <w:t>Neznana</w:t>
      </w:r>
      <w:r>
        <w:rPr>
          <w:rFonts w:eastAsia="Times New Roman"/>
          <w:lang w:val="sl-SI"/>
        </w:rPr>
        <w:t xml:space="preserve"> </w:t>
      </w:r>
      <w:r w:rsidR="006238AA" w:rsidRPr="007C415F">
        <w:rPr>
          <w:rFonts w:eastAsia="Times New Roman"/>
          <w:b/>
          <w:bCs/>
          <w:lang w:val="sl-SI"/>
        </w:rPr>
        <w:t>pogostnost</w:t>
      </w:r>
      <w:r w:rsidR="006238AA">
        <w:rPr>
          <w:rFonts w:eastAsia="Times New Roman"/>
          <w:lang w:val="sl-SI"/>
        </w:rPr>
        <w:t xml:space="preserve"> </w:t>
      </w:r>
      <w:r>
        <w:rPr>
          <w:rFonts w:eastAsia="Times New Roman"/>
          <w:lang w:val="sl-SI"/>
        </w:rPr>
        <w:t>(pogostnosti iz razpoložljivih podatkov ni mogoče oceniti)</w:t>
      </w:r>
    </w:p>
    <w:p w14:paraId="7C86FD18" w14:textId="77777777" w:rsidR="00D902B3" w:rsidRDefault="00D902B3" w:rsidP="00D902B3">
      <w:pPr>
        <w:spacing w:before="14" w:line="240" w:lineRule="exact"/>
        <w:rPr>
          <w:sz w:val="24"/>
          <w:szCs w:val="24"/>
          <w:lang w:val="sl-SI"/>
        </w:rPr>
      </w:pPr>
    </w:p>
    <w:p w14:paraId="61A874E2" w14:textId="77777777" w:rsidR="00D902B3" w:rsidRDefault="00D902B3" w:rsidP="00D902B3">
      <w:pPr>
        <w:pStyle w:val="a3"/>
        <w:numPr>
          <w:ilvl w:val="0"/>
          <w:numId w:val="16"/>
        </w:numPr>
        <w:ind w:left="660" w:hanging="660"/>
        <w:rPr>
          <w:lang w:val="sl-SI"/>
        </w:rPr>
      </w:pPr>
      <w:r>
        <w:rPr>
          <w:rFonts w:eastAsia="Times New Roman"/>
          <w:lang w:val="sl-SI"/>
        </w:rPr>
        <w:t>jetrnovranični limfom celic T (redka oblika krvnega raka, ki je pogosto smrtna);</w:t>
      </w:r>
    </w:p>
    <w:p w14:paraId="1698E2FD" w14:textId="77777777" w:rsidR="00D902B3" w:rsidRDefault="00D902B3" w:rsidP="00D902B3">
      <w:pPr>
        <w:pStyle w:val="a3"/>
        <w:numPr>
          <w:ilvl w:val="0"/>
          <w:numId w:val="16"/>
        </w:numPr>
        <w:ind w:left="660" w:hanging="660"/>
        <w:rPr>
          <w:lang w:val="sl-SI"/>
        </w:rPr>
      </w:pPr>
      <w:r>
        <w:rPr>
          <w:rFonts w:eastAsia="Times New Roman"/>
          <w:lang w:val="sl-SI"/>
        </w:rPr>
        <w:t>karcinom Merklovih celic (vrsta kožnega raka);</w:t>
      </w:r>
    </w:p>
    <w:p w14:paraId="0248B212" w14:textId="77777777" w:rsidR="00D902B3" w:rsidRDefault="00D902B3" w:rsidP="00D902B3">
      <w:pPr>
        <w:pStyle w:val="a3"/>
        <w:numPr>
          <w:ilvl w:val="0"/>
          <w:numId w:val="16"/>
        </w:numPr>
        <w:ind w:left="660" w:hanging="660"/>
        <w:rPr>
          <w:lang w:val="sl-SI"/>
        </w:rPr>
      </w:pPr>
      <w:r>
        <w:rPr>
          <w:rFonts w:eastAsia="Times New Roman"/>
          <w:lang w:val="sl-SI"/>
        </w:rPr>
        <w:t>Kaposijev sarkom, redek rak, povezan z okužbo s človeškim virusom herpesa 8. Kaposijev sarkom se najpogosteje pojavlja kot vijolične lezije na koži.</w:t>
      </w:r>
    </w:p>
    <w:p w14:paraId="39E40BD2" w14:textId="77777777" w:rsidR="00D902B3" w:rsidRDefault="00D902B3" w:rsidP="00D902B3">
      <w:pPr>
        <w:pStyle w:val="a3"/>
        <w:numPr>
          <w:ilvl w:val="0"/>
          <w:numId w:val="16"/>
        </w:numPr>
        <w:ind w:left="660" w:hanging="660"/>
        <w:rPr>
          <w:lang w:val="sl-SI"/>
        </w:rPr>
      </w:pPr>
      <w:r>
        <w:rPr>
          <w:rFonts w:eastAsia="Times New Roman"/>
          <w:lang w:val="sl-SI"/>
        </w:rPr>
        <w:t>odpoved jeter;</w:t>
      </w:r>
    </w:p>
    <w:p w14:paraId="7CA6425E" w14:textId="77777777" w:rsidR="00D902B3" w:rsidRPr="00907360" w:rsidRDefault="00D902B3" w:rsidP="00D902B3">
      <w:pPr>
        <w:pStyle w:val="a3"/>
        <w:numPr>
          <w:ilvl w:val="0"/>
          <w:numId w:val="16"/>
        </w:numPr>
        <w:ind w:left="660" w:hanging="660"/>
        <w:rPr>
          <w:rFonts w:eastAsia="Times New Roman"/>
          <w:lang w:val="sl-SI"/>
        </w:rPr>
      </w:pPr>
      <w:r>
        <w:rPr>
          <w:rFonts w:eastAsia="Times New Roman"/>
          <w:lang w:val="sl-SI"/>
        </w:rPr>
        <w:t>poslabšanje stanja, imenovanega dermatomiozitis (pojavi se kot kožni izpuščaj, ki spremlja šibkost mišic);</w:t>
      </w:r>
    </w:p>
    <w:p w14:paraId="114D0125" w14:textId="77777777" w:rsidR="00D902B3" w:rsidRPr="00DA5D63" w:rsidRDefault="00D902B3" w:rsidP="00D902B3">
      <w:pPr>
        <w:pStyle w:val="a3"/>
        <w:numPr>
          <w:ilvl w:val="0"/>
          <w:numId w:val="16"/>
        </w:numPr>
        <w:ind w:left="660" w:hanging="660"/>
        <w:rPr>
          <w:rFonts w:eastAsia="Times New Roman"/>
          <w:lang w:val="sl-SI"/>
        </w:rPr>
      </w:pPr>
      <w:r w:rsidRPr="00DA5D63">
        <w:rPr>
          <w:rFonts w:eastAsia="Times New Roman"/>
          <w:lang w:val="sl-SI"/>
        </w:rPr>
        <w:t>povečanje telesne mase (pri večini bolnikov je bilo povečanje telesne mase majhno)</w:t>
      </w:r>
    </w:p>
    <w:p w14:paraId="5231989F" w14:textId="77777777" w:rsidR="00D902B3" w:rsidRDefault="00D902B3" w:rsidP="00D902B3">
      <w:pPr>
        <w:pStyle w:val="a3"/>
        <w:numPr>
          <w:ilvl w:val="0"/>
          <w:numId w:val="0"/>
        </w:numPr>
        <w:rPr>
          <w:lang w:val="sl-SI"/>
        </w:rPr>
      </w:pPr>
    </w:p>
    <w:p w14:paraId="53B8DDBB" w14:textId="77777777" w:rsidR="00D902B3" w:rsidRDefault="00D902B3" w:rsidP="00D902B3">
      <w:pPr>
        <w:pStyle w:val="a3"/>
        <w:rPr>
          <w:lang w:val="sl-SI"/>
        </w:rPr>
      </w:pPr>
      <w:r>
        <w:rPr>
          <w:rFonts w:eastAsia="Times New Roman"/>
          <w:lang w:val="sl-SI"/>
        </w:rPr>
        <w:t>Nekateri neželeni učinki, ki so bili opaženi pri uporabi zdravila Yuflyma, nimajo simptomov in se jih lahko odkrije le pri krvnih testih. Med njimi so:</w:t>
      </w:r>
    </w:p>
    <w:p w14:paraId="761F4432" w14:textId="77777777" w:rsidR="00D902B3" w:rsidRDefault="00D902B3" w:rsidP="00D902B3">
      <w:pPr>
        <w:pStyle w:val="a3"/>
        <w:rPr>
          <w:lang w:val="sl-SI"/>
        </w:rPr>
      </w:pPr>
    </w:p>
    <w:p w14:paraId="28881645" w14:textId="77777777" w:rsidR="00D902B3" w:rsidRDefault="00D902B3" w:rsidP="00D902B3">
      <w:pPr>
        <w:pStyle w:val="a3"/>
        <w:rPr>
          <w:rFonts w:eastAsia="Times New Roman"/>
          <w:lang w:val="sl-SI"/>
        </w:rPr>
      </w:pPr>
      <w:r>
        <w:rPr>
          <w:rFonts w:eastAsia="Times New Roman"/>
          <w:b/>
          <w:bCs/>
          <w:spacing w:val="-1"/>
          <w:lang w:val="sl-SI"/>
        </w:rPr>
        <w:t xml:space="preserve">Zelo pogosti </w:t>
      </w:r>
      <w:r>
        <w:rPr>
          <w:rFonts w:eastAsia="Times New Roman"/>
          <w:spacing w:val="-1"/>
          <w:lang w:val="sl-SI"/>
        </w:rPr>
        <w:t>(pojavijo se lahko pri več kot 1 od 10 bolnikov)</w:t>
      </w:r>
    </w:p>
    <w:p w14:paraId="07CB2252" w14:textId="77777777" w:rsidR="00D902B3" w:rsidRDefault="00D902B3" w:rsidP="00D902B3">
      <w:pPr>
        <w:pStyle w:val="a3"/>
        <w:rPr>
          <w:lang w:val="sl-SI"/>
        </w:rPr>
      </w:pPr>
    </w:p>
    <w:p w14:paraId="16F061AF" w14:textId="77777777" w:rsidR="00D902B3" w:rsidRDefault="00D902B3" w:rsidP="00D902B3">
      <w:pPr>
        <w:pStyle w:val="a3"/>
        <w:numPr>
          <w:ilvl w:val="0"/>
          <w:numId w:val="16"/>
        </w:numPr>
        <w:ind w:left="660" w:hanging="660"/>
        <w:rPr>
          <w:lang w:val="sl-SI"/>
        </w:rPr>
      </w:pPr>
      <w:r>
        <w:rPr>
          <w:rFonts w:eastAsia="Times New Roman"/>
          <w:lang w:val="sl-SI"/>
        </w:rPr>
        <w:t>nizke krvne vrednosti belih krvnih celic;</w:t>
      </w:r>
    </w:p>
    <w:p w14:paraId="1EE02B67" w14:textId="77777777" w:rsidR="00D902B3" w:rsidRDefault="00D902B3" w:rsidP="00D902B3">
      <w:pPr>
        <w:pStyle w:val="a3"/>
        <w:numPr>
          <w:ilvl w:val="0"/>
          <w:numId w:val="16"/>
        </w:numPr>
        <w:ind w:left="660" w:hanging="660"/>
        <w:rPr>
          <w:lang w:val="sl-SI"/>
        </w:rPr>
      </w:pPr>
      <w:r>
        <w:rPr>
          <w:rFonts w:eastAsia="Times New Roman"/>
          <w:lang w:val="sl-SI"/>
        </w:rPr>
        <w:t>nizke krvne vrednosti rdečih krvnih celic;</w:t>
      </w:r>
    </w:p>
    <w:p w14:paraId="18EDC412" w14:textId="77777777" w:rsidR="00D902B3" w:rsidRDefault="00D902B3" w:rsidP="00D902B3">
      <w:pPr>
        <w:pStyle w:val="a3"/>
        <w:numPr>
          <w:ilvl w:val="0"/>
          <w:numId w:val="16"/>
        </w:numPr>
        <w:ind w:left="660" w:hanging="660"/>
        <w:rPr>
          <w:lang w:val="sl-SI"/>
        </w:rPr>
      </w:pPr>
      <w:r>
        <w:rPr>
          <w:rFonts w:eastAsia="Times New Roman"/>
          <w:lang w:val="sl-SI"/>
        </w:rPr>
        <w:t>zvečanje vrednosti lipidov v krvi;</w:t>
      </w:r>
    </w:p>
    <w:p w14:paraId="74879C1C" w14:textId="77777777" w:rsidR="00D902B3" w:rsidRDefault="00D902B3" w:rsidP="00D902B3">
      <w:pPr>
        <w:pStyle w:val="a3"/>
        <w:numPr>
          <w:ilvl w:val="0"/>
          <w:numId w:val="16"/>
        </w:numPr>
        <w:ind w:left="660" w:hanging="660"/>
        <w:rPr>
          <w:lang w:val="sl-SI"/>
        </w:rPr>
      </w:pPr>
      <w:r>
        <w:rPr>
          <w:rFonts w:eastAsia="Times New Roman"/>
          <w:lang w:val="sl-SI"/>
        </w:rPr>
        <w:t>zvečanje vrednosti jetrnih encimov.</w:t>
      </w:r>
    </w:p>
    <w:p w14:paraId="117CD982" w14:textId="77777777" w:rsidR="00D902B3" w:rsidRDefault="00D902B3" w:rsidP="00D902B3">
      <w:pPr>
        <w:spacing w:before="10" w:line="240" w:lineRule="exact"/>
        <w:rPr>
          <w:sz w:val="24"/>
          <w:szCs w:val="24"/>
          <w:lang w:val="sl-SI"/>
        </w:rPr>
      </w:pPr>
    </w:p>
    <w:p w14:paraId="7DB10319" w14:textId="77777777" w:rsidR="00D902B3" w:rsidRDefault="00D902B3" w:rsidP="00D902B3">
      <w:pPr>
        <w:pStyle w:val="a3"/>
        <w:rPr>
          <w:lang w:val="sl-SI"/>
        </w:rPr>
      </w:pPr>
      <w:r>
        <w:rPr>
          <w:rFonts w:eastAsia="Times New Roman"/>
          <w:b/>
          <w:bCs/>
          <w:lang w:val="sl-SI"/>
        </w:rPr>
        <w:t xml:space="preserve">Pogosti: </w:t>
      </w:r>
      <w:r>
        <w:rPr>
          <w:rFonts w:eastAsia="Times New Roman"/>
          <w:lang w:val="sl-SI"/>
        </w:rPr>
        <w:t>(pojavijo se lahko pri največ 1 od 10 bolnikov)</w:t>
      </w:r>
    </w:p>
    <w:p w14:paraId="0AD0E31A" w14:textId="77777777" w:rsidR="00D902B3" w:rsidRDefault="00D902B3" w:rsidP="00D902B3">
      <w:pPr>
        <w:spacing w:before="14" w:line="240" w:lineRule="exact"/>
        <w:rPr>
          <w:sz w:val="24"/>
          <w:szCs w:val="24"/>
          <w:lang w:val="sl-SI"/>
        </w:rPr>
      </w:pPr>
    </w:p>
    <w:p w14:paraId="0AA50A3B" w14:textId="77777777" w:rsidR="00D902B3" w:rsidRDefault="00D902B3" w:rsidP="00D902B3">
      <w:pPr>
        <w:pStyle w:val="a3"/>
        <w:numPr>
          <w:ilvl w:val="0"/>
          <w:numId w:val="16"/>
        </w:numPr>
        <w:ind w:left="660" w:hanging="660"/>
        <w:rPr>
          <w:lang w:val="sl-SI"/>
        </w:rPr>
      </w:pPr>
      <w:r>
        <w:rPr>
          <w:rFonts w:eastAsia="Times New Roman"/>
          <w:lang w:val="sl-SI"/>
        </w:rPr>
        <w:t>visoke krvne vrednosti belih krvnih celic;</w:t>
      </w:r>
    </w:p>
    <w:p w14:paraId="78862C3B" w14:textId="77777777" w:rsidR="00D902B3" w:rsidRDefault="00D902B3" w:rsidP="00D902B3">
      <w:pPr>
        <w:pStyle w:val="a3"/>
        <w:numPr>
          <w:ilvl w:val="0"/>
          <w:numId w:val="16"/>
        </w:numPr>
        <w:ind w:left="660" w:hanging="660"/>
        <w:rPr>
          <w:lang w:val="sl-SI"/>
        </w:rPr>
      </w:pPr>
      <w:r>
        <w:rPr>
          <w:rFonts w:eastAsia="Times New Roman"/>
          <w:lang w:val="sl-SI"/>
        </w:rPr>
        <w:t>nizke krvne vrednosti krvnih ploščic;</w:t>
      </w:r>
    </w:p>
    <w:p w14:paraId="4E5BD97B" w14:textId="77777777" w:rsidR="00D902B3" w:rsidRDefault="00D902B3" w:rsidP="00D902B3">
      <w:pPr>
        <w:pStyle w:val="a3"/>
        <w:numPr>
          <w:ilvl w:val="0"/>
          <w:numId w:val="16"/>
        </w:numPr>
        <w:ind w:left="660" w:hanging="660"/>
        <w:rPr>
          <w:lang w:val="sl-SI"/>
        </w:rPr>
      </w:pPr>
      <w:r>
        <w:rPr>
          <w:rFonts w:eastAsia="Times New Roman"/>
          <w:lang w:val="sl-SI"/>
        </w:rPr>
        <w:t>zvečanje vrednosti sečne kisline v krvi;</w:t>
      </w:r>
    </w:p>
    <w:p w14:paraId="34B31BE0" w14:textId="77777777" w:rsidR="00D902B3" w:rsidRDefault="00D902B3" w:rsidP="00D902B3">
      <w:pPr>
        <w:pStyle w:val="a3"/>
        <w:numPr>
          <w:ilvl w:val="0"/>
          <w:numId w:val="16"/>
        </w:numPr>
        <w:ind w:left="660" w:hanging="660"/>
        <w:rPr>
          <w:lang w:val="sl-SI"/>
        </w:rPr>
      </w:pPr>
      <w:r>
        <w:rPr>
          <w:rFonts w:eastAsia="Times New Roman"/>
          <w:lang w:val="sl-SI"/>
        </w:rPr>
        <w:t>nenormalne izmerjene vrednosti natrija v krvi;</w:t>
      </w:r>
    </w:p>
    <w:p w14:paraId="56413232" w14:textId="77777777" w:rsidR="00D902B3" w:rsidRDefault="00D902B3" w:rsidP="00D902B3">
      <w:pPr>
        <w:pStyle w:val="a3"/>
        <w:numPr>
          <w:ilvl w:val="0"/>
          <w:numId w:val="16"/>
        </w:numPr>
        <w:ind w:left="660" w:hanging="660"/>
        <w:rPr>
          <w:lang w:val="sl-SI"/>
        </w:rPr>
      </w:pPr>
      <w:r>
        <w:rPr>
          <w:rFonts w:eastAsia="Times New Roman"/>
          <w:lang w:val="sl-SI"/>
        </w:rPr>
        <w:t>nizke krvne vrednosti kalcija;</w:t>
      </w:r>
    </w:p>
    <w:p w14:paraId="1E2F8F7E" w14:textId="77777777" w:rsidR="00D902B3" w:rsidRDefault="00D902B3" w:rsidP="00D902B3">
      <w:pPr>
        <w:pStyle w:val="a3"/>
        <w:numPr>
          <w:ilvl w:val="0"/>
          <w:numId w:val="16"/>
        </w:numPr>
        <w:ind w:left="660" w:hanging="660"/>
        <w:rPr>
          <w:lang w:val="sl-SI"/>
        </w:rPr>
      </w:pPr>
      <w:r>
        <w:rPr>
          <w:rFonts w:eastAsia="Times New Roman"/>
          <w:lang w:val="sl-SI"/>
        </w:rPr>
        <w:t>nizke krvne vrednosti fosfata;</w:t>
      </w:r>
    </w:p>
    <w:p w14:paraId="21A09AC2" w14:textId="77777777" w:rsidR="00D902B3" w:rsidRDefault="00D902B3" w:rsidP="00D902B3">
      <w:pPr>
        <w:pStyle w:val="a3"/>
        <w:numPr>
          <w:ilvl w:val="0"/>
          <w:numId w:val="16"/>
        </w:numPr>
        <w:ind w:left="660" w:hanging="660"/>
        <w:rPr>
          <w:lang w:val="sl-SI"/>
        </w:rPr>
      </w:pPr>
      <w:r>
        <w:rPr>
          <w:rFonts w:eastAsia="Times New Roman"/>
          <w:lang w:val="sl-SI"/>
        </w:rPr>
        <w:t>visok krvni sladkor;</w:t>
      </w:r>
    </w:p>
    <w:p w14:paraId="295DD0FB" w14:textId="77777777" w:rsidR="00D902B3" w:rsidRDefault="00D902B3" w:rsidP="00D902B3">
      <w:pPr>
        <w:pStyle w:val="a3"/>
        <w:numPr>
          <w:ilvl w:val="0"/>
          <w:numId w:val="16"/>
        </w:numPr>
        <w:ind w:left="660" w:hanging="660"/>
        <w:rPr>
          <w:lang w:val="sl-SI"/>
        </w:rPr>
      </w:pPr>
      <w:r>
        <w:rPr>
          <w:rFonts w:eastAsia="Times New Roman"/>
          <w:lang w:val="sl-SI"/>
        </w:rPr>
        <w:t>visoke krvne vrednosti laktat dehidrogenaze;</w:t>
      </w:r>
    </w:p>
    <w:p w14:paraId="0F26F21F" w14:textId="77777777" w:rsidR="00D902B3" w:rsidRDefault="00D902B3" w:rsidP="00D902B3">
      <w:pPr>
        <w:pStyle w:val="a3"/>
        <w:numPr>
          <w:ilvl w:val="0"/>
          <w:numId w:val="16"/>
        </w:numPr>
        <w:ind w:left="660" w:hanging="660"/>
        <w:rPr>
          <w:lang w:val="sl-SI"/>
        </w:rPr>
      </w:pPr>
      <w:r>
        <w:rPr>
          <w:rFonts w:eastAsia="Times New Roman"/>
          <w:lang w:val="sl-SI"/>
        </w:rPr>
        <w:t>prisotnost avtoprotiteles v krvi;</w:t>
      </w:r>
    </w:p>
    <w:p w14:paraId="642346EE" w14:textId="77777777" w:rsidR="00D902B3" w:rsidRDefault="00D902B3" w:rsidP="00D902B3">
      <w:pPr>
        <w:pStyle w:val="a3"/>
        <w:numPr>
          <w:ilvl w:val="0"/>
          <w:numId w:val="16"/>
        </w:numPr>
        <w:ind w:left="660" w:hanging="660"/>
        <w:rPr>
          <w:lang w:val="sl-SI"/>
        </w:rPr>
      </w:pPr>
      <w:r>
        <w:rPr>
          <w:rFonts w:eastAsia="Times New Roman"/>
          <w:lang w:val="sl-SI"/>
        </w:rPr>
        <w:t>nizke krvne vrednosti kalija.</w:t>
      </w:r>
    </w:p>
    <w:p w14:paraId="38651717" w14:textId="77777777" w:rsidR="00D902B3" w:rsidRDefault="00D902B3" w:rsidP="00D902B3">
      <w:pPr>
        <w:spacing w:before="13" w:line="240" w:lineRule="exact"/>
        <w:rPr>
          <w:sz w:val="24"/>
          <w:szCs w:val="24"/>
          <w:lang w:val="sl-SI"/>
        </w:rPr>
      </w:pPr>
    </w:p>
    <w:p w14:paraId="1933A626" w14:textId="77777777" w:rsidR="00D902B3" w:rsidRDefault="00D902B3" w:rsidP="00D902B3">
      <w:pPr>
        <w:rPr>
          <w:rFonts w:ascii="Times New Roman" w:eastAsia="Times New Roman" w:hAnsi="Times New Roman" w:cs="Times New Roman"/>
          <w:lang w:val="sl-SI"/>
        </w:rPr>
      </w:pPr>
      <w:r>
        <w:rPr>
          <w:rFonts w:ascii="Times New Roman" w:eastAsia="Times New Roman" w:hAnsi="Times New Roman" w:cs="Times New Roman"/>
          <w:b/>
          <w:bCs/>
          <w:spacing w:val="-1"/>
          <w:lang w:val="sl-SI"/>
        </w:rPr>
        <w:t xml:space="preserve">Občasni </w:t>
      </w:r>
      <w:r>
        <w:rPr>
          <w:rFonts w:ascii="Times New Roman" w:eastAsia="Times New Roman" w:hAnsi="Times New Roman" w:cs="Times New Roman"/>
          <w:spacing w:val="-1"/>
          <w:lang w:val="sl-SI"/>
        </w:rPr>
        <w:t>(pojavijo se lahko pri največ 1 od 100 bolnikov)</w:t>
      </w:r>
    </w:p>
    <w:p w14:paraId="6D79BCA5" w14:textId="77777777" w:rsidR="00D902B3" w:rsidRDefault="00D902B3" w:rsidP="00D902B3">
      <w:pPr>
        <w:spacing w:before="12" w:line="240" w:lineRule="exact"/>
        <w:rPr>
          <w:sz w:val="24"/>
          <w:szCs w:val="24"/>
          <w:lang w:val="sl-SI"/>
        </w:rPr>
      </w:pPr>
    </w:p>
    <w:p w14:paraId="7246F2A9" w14:textId="77777777" w:rsidR="00D902B3" w:rsidRDefault="00D902B3" w:rsidP="00D902B3">
      <w:pPr>
        <w:pStyle w:val="a3"/>
        <w:numPr>
          <w:ilvl w:val="0"/>
          <w:numId w:val="16"/>
        </w:numPr>
        <w:ind w:left="660" w:hanging="660"/>
        <w:rPr>
          <w:lang w:val="sl-SI"/>
        </w:rPr>
      </w:pPr>
      <w:r>
        <w:rPr>
          <w:rFonts w:eastAsia="Times New Roman"/>
          <w:lang w:val="sl-SI"/>
        </w:rPr>
        <w:t>povišane vrednosti bilirubina (jetrne krvne preiskave).</w:t>
      </w:r>
    </w:p>
    <w:p w14:paraId="26D82CD1" w14:textId="77777777" w:rsidR="00D902B3" w:rsidRDefault="00D902B3" w:rsidP="00D902B3">
      <w:pPr>
        <w:spacing w:before="13" w:line="240" w:lineRule="exact"/>
        <w:rPr>
          <w:sz w:val="24"/>
          <w:szCs w:val="24"/>
          <w:lang w:val="sl-SI"/>
        </w:rPr>
      </w:pPr>
    </w:p>
    <w:p w14:paraId="4E3C054C" w14:textId="77777777" w:rsidR="00D902B3" w:rsidRDefault="00D902B3" w:rsidP="00D902B3">
      <w:pPr>
        <w:pStyle w:val="a3"/>
        <w:rPr>
          <w:lang w:val="sl-SI"/>
        </w:rPr>
      </w:pPr>
      <w:r>
        <w:rPr>
          <w:rFonts w:eastAsia="Times New Roman"/>
          <w:b/>
          <w:bCs/>
          <w:lang w:val="sl-SI"/>
        </w:rPr>
        <w:t xml:space="preserve">Redki </w:t>
      </w:r>
      <w:r>
        <w:rPr>
          <w:rFonts w:eastAsia="Times New Roman"/>
          <w:lang w:val="sl-SI"/>
        </w:rPr>
        <w:t>(pojavijo se lahko pri največ 1 od 1.000 bolnikov)</w:t>
      </w:r>
    </w:p>
    <w:p w14:paraId="6FA4175D" w14:textId="77777777" w:rsidR="00D902B3" w:rsidRDefault="00D902B3" w:rsidP="00D902B3">
      <w:pPr>
        <w:spacing w:before="14" w:line="240" w:lineRule="exact"/>
        <w:rPr>
          <w:sz w:val="24"/>
          <w:szCs w:val="24"/>
          <w:lang w:val="sl-SI"/>
        </w:rPr>
      </w:pPr>
    </w:p>
    <w:p w14:paraId="05213410" w14:textId="77777777" w:rsidR="00D902B3" w:rsidRDefault="00D902B3" w:rsidP="00D902B3">
      <w:pPr>
        <w:pStyle w:val="a3"/>
        <w:numPr>
          <w:ilvl w:val="0"/>
          <w:numId w:val="16"/>
        </w:numPr>
        <w:ind w:left="660" w:hanging="660"/>
        <w:rPr>
          <w:lang w:val="sl-SI"/>
        </w:rPr>
      </w:pPr>
      <w:r>
        <w:rPr>
          <w:rFonts w:eastAsia="Times New Roman"/>
          <w:lang w:val="sl-SI"/>
        </w:rPr>
        <w:t>nizke krvne vrednosti števila belih krvnih celic, rdečih krvnih celic in krvnih ploščic,</w:t>
      </w:r>
    </w:p>
    <w:p w14:paraId="65D7053B" w14:textId="77777777" w:rsidR="00D902B3" w:rsidRDefault="00D902B3" w:rsidP="00D902B3">
      <w:pPr>
        <w:spacing w:before="15" w:line="240" w:lineRule="exact"/>
        <w:rPr>
          <w:sz w:val="24"/>
          <w:szCs w:val="24"/>
          <w:lang w:val="sl-SI"/>
        </w:rPr>
      </w:pPr>
    </w:p>
    <w:p w14:paraId="04F083DA" w14:textId="77777777" w:rsidR="00D902B3" w:rsidRDefault="00D902B3" w:rsidP="00D902B3">
      <w:pPr>
        <w:pStyle w:val="a3"/>
        <w:rPr>
          <w:b/>
          <w:lang w:val="sl-SI"/>
        </w:rPr>
      </w:pPr>
      <w:r>
        <w:rPr>
          <w:rFonts w:eastAsia="Times New Roman"/>
          <w:b/>
          <w:bCs/>
          <w:lang w:val="sl-SI"/>
        </w:rPr>
        <w:t>Poročanje o neželenih učinkih</w:t>
      </w:r>
    </w:p>
    <w:p w14:paraId="19FEE663" w14:textId="77777777" w:rsidR="00D902B3" w:rsidRDefault="00D902B3" w:rsidP="00D902B3">
      <w:pPr>
        <w:pStyle w:val="a3"/>
        <w:rPr>
          <w:sz w:val="10"/>
          <w:szCs w:val="10"/>
          <w:lang w:val="sl-SI"/>
        </w:rPr>
      </w:pPr>
    </w:p>
    <w:p w14:paraId="62D93389" w14:textId="1ACDA5C9" w:rsidR="00D902B3" w:rsidRDefault="007811C6" w:rsidP="00D902B3">
      <w:pPr>
        <w:pStyle w:val="a3"/>
        <w:rPr>
          <w:lang w:val="sl-SI"/>
        </w:rPr>
      </w:pPr>
      <w:r w:rsidRPr="007811C6">
        <w:rPr>
          <w:lang w:val="sl-SI"/>
        </w:rPr>
        <w:t>Če vaš otrok dobi kateri koli neželeni učinek, se posvetujte z otrokovim zdravnikom ali s farmacevtom</w:t>
      </w:r>
      <w:r w:rsidR="00D902B3">
        <w:rPr>
          <w:rFonts w:eastAsia="Times New Roman"/>
          <w:lang w:val="sl-SI"/>
        </w:rPr>
        <w:t xml:space="preserve">. </w:t>
      </w:r>
      <w:r w:rsidR="00D902B3">
        <w:rPr>
          <w:lang w:val="sl-SI"/>
        </w:rPr>
        <w:t xml:space="preserve">Posvetujte se tudi, če opazite neželene učinke, ki niso navedeni v tem navodilu. O neželenih učinkih lahko poročate tudi neposredno na </w:t>
      </w:r>
      <w:r w:rsidR="00D902B3" w:rsidRPr="008E1817">
        <w:rPr>
          <w:highlight w:val="lightGray"/>
          <w:lang w:val="sl-SI"/>
        </w:rPr>
        <w:t xml:space="preserve">nacionalni center za poročanje, ki je naveden v </w:t>
      </w:r>
      <w:hyperlink r:id="rId159" w:history="1">
        <w:r w:rsidR="00D902B3" w:rsidRPr="008E1817">
          <w:rPr>
            <w:rStyle w:val="Hiperpovezava1"/>
            <w:highlight w:val="lightGray"/>
            <w:lang w:val="sl-SI"/>
          </w:rPr>
          <w:t>Prilogi V</w:t>
        </w:r>
      </w:hyperlink>
      <w:r w:rsidR="00D902B3">
        <w:rPr>
          <w:rFonts w:eastAsia="Times New Roman"/>
          <w:lang w:val="sl-SI"/>
        </w:rPr>
        <w:t>. S tem, ko poročate o neželenih učinkih, lahko prispevate k zagotovitvi več informacij o varnosti tega zdravila.</w:t>
      </w:r>
    </w:p>
    <w:p w14:paraId="419B0B3A" w14:textId="77777777" w:rsidR="00D902B3" w:rsidRDefault="00D902B3" w:rsidP="00D902B3">
      <w:pPr>
        <w:spacing w:line="200" w:lineRule="exact"/>
        <w:rPr>
          <w:sz w:val="20"/>
          <w:szCs w:val="20"/>
          <w:lang w:val="sl-SI"/>
        </w:rPr>
      </w:pPr>
    </w:p>
    <w:p w14:paraId="740A7E98" w14:textId="77777777" w:rsidR="00D902B3" w:rsidRDefault="00D902B3" w:rsidP="00D902B3">
      <w:pPr>
        <w:spacing w:line="200" w:lineRule="exact"/>
        <w:rPr>
          <w:sz w:val="20"/>
          <w:szCs w:val="20"/>
          <w:lang w:val="sl-SI"/>
        </w:rPr>
      </w:pPr>
    </w:p>
    <w:p w14:paraId="51A774D8" w14:textId="77777777" w:rsidR="00D902B3" w:rsidRDefault="00D902B3" w:rsidP="007811C6">
      <w:pPr>
        <w:pStyle w:val="a4"/>
        <w:numPr>
          <w:ilvl w:val="0"/>
          <w:numId w:val="141"/>
        </w:numPr>
        <w:spacing w:before="18" w:line="240" w:lineRule="exact"/>
        <w:ind w:hanging="468"/>
        <w:rPr>
          <w:rFonts w:ascii="Times New Roman" w:hAnsi="Times New Roman" w:cs="Times New Roman"/>
          <w:b/>
          <w:lang w:val="sl-SI"/>
        </w:rPr>
      </w:pPr>
      <w:r>
        <w:rPr>
          <w:rFonts w:ascii="Times New Roman" w:eastAsia="Times New Roman" w:hAnsi="Times New Roman" w:cs="Times New Roman"/>
          <w:b/>
          <w:bCs/>
          <w:lang w:val="sl-SI"/>
        </w:rPr>
        <w:t>Shranjevanje zdravila Yuflyma</w:t>
      </w:r>
    </w:p>
    <w:p w14:paraId="203A6467" w14:textId="77777777" w:rsidR="00D902B3" w:rsidRDefault="00D902B3" w:rsidP="00D902B3">
      <w:pPr>
        <w:pStyle w:val="a3"/>
        <w:rPr>
          <w:lang w:val="sl-SI"/>
        </w:rPr>
      </w:pPr>
    </w:p>
    <w:p w14:paraId="7B2A8667" w14:textId="77777777" w:rsidR="00D902B3" w:rsidRDefault="00D902B3" w:rsidP="00D902B3">
      <w:pPr>
        <w:pStyle w:val="a3"/>
        <w:rPr>
          <w:lang w:val="sl-SI"/>
        </w:rPr>
      </w:pPr>
      <w:r>
        <w:rPr>
          <w:rFonts w:eastAsia="Times New Roman"/>
          <w:lang w:val="sl-SI"/>
        </w:rPr>
        <w:t>Zdravilo shranjujte nedosegljivo otrokom!</w:t>
      </w:r>
    </w:p>
    <w:p w14:paraId="29730618" w14:textId="77777777" w:rsidR="00D902B3" w:rsidRDefault="00D902B3" w:rsidP="00D902B3">
      <w:pPr>
        <w:pStyle w:val="a3"/>
        <w:rPr>
          <w:lang w:val="sl-SI"/>
        </w:rPr>
      </w:pPr>
    </w:p>
    <w:p w14:paraId="3CBD971E" w14:textId="77777777" w:rsidR="00D902B3" w:rsidRDefault="00D902B3" w:rsidP="00D902B3">
      <w:pPr>
        <w:pStyle w:val="a3"/>
        <w:rPr>
          <w:lang w:val="sl-SI"/>
        </w:rPr>
      </w:pPr>
      <w:r>
        <w:rPr>
          <w:rFonts w:eastAsia="Times New Roman"/>
          <w:lang w:val="sl-SI"/>
        </w:rPr>
        <w:t>Tega zdravila ne smete uporabljati po datumu izteka roka uporabnosti, ki je naveden na nalepki/škatli poleg oznake EXP.</w:t>
      </w:r>
    </w:p>
    <w:p w14:paraId="505B2FEA" w14:textId="77777777" w:rsidR="00D902B3" w:rsidRDefault="00D902B3" w:rsidP="00D902B3">
      <w:pPr>
        <w:pStyle w:val="a3"/>
        <w:rPr>
          <w:lang w:val="sl-SI"/>
        </w:rPr>
      </w:pPr>
    </w:p>
    <w:p w14:paraId="554A11ED" w14:textId="77777777" w:rsidR="00D902B3" w:rsidRDefault="00D902B3" w:rsidP="00D902B3">
      <w:pPr>
        <w:pStyle w:val="a3"/>
        <w:rPr>
          <w:lang w:val="sl-SI"/>
        </w:rPr>
      </w:pPr>
      <w:r>
        <w:rPr>
          <w:rFonts w:eastAsia="Times New Roman"/>
          <w:lang w:val="sl-SI"/>
        </w:rPr>
        <w:t>Shranjujte v hladilniku (2 °C–8 °C). Ne zamrzujte.</w:t>
      </w:r>
    </w:p>
    <w:p w14:paraId="159E9CD9" w14:textId="77777777" w:rsidR="00D902B3" w:rsidRDefault="00D902B3" w:rsidP="00D902B3">
      <w:pPr>
        <w:pStyle w:val="a3"/>
        <w:rPr>
          <w:lang w:val="sl-SI"/>
        </w:rPr>
      </w:pPr>
    </w:p>
    <w:p w14:paraId="00F3EBF4" w14:textId="50DF1141" w:rsidR="00D902B3" w:rsidRDefault="00D902B3" w:rsidP="00D902B3">
      <w:pPr>
        <w:pStyle w:val="a3"/>
        <w:rPr>
          <w:lang w:val="sl-SI"/>
        </w:rPr>
      </w:pPr>
      <w:r>
        <w:rPr>
          <w:rFonts w:eastAsia="Times New Roman"/>
          <w:lang w:val="sl-SI"/>
        </w:rPr>
        <w:t>Napolnjeno injekcijsko brizgo shranjujte v zunanji ovojnini za zagotovitev zaščite pred svetlobo.</w:t>
      </w:r>
    </w:p>
    <w:p w14:paraId="28AFAF2E" w14:textId="77777777" w:rsidR="00D902B3" w:rsidRDefault="00D902B3" w:rsidP="00D902B3">
      <w:pPr>
        <w:spacing w:before="13" w:line="240" w:lineRule="exact"/>
        <w:rPr>
          <w:sz w:val="24"/>
          <w:szCs w:val="24"/>
          <w:lang w:val="sl-SI"/>
        </w:rPr>
      </w:pPr>
    </w:p>
    <w:p w14:paraId="76E052BF" w14:textId="77777777" w:rsidR="00D902B3" w:rsidRDefault="00D902B3" w:rsidP="00D902B3">
      <w:pPr>
        <w:pStyle w:val="a3"/>
        <w:rPr>
          <w:lang w:val="sl-SI"/>
        </w:rPr>
      </w:pPr>
      <w:r>
        <w:rPr>
          <w:rFonts w:eastAsia="Times New Roman"/>
          <w:lang w:val="sl-SI"/>
        </w:rPr>
        <w:t>Druga možnost shranjevanja:</w:t>
      </w:r>
    </w:p>
    <w:p w14:paraId="16D36954" w14:textId="77777777" w:rsidR="00D902B3" w:rsidRDefault="00D902B3" w:rsidP="00D902B3">
      <w:pPr>
        <w:spacing w:before="14" w:line="240" w:lineRule="exact"/>
        <w:rPr>
          <w:sz w:val="24"/>
          <w:szCs w:val="24"/>
          <w:lang w:val="sl-SI"/>
        </w:rPr>
      </w:pPr>
    </w:p>
    <w:p w14:paraId="477C8804" w14:textId="4B02DC93" w:rsidR="00D902B3" w:rsidRDefault="00D902B3" w:rsidP="00D902B3">
      <w:pPr>
        <w:pStyle w:val="a3"/>
        <w:rPr>
          <w:lang w:val="sl-SI"/>
        </w:rPr>
      </w:pPr>
      <w:r>
        <w:rPr>
          <w:rFonts w:eastAsia="Times New Roman"/>
          <w:lang w:val="sl-SI"/>
        </w:rPr>
        <w:t>Če je treba (na primer kadar potujete), lahko posamezno napolnjeno injekcijsko brizgo zdravila Yuflyma</w:t>
      </w:r>
      <w:r w:rsidR="007811C6">
        <w:rPr>
          <w:rFonts w:eastAsia="Times New Roman"/>
          <w:lang w:val="sl-SI"/>
        </w:rPr>
        <w:t xml:space="preserve"> </w:t>
      </w:r>
      <w:r>
        <w:rPr>
          <w:rFonts w:eastAsia="Times New Roman"/>
          <w:lang w:val="sl-SI"/>
        </w:rPr>
        <w:t xml:space="preserve">shranjujete pri sobni temperaturi (do 25 ºC) največ do 31 dni – zagotovite, da bo zaščitena pred svetlobo. Ko injekcijsko brizgo vzamete iz hladilnika za shranjevanje pri sobni temperaturi, jo morate </w:t>
      </w:r>
      <w:r>
        <w:rPr>
          <w:rFonts w:eastAsia="Times New Roman"/>
          <w:b/>
          <w:bCs/>
          <w:lang w:val="sl-SI"/>
        </w:rPr>
        <w:t>porabiti v 31 dneh ali zavreči</w:t>
      </w:r>
      <w:r>
        <w:rPr>
          <w:rFonts w:eastAsia="Times New Roman"/>
          <w:lang w:val="sl-SI"/>
        </w:rPr>
        <w:t>, tudi če jo vrnete v hladilnik.</w:t>
      </w:r>
    </w:p>
    <w:p w14:paraId="0F7AECC1" w14:textId="77777777" w:rsidR="00D902B3" w:rsidRDefault="00D902B3" w:rsidP="00D902B3">
      <w:pPr>
        <w:spacing w:before="17" w:line="240" w:lineRule="exact"/>
        <w:rPr>
          <w:sz w:val="24"/>
          <w:szCs w:val="24"/>
          <w:lang w:val="sl-SI"/>
        </w:rPr>
      </w:pPr>
    </w:p>
    <w:p w14:paraId="79D95FC8" w14:textId="77777777" w:rsidR="00D902B3" w:rsidRDefault="00D902B3" w:rsidP="00D902B3">
      <w:pPr>
        <w:pStyle w:val="a3"/>
        <w:rPr>
          <w:lang w:val="sl-SI"/>
        </w:rPr>
      </w:pPr>
      <w:r>
        <w:rPr>
          <w:rFonts w:eastAsia="Times New Roman"/>
          <w:lang w:val="sl-SI"/>
        </w:rPr>
        <w:t>Zapisati si morate datum, ko ste injekcijsko brizgo vzeli iz hladilnika in datum, po katerem jo morate zavreči.</w:t>
      </w:r>
    </w:p>
    <w:p w14:paraId="233C7A4A" w14:textId="77777777" w:rsidR="00D902B3" w:rsidRDefault="00D902B3" w:rsidP="00D902B3">
      <w:pPr>
        <w:spacing w:before="14" w:line="240" w:lineRule="exact"/>
        <w:rPr>
          <w:sz w:val="24"/>
          <w:szCs w:val="24"/>
          <w:lang w:val="sl-SI"/>
        </w:rPr>
      </w:pPr>
    </w:p>
    <w:p w14:paraId="622C1B75" w14:textId="77777777" w:rsidR="00D902B3" w:rsidRDefault="00D902B3" w:rsidP="00D902B3">
      <w:pPr>
        <w:pStyle w:val="a3"/>
        <w:rPr>
          <w:lang w:val="sl-SI"/>
        </w:rPr>
      </w:pPr>
      <w:r>
        <w:rPr>
          <w:rFonts w:eastAsia="Times New Roman"/>
          <w:lang w:val="sl-SI"/>
        </w:rPr>
        <w:t>Zdravila ne smete odvreči v odpadne vode ali med gospodinjske odpadke. O načinu odstranjevanja zdravila, ki ga ne uporabljate več, se posvetujte z zdravnikom ali farmacevtom. Taki ukrepi pomagajo varovati okolje.</w:t>
      </w:r>
    </w:p>
    <w:p w14:paraId="512648A5" w14:textId="77777777" w:rsidR="00D902B3" w:rsidRDefault="00D902B3" w:rsidP="00D902B3">
      <w:pPr>
        <w:pStyle w:val="a4"/>
        <w:spacing w:before="18" w:line="240" w:lineRule="exact"/>
        <w:ind w:left="468"/>
        <w:rPr>
          <w:rFonts w:ascii="Times New Roman" w:hAnsi="Times New Roman" w:cs="Times New Roman"/>
          <w:b/>
          <w:lang w:val="sl-SI"/>
        </w:rPr>
      </w:pPr>
    </w:p>
    <w:p w14:paraId="44BDC66C" w14:textId="77777777" w:rsidR="00D902B3" w:rsidRDefault="00D902B3" w:rsidP="00D902B3">
      <w:pPr>
        <w:spacing w:before="18" w:line="240" w:lineRule="exact"/>
        <w:rPr>
          <w:rFonts w:ascii="Times New Roman" w:hAnsi="Times New Roman" w:cs="Times New Roman"/>
          <w:b/>
          <w:lang w:val="sl-SI"/>
        </w:rPr>
      </w:pPr>
    </w:p>
    <w:p w14:paraId="3F71E6F7" w14:textId="77777777" w:rsidR="00D902B3" w:rsidRDefault="00D902B3" w:rsidP="007811C6">
      <w:pPr>
        <w:pStyle w:val="a4"/>
        <w:numPr>
          <w:ilvl w:val="0"/>
          <w:numId w:val="141"/>
        </w:numPr>
        <w:spacing w:before="18" w:line="240" w:lineRule="exact"/>
        <w:ind w:hanging="468"/>
        <w:rPr>
          <w:rFonts w:ascii="Times New Roman" w:hAnsi="Times New Roman" w:cs="Times New Roman"/>
          <w:b/>
          <w:lang w:val="sl-SI"/>
        </w:rPr>
      </w:pPr>
      <w:r>
        <w:rPr>
          <w:rFonts w:ascii="Times New Roman" w:eastAsia="Times New Roman" w:hAnsi="Times New Roman" w:cs="Times New Roman"/>
          <w:b/>
          <w:bCs/>
          <w:lang w:val="sl-SI"/>
        </w:rPr>
        <w:t>Vsebina pakiranja in dodatne informacije</w:t>
      </w:r>
    </w:p>
    <w:p w14:paraId="0FB66162" w14:textId="77777777" w:rsidR="00D902B3" w:rsidRDefault="00D902B3" w:rsidP="00D902B3">
      <w:pPr>
        <w:pStyle w:val="a4"/>
        <w:spacing w:before="18" w:line="240" w:lineRule="exact"/>
        <w:ind w:left="468"/>
        <w:rPr>
          <w:rFonts w:ascii="Times New Roman" w:hAnsi="Times New Roman" w:cs="Times New Roman"/>
          <w:b/>
          <w:lang w:val="sl-SI"/>
        </w:rPr>
      </w:pPr>
    </w:p>
    <w:p w14:paraId="62C2A34C" w14:textId="77777777" w:rsidR="00D902B3" w:rsidRDefault="00D902B3" w:rsidP="00D902B3">
      <w:pPr>
        <w:spacing w:before="18" w:line="240" w:lineRule="exact"/>
        <w:rPr>
          <w:rFonts w:ascii="Times New Roman" w:hAnsi="Times New Roman" w:cs="Times New Roman"/>
          <w:b/>
          <w:lang w:val="sl-SI"/>
        </w:rPr>
      </w:pPr>
      <w:r>
        <w:rPr>
          <w:rFonts w:ascii="Times New Roman" w:eastAsia="Times New Roman" w:hAnsi="Times New Roman" w:cs="Times New Roman"/>
          <w:b/>
          <w:bCs/>
          <w:lang w:val="sl-SI"/>
        </w:rPr>
        <w:t>Kaj vsebuje zdravilo Yuflyma</w:t>
      </w:r>
    </w:p>
    <w:p w14:paraId="5FFF8B60" w14:textId="77777777" w:rsidR="00D902B3" w:rsidRDefault="00D902B3" w:rsidP="00D902B3">
      <w:pPr>
        <w:spacing w:before="18" w:line="240" w:lineRule="exact"/>
        <w:rPr>
          <w:rFonts w:ascii="Times New Roman" w:hAnsi="Times New Roman" w:cs="Times New Roman"/>
          <w:b/>
          <w:lang w:val="sl-SI"/>
        </w:rPr>
      </w:pPr>
    </w:p>
    <w:p w14:paraId="6992C9E0" w14:textId="77777777" w:rsidR="00D902B3" w:rsidRDefault="00D902B3" w:rsidP="00D902B3">
      <w:pPr>
        <w:pStyle w:val="a3"/>
        <w:rPr>
          <w:lang w:val="sl-SI"/>
        </w:rPr>
      </w:pPr>
      <w:r>
        <w:rPr>
          <w:rFonts w:eastAsia="Times New Roman"/>
          <w:lang w:val="sl-SI"/>
        </w:rPr>
        <w:t>Učinkovina je adalimumab.</w:t>
      </w:r>
    </w:p>
    <w:p w14:paraId="3F5774B6" w14:textId="77777777" w:rsidR="00D902B3" w:rsidRDefault="00D902B3" w:rsidP="00D902B3">
      <w:pPr>
        <w:pStyle w:val="a3"/>
        <w:rPr>
          <w:lang w:val="sl-SI"/>
        </w:rPr>
      </w:pPr>
      <w:r>
        <w:rPr>
          <w:rFonts w:eastAsia="Times New Roman"/>
          <w:lang w:val="sl-SI"/>
        </w:rPr>
        <w:t>Druge sestavine zdravila so ocetna kislina, natrijev acetat trihidrat, glicin, polisorbat 80 in voda za injekcije.</w:t>
      </w:r>
    </w:p>
    <w:p w14:paraId="192537E5" w14:textId="77777777" w:rsidR="00D902B3" w:rsidRDefault="00D902B3" w:rsidP="00D902B3">
      <w:pPr>
        <w:pStyle w:val="a3"/>
        <w:rPr>
          <w:lang w:val="sl-SI"/>
        </w:rPr>
      </w:pPr>
    </w:p>
    <w:p w14:paraId="2886E288" w14:textId="77777777" w:rsidR="0069079F" w:rsidRDefault="0069079F" w:rsidP="0069079F">
      <w:pPr>
        <w:pStyle w:val="a3"/>
        <w:rPr>
          <w:b/>
          <w:lang w:val="sl-SI"/>
        </w:rPr>
      </w:pPr>
      <w:r>
        <w:rPr>
          <w:rFonts w:eastAsia="Times New Roman"/>
          <w:b/>
          <w:bCs/>
          <w:lang w:val="sl-SI"/>
        </w:rPr>
        <w:t>Izgled zdravila Yuflyma napolnjena injekcijska brizga in vsebina pakiranja</w:t>
      </w:r>
    </w:p>
    <w:p w14:paraId="59AD523F" w14:textId="77777777" w:rsidR="0069079F" w:rsidRDefault="0069079F" w:rsidP="0069079F">
      <w:pPr>
        <w:spacing w:before="12" w:line="240" w:lineRule="exact"/>
        <w:rPr>
          <w:sz w:val="24"/>
          <w:szCs w:val="24"/>
          <w:lang w:val="sl-SI"/>
        </w:rPr>
      </w:pPr>
    </w:p>
    <w:p w14:paraId="693928BB" w14:textId="77777777" w:rsidR="0069079F" w:rsidRDefault="0069079F" w:rsidP="0069079F">
      <w:pPr>
        <w:pStyle w:val="a3"/>
        <w:rPr>
          <w:lang w:val="sl-SI"/>
        </w:rPr>
      </w:pPr>
      <w:r>
        <w:rPr>
          <w:rFonts w:eastAsia="Times New Roman"/>
          <w:lang w:val="sl-SI"/>
        </w:rPr>
        <w:t>Zdravilo Yuflyma 20 mg raztopina za injiciranje v napolnjeni injekcijski brizgi je na voljo kot sterilna raztopina 20 mg adalimumaba, raztopljenega v 0,2 ml raztopine.</w:t>
      </w:r>
    </w:p>
    <w:p w14:paraId="50DC72B6" w14:textId="77777777" w:rsidR="0069079F" w:rsidRDefault="0069079F" w:rsidP="0069079F">
      <w:pPr>
        <w:spacing w:before="11" w:line="240" w:lineRule="exact"/>
        <w:rPr>
          <w:sz w:val="24"/>
          <w:szCs w:val="24"/>
          <w:lang w:val="sl-SI"/>
        </w:rPr>
      </w:pPr>
    </w:p>
    <w:p w14:paraId="342995B9" w14:textId="77777777" w:rsidR="0069079F" w:rsidRDefault="0069079F" w:rsidP="0069079F">
      <w:pPr>
        <w:pStyle w:val="a3"/>
        <w:rPr>
          <w:rFonts w:eastAsia="Times New Roman"/>
          <w:lang w:val="sl-SI"/>
        </w:rPr>
      </w:pPr>
      <w:r>
        <w:rPr>
          <w:rFonts w:eastAsia="Times New Roman"/>
          <w:lang w:val="sl-SI"/>
        </w:rPr>
        <w:t>Zdravilo Yuflyma napolnjena injekcijska brizga je steklena brizga, ki vsebuje raztopino adalimumaba.</w:t>
      </w:r>
    </w:p>
    <w:p w14:paraId="688068AB" w14:textId="2413D013" w:rsidR="00B42C3E" w:rsidRPr="007811C6" w:rsidRDefault="00B42C3E" w:rsidP="00B42C3E">
      <w:pPr>
        <w:pStyle w:val="a3"/>
        <w:rPr>
          <w:rFonts w:eastAsia="Times New Roman"/>
          <w:lang w:val="sl-SI"/>
        </w:rPr>
      </w:pPr>
      <w:r w:rsidRPr="007811C6">
        <w:rPr>
          <w:rFonts w:eastAsia="Times New Roman"/>
          <w:lang w:val="sl-SI"/>
        </w:rPr>
        <w:t xml:space="preserve">Napolnjena injekcijska brizga zdravila </w:t>
      </w:r>
      <w:r>
        <w:rPr>
          <w:rFonts w:eastAsia="Times New Roman"/>
          <w:lang w:val="sl-SI"/>
        </w:rPr>
        <w:t>Yuflyma</w:t>
      </w:r>
      <w:r w:rsidRPr="007811C6">
        <w:rPr>
          <w:rFonts w:eastAsia="Times New Roman"/>
          <w:lang w:val="sl-SI"/>
        </w:rPr>
        <w:t xml:space="preserve"> je na voljo v pakiranju, ki vsebuje </w:t>
      </w:r>
      <w:r>
        <w:rPr>
          <w:rFonts w:hint="eastAsia"/>
          <w:lang w:val="sl-SI" w:eastAsia="ko-KR"/>
        </w:rPr>
        <w:t>1</w:t>
      </w:r>
      <w:r w:rsidRPr="007811C6">
        <w:rPr>
          <w:rFonts w:eastAsia="Times New Roman"/>
          <w:lang w:val="sl-SI"/>
        </w:rPr>
        <w:t xml:space="preserve"> napolnjeni injekcijski brizgi z 2 alkoholnima zložencema</w:t>
      </w:r>
      <w:r>
        <w:rPr>
          <w:rFonts w:hint="eastAsia"/>
          <w:lang w:val="sl-SI" w:eastAsia="ko-KR"/>
        </w:rPr>
        <w:t xml:space="preserve"> </w:t>
      </w:r>
      <w:r w:rsidRPr="003F27D3">
        <w:rPr>
          <w:rFonts w:eastAsia="Times New Roman"/>
          <w:lang w:val="sl-SI"/>
        </w:rPr>
        <w:t>(1 rezervna)</w:t>
      </w:r>
      <w:r>
        <w:rPr>
          <w:rFonts w:eastAsia="Times New Roman"/>
          <w:lang w:val="sl-SI"/>
        </w:rPr>
        <w:t>.</w:t>
      </w:r>
    </w:p>
    <w:p w14:paraId="3A61995F" w14:textId="77777777" w:rsidR="0069079F" w:rsidRPr="007811C6" w:rsidRDefault="0069079F" w:rsidP="0069079F">
      <w:pPr>
        <w:pStyle w:val="a3"/>
        <w:rPr>
          <w:rFonts w:eastAsia="Times New Roman"/>
          <w:lang w:val="sl-SI"/>
        </w:rPr>
      </w:pPr>
      <w:r w:rsidRPr="007811C6">
        <w:rPr>
          <w:rFonts w:eastAsia="Times New Roman"/>
          <w:lang w:val="sl-SI"/>
        </w:rPr>
        <w:t xml:space="preserve">Napolnjena injekcijska brizga zdravila </w:t>
      </w:r>
      <w:r>
        <w:rPr>
          <w:rFonts w:eastAsia="Times New Roman"/>
          <w:lang w:val="sl-SI"/>
        </w:rPr>
        <w:t>Yuflyma</w:t>
      </w:r>
      <w:r w:rsidRPr="007811C6">
        <w:rPr>
          <w:rFonts w:eastAsia="Times New Roman"/>
          <w:lang w:val="sl-SI"/>
        </w:rPr>
        <w:t xml:space="preserve"> je na voljo v pakiranju, ki vsebuje 2 napolnjeni injekcijski brizgi z 2 alkoholnima zložencema</w:t>
      </w:r>
      <w:r>
        <w:rPr>
          <w:rFonts w:eastAsia="Times New Roman"/>
          <w:lang w:val="sl-SI"/>
        </w:rPr>
        <w:t>.</w:t>
      </w:r>
    </w:p>
    <w:p w14:paraId="2678665E" w14:textId="77777777" w:rsidR="00D902B3" w:rsidRPr="0069079F" w:rsidRDefault="00D902B3" w:rsidP="007811C6">
      <w:pPr>
        <w:pStyle w:val="a3"/>
        <w:rPr>
          <w:rFonts w:eastAsia="Times New Roman"/>
          <w:lang w:val="sl-SI"/>
        </w:rPr>
      </w:pPr>
    </w:p>
    <w:p w14:paraId="1E110047" w14:textId="77777777" w:rsidR="003463B6" w:rsidRDefault="003463B6" w:rsidP="003463B6">
      <w:pPr>
        <w:pStyle w:val="a3"/>
        <w:rPr>
          <w:lang w:val="sl-SI"/>
        </w:rPr>
      </w:pPr>
      <w:r w:rsidRPr="00D14272">
        <w:rPr>
          <w:rFonts w:eastAsia="Times New Roman"/>
          <w:lang w:val="sl-SI"/>
        </w:rPr>
        <w:t>Na trgu morda ni vseh navedenih pakiranj.</w:t>
      </w:r>
    </w:p>
    <w:p w14:paraId="09B1D951" w14:textId="77777777" w:rsidR="003463B6" w:rsidRPr="003463B6" w:rsidRDefault="003463B6" w:rsidP="007811C6">
      <w:pPr>
        <w:pStyle w:val="a3"/>
        <w:rPr>
          <w:lang w:val="sl-SI" w:eastAsia="ko-KR"/>
        </w:rPr>
      </w:pPr>
    </w:p>
    <w:p w14:paraId="73FBE58F" w14:textId="77777777" w:rsidR="00D902B3" w:rsidRDefault="00D902B3" w:rsidP="00D902B3">
      <w:pPr>
        <w:pStyle w:val="a3"/>
        <w:rPr>
          <w:b/>
          <w:lang w:val="sl-SI"/>
        </w:rPr>
      </w:pPr>
      <w:r>
        <w:rPr>
          <w:rFonts w:eastAsia="Times New Roman"/>
          <w:b/>
          <w:bCs/>
          <w:lang w:val="sl-SI"/>
        </w:rPr>
        <w:t>Imetnik dovoljenja za promet z zdravilom</w:t>
      </w:r>
    </w:p>
    <w:p w14:paraId="21A28EBF" w14:textId="77777777" w:rsidR="00D902B3" w:rsidRDefault="00D902B3" w:rsidP="00D902B3">
      <w:pPr>
        <w:spacing w:before="12" w:line="240" w:lineRule="exact"/>
        <w:rPr>
          <w:sz w:val="24"/>
          <w:szCs w:val="24"/>
          <w:lang w:val="sl-SI"/>
        </w:rPr>
      </w:pPr>
    </w:p>
    <w:p w14:paraId="744AE929" w14:textId="77777777" w:rsidR="00D902B3" w:rsidRDefault="00D902B3" w:rsidP="00D902B3">
      <w:pPr>
        <w:pStyle w:val="a3"/>
        <w:rPr>
          <w:lang w:val="sl-SI"/>
        </w:rPr>
      </w:pPr>
      <w:r>
        <w:rPr>
          <w:lang w:val="sl-SI"/>
        </w:rPr>
        <w:t xml:space="preserve">Celltrion Healthcare Hungary Kft. </w:t>
      </w:r>
    </w:p>
    <w:p w14:paraId="78DFB770" w14:textId="77777777" w:rsidR="00D902B3" w:rsidRDefault="00D902B3" w:rsidP="00D902B3">
      <w:pPr>
        <w:pStyle w:val="a3"/>
        <w:rPr>
          <w:lang w:val="sl-SI"/>
        </w:rPr>
      </w:pPr>
      <w:r>
        <w:rPr>
          <w:lang w:val="sl-SI"/>
        </w:rPr>
        <w:t>1062 Budapest</w:t>
      </w:r>
    </w:p>
    <w:p w14:paraId="398D331B" w14:textId="77777777" w:rsidR="00D902B3" w:rsidRDefault="00D902B3" w:rsidP="00D902B3">
      <w:pPr>
        <w:pStyle w:val="a3"/>
        <w:rPr>
          <w:lang w:val="sl-SI"/>
        </w:rPr>
      </w:pPr>
      <w:r>
        <w:rPr>
          <w:lang w:val="sl-SI"/>
        </w:rPr>
        <w:t>Váci út 1-3. WestEnd Office Building B torony</w:t>
      </w:r>
    </w:p>
    <w:p w14:paraId="78EE708A" w14:textId="77777777" w:rsidR="00D902B3" w:rsidRDefault="00D902B3" w:rsidP="00D902B3">
      <w:pPr>
        <w:pStyle w:val="a3"/>
        <w:rPr>
          <w:lang w:val="sl-SI"/>
        </w:rPr>
      </w:pPr>
      <w:r>
        <w:rPr>
          <w:rFonts w:eastAsia="Times New Roman"/>
          <w:lang w:val="sl-SI"/>
        </w:rPr>
        <w:t>Madžarska</w:t>
      </w:r>
    </w:p>
    <w:p w14:paraId="6E606740" w14:textId="77777777" w:rsidR="00D902B3" w:rsidRDefault="00D902B3" w:rsidP="00D902B3">
      <w:pPr>
        <w:spacing w:before="15" w:line="240" w:lineRule="exact"/>
        <w:rPr>
          <w:b/>
          <w:sz w:val="24"/>
          <w:szCs w:val="24"/>
          <w:lang w:val="sl-SI"/>
        </w:rPr>
      </w:pPr>
    </w:p>
    <w:p w14:paraId="0365EBAE" w14:textId="77777777" w:rsidR="00D902B3" w:rsidRDefault="00D902B3" w:rsidP="00D902B3">
      <w:pPr>
        <w:pStyle w:val="a3"/>
        <w:rPr>
          <w:b/>
          <w:lang w:val="sl-SI"/>
        </w:rPr>
      </w:pPr>
      <w:r>
        <w:rPr>
          <w:rFonts w:eastAsia="Times New Roman"/>
          <w:b/>
          <w:bCs/>
          <w:lang w:val="sl-SI"/>
        </w:rPr>
        <w:t>Proizvajalec</w:t>
      </w:r>
    </w:p>
    <w:p w14:paraId="780F1533" w14:textId="77777777" w:rsidR="00D902B3" w:rsidRDefault="00D902B3" w:rsidP="00D902B3">
      <w:pPr>
        <w:spacing w:before="12" w:line="240" w:lineRule="exact"/>
        <w:rPr>
          <w:b/>
          <w:sz w:val="24"/>
          <w:szCs w:val="24"/>
          <w:lang w:val="sl-SI"/>
        </w:rPr>
      </w:pPr>
    </w:p>
    <w:p w14:paraId="75AD3F0F" w14:textId="51846806" w:rsidR="00D902B3" w:rsidRPr="001B02C1" w:rsidDel="001B02C1" w:rsidRDefault="00D902B3" w:rsidP="00D902B3">
      <w:pPr>
        <w:pStyle w:val="a3"/>
        <w:rPr>
          <w:del w:id="170" w:author="만든 이"/>
          <w:lang w:val="sl-SI"/>
        </w:rPr>
      </w:pPr>
      <w:del w:id="171" w:author="만든 이">
        <w:r w:rsidRPr="001B02C1" w:rsidDel="001B02C1">
          <w:rPr>
            <w:lang w:val="sl-SI"/>
          </w:rPr>
          <w:delText>Millmount Healthcare Ltd.</w:delText>
        </w:r>
      </w:del>
    </w:p>
    <w:p w14:paraId="12591445" w14:textId="555801D2" w:rsidR="00D902B3" w:rsidRPr="001B02C1" w:rsidDel="001B02C1" w:rsidRDefault="00D902B3" w:rsidP="00D902B3">
      <w:pPr>
        <w:pStyle w:val="a3"/>
        <w:rPr>
          <w:del w:id="172" w:author="만든 이"/>
          <w:lang w:val="sl-SI"/>
        </w:rPr>
      </w:pPr>
      <w:del w:id="173" w:author="만든 이">
        <w:r w:rsidRPr="001B02C1" w:rsidDel="001B02C1">
          <w:rPr>
            <w:lang w:val="sl-SI"/>
          </w:rPr>
          <w:delText>Block 7</w:delText>
        </w:r>
      </w:del>
    </w:p>
    <w:p w14:paraId="7E6B4B3E" w14:textId="4A1320CE" w:rsidR="00D902B3" w:rsidRPr="001B02C1" w:rsidDel="001B02C1" w:rsidRDefault="00D902B3" w:rsidP="00D902B3">
      <w:pPr>
        <w:pStyle w:val="a3"/>
        <w:rPr>
          <w:del w:id="174" w:author="만든 이"/>
          <w:lang w:val="sl-SI"/>
        </w:rPr>
      </w:pPr>
      <w:del w:id="175" w:author="만든 이">
        <w:r w:rsidRPr="001B02C1" w:rsidDel="001B02C1">
          <w:rPr>
            <w:lang w:val="sl-SI"/>
          </w:rPr>
          <w:delText xml:space="preserve">City North Business Campus </w:delText>
        </w:r>
      </w:del>
    </w:p>
    <w:p w14:paraId="753281DB" w14:textId="1E086184" w:rsidR="00D902B3" w:rsidRPr="001B02C1" w:rsidDel="001B02C1" w:rsidRDefault="00D902B3" w:rsidP="00D902B3">
      <w:pPr>
        <w:pStyle w:val="a3"/>
        <w:rPr>
          <w:del w:id="176" w:author="만든 이"/>
          <w:lang w:val="sl-SI"/>
        </w:rPr>
      </w:pPr>
      <w:del w:id="177" w:author="만든 이">
        <w:r w:rsidRPr="001B02C1" w:rsidDel="001B02C1">
          <w:rPr>
            <w:lang w:val="sl-SI"/>
          </w:rPr>
          <w:delText>Stamullen, Co. Meath K32 YD60</w:delText>
        </w:r>
      </w:del>
    </w:p>
    <w:p w14:paraId="2DACA3F9" w14:textId="6C0C7DBE" w:rsidR="00D902B3" w:rsidRPr="001B02C1" w:rsidDel="001B02C1" w:rsidRDefault="00D902B3" w:rsidP="00D902B3">
      <w:pPr>
        <w:pStyle w:val="a3"/>
        <w:rPr>
          <w:del w:id="178" w:author="만든 이"/>
          <w:lang w:val="sl-SI"/>
        </w:rPr>
      </w:pPr>
      <w:del w:id="179" w:author="만든 이">
        <w:r w:rsidRPr="001B02C1" w:rsidDel="001B02C1">
          <w:rPr>
            <w:rFonts w:eastAsia="Times New Roman"/>
            <w:lang w:val="sl-SI"/>
          </w:rPr>
          <w:delText>Irska</w:delText>
        </w:r>
      </w:del>
    </w:p>
    <w:p w14:paraId="531B5335" w14:textId="3640CC93" w:rsidR="00D902B3" w:rsidRPr="001B02C1" w:rsidDel="001B02C1" w:rsidRDefault="00D902B3" w:rsidP="00D902B3">
      <w:pPr>
        <w:spacing w:before="14" w:line="240" w:lineRule="exact"/>
        <w:rPr>
          <w:del w:id="180" w:author="만든 이"/>
          <w:sz w:val="24"/>
          <w:szCs w:val="24"/>
          <w:lang w:val="sl-SI"/>
        </w:rPr>
      </w:pPr>
    </w:p>
    <w:p w14:paraId="10059567" w14:textId="77777777" w:rsidR="002153A2" w:rsidRPr="001B02C1" w:rsidRDefault="002153A2" w:rsidP="002153A2">
      <w:pPr>
        <w:spacing w:before="10" w:line="240" w:lineRule="exact"/>
        <w:rPr>
          <w:moveTo w:id="181" w:author="만든 이" w16du:dateUtc="2025-09-09T06:34:00Z"/>
          <w:rFonts w:ascii="Times New Roman" w:eastAsia="Times New Roman" w:hAnsi="Times New Roman" w:cs="Times New Roman"/>
          <w:lang w:val="de-DE"/>
        </w:rPr>
      </w:pPr>
      <w:moveToRangeStart w:id="182" w:author="만든 이" w:name="move208324480"/>
      <w:moveTo w:id="183" w:author="만든 이" w16du:dateUtc="2025-09-09T06:34:00Z">
        <w:r w:rsidRPr="001B02C1">
          <w:rPr>
            <w:rFonts w:ascii="Times New Roman" w:eastAsia="Times New Roman" w:hAnsi="Times New Roman" w:cs="Times New Roman"/>
            <w:lang w:val="de-DE"/>
          </w:rPr>
          <w:t>Nuvisan France SARL</w:t>
        </w:r>
      </w:moveTo>
    </w:p>
    <w:p w14:paraId="414145EB" w14:textId="77777777" w:rsidR="002153A2" w:rsidRPr="001B02C1" w:rsidRDefault="002153A2" w:rsidP="002153A2">
      <w:pPr>
        <w:spacing w:before="10" w:line="240" w:lineRule="exact"/>
        <w:rPr>
          <w:moveTo w:id="184" w:author="만든 이" w16du:dateUtc="2025-09-09T06:34:00Z"/>
          <w:rFonts w:ascii="Times New Roman" w:eastAsia="Times New Roman" w:hAnsi="Times New Roman" w:cs="Times New Roman"/>
          <w:lang w:val="de-DE"/>
        </w:rPr>
      </w:pPr>
      <w:moveTo w:id="185" w:author="만든 이" w16du:dateUtc="2025-09-09T06:34:00Z">
        <w:r w:rsidRPr="001B02C1">
          <w:rPr>
            <w:rFonts w:ascii="Times New Roman" w:eastAsia="Times New Roman" w:hAnsi="Times New Roman" w:cs="Times New Roman"/>
            <w:lang w:val="de-DE"/>
          </w:rPr>
          <w:t>2400, Route des Colles</w:t>
        </w:r>
      </w:moveTo>
    </w:p>
    <w:p w14:paraId="00241660" w14:textId="77777777" w:rsidR="002153A2" w:rsidRPr="001B02C1" w:rsidRDefault="002153A2" w:rsidP="002153A2">
      <w:pPr>
        <w:spacing w:before="10" w:line="240" w:lineRule="exact"/>
        <w:rPr>
          <w:moveTo w:id="186" w:author="만든 이" w16du:dateUtc="2025-09-09T06:34:00Z"/>
          <w:rFonts w:ascii="Times New Roman" w:eastAsia="Times New Roman" w:hAnsi="Times New Roman" w:cs="Times New Roman"/>
          <w:lang w:val="de-DE"/>
        </w:rPr>
      </w:pPr>
      <w:moveTo w:id="187" w:author="만든 이" w16du:dateUtc="2025-09-09T06:34:00Z">
        <w:r w:rsidRPr="001B02C1">
          <w:rPr>
            <w:rFonts w:ascii="Times New Roman" w:eastAsia="Times New Roman" w:hAnsi="Times New Roman" w:cs="Times New Roman"/>
            <w:lang w:val="de-DE"/>
          </w:rPr>
          <w:t>06410, Biot</w:t>
        </w:r>
      </w:moveTo>
    </w:p>
    <w:p w14:paraId="037B17BA" w14:textId="77777777" w:rsidR="002153A2" w:rsidRPr="001B02C1" w:rsidRDefault="002153A2" w:rsidP="002153A2">
      <w:pPr>
        <w:autoSpaceDE w:val="0"/>
        <w:autoSpaceDN w:val="0"/>
        <w:adjustRightInd w:val="0"/>
        <w:rPr>
          <w:moveTo w:id="188" w:author="만든 이" w16du:dateUtc="2025-09-09T06:34:00Z"/>
          <w:rFonts w:ascii="Times New Roman" w:eastAsia="Times New Roman" w:hAnsi="Times New Roman" w:cs="Times New Roman"/>
          <w:lang w:val="de-DE"/>
        </w:rPr>
      </w:pPr>
      <w:moveTo w:id="189" w:author="만든 이" w16du:dateUtc="2025-09-09T06:34:00Z">
        <w:r w:rsidRPr="001B02C1">
          <w:rPr>
            <w:rFonts w:ascii="Times New Roman" w:eastAsia="Times New Roman" w:hAnsi="Times New Roman" w:cs="Times New Roman"/>
            <w:lang w:val="de-DE"/>
          </w:rPr>
          <w:t>Francija</w:t>
        </w:r>
      </w:moveTo>
    </w:p>
    <w:p w14:paraId="2449EC8D" w14:textId="77777777" w:rsidR="002153A2" w:rsidRPr="001B02C1" w:rsidRDefault="002153A2" w:rsidP="002153A2">
      <w:pPr>
        <w:pStyle w:val="a3"/>
        <w:rPr>
          <w:moveTo w:id="190" w:author="만든 이" w16du:dateUtc="2025-09-09T06:34:00Z"/>
          <w:color w:val="000000"/>
          <w:lang w:val="es-ES_tradnl"/>
        </w:rPr>
      </w:pPr>
    </w:p>
    <w:moveToRangeEnd w:id="182"/>
    <w:p w14:paraId="5A540A98" w14:textId="77777777" w:rsidR="00D902B3" w:rsidRPr="001B02C1" w:rsidRDefault="00D902B3" w:rsidP="00D902B3">
      <w:pPr>
        <w:keepNext/>
        <w:spacing w:before="10" w:line="240" w:lineRule="exact"/>
        <w:rPr>
          <w:rFonts w:ascii="Times New Roman" w:eastAsia="Times New Roman" w:hAnsi="Times New Roman" w:cs="Times New Roman"/>
          <w:shd w:val="pct15" w:color="auto" w:fill="FFFFFF"/>
        </w:rPr>
      </w:pPr>
      <w:r w:rsidRPr="001B02C1">
        <w:rPr>
          <w:rFonts w:ascii="Times New Roman" w:eastAsia="Times New Roman" w:hAnsi="Times New Roman" w:cs="Times New Roman"/>
          <w:shd w:val="pct15" w:color="auto" w:fill="FFFFFF"/>
        </w:rPr>
        <w:t>Nuvisan GmbH</w:t>
      </w:r>
    </w:p>
    <w:p w14:paraId="65274A19" w14:textId="009DCD6E" w:rsidR="00D902B3" w:rsidRPr="001B02C1" w:rsidRDefault="00D902B3" w:rsidP="00D902B3">
      <w:pPr>
        <w:keepNext/>
        <w:spacing w:before="10" w:line="240" w:lineRule="exact"/>
        <w:rPr>
          <w:rFonts w:ascii="Times New Roman" w:eastAsia="Times New Roman" w:hAnsi="Times New Roman" w:cs="Times New Roman"/>
          <w:shd w:val="pct15" w:color="auto" w:fill="FFFFFF"/>
          <w:lang w:val="de-CH"/>
        </w:rPr>
      </w:pPr>
      <w:r w:rsidRPr="001B02C1">
        <w:rPr>
          <w:rFonts w:ascii="Times New Roman" w:eastAsia="Times New Roman" w:hAnsi="Times New Roman" w:cs="Times New Roman"/>
          <w:shd w:val="pct15" w:color="auto" w:fill="FFFFFF"/>
          <w:lang w:val="de-CH"/>
        </w:rPr>
        <w:t>Wegenerstraße 13</w:t>
      </w:r>
    </w:p>
    <w:p w14:paraId="2F529BF7" w14:textId="73763843" w:rsidR="00D902B3" w:rsidRPr="001B02C1" w:rsidRDefault="00D902B3" w:rsidP="00D902B3">
      <w:pPr>
        <w:keepNext/>
        <w:spacing w:before="10" w:line="240" w:lineRule="exact"/>
        <w:rPr>
          <w:rFonts w:ascii="Times New Roman" w:eastAsia="Times New Roman" w:hAnsi="Times New Roman" w:cs="Times New Roman"/>
          <w:shd w:val="pct15" w:color="auto" w:fill="FFFFFF"/>
          <w:lang w:val="de-CH"/>
        </w:rPr>
      </w:pPr>
      <w:r w:rsidRPr="001B02C1">
        <w:rPr>
          <w:rFonts w:ascii="Times New Roman" w:eastAsia="Times New Roman" w:hAnsi="Times New Roman" w:cs="Times New Roman"/>
          <w:shd w:val="pct15" w:color="auto" w:fill="FFFFFF"/>
          <w:lang w:val="de-CH"/>
        </w:rPr>
        <w:t>89231 Neu</w:t>
      </w:r>
      <w:r w:rsidR="00F00F96" w:rsidRPr="001B02C1">
        <w:rPr>
          <w:rFonts w:ascii="Times New Roman" w:hAnsi="Times New Roman" w:cs="Times New Roman" w:hint="eastAsia"/>
          <w:shd w:val="pct15" w:color="auto" w:fill="FFFFFF"/>
          <w:lang w:val="de-CH" w:eastAsia="ko-KR"/>
        </w:rPr>
        <w:t>-</w:t>
      </w:r>
      <w:r w:rsidRPr="001B02C1">
        <w:rPr>
          <w:rFonts w:ascii="Times New Roman" w:eastAsia="Times New Roman" w:hAnsi="Times New Roman" w:cs="Times New Roman"/>
          <w:shd w:val="pct15" w:color="auto" w:fill="FFFFFF"/>
          <w:lang w:val="de-CH"/>
        </w:rPr>
        <w:t>Ulm</w:t>
      </w:r>
    </w:p>
    <w:p w14:paraId="0F362860" w14:textId="77777777" w:rsidR="00D902B3" w:rsidRPr="001B02C1" w:rsidRDefault="00D902B3" w:rsidP="00D902B3">
      <w:pPr>
        <w:keepNext/>
        <w:spacing w:before="10" w:line="240" w:lineRule="exact"/>
        <w:rPr>
          <w:rFonts w:ascii="Times New Roman" w:eastAsia="Times New Roman" w:hAnsi="Times New Roman" w:cs="Times New Roman"/>
          <w:shd w:val="pct15" w:color="auto" w:fill="FFFFFF"/>
          <w:lang w:val="de-DE"/>
        </w:rPr>
      </w:pPr>
      <w:r w:rsidRPr="001B02C1">
        <w:rPr>
          <w:rFonts w:ascii="Times New Roman" w:eastAsia="Times New Roman" w:hAnsi="Times New Roman" w:cs="Times New Roman"/>
          <w:shd w:val="pct15" w:color="auto" w:fill="FFFFFF"/>
          <w:lang w:val="de-DE"/>
        </w:rPr>
        <w:t>Nemčija</w:t>
      </w:r>
    </w:p>
    <w:p w14:paraId="2BB7B5F4" w14:textId="77777777" w:rsidR="00D902B3" w:rsidRPr="001B02C1" w:rsidRDefault="00D902B3" w:rsidP="00D902B3">
      <w:pPr>
        <w:spacing w:before="10" w:line="240" w:lineRule="exact"/>
        <w:rPr>
          <w:rFonts w:ascii="Times New Roman" w:eastAsia="Times New Roman" w:hAnsi="Times New Roman" w:cs="Times New Roman"/>
          <w:shd w:val="pct15" w:color="auto" w:fill="FFFFFF"/>
          <w:lang w:val="de-DE"/>
        </w:rPr>
      </w:pPr>
    </w:p>
    <w:p w14:paraId="41CC2BA1" w14:textId="5CCBCA9B" w:rsidR="00D902B3" w:rsidRPr="001B02C1" w:rsidDel="002153A2" w:rsidRDefault="00D902B3" w:rsidP="00D902B3">
      <w:pPr>
        <w:spacing w:before="10" w:line="240" w:lineRule="exact"/>
        <w:rPr>
          <w:moveFrom w:id="191" w:author="만든 이" w16du:dateUtc="2025-09-09T06:34:00Z"/>
          <w:rFonts w:ascii="Times New Roman" w:eastAsia="Times New Roman" w:hAnsi="Times New Roman" w:cs="Times New Roman"/>
          <w:shd w:val="pct15" w:color="auto" w:fill="FFFFFF"/>
          <w:lang w:val="de-DE"/>
        </w:rPr>
      </w:pPr>
      <w:moveFromRangeStart w:id="192" w:author="만든 이" w:name="move208324480"/>
      <w:moveFrom w:id="193" w:author="만든 이" w16du:dateUtc="2025-09-09T06:34:00Z">
        <w:r w:rsidRPr="001B02C1" w:rsidDel="002153A2">
          <w:rPr>
            <w:rFonts w:ascii="Times New Roman" w:eastAsia="Times New Roman" w:hAnsi="Times New Roman" w:cs="Times New Roman"/>
            <w:shd w:val="pct15" w:color="auto" w:fill="FFFFFF"/>
            <w:lang w:val="de-DE"/>
          </w:rPr>
          <w:t>Nuvisan France SARL</w:t>
        </w:r>
      </w:moveFrom>
    </w:p>
    <w:p w14:paraId="50B29F19" w14:textId="5915784B" w:rsidR="00D902B3" w:rsidRPr="001B02C1" w:rsidDel="002153A2" w:rsidRDefault="00D902B3" w:rsidP="00D902B3">
      <w:pPr>
        <w:spacing w:before="10" w:line="240" w:lineRule="exact"/>
        <w:rPr>
          <w:moveFrom w:id="194" w:author="만든 이" w16du:dateUtc="2025-09-09T06:34:00Z"/>
          <w:rFonts w:ascii="Times New Roman" w:eastAsia="Times New Roman" w:hAnsi="Times New Roman" w:cs="Times New Roman"/>
          <w:shd w:val="pct15" w:color="auto" w:fill="FFFFFF"/>
          <w:lang w:val="de-DE"/>
        </w:rPr>
      </w:pPr>
      <w:moveFrom w:id="195" w:author="만든 이" w16du:dateUtc="2025-09-09T06:34:00Z">
        <w:r w:rsidRPr="001B02C1" w:rsidDel="002153A2">
          <w:rPr>
            <w:rFonts w:ascii="Times New Roman" w:eastAsia="Times New Roman" w:hAnsi="Times New Roman" w:cs="Times New Roman"/>
            <w:shd w:val="pct15" w:color="auto" w:fill="FFFFFF"/>
            <w:lang w:val="de-DE"/>
          </w:rPr>
          <w:t>2400, Route des Colles</w:t>
        </w:r>
      </w:moveFrom>
    </w:p>
    <w:p w14:paraId="6F8E533A" w14:textId="5BC178BD" w:rsidR="00D902B3" w:rsidRPr="001B02C1" w:rsidDel="002153A2" w:rsidRDefault="00D902B3" w:rsidP="00D902B3">
      <w:pPr>
        <w:spacing w:before="10" w:line="240" w:lineRule="exact"/>
        <w:rPr>
          <w:moveFrom w:id="196" w:author="만든 이" w16du:dateUtc="2025-09-09T06:34:00Z"/>
          <w:rFonts w:ascii="Times New Roman" w:eastAsia="Times New Roman" w:hAnsi="Times New Roman" w:cs="Times New Roman"/>
          <w:shd w:val="pct15" w:color="auto" w:fill="FFFFFF"/>
          <w:lang w:val="de-DE"/>
        </w:rPr>
      </w:pPr>
      <w:moveFrom w:id="197" w:author="만든 이" w16du:dateUtc="2025-09-09T06:34:00Z">
        <w:r w:rsidRPr="001B02C1" w:rsidDel="002153A2">
          <w:rPr>
            <w:rFonts w:ascii="Times New Roman" w:eastAsia="Times New Roman" w:hAnsi="Times New Roman" w:cs="Times New Roman"/>
            <w:shd w:val="pct15" w:color="auto" w:fill="FFFFFF"/>
            <w:lang w:val="de-DE"/>
          </w:rPr>
          <w:t>06410, Biot</w:t>
        </w:r>
      </w:moveFrom>
    </w:p>
    <w:p w14:paraId="421BCD69" w14:textId="7EC5CC8A" w:rsidR="00D902B3" w:rsidRPr="001B02C1" w:rsidDel="002153A2" w:rsidRDefault="00D902B3" w:rsidP="00D902B3">
      <w:pPr>
        <w:autoSpaceDE w:val="0"/>
        <w:autoSpaceDN w:val="0"/>
        <w:adjustRightInd w:val="0"/>
        <w:rPr>
          <w:moveFrom w:id="198" w:author="만든 이" w16du:dateUtc="2025-09-09T06:34:00Z"/>
          <w:rFonts w:ascii="Times New Roman" w:eastAsia="Times New Roman" w:hAnsi="Times New Roman" w:cs="Times New Roman"/>
          <w:shd w:val="pct15" w:color="auto" w:fill="FFFFFF"/>
          <w:lang w:val="de-DE"/>
        </w:rPr>
      </w:pPr>
      <w:moveFrom w:id="199" w:author="만든 이" w16du:dateUtc="2025-09-09T06:34:00Z">
        <w:r w:rsidRPr="001B02C1" w:rsidDel="002153A2">
          <w:rPr>
            <w:rFonts w:ascii="Times New Roman" w:eastAsia="Times New Roman" w:hAnsi="Times New Roman" w:cs="Times New Roman"/>
            <w:shd w:val="pct15" w:color="auto" w:fill="FFFFFF"/>
            <w:lang w:val="de-DE"/>
          </w:rPr>
          <w:t>Francija</w:t>
        </w:r>
      </w:moveFrom>
    </w:p>
    <w:p w14:paraId="3FA3FA01" w14:textId="0544BCED" w:rsidR="00D902B3" w:rsidRPr="001B02C1" w:rsidDel="002153A2" w:rsidRDefault="00D902B3" w:rsidP="00D902B3">
      <w:pPr>
        <w:pStyle w:val="a3"/>
        <w:rPr>
          <w:moveFrom w:id="200" w:author="만든 이" w16du:dateUtc="2025-09-09T06:34:00Z"/>
          <w:color w:val="000000"/>
          <w:shd w:val="pct15" w:color="auto" w:fill="FFFFFF"/>
          <w:lang w:val="es-ES_tradnl"/>
        </w:rPr>
      </w:pPr>
    </w:p>
    <w:moveFromRangeEnd w:id="192"/>
    <w:p w14:paraId="10BACF6F" w14:textId="77777777" w:rsidR="00D902B3" w:rsidRPr="001B02C1" w:rsidRDefault="00D902B3" w:rsidP="00D902B3">
      <w:pPr>
        <w:pStyle w:val="a3"/>
        <w:rPr>
          <w:color w:val="000000"/>
          <w:shd w:val="pct15" w:color="auto" w:fill="FFFFFF"/>
          <w:lang w:val="de-DE"/>
        </w:rPr>
      </w:pPr>
      <w:r w:rsidRPr="001B02C1">
        <w:rPr>
          <w:color w:val="000000"/>
          <w:shd w:val="pct15" w:color="auto" w:fill="FFFFFF"/>
          <w:lang w:val="de-DE"/>
        </w:rPr>
        <w:t>Midas Pharma GmbH</w:t>
      </w:r>
    </w:p>
    <w:p w14:paraId="69B48B58" w14:textId="533A8D40" w:rsidR="00D902B3" w:rsidRPr="001B02C1" w:rsidRDefault="00D902B3" w:rsidP="00D902B3">
      <w:pPr>
        <w:pStyle w:val="a3"/>
        <w:rPr>
          <w:color w:val="000000"/>
          <w:shd w:val="pct15" w:color="auto" w:fill="FFFFFF"/>
          <w:lang w:val="de-DE"/>
        </w:rPr>
      </w:pPr>
      <w:r w:rsidRPr="001B02C1">
        <w:rPr>
          <w:color w:val="000000"/>
          <w:shd w:val="pct15" w:color="auto" w:fill="FFFFFF"/>
          <w:lang w:val="de-DE"/>
        </w:rPr>
        <w:t>Rheinstr. 49</w:t>
      </w:r>
    </w:p>
    <w:p w14:paraId="4E52ADBF" w14:textId="20BA37F1" w:rsidR="00D902B3" w:rsidRPr="001B02C1" w:rsidRDefault="00D902B3" w:rsidP="00D902B3">
      <w:pPr>
        <w:pStyle w:val="a3"/>
        <w:rPr>
          <w:color w:val="000000"/>
          <w:shd w:val="pct15" w:color="auto" w:fill="FFFFFF"/>
          <w:lang w:val="de-DE"/>
        </w:rPr>
      </w:pPr>
      <w:r w:rsidRPr="001B02C1">
        <w:rPr>
          <w:color w:val="000000"/>
          <w:shd w:val="pct15" w:color="auto" w:fill="FFFFFF"/>
          <w:lang w:val="de-DE"/>
        </w:rPr>
        <w:t>55218 Ingelheim</w:t>
      </w:r>
    </w:p>
    <w:p w14:paraId="54E05F1D" w14:textId="77777777" w:rsidR="00D902B3" w:rsidRPr="001B02C1" w:rsidRDefault="00D902B3" w:rsidP="00D902B3">
      <w:pPr>
        <w:pStyle w:val="a3"/>
        <w:rPr>
          <w:color w:val="000000"/>
          <w:shd w:val="pct15" w:color="auto" w:fill="FFFFFF"/>
          <w:lang w:val="de-CH"/>
        </w:rPr>
      </w:pPr>
      <w:r w:rsidRPr="001B02C1">
        <w:rPr>
          <w:color w:val="000000"/>
          <w:shd w:val="pct15" w:color="auto" w:fill="FFFFFF"/>
          <w:lang w:val="de-CH"/>
        </w:rPr>
        <w:t>Nemčija</w:t>
      </w:r>
    </w:p>
    <w:p w14:paraId="3EADB680" w14:textId="77777777" w:rsidR="00D902B3" w:rsidRPr="001B02C1" w:rsidRDefault="00D902B3" w:rsidP="00D902B3">
      <w:pPr>
        <w:pStyle w:val="a3"/>
        <w:rPr>
          <w:color w:val="000000"/>
          <w:shd w:val="pct15" w:color="auto" w:fill="FFFFFF"/>
          <w:lang w:val="de-DE"/>
        </w:rPr>
      </w:pPr>
    </w:p>
    <w:p w14:paraId="293F139C" w14:textId="7FD4DB71" w:rsidR="00D902B3" w:rsidRPr="001B02C1" w:rsidRDefault="00D902B3" w:rsidP="00D902B3">
      <w:pPr>
        <w:pStyle w:val="a3"/>
        <w:rPr>
          <w:color w:val="000000"/>
          <w:shd w:val="pct15" w:color="auto" w:fill="FFFFFF"/>
          <w:lang w:val="fr-FR"/>
        </w:rPr>
      </w:pPr>
      <w:r w:rsidRPr="001B02C1">
        <w:rPr>
          <w:color w:val="000000"/>
          <w:shd w:val="pct15" w:color="auto" w:fill="FFFFFF"/>
          <w:lang w:val="fr-FR"/>
        </w:rPr>
        <w:t>KYMOS S.L.</w:t>
      </w:r>
    </w:p>
    <w:p w14:paraId="73E0099B" w14:textId="23F36C6C" w:rsidR="00D902B3" w:rsidRPr="001B02C1" w:rsidRDefault="00D902B3" w:rsidP="00D902B3">
      <w:pPr>
        <w:pStyle w:val="a3"/>
        <w:rPr>
          <w:color w:val="000000"/>
          <w:shd w:val="pct15" w:color="auto" w:fill="FFFFFF"/>
          <w:lang w:val="fr-FR"/>
        </w:rPr>
      </w:pPr>
      <w:r w:rsidRPr="001B02C1">
        <w:rPr>
          <w:color w:val="000000"/>
          <w:shd w:val="pct15" w:color="auto" w:fill="FFFFFF"/>
          <w:lang w:val="fr-FR"/>
        </w:rPr>
        <w:t>Ronda Can Fatjó, 7B.</w:t>
      </w:r>
    </w:p>
    <w:p w14:paraId="74DD7984" w14:textId="72A2DFD4" w:rsidR="00D902B3" w:rsidRPr="001B02C1" w:rsidRDefault="00D902B3" w:rsidP="00D902B3">
      <w:pPr>
        <w:pStyle w:val="a3"/>
        <w:rPr>
          <w:color w:val="000000"/>
          <w:shd w:val="pct15" w:color="auto" w:fill="FFFFFF"/>
          <w:lang w:val="fr-FR"/>
        </w:rPr>
      </w:pPr>
      <w:r w:rsidRPr="001B02C1">
        <w:rPr>
          <w:color w:val="000000"/>
          <w:shd w:val="pct15" w:color="auto" w:fill="FFFFFF"/>
          <w:lang w:val="fr-FR"/>
        </w:rPr>
        <w:t>08290 Cerdanyola del Vallès</w:t>
      </w:r>
    </w:p>
    <w:p w14:paraId="6F8BA0AE" w14:textId="0B9EE443" w:rsidR="00D902B3" w:rsidRPr="001B02C1" w:rsidRDefault="00D902B3" w:rsidP="00D902B3">
      <w:pPr>
        <w:pStyle w:val="a3"/>
        <w:rPr>
          <w:color w:val="000000"/>
          <w:shd w:val="pct15" w:color="auto" w:fill="FFFFFF"/>
          <w:lang w:val="fr-FR"/>
        </w:rPr>
      </w:pPr>
      <w:r w:rsidRPr="001B02C1">
        <w:rPr>
          <w:color w:val="000000"/>
          <w:shd w:val="pct15" w:color="auto" w:fill="FFFFFF"/>
          <w:lang w:val="fr-FR"/>
        </w:rPr>
        <w:t>Barcelona</w:t>
      </w:r>
    </w:p>
    <w:p w14:paraId="5AA02A6C" w14:textId="77777777" w:rsidR="00D902B3" w:rsidRPr="001B02C1" w:rsidRDefault="00D902B3" w:rsidP="00D902B3">
      <w:pPr>
        <w:pStyle w:val="a3"/>
        <w:rPr>
          <w:color w:val="000000"/>
          <w:shd w:val="pct15" w:color="auto" w:fill="FFFFFF"/>
          <w:lang w:val="fr-FR"/>
        </w:rPr>
      </w:pPr>
      <w:r w:rsidRPr="001B02C1">
        <w:rPr>
          <w:color w:val="000000"/>
          <w:shd w:val="pct15" w:color="auto" w:fill="FFFFFF"/>
          <w:lang w:val="fr-FR"/>
        </w:rPr>
        <w:t>Španija</w:t>
      </w:r>
    </w:p>
    <w:p w14:paraId="4D884AC6" w14:textId="77777777" w:rsidR="00D902B3" w:rsidRPr="001B02C1" w:rsidRDefault="00D902B3" w:rsidP="00D902B3">
      <w:pPr>
        <w:spacing w:before="14" w:line="240" w:lineRule="exact"/>
        <w:rPr>
          <w:sz w:val="24"/>
          <w:szCs w:val="24"/>
          <w:shd w:val="pct15" w:color="auto" w:fill="FFFFFF"/>
          <w:lang w:val="fr-FR"/>
        </w:rPr>
      </w:pPr>
    </w:p>
    <w:p w14:paraId="00A96A18" w14:textId="77777777" w:rsidR="00D902B3" w:rsidRDefault="00D902B3" w:rsidP="00D902B3">
      <w:pPr>
        <w:pStyle w:val="a3"/>
        <w:rPr>
          <w:lang w:val="sl-SI"/>
        </w:rPr>
      </w:pPr>
      <w:r>
        <w:rPr>
          <w:rFonts w:eastAsia="Times New Roman"/>
          <w:lang w:val="sl-SI"/>
        </w:rPr>
        <w:t>Za vse morebitne nadaljnje informacije o tem zdravilu se lahko obrnete na predstavništvo imetnika dovoljenja za promet z zdravilom:</w:t>
      </w:r>
    </w:p>
    <w:p w14:paraId="7E57DE3A" w14:textId="77777777" w:rsidR="00D902B3" w:rsidRDefault="00D902B3" w:rsidP="00D902B3">
      <w:pPr>
        <w:numPr>
          <w:ilvl w:val="12"/>
          <w:numId w:val="0"/>
        </w:numPr>
        <w:ind w:right="-2"/>
        <w:rPr>
          <w:rFonts w:ascii="Times New Roman" w:hAnsi="Times New Roman" w:cs="Times New Roman"/>
          <w:b/>
          <w:noProof/>
          <w:lang w:val="sl-SI"/>
        </w:rPr>
      </w:pPr>
    </w:p>
    <w:tbl>
      <w:tblPr>
        <w:tblW w:w="5000" w:type="pct"/>
        <w:tblLook w:val="04A0" w:firstRow="1" w:lastRow="0" w:firstColumn="1" w:lastColumn="0" w:noHBand="0" w:noVBand="1"/>
      </w:tblPr>
      <w:tblGrid>
        <w:gridCol w:w="4800"/>
        <w:gridCol w:w="4800"/>
      </w:tblGrid>
      <w:tr w:rsidR="00D902B3" w14:paraId="220FA299" w14:textId="77777777" w:rsidTr="00183CD7">
        <w:tc>
          <w:tcPr>
            <w:tcW w:w="2500" w:type="pct"/>
            <w:hideMark/>
          </w:tcPr>
          <w:p w14:paraId="0BF54A2A" w14:textId="77777777" w:rsidR="00D902B3" w:rsidRDefault="00D902B3" w:rsidP="001B02C1">
            <w:pPr>
              <w:keepNext/>
              <w:keepLines/>
              <w:rPr>
                <w:rFonts w:ascii="Times New Roman" w:hAnsi="Times New Roman" w:cs="Times New Roman"/>
                <w:b/>
                <w:noProof/>
                <w:lang w:val="sl-SI" w:eastAsia="fr-FR"/>
              </w:rPr>
            </w:pPr>
            <w:r>
              <w:rPr>
                <w:rFonts w:ascii="Times New Roman" w:eastAsia="맑은 고딕" w:hAnsi="Times New Roman" w:cs="Times New Roman"/>
                <w:b/>
                <w:noProof/>
                <w:lang w:val="sl-SI" w:eastAsia="fr-FR"/>
              </w:rPr>
              <w:lastRenderedPageBreak/>
              <w:t>België/Belgique/Belgien</w:t>
            </w:r>
          </w:p>
          <w:p w14:paraId="5C2AEC45" w14:textId="77777777" w:rsidR="00D902B3" w:rsidRDefault="00D902B3" w:rsidP="001B02C1">
            <w:pPr>
              <w:keepNext/>
              <w:keepLine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Belgium BVBA</w:t>
            </w:r>
          </w:p>
          <w:p w14:paraId="75B70A0D" w14:textId="77777777" w:rsidR="00D902B3" w:rsidRDefault="00D902B3" w:rsidP="001B02C1">
            <w:pPr>
              <w:keepNext/>
              <w:keepLines/>
              <w:rPr>
                <w:rFonts w:ascii="Times New Roman" w:eastAsia="맑은 고딕" w:hAnsi="Times New Roman" w:cs="Times New Roman"/>
                <w:noProof/>
                <w:lang w:val="sl-SI" w:eastAsia="ko-KR"/>
              </w:rPr>
            </w:pPr>
            <w:r>
              <w:rPr>
                <w:rFonts w:ascii="Times New Roman" w:eastAsia="맑은 고딕" w:hAnsi="Times New Roman" w:cs="Times New Roman"/>
                <w:noProof/>
                <w:lang w:val="sl-SI" w:eastAsia="fr-FR"/>
              </w:rPr>
              <w:t>Tél/Tel: + 32 1528 7418</w:t>
            </w:r>
          </w:p>
        </w:tc>
        <w:tc>
          <w:tcPr>
            <w:tcW w:w="2500" w:type="pct"/>
          </w:tcPr>
          <w:p w14:paraId="0A097FA6" w14:textId="77777777" w:rsidR="00D902B3" w:rsidRDefault="00D902B3" w:rsidP="001B02C1">
            <w:pPr>
              <w:keepNext/>
              <w:keepLines/>
              <w:tabs>
                <w:tab w:val="left" w:pos="-720"/>
              </w:tabs>
              <w:suppressAutoHyphens/>
              <w:rPr>
                <w:rFonts w:ascii="Times New Roman" w:hAnsi="Times New Roman" w:cs="Times New Roman"/>
                <w:b/>
                <w:noProof/>
                <w:lang w:val="sl-SI" w:eastAsia="fr-FR"/>
              </w:rPr>
            </w:pPr>
            <w:r>
              <w:rPr>
                <w:rFonts w:ascii="Times New Roman" w:hAnsi="Times New Roman" w:cs="Times New Roman"/>
                <w:b/>
                <w:noProof/>
                <w:lang w:val="sl-SI" w:eastAsia="fr-FR"/>
              </w:rPr>
              <w:t>Lietuva</w:t>
            </w:r>
          </w:p>
          <w:p w14:paraId="2972BE93" w14:textId="77777777" w:rsidR="00D902B3" w:rsidRDefault="00D902B3" w:rsidP="001B02C1">
            <w:pPr>
              <w:keepNext/>
              <w:keepLine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3205DAE1" w14:textId="77777777" w:rsidR="00D902B3" w:rsidRDefault="00D902B3" w:rsidP="001B02C1">
            <w:pPr>
              <w:keepNext/>
              <w:keepLines/>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25AABC89" w14:textId="77777777" w:rsidR="00D902B3" w:rsidRPr="0011416E" w:rsidRDefault="00D902B3" w:rsidP="001B02C1">
            <w:pPr>
              <w:keepNext/>
              <w:keepLines/>
              <w:autoSpaceDE w:val="0"/>
              <w:autoSpaceDN w:val="0"/>
              <w:adjustRightInd w:val="0"/>
              <w:rPr>
                <w:rFonts w:ascii="Times New Roman" w:hAnsi="Times New Roman" w:cs="Times New Roman"/>
                <w:noProof/>
                <w:lang w:val="sl-SI" w:eastAsia="fr-FR"/>
              </w:rPr>
            </w:pPr>
          </w:p>
        </w:tc>
      </w:tr>
      <w:tr w:rsidR="00D902B3" w14:paraId="564C5EFE" w14:textId="77777777" w:rsidTr="00183CD7">
        <w:trPr>
          <w:trHeight w:val="619"/>
        </w:trPr>
        <w:tc>
          <w:tcPr>
            <w:tcW w:w="2500" w:type="pct"/>
          </w:tcPr>
          <w:p w14:paraId="4CDD7E5B" w14:textId="77777777" w:rsidR="00D902B3" w:rsidRDefault="00D902B3" w:rsidP="00183CD7">
            <w:pPr>
              <w:rPr>
                <w:rFonts w:ascii="Times New Roman" w:eastAsia="맑은 고딕" w:hAnsi="Times New Roman" w:cs="Times New Roman"/>
                <w:b/>
                <w:noProof/>
                <w:lang w:val="sl-SI" w:eastAsia="fr-FR"/>
              </w:rPr>
            </w:pPr>
            <w:r>
              <w:rPr>
                <w:rFonts w:ascii="Times New Roman" w:hAnsi="Times New Roman" w:cs="Times New Roman"/>
                <w:b/>
                <w:bCs/>
                <w:lang w:val="sl-SI"/>
              </w:rPr>
              <w:t>България</w:t>
            </w:r>
          </w:p>
          <w:p w14:paraId="68453A6E" w14:textId="77777777" w:rsidR="00D902B3" w:rsidRDefault="00D902B3" w:rsidP="00183CD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42DF71D7" w14:textId="77777777" w:rsidR="00D902B3" w:rsidRDefault="00D902B3" w:rsidP="00183CD7">
            <w:pPr>
              <w:tabs>
                <w:tab w:val="left" w:pos="-720"/>
              </w:tabs>
              <w:suppressAutoHyphens/>
              <w:rPr>
                <w:rFonts w:ascii="Times New Roman" w:eastAsia="맑은 고딕" w:hAnsi="Times New Roman" w:cs="Times New Roman"/>
                <w:noProof/>
                <w:lang w:val="sl-SI" w:eastAsia="fr-FR"/>
              </w:rPr>
            </w:pPr>
            <w:r w:rsidRPr="006E16B8">
              <w:rPr>
                <w:rFonts w:ascii="Times New Roman" w:eastAsia="맑은 고딕" w:hAnsi="Times New Roman" w:cs="Times New Roman"/>
                <w:noProof/>
                <w:lang w:val="sl-SI" w:eastAsia="fr-FR"/>
              </w:rPr>
              <w:t xml:space="preserve">Teл.: </w:t>
            </w:r>
            <w:r>
              <w:rPr>
                <w:rFonts w:ascii="Times New Roman" w:eastAsia="맑은 고딕" w:hAnsi="Times New Roman" w:cs="Times New Roman"/>
                <w:noProof/>
                <w:lang w:val="sl-SI" w:eastAsia="fr-FR"/>
              </w:rPr>
              <w:t>+36 1 231 0493</w:t>
            </w:r>
          </w:p>
          <w:p w14:paraId="111F23D1" w14:textId="77777777" w:rsidR="00D902B3" w:rsidRPr="0011416E" w:rsidRDefault="00D902B3" w:rsidP="00183CD7">
            <w:pPr>
              <w:rPr>
                <w:rFonts w:ascii="Times New Roman" w:hAnsi="Times New Roman" w:cs="Times New Roman"/>
                <w:noProof/>
                <w:lang w:val="sl-SI" w:eastAsia="fr-FR"/>
              </w:rPr>
            </w:pPr>
          </w:p>
        </w:tc>
        <w:tc>
          <w:tcPr>
            <w:tcW w:w="2500" w:type="pct"/>
            <w:hideMark/>
          </w:tcPr>
          <w:p w14:paraId="72ADD32D" w14:textId="77777777" w:rsidR="00D902B3" w:rsidRDefault="00D902B3" w:rsidP="00183CD7">
            <w:pPr>
              <w:tabs>
                <w:tab w:val="left" w:pos="-720"/>
              </w:tabs>
              <w:suppressAutoHyphens/>
              <w:rPr>
                <w:rFonts w:ascii="Times New Roman" w:hAnsi="Times New Roman" w:cs="Times New Roman"/>
                <w:noProof/>
                <w:lang w:val="sl-SI" w:eastAsia="fr-FR"/>
              </w:rPr>
            </w:pPr>
            <w:r>
              <w:rPr>
                <w:rFonts w:ascii="Times New Roman" w:eastAsia="맑은 고딕" w:hAnsi="Times New Roman" w:cs="Times New Roman"/>
                <w:b/>
                <w:noProof/>
                <w:lang w:val="sl-SI" w:eastAsia="fr-FR"/>
              </w:rPr>
              <w:t>Luxembourg/Luxemburg</w:t>
            </w:r>
          </w:p>
          <w:p w14:paraId="118B65C7" w14:textId="77777777" w:rsidR="00D902B3" w:rsidRDefault="00D902B3" w:rsidP="00183CD7">
            <w:pPr>
              <w:tabs>
                <w:tab w:val="left" w:pos="-720"/>
              </w:tabs>
              <w:suppressAutoHyphens/>
              <w:rPr>
                <w:rFonts w:ascii="Times New Roman" w:eastAsia="맑은 고딕" w:hAnsi="Times New Roman" w:cs="Times New Roman"/>
                <w:iCs/>
                <w:noProof/>
                <w:lang w:val="sl-SI" w:eastAsia="fr-FR"/>
              </w:rPr>
            </w:pPr>
            <w:r>
              <w:rPr>
                <w:rFonts w:ascii="Times New Roman" w:eastAsia="맑은 고딕" w:hAnsi="Times New Roman" w:cs="Times New Roman"/>
                <w:iCs/>
                <w:noProof/>
                <w:lang w:val="sl-SI" w:eastAsia="fr-FR"/>
              </w:rPr>
              <w:t>Celltrion Healthcare Belgium BVBA</w:t>
            </w:r>
          </w:p>
          <w:p w14:paraId="2BCC43A8" w14:textId="77777777" w:rsidR="00D902B3" w:rsidRDefault="00D902B3" w:rsidP="00183CD7">
            <w:pPr>
              <w:tabs>
                <w:tab w:val="left" w:pos="-720"/>
              </w:tabs>
              <w:suppressAutoHyphens/>
              <w:rPr>
                <w:rFonts w:ascii="Times New Roman" w:eastAsia="맑은 고딕" w:hAnsi="Times New Roman" w:cs="Times New Roman"/>
                <w:lang w:val="sl-SI" w:eastAsia="ko-KR"/>
              </w:rPr>
            </w:pPr>
            <w:r>
              <w:rPr>
                <w:rFonts w:ascii="Times New Roman" w:eastAsia="맑은 고딕" w:hAnsi="Times New Roman" w:cs="Times New Roman"/>
                <w:noProof/>
                <w:lang w:val="sl-SI" w:eastAsia="fr-FR"/>
              </w:rPr>
              <w:t xml:space="preserve">Tél/Tel: </w:t>
            </w:r>
            <w:r>
              <w:rPr>
                <w:rFonts w:ascii="Times New Roman" w:eastAsia="맑은 고딕" w:hAnsi="Times New Roman" w:cs="Times New Roman"/>
                <w:iCs/>
                <w:noProof/>
                <w:lang w:val="sl-SI" w:eastAsia="fr-FR"/>
              </w:rPr>
              <w:t>+ 32 1528 7418</w:t>
            </w:r>
          </w:p>
        </w:tc>
      </w:tr>
      <w:tr w:rsidR="00D902B3" w14:paraId="5B9259E8" w14:textId="77777777" w:rsidTr="00183CD7">
        <w:tc>
          <w:tcPr>
            <w:tcW w:w="2500" w:type="pct"/>
            <w:hideMark/>
          </w:tcPr>
          <w:p w14:paraId="4AE523BE" w14:textId="77777777" w:rsidR="00D902B3" w:rsidRDefault="00D902B3" w:rsidP="00183CD7">
            <w:pPr>
              <w:tabs>
                <w:tab w:val="left" w:pos="-720"/>
              </w:tabs>
              <w:suppressAutoHyphens/>
              <w:rPr>
                <w:rFonts w:ascii="Times New Roman" w:eastAsia="맑은 고딕" w:hAnsi="Times New Roman" w:cs="Times New Roman"/>
                <w:b/>
                <w:noProof/>
                <w:lang w:val="sl-SI" w:eastAsia="fr-FR"/>
              </w:rPr>
            </w:pPr>
            <w:r>
              <w:rPr>
                <w:rFonts w:ascii="Times New Roman" w:eastAsia="맑은 고딕" w:hAnsi="Times New Roman" w:cs="Times New Roman"/>
                <w:b/>
                <w:noProof/>
                <w:lang w:val="sl-SI" w:eastAsia="fr-FR"/>
              </w:rPr>
              <w:t>Česká republika</w:t>
            </w:r>
          </w:p>
          <w:p w14:paraId="53991853" w14:textId="77777777" w:rsidR="00D902B3" w:rsidRDefault="00D902B3" w:rsidP="00183CD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3346FC00" w14:textId="77777777" w:rsidR="00D902B3" w:rsidRDefault="00D902B3" w:rsidP="00183CD7">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453E494B" w14:textId="77777777" w:rsidR="00D902B3" w:rsidRPr="0011416E" w:rsidRDefault="00D902B3" w:rsidP="00183CD7">
            <w:pPr>
              <w:tabs>
                <w:tab w:val="left" w:pos="-720"/>
              </w:tabs>
              <w:suppressAutoHyphens/>
              <w:rPr>
                <w:rFonts w:ascii="Times New Roman" w:hAnsi="Times New Roman" w:cs="Times New Roman"/>
                <w:noProof/>
                <w:lang w:val="sl-SI" w:eastAsia="fr-FR"/>
              </w:rPr>
            </w:pPr>
          </w:p>
        </w:tc>
        <w:tc>
          <w:tcPr>
            <w:tcW w:w="2500" w:type="pct"/>
          </w:tcPr>
          <w:p w14:paraId="018E8C0E" w14:textId="77777777" w:rsidR="00D902B3" w:rsidRDefault="00D902B3" w:rsidP="00183CD7">
            <w:pPr>
              <w:rPr>
                <w:rFonts w:ascii="Times New Roman" w:eastAsia="맑은 고딕" w:hAnsi="Times New Roman" w:cs="Times New Roman"/>
                <w:b/>
                <w:noProof/>
                <w:lang w:val="sl-SI" w:eastAsia="fr-FR"/>
              </w:rPr>
            </w:pPr>
            <w:r>
              <w:rPr>
                <w:rFonts w:ascii="Times New Roman" w:hAnsi="Times New Roman" w:cs="Times New Roman"/>
                <w:b/>
                <w:noProof/>
                <w:lang w:val="sl-SI"/>
              </w:rPr>
              <w:t>Magyarország</w:t>
            </w:r>
          </w:p>
          <w:p w14:paraId="549FA557" w14:textId="77777777" w:rsidR="00D902B3" w:rsidRDefault="00D902B3" w:rsidP="00183CD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0B96D38D" w14:textId="77777777" w:rsidR="00D902B3" w:rsidRDefault="00D902B3" w:rsidP="00183CD7">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343E781A" w14:textId="77777777" w:rsidR="00D902B3" w:rsidRPr="0011416E" w:rsidRDefault="00D902B3" w:rsidP="00183CD7">
            <w:pPr>
              <w:rPr>
                <w:rFonts w:ascii="Times New Roman" w:eastAsia="맑은 고딕" w:hAnsi="Times New Roman" w:cs="Times New Roman"/>
                <w:noProof/>
                <w:lang w:val="sl-SI" w:eastAsia="ko-KR"/>
              </w:rPr>
            </w:pPr>
          </w:p>
        </w:tc>
      </w:tr>
      <w:tr w:rsidR="00D902B3" w14:paraId="02CDAC43" w14:textId="77777777" w:rsidTr="00183CD7">
        <w:tc>
          <w:tcPr>
            <w:tcW w:w="2500" w:type="pct"/>
            <w:hideMark/>
          </w:tcPr>
          <w:p w14:paraId="188FF8AB" w14:textId="77777777" w:rsidR="00D902B3" w:rsidRDefault="00D902B3" w:rsidP="00183CD7">
            <w:pPr>
              <w:tabs>
                <w:tab w:val="left" w:pos="-720"/>
              </w:tabs>
              <w:suppressAutoHyphens/>
              <w:rPr>
                <w:rFonts w:ascii="Times New Roman" w:hAnsi="Times New Roman" w:cs="Times New Roman"/>
                <w:b/>
                <w:bCs/>
                <w:i/>
                <w:iCs/>
                <w:noProof/>
                <w:lang w:val="sl-SI" w:eastAsia="fr-FR"/>
              </w:rPr>
            </w:pPr>
            <w:r>
              <w:rPr>
                <w:rFonts w:ascii="Times New Roman" w:hAnsi="Times New Roman" w:cs="Times New Roman"/>
                <w:b/>
                <w:noProof/>
                <w:lang w:val="sl-SI"/>
              </w:rPr>
              <w:t>Danmark</w:t>
            </w:r>
          </w:p>
          <w:p w14:paraId="6643745D" w14:textId="77777777" w:rsidR="00D902B3" w:rsidRDefault="00D902B3" w:rsidP="00183CD7">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44D3EF1F" w14:textId="77777777" w:rsidR="00D902B3" w:rsidRDefault="00D902B3" w:rsidP="00183CD7">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Tlf: +36 1 231 0493</w:t>
            </w:r>
          </w:p>
        </w:tc>
        <w:tc>
          <w:tcPr>
            <w:tcW w:w="2500" w:type="pct"/>
          </w:tcPr>
          <w:p w14:paraId="11896237" w14:textId="77777777" w:rsidR="00D902B3" w:rsidRDefault="00D902B3" w:rsidP="00183CD7">
            <w:pPr>
              <w:rPr>
                <w:rFonts w:ascii="Times New Roman" w:hAnsi="Times New Roman" w:cs="Times New Roman"/>
                <w:noProof/>
                <w:lang w:val="sl-SI" w:eastAsia="fr-FR"/>
              </w:rPr>
            </w:pPr>
            <w:r>
              <w:rPr>
                <w:rFonts w:ascii="Times New Roman" w:eastAsia="맑은 고딕" w:hAnsi="Times New Roman" w:cs="Times New Roman"/>
                <w:b/>
                <w:noProof/>
                <w:lang w:val="sl-SI" w:eastAsia="fr-FR"/>
              </w:rPr>
              <w:t>Malta</w:t>
            </w:r>
          </w:p>
          <w:p w14:paraId="5E898550" w14:textId="77777777" w:rsidR="00D902B3" w:rsidRDefault="00D902B3" w:rsidP="00183CD7">
            <w:pPr>
              <w:tabs>
                <w:tab w:val="left" w:pos="-720"/>
              </w:tabs>
              <w:suppressAutoHyphens/>
              <w:rPr>
                <w:rFonts w:ascii="Times New Roman" w:eastAsia="맑은 고딕" w:hAnsi="Times New Roman" w:cs="Times New Roman"/>
                <w:noProof/>
                <w:lang w:val="sl-SI" w:eastAsia="fr-FR"/>
              </w:rPr>
            </w:pPr>
            <w:r w:rsidRPr="000518B8">
              <w:rPr>
                <w:rFonts w:ascii="Times New Roman" w:eastAsia="맑은 고딕" w:hAnsi="Times New Roman" w:cs="Times New Roman"/>
                <w:noProof/>
                <w:lang w:val="sl-SI" w:eastAsia="fr-FR"/>
              </w:rPr>
              <w:t>Mint Health Ltd.</w:t>
            </w:r>
          </w:p>
          <w:p w14:paraId="5CCC23C7" w14:textId="77777777" w:rsidR="00D902B3" w:rsidRDefault="00D902B3" w:rsidP="00183CD7">
            <w:pPr>
              <w:rPr>
                <w:rFonts w:ascii="Times New Roman" w:eastAsia="맑은 고딕" w:hAnsi="Times New Roman" w:cs="Times New Roman"/>
                <w:noProof/>
                <w:lang w:val="sl-SI" w:eastAsia="ko-KR"/>
              </w:rPr>
            </w:pPr>
            <w:r>
              <w:rPr>
                <w:rFonts w:ascii="Times New Roman" w:eastAsia="맑은 고딕" w:hAnsi="Times New Roman" w:cs="Times New Roman"/>
                <w:noProof/>
                <w:lang w:val="sl-SI" w:eastAsia="fr-FR"/>
              </w:rPr>
              <w:t xml:space="preserve">Tel: +356 </w:t>
            </w:r>
            <w:r w:rsidRPr="000518B8">
              <w:rPr>
                <w:rFonts w:ascii="Times New Roman" w:eastAsia="맑은 고딕" w:hAnsi="Times New Roman" w:cs="Times New Roman"/>
                <w:noProof/>
                <w:lang w:val="sl-SI" w:eastAsia="fr-FR"/>
              </w:rPr>
              <w:t>2093 9800</w:t>
            </w:r>
          </w:p>
          <w:p w14:paraId="1E8581B5" w14:textId="77777777" w:rsidR="00D902B3" w:rsidRDefault="00D902B3" w:rsidP="00183CD7">
            <w:pPr>
              <w:rPr>
                <w:rFonts w:ascii="Times New Roman" w:eastAsia="맑은 고딕" w:hAnsi="Times New Roman" w:cs="Times New Roman"/>
                <w:noProof/>
                <w:lang w:val="sl-SI" w:eastAsia="ko-KR"/>
              </w:rPr>
            </w:pPr>
          </w:p>
        </w:tc>
      </w:tr>
      <w:tr w:rsidR="00D902B3" w14:paraId="4647AB5A" w14:textId="77777777" w:rsidTr="00183CD7">
        <w:tc>
          <w:tcPr>
            <w:tcW w:w="2500" w:type="pct"/>
            <w:hideMark/>
          </w:tcPr>
          <w:p w14:paraId="27563FF6" w14:textId="77777777" w:rsidR="00D902B3" w:rsidRDefault="00D902B3" w:rsidP="00183CD7">
            <w:pPr>
              <w:rPr>
                <w:rFonts w:ascii="Times New Roman" w:hAnsi="Times New Roman" w:cs="Times New Roman"/>
                <w:b/>
                <w:noProof/>
                <w:lang w:val="sl-SI" w:eastAsia="fr-FR"/>
              </w:rPr>
            </w:pPr>
            <w:r>
              <w:rPr>
                <w:rFonts w:ascii="Times New Roman" w:eastAsia="맑은 고딕" w:hAnsi="Times New Roman" w:cs="Times New Roman"/>
                <w:b/>
                <w:noProof/>
                <w:lang w:val="sl-SI" w:eastAsia="fr-FR"/>
              </w:rPr>
              <w:t>Deutschland</w:t>
            </w:r>
          </w:p>
          <w:p w14:paraId="7746D95C" w14:textId="77777777" w:rsidR="004F5C88" w:rsidRDefault="004F5C88" w:rsidP="004F5C88">
            <w:pPr>
              <w:rPr>
                <w:rFonts w:ascii="Times New Roman" w:hAnsi="Times New Roman" w:cs="Times New Roman"/>
                <w:noProof/>
                <w:lang w:eastAsia="ko-KR"/>
              </w:rPr>
            </w:pPr>
            <w:r>
              <w:rPr>
                <w:rFonts w:ascii="Times New Roman" w:hAnsi="Times New Roman" w:cs="Times New Roman"/>
                <w:noProof/>
                <w:lang w:eastAsia="ko-KR"/>
              </w:rPr>
              <w:t>Celltrion Healthcare Deutschland GmbH</w:t>
            </w:r>
          </w:p>
          <w:p w14:paraId="740D88BE" w14:textId="5A237AEF" w:rsidR="004F5C88" w:rsidRDefault="004F5C88" w:rsidP="004F5C88">
            <w:pPr>
              <w:rPr>
                <w:rFonts w:ascii="Times New Roman" w:eastAsia="맑은 고딕" w:hAnsi="Times New Roman" w:cs="Times New Roman"/>
                <w:noProof/>
                <w:lang w:eastAsia="fr-FR"/>
              </w:rPr>
            </w:pPr>
            <w:r>
              <w:rPr>
                <w:rFonts w:ascii="Times New Roman" w:hAnsi="Times New Roman" w:cs="Times New Roman"/>
                <w:noProof/>
                <w:lang w:eastAsia="ko-KR"/>
              </w:rPr>
              <w:t>T</w:t>
            </w:r>
            <w:r w:rsidR="00BA1278">
              <w:rPr>
                <w:rFonts w:ascii="Times New Roman" w:hAnsi="Times New Roman" w:cs="Times New Roman" w:hint="eastAsia"/>
                <w:noProof/>
                <w:lang w:eastAsia="ko-KR"/>
              </w:rPr>
              <w:t>e</w:t>
            </w:r>
            <w:r>
              <w:rPr>
                <w:rFonts w:ascii="Times New Roman" w:hAnsi="Times New Roman" w:cs="Times New Roman"/>
                <w:noProof/>
                <w:lang w:eastAsia="ko-KR"/>
              </w:rPr>
              <w:t>l.: +49 (0)</w:t>
            </w:r>
            <w:r w:rsidR="00BB6903">
              <w:rPr>
                <w:rFonts w:ascii="Times New Roman" w:hAnsi="Times New Roman" w:cs="Times New Roman"/>
                <w:noProof/>
                <w:lang w:eastAsia="ko-KR"/>
              </w:rPr>
              <w:t>30 346494150</w:t>
            </w:r>
          </w:p>
          <w:p w14:paraId="4643D7A3" w14:textId="77777777" w:rsidR="004F5C88" w:rsidRDefault="004F5C88" w:rsidP="004F5C88">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infoDE@celltrionhc.com</w:t>
            </w:r>
          </w:p>
          <w:p w14:paraId="6BB44102" w14:textId="63F2CDA4" w:rsidR="00D902B3" w:rsidRDefault="00D902B3" w:rsidP="00183CD7">
            <w:pPr>
              <w:tabs>
                <w:tab w:val="left" w:pos="-720"/>
              </w:tabs>
              <w:suppressAutoHyphens/>
              <w:rPr>
                <w:rFonts w:ascii="Times New Roman" w:eastAsia="맑은 고딕" w:hAnsi="Times New Roman" w:cs="Times New Roman"/>
                <w:noProof/>
                <w:lang w:val="sl-SI" w:eastAsia="fr-FR"/>
              </w:rPr>
            </w:pPr>
          </w:p>
          <w:p w14:paraId="7D2ECD9A" w14:textId="77777777" w:rsidR="00D902B3" w:rsidRDefault="00D902B3" w:rsidP="00183CD7">
            <w:pPr>
              <w:tabs>
                <w:tab w:val="left" w:pos="-720"/>
              </w:tabs>
              <w:suppressAutoHyphens/>
              <w:rPr>
                <w:rFonts w:ascii="Times New Roman" w:eastAsia="맑은 고딕" w:hAnsi="Times New Roman" w:cs="Times New Roman"/>
                <w:noProof/>
                <w:lang w:val="sl-SI" w:eastAsia="fr-FR"/>
              </w:rPr>
            </w:pPr>
          </w:p>
        </w:tc>
        <w:tc>
          <w:tcPr>
            <w:tcW w:w="2500" w:type="pct"/>
          </w:tcPr>
          <w:p w14:paraId="07929219" w14:textId="77777777" w:rsidR="00D902B3" w:rsidRDefault="00D902B3" w:rsidP="00183CD7">
            <w:pPr>
              <w:rPr>
                <w:rFonts w:ascii="Times New Roman" w:hAnsi="Times New Roman" w:cs="Times New Roman"/>
                <w:noProof/>
                <w:lang w:val="sl-SI" w:eastAsia="fr-FR"/>
              </w:rPr>
            </w:pPr>
            <w:r>
              <w:rPr>
                <w:rFonts w:ascii="Times New Roman" w:eastAsia="맑은 고딕" w:hAnsi="Times New Roman" w:cs="Times New Roman"/>
                <w:b/>
                <w:noProof/>
                <w:lang w:val="sl-SI" w:eastAsia="fr-FR"/>
              </w:rPr>
              <w:t>Nederland</w:t>
            </w:r>
          </w:p>
          <w:p w14:paraId="1CFB7405" w14:textId="77777777" w:rsidR="00D902B3" w:rsidRDefault="00D902B3" w:rsidP="00183CD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Netherlands B.V.</w:t>
            </w:r>
          </w:p>
          <w:p w14:paraId="759E9A5C" w14:textId="77777777" w:rsidR="00D902B3" w:rsidRDefault="00D902B3" w:rsidP="00183CD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+ 31 20 888 7300</w:t>
            </w:r>
          </w:p>
          <w:p w14:paraId="6094C49D" w14:textId="77777777" w:rsidR="00D902B3" w:rsidRDefault="00D902B3" w:rsidP="00183CD7">
            <w:pPr>
              <w:rPr>
                <w:rFonts w:ascii="Times New Roman" w:eastAsia="맑은 고딕" w:hAnsi="Times New Roman" w:cs="Times New Roman"/>
                <w:noProof/>
                <w:lang w:val="sl-SI" w:eastAsia="fr-FR"/>
              </w:rPr>
            </w:pPr>
          </w:p>
        </w:tc>
      </w:tr>
      <w:tr w:rsidR="00D902B3" w14:paraId="72AAA4BF" w14:textId="77777777" w:rsidTr="00183CD7">
        <w:tc>
          <w:tcPr>
            <w:tcW w:w="2500" w:type="pct"/>
            <w:hideMark/>
          </w:tcPr>
          <w:p w14:paraId="46858040" w14:textId="77777777" w:rsidR="00D902B3" w:rsidRDefault="00D902B3" w:rsidP="00183CD7">
            <w:pPr>
              <w:tabs>
                <w:tab w:val="left" w:pos="-720"/>
                <w:tab w:val="left" w:pos="4536"/>
              </w:tabs>
              <w:suppressAutoHyphens/>
              <w:rPr>
                <w:rFonts w:ascii="Times New Roman" w:hAnsi="Times New Roman" w:cs="Times New Roman"/>
                <w:b/>
                <w:noProof/>
                <w:lang w:val="sl-SI" w:eastAsia="fr-FR"/>
              </w:rPr>
            </w:pPr>
            <w:r>
              <w:rPr>
                <w:rFonts w:ascii="Times New Roman" w:eastAsia="맑은 고딕" w:hAnsi="Times New Roman" w:cs="Times New Roman"/>
                <w:b/>
                <w:noProof/>
                <w:lang w:val="sl-SI" w:eastAsia="fr-FR"/>
              </w:rPr>
              <w:t>Eesti</w:t>
            </w:r>
          </w:p>
          <w:p w14:paraId="0A95E7F4" w14:textId="77777777" w:rsidR="00D902B3" w:rsidRDefault="00D902B3" w:rsidP="00183CD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33F020CE" w14:textId="77777777" w:rsidR="00D902B3" w:rsidRDefault="00D902B3" w:rsidP="00183CD7">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1E275C46" w14:textId="77777777" w:rsidR="00D902B3" w:rsidRDefault="00D902B3" w:rsidP="00183CD7">
            <w:pPr>
              <w:tabs>
                <w:tab w:val="left" w:pos="-720"/>
              </w:tabs>
              <w:suppressAutoHyphens/>
              <w:rPr>
                <w:rFonts w:ascii="Times New Roman" w:eastAsia="맑은 고딕" w:hAnsi="Times New Roman" w:cs="Times New Roman"/>
                <w:noProof/>
                <w:lang w:val="sl-SI" w:eastAsia="ko-KR"/>
              </w:rPr>
            </w:pPr>
          </w:p>
        </w:tc>
        <w:tc>
          <w:tcPr>
            <w:tcW w:w="2500" w:type="pct"/>
          </w:tcPr>
          <w:p w14:paraId="670BB04F" w14:textId="77777777" w:rsidR="00D902B3" w:rsidRDefault="00D902B3" w:rsidP="00183CD7">
            <w:pPr>
              <w:tabs>
                <w:tab w:val="left" w:pos="-720"/>
              </w:tabs>
              <w:suppressAutoHyphens/>
              <w:rPr>
                <w:rFonts w:ascii="Times New Roman" w:hAnsi="Times New Roman" w:cs="Times New Roman"/>
                <w:noProof/>
                <w:lang w:val="sl-SI" w:eastAsia="fr-FR"/>
              </w:rPr>
            </w:pPr>
            <w:r>
              <w:rPr>
                <w:rFonts w:ascii="Times New Roman" w:eastAsia="맑은 고딕" w:hAnsi="Times New Roman" w:cs="Times New Roman"/>
                <w:b/>
                <w:noProof/>
                <w:lang w:val="sl-SI" w:eastAsia="fr-FR"/>
              </w:rPr>
              <w:t>Norge</w:t>
            </w:r>
          </w:p>
          <w:p w14:paraId="4677C075" w14:textId="77777777" w:rsidR="00D902B3" w:rsidRDefault="00D902B3" w:rsidP="00183CD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7B1F28B5" w14:textId="77777777" w:rsidR="00D902B3" w:rsidRDefault="00D902B3" w:rsidP="00183CD7">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Tlf: +36 1 231 0493</w:t>
            </w:r>
          </w:p>
          <w:p w14:paraId="7569B0A5" w14:textId="77777777" w:rsidR="00D902B3" w:rsidRDefault="00D902B3" w:rsidP="00183CD7">
            <w:pPr>
              <w:tabs>
                <w:tab w:val="left" w:pos="-720"/>
              </w:tabs>
              <w:suppressAutoHyphens/>
              <w:rPr>
                <w:rFonts w:ascii="Times New Roman" w:eastAsia="맑은 고딕" w:hAnsi="Times New Roman" w:cs="Times New Roman"/>
                <w:noProof/>
                <w:lang w:val="sl-SI" w:eastAsia="ko-KR"/>
              </w:rPr>
            </w:pPr>
          </w:p>
        </w:tc>
      </w:tr>
      <w:tr w:rsidR="00D902B3" w:rsidRPr="00AC7013" w14:paraId="766B713B" w14:textId="77777777" w:rsidTr="00183CD7">
        <w:tc>
          <w:tcPr>
            <w:tcW w:w="2500" w:type="pct"/>
            <w:hideMark/>
          </w:tcPr>
          <w:p w14:paraId="177F2881" w14:textId="77777777" w:rsidR="00D902B3" w:rsidRDefault="00D902B3" w:rsidP="00183CD7">
            <w:pPr>
              <w:rPr>
                <w:rFonts w:ascii="Times New Roman" w:hAnsi="Times New Roman" w:cs="Times New Roman"/>
                <w:noProof/>
                <w:lang w:val="sl-SI" w:eastAsia="fr-FR"/>
              </w:rPr>
            </w:pPr>
            <w:r>
              <w:rPr>
                <w:rFonts w:ascii="Times New Roman" w:hAnsi="Times New Roman" w:cs="Times New Roman"/>
                <w:b/>
                <w:noProof/>
                <w:lang w:val="sl-SI"/>
              </w:rPr>
              <w:t>España</w:t>
            </w:r>
          </w:p>
          <w:p w14:paraId="04418CBF" w14:textId="77777777" w:rsidR="00D902B3" w:rsidRDefault="00D902B3" w:rsidP="00183CD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Kern Pharma, S.L.</w:t>
            </w:r>
          </w:p>
          <w:p w14:paraId="61C1317C" w14:textId="77777777" w:rsidR="00D902B3" w:rsidRDefault="00D902B3" w:rsidP="00183CD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+34 93 700 2525</w:t>
            </w:r>
          </w:p>
          <w:p w14:paraId="4B94416E" w14:textId="77777777" w:rsidR="00D902B3" w:rsidRDefault="00D902B3" w:rsidP="00183CD7">
            <w:pPr>
              <w:rPr>
                <w:rFonts w:ascii="Times New Roman" w:hAnsi="Times New Roman" w:cs="Times New Roman"/>
                <w:b/>
                <w:noProof/>
                <w:lang w:val="sl-SI" w:eastAsia="fr-FR"/>
              </w:rPr>
            </w:pPr>
          </w:p>
        </w:tc>
        <w:tc>
          <w:tcPr>
            <w:tcW w:w="2500" w:type="pct"/>
          </w:tcPr>
          <w:p w14:paraId="119EFB92" w14:textId="77777777" w:rsidR="00D902B3" w:rsidRDefault="00D902B3" w:rsidP="00183CD7">
            <w:pPr>
              <w:rPr>
                <w:rFonts w:ascii="Times New Roman" w:hAnsi="Times New Roman" w:cs="Times New Roman"/>
                <w:noProof/>
                <w:lang w:val="sl-SI" w:eastAsia="fr-FR"/>
              </w:rPr>
            </w:pPr>
            <w:r>
              <w:rPr>
                <w:rFonts w:ascii="Times New Roman" w:hAnsi="Times New Roman" w:cs="Times New Roman"/>
                <w:b/>
                <w:noProof/>
                <w:lang w:val="sl-SI"/>
              </w:rPr>
              <w:t>Österreich</w:t>
            </w:r>
          </w:p>
          <w:p w14:paraId="1B25C504" w14:textId="77777777" w:rsidR="00D902B3" w:rsidRDefault="00D902B3" w:rsidP="00183CD7">
            <w:pPr>
              <w:rPr>
                <w:rFonts w:ascii="Times New Roman" w:eastAsia="맑은 고딕" w:hAnsi="Times New Roman" w:cs="Times New Roman"/>
                <w:noProof/>
                <w:lang w:val="sl-SI" w:eastAsia="ko-KR"/>
              </w:rPr>
            </w:pPr>
            <w:r>
              <w:rPr>
                <w:rFonts w:ascii="Times New Roman" w:eastAsia="맑은 고딕" w:hAnsi="Times New Roman" w:cs="Times New Roman"/>
                <w:noProof/>
                <w:lang w:val="sl-SI" w:eastAsia="fr-FR"/>
              </w:rPr>
              <w:t>Astro-Pharma GmbH</w:t>
            </w:r>
          </w:p>
          <w:p w14:paraId="1303EE0B" w14:textId="77777777" w:rsidR="00D902B3" w:rsidRDefault="00D902B3" w:rsidP="00183CD7">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+43 1 97 99 860</w:t>
            </w:r>
          </w:p>
          <w:p w14:paraId="18CFC955" w14:textId="77777777" w:rsidR="00D902B3" w:rsidRDefault="00D902B3" w:rsidP="00183CD7">
            <w:pPr>
              <w:tabs>
                <w:tab w:val="left" w:pos="-720"/>
              </w:tabs>
              <w:suppressAutoHyphens/>
              <w:rPr>
                <w:rFonts w:ascii="Times New Roman" w:hAnsi="Times New Roman" w:cs="Times New Roman"/>
                <w:noProof/>
                <w:lang w:val="sl-SI" w:eastAsia="fr-FR"/>
              </w:rPr>
            </w:pPr>
          </w:p>
        </w:tc>
      </w:tr>
      <w:tr w:rsidR="00D902B3" w14:paraId="374468E3" w14:textId="77777777" w:rsidTr="00183CD7">
        <w:tc>
          <w:tcPr>
            <w:tcW w:w="2500" w:type="pct"/>
          </w:tcPr>
          <w:p w14:paraId="12E3DCD9" w14:textId="77777777" w:rsidR="00D902B3" w:rsidRDefault="00D902B3" w:rsidP="00183CD7">
            <w:pPr>
              <w:rPr>
                <w:rFonts w:ascii="Times New Roman" w:hAnsi="Times New Roman" w:cs="Times New Roman"/>
                <w:b/>
                <w:noProof/>
                <w:lang w:val="sl-SI" w:eastAsia="fr-FR"/>
              </w:rPr>
            </w:pPr>
            <w:r>
              <w:rPr>
                <w:rFonts w:ascii="Times New Roman" w:hAnsi="Times New Roman" w:cs="Times New Roman"/>
                <w:b/>
                <w:noProof/>
                <w:lang w:val="sl-SI" w:eastAsia="fr-FR"/>
              </w:rPr>
              <w:t>Ελλάδα</w:t>
            </w:r>
          </w:p>
          <w:p w14:paraId="4A9C2069" w14:textId="77777777" w:rsidR="00D902B3" w:rsidRDefault="00D902B3" w:rsidP="00183CD7">
            <w:pPr>
              <w:rPr>
                <w:rFonts w:ascii="Times New Roman" w:hAnsi="Times New Roman" w:cs="Times New Roman"/>
                <w:noProof/>
                <w:lang w:val="sl-SI" w:eastAsia="fr-FR"/>
              </w:rPr>
            </w:pPr>
            <w:r>
              <w:rPr>
                <w:rFonts w:ascii="Times New Roman" w:hAnsi="Times New Roman" w:cs="Times New Roman"/>
                <w:noProof/>
                <w:lang w:val="sl-SI" w:eastAsia="fr-FR"/>
              </w:rPr>
              <w:t>ΒΙΑΝΕΞ Α.Ε.</w:t>
            </w:r>
          </w:p>
          <w:p w14:paraId="62944318" w14:textId="74C7F014" w:rsidR="00D902B3" w:rsidRDefault="00D902B3" w:rsidP="00183CD7">
            <w:pPr>
              <w:rPr>
                <w:rFonts w:ascii="Times New Roman" w:hAnsi="Times New Roman" w:cs="Times New Roman"/>
                <w:noProof/>
                <w:lang w:val="sl-SI" w:eastAsia="fr-FR"/>
              </w:rPr>
            </w:pPr>
            <w:r>
              <w:rPr>
                <w:rFonts w:ascii="Times New Roman" w:hAnsi="Times New Roman" w:cs="Times New Roman"/>
                <w:noProof/>
                <w:lang w:val="sl-SI" w:eastAsia="fr-FR"/>
              </w:rPr>
              <w:t>Τηλ: +30 210 8009111</w:t>
            </w:r>
          </w:p>
          <w:p w14:paraId="6CDEDF96" w14:textId="77777777" w:rsidR="00D902B3" w:rsidRDefault="00D902B3" w:rsidP="00183CD7">
            <w:pPr>
              <w:rPr>
                <w:rFonts w:ascii="Times New Roman" w:eastAsia="맑은 고딕" w:hAnsi="Times New Roman" w:cs="Times New Roman"/>
                <w:noProof/>
                <w:lang w:val="sl-SI" w:eastAsia="fr-FR"/>
              </w:rPr>
            </w:pPr>
          </w:p>
        </w:tc>
        <w:tc>
          <w:tcPr>
            <w:tcW w:w="2500" w:type="pct"/>
          </w:tcPr>
          <w:p w14:paraId="3D345E9A" w14:textId="77777777" w:rsidR="00D902B3" w:rsidRDefault="00D902B3" w:rsidP="00183CD7">
            <w:pPr>
              <w:rPr>
                <w:rFonts w:ascii="Times New Roman" w:eastAsia="맑은 고딕" w:hAnsi="Times New Roman" w:cs="Times New Roman"/>
                <w:b/>
                <w:noProof/>
                <w:lang w:val="sl-SI" w:eastAsia="fr-FR"/>
              </w:rPr>
            </w:pPr>
            <w:r>
              <w:rPr>
                <w:rFonts w:ascii="Times New Roman" w:eastAsia="맑은 고딕" w:hAnsi="Times New Roman" w:cs="Times New Roman"/>
                <w:b/>
                <w:noProof/>
                <w:lang w:val="sl-SI" w:eastAsia="fr-FR"/>
              </w:rPr>
              <w:t>Polska</w:t>
            </w:r>
          </w:p>
          <w:p w14:paraId="1D1DFD02" w14:textId="77777777" w:rsidR="00D902B3" w:rsidRDefault="00D902B3" w:rsidP="00183CD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227FFF02" w14:textId="77777777" w:rsidR="00D902B3" w:rsidRDefault="00D902B3" w:rsidP="00183CD7">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2366BBEE" w14:textId="77777777" w:rsidR="00D902B3" w:rsidRDefault="00D902B3" w:rsidP="00183CD7">
            <w:pPr>
              <w:rPr>
                <w:rFonts w:ascii="Times New Roman" w:hAnsi="Times New Roman" w:cs="Times New Roman"/>
                <w:b/>
                <w:noProof/>
                <w:lang w:val="sl-SI"/>
              </w:rPr>
            </w:pPr>
          </w:p>
        </w:tc>
      </w:tr>
      <w:tr w:rsidR="00D902B3" w:rsidRPr="00475A1E" w14:paraId="321D9619" w14:textId="77777777" w:rsidTr="00183CD7">
        <w:tc>
          <w:tcPr>
            <w:tcW w:w="2500" w:type="pct"/>
          </w:tcPr>
          <w:p w14:paraId="5678949F" w14:textId="77777777" w:rsidR="00D902B3" w:rsidRDefault="00D902B3" w:rsidP="00183CD7">
            <w:pPr>
              <w:rPr>
                <w:rFonts w:ascii="Times New Roman" w:hAnsi="Times New Roman" w:cs="Times New Roman"/>
                <w:b/>
                <w:noProof/>
                <w:lang w:val="sl-SI" w:eastAsia="ko-KR"/>
              </w:rPr>
            </w:pPr>
            <w:r>
              <w:rPr>
                <w:rFonts w:ascii="Times New Roman" w:hAnsi="Times New Roman" w:cs="Times New Roman"/>
                <w:b/>
                <w:noProof/>
                <w:lang w:val="sl-SI" w:eastAsia="ko-KR"/>
              </w:rPr>
              <w:t>France</w:t>
            </w:r>
          </w:p>
          <w:p w14:paraId="6AEA6E87" w14:textId="77777777" w:rsidR="00D902B3" w:rsidRDefault="00D902B3" w:rsidP="00183CD7">
            <w:pPr>
              <w:rPr>
                <w:rFonts w:ascii="Times New Roman" w:hAnsi="Times New Roman" w:cs="Times New Roman"/>
                <w:noProof/>
                <w:lang w:val="sl-SI" w:eastAsia="ko-KR"/>
              </w:rPr>
            </w:pPr>
            <w:r w:rsidRPr="000518B8">
              <w:rPr>
                <w:rFonts w:ascii="Times New Roman" w:hAnsi="Times New Roman" w:cs="Times New Roman"/>
                <w:noProof/>
                <w:lang w:val="sl-SI" w:eastAsia="ko-KR"/>
              </w:rPr>
              <w:t>Celltrion Healthcare France SAS</w:t>
            </w:r>
          </w:p>
          <w:p w14:paraId="3E9F17EC" w14:textId="77777777" w:rsidR="00D902B3" w:rsidRDefault="00D902B3" w:rsidP="00183CD7">
            <w:pPr>
              <w:rPr>
                <w:rFonts w:ascii="Times New Roman" w:eastAsia="맑은 고딕" w:hAnsi="Times New Roman" w:cs="Times New Roman"/>
                <w:noProof/>
                <w:lang w:val="sl-SI" w:eastAsia="ko-KR"/>
              </w:rPr>
            </w:pPr>
            <w:r>
              <w:rPr>
                <w:rFonts w:ascii="Times New Roman" w:hAnsi="Times New Roman" w:cs="Times New Roman"/>
                <w:noProof/>
                <w:lang w:val="sl-SI" w:eastAsia="ko-KR"/>
              </w:rPr>
              <w:t>T</w:t>
            </w:r>
            <w:r>
              <w:rPr>
                <w:rFonts w:ascii="Times New Roman" w:hAnsi="Times New Roman" w:cs="Times New Roman"/>
                <w:lang w:val="sl-SI"/>
              </w:rPr>
              <w:t>é</w:t>
            </w:r>
            <w:r>
              <w:rPr>
                <w:rFonts w:ascii="Times New Roman" w:hAnsi="Times New Roman" w:cs="Times New Roman"/>
                <w:noProof/>
                <w:lang w:val="sl-SI" w:eastAsia="ko-KR"/>
              </w:rPr>
              <w:t>l.: +33 (0)1 71 25 27 00</w:t>
            </w:r>
          </w:p>
          <w:p w14:paraId="78657B58" w14:textId="77777777" w:rsidR="00D902B3" w:rsidRDefault="00D902B3" w:rsidP="00183CD7">
            <w:pPr>
              <w:rPr>
                <w:rFonts w:ascii="Times New Roman" w:eastAsia="맑은 고딕" w:hAnsi="Times New Roman" w:cs="Times New Roman"/>
                <w:noProof/>
                <w:lang w:val="sl-SI" w:eastAsia="fr-FR"/>
              </w:rPr>
            </w:pPr>
          </w:p>
        </w:tc>
        <w:tc>
          <w:tcPr>
            <w:tcW w:w="2500" w:type="pct"/>
          </w:tcPr>
          <w:p w14:paraId="60301A40" w14:textId="77777777" w:rsidR="004D5EDF" w:rsidRPr="002F72A3" w:rsidRDefault="004D5EDF" w:rsidP="004D5EDF">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306BF898" w14:textId="7B702AFA" w:rsidR="004D5EDF" w:rsidRDefault="004D5EDF" w:rsidP="004D5EDF">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392CB5E9" w14:textId="192DA5EB" w:rsidR="004D5EDF" w:rsidRPr="00323C29" w:rsidRDefault="004D5EDF" w:rsidP="004D5EDF">
            <w:pPr>
              <w:rPr>
                <w:rFonts w:ascii="Times New Roman" w:eastAsia="맑은 고딕" w:hAnsi="Times New Roman" w:cs="Times New Roman"/>
                <w:noProof/>
                <w:lang w:val="fr-CA" w:eastAsia="fr-FR"/>
              </w:rPr>
            </w:pPr>
            <w:r w:rsidRPr="00323C29">
              <w:rPr>
                <w:rFonts w:ascii="Times New Roman" w:eastAsia="맑은 고딕" w:hAnsi="Times New Roman" w:cs="Times New Roman"/>
                <w:noProof/>
                <w:lang w:val="fr-CA" w:eastAsia="fr-FR"/>
              </w:rPr>
              <w:t>Tel: +351 21 936 8542</w:t>
            </w:r>
          </w:p>
          <w:p w14:paraId="26555153" w14:textId="77777777" w:rsidR="00D902B3" w:rsidRDefault="00D902B3" w:rsidP="00183CD7">
            <w:pPr>
              <w:rPr>
                <w:rFonts w:ascii="Times New Roman" w:hAnsi="Times New Roman" w:cs="Times New Roman"/>
                <w:b/>
                <w:noProof/>
                <w:lang w:val="sl-SI"/>
              </w:rPr>
            </w:pPr>
          </w:p>
        </w:tc>
      </w:tr>
      <w:tr w:rsidR="00D902B3" w14:paraId="69A82046" w14:textId="77777777" w:rsidTr="00183CD7">
        <w:tc>
          <w:tcPr>
            <w:tcW w:w="2500" w:type="pct"/>
          </w:tcPr>
          <w:p w14:paraId="341418B8" w14:textId="77777777" w:rsidR="00D902B3" w:rsidRDefault="00D902B3" w:rsidP="00183CD7">
            <w:pPr>
              <w:rPr>
                <w:rFonts w:ascii="Times New Roman" w:hAnsi="Times New Roman" w:cs="Times New Roman"/>
                <w:b/>
                <w:noProof/>
                <w:lang w:val="sl-SI" w:eastAsia="ko-KR"/>
              </w:rPr>
            </w:pPr>
            <w:r>
              <w:rPr>
                <w:rFonts w:ascii="Times New Roman" w:hAnsi="Times New Roman" w:cs="Times New Roman"/>
                <w:b/>
                <w:noProof/>
                <w:lang w:val="sl-SI" w:eastAsia="ko-KR"/>
              </w:rPr>
              <w:t>Hrvatska</w:t>
            </w:r>
          </w:p>
          <w:p w14:paraId="02052A4E" w14:textId="77777777" w:rsidR="00D902B3" w:rsidRDefault="00D902B3" w:rsidP="00183CD7">
            <w:pPr>
              <w:rPr>
                <w:rFonts w:ascii="Times New Roman" w:hAnsi="Times New Roman" w:cs="Times New Roman"/>
                <w:noProof/>
                <w:lang w:val="sl-SI" w:eastAsia="ko-KR"/>
              </w:rPr>
            </w:pPr>
            <w:r>
              <w:rPr>
                <w:rFonts w:ascii="Times New Roman" w:hAnsi="Times New Roman" w:cs="Times New Roman"/>
                <w:noProof/>
                <w:lang w:val="sl-SI" w:eastAsia="ko-KR"/>
              </w:rPr>
              <w:t>Oktal Pharma d.o.o.</w:t>
            </w:r>
          </w:p>
          <w:p w14:paraId="1B34B58D" w14:textId="77777777" w:rsidR="00D902B3" w:rsidRDefault="00D902B3" w:rsidP="00183CD7">
            <w:pPr>
              <w:rPr>
                <w:rFonts w:ascii="Times New Roman" w:hAnsi="Times New Roman" w:cs="Times New Roman"/>
                <w:noProof/>
                <w:lang w:val="sl-SI" w:eastAsia="ko-KR"/>
              </w:rPr>
            </w:pPr>
            <w:r>
              <w:rPr>
                <w:rFonts w:ascii="Times New Roman" w:hAnsi="Times New Roman" w:cs="Times New Roman"/>
                <w:noProof/>
                <w:lang w:val="sl-SI" w:eastAsia="ko-KR"/>
              </w:rPr>
              <w:t>Tel: +385 1 6595 777</w:t>
            </w:r>
          </w:p>
          <w:p w14:paraId="50259314" w14:textId="77777777" w:rsidR="00D902B3" w:rsidRDefault="00D902B3" w:rsidP="00183CD7">
            <w:pPr>
              <w:rPr>
                <w:rFonts w:ascii="Times New Roman" w:eastAsia="맑은 고딕" w:hAnsi="Times New Roman" w:cs="Times New Roman"/>
                <w:noProof/>
                <w:lang w:val="sl-SI" w:eastAsia="fr-FR"/>
              </w:rPr>
            </w:pPr>
          </w:p>
        </w:tc>
        <w:tc>
          <w:tcPr>
            <w:tcW w:w="2500" w:type="pct"/>
          </w:tcPr>
          <w:p w14:paraId="4C88413A" w14:textId="77777777" w:rsidR="00D902B3" w:rsidRDefault="00D902B3" w:rsidP="00183CD7">
            <w:pPr>
              <w:tabs>
                <w:tab w:val="left" w:pos="-720"/>
              </w:tabs>
              <w:suppressAutoHyphens/>
              <w:rPr>
                <w:rFonts w:ascii="Times New Roman" w:eastAsia="맑은 고딕" w:hAnsi="Times New Roman" w:cs="Times New Roman"/>
                <w:b/>
                <w:noProof/>
                <w:lang w:val="sl-SI" w:eastAsia="fr-FR"/>
              </w:rPr>
            </w:pPr>
            <w:r>
              <w:rPr>
                <w:rFonts w:ascii="Times New Roman" w:hAnsi="Times New Roman" w:cs="Times New Roman"/>
                <w:b/>
                <w:noProof/>
                <w:lang w:val="sl-SI"/>
              </w:rPr>
              <w:t>România</w:t>
            </w:r>
          </w:p>
          <w:p w14:paraId="223B3B8B" w14:textId="77777777" w:rsidR="00D902B3" w:rsidRDefault="00D902B3" w:rsidP="00183CD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5568056F" w14:textId="77777777" w:rsidR="00D902B3" w:rsidRDefault="00D902B3" w:rsidP="00183CD7">
            <w:pPr>
              <w:tabs>
                <w:tab w:val="left" w:pos="-720"/>
              </w:tabs>
              <w:suppressAutoHyphens/>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+36 1 231 0493</w:t>
            </w:r>
          </w:p>
          <w:p w14:paraId="12A5472C" w14:textId="77777777" w:rsidR="00D902B3" w:rsidRDefault="00D902B3" w:rsidP="00183CD7">
            <w:pPr>
              <w:rPr>
                <w:rFonts w:ascii="Times New Roman" w:hAnsi="Times New Roman" w:cs="Times New Roman"/>
                <w:b/>
                <w:noProof/>
                <w:lang w:val="sl-SI"/>
              </w:rPr>
            </w:pPr>
          </w:p>
        </w:tc>
      </w:tr>
      <w:tr w:rsidR="00D902B3" w14:paraId="76E9F694" w14:textId="77777777" w:rsidTr="00183CD7">
        <w:tc>
          <w:tcPr>
            <w:tcW w:w="2500" w:type="pct"/>
          </w:tcPr>
          <w:p w14:paraId="71EB0D98" w14:textId="77777777" w:rsidR="00D902B3" w:rsidRDefault="00D902B3" w:rsidP="00183CD7">
            <w:pPr>
              <w:tabs>
                <w:tab w:val="left" w:pos="-720"/>
              </w:tabs>
              <w:suppressAutoHyphens/>
              <w:rPr>
                <w:rFonts w:ascii="Times New Roman" w:hAnsi="Times New Roman" w:cs="Times New Roman"/>
                <w:noProof/>
                <w:lang w:val="sl-SI" w:eastAsia="fr-FR"/>
              </w:rPr>
            </w:pPr>
            <w:r>
              <w:rPr>
                <w:rFonts w:ascii="Times New Roman" w:eastAsia="맑은 고딕" w:hAnsi="Times New Roman" w:cs="Times New Roman"/>
                <w:b/>
                <w:noProof/>
                <w:lang w:val="sl-SI" w:eastAsia="fr-FR"/>
              </w:rPr>
              <w:t>Ireland</w:t>
            </w:r>
          </w:p>
          <w:p w14:paraId="61757D33" w14:textId="77777777" w:rsidR="00D902B3" w:rsidRDefault="00D902B3" w:rsidP="00183CD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Ireland Limited</w:t>
            </w:r>
          </w:p>
          <w:p w14:paraId="7350E677" w14:textId="77777777" w:rsidR="00D902B3" w:rsidRDefault="00D902B3" w:rsidP="00183CD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+353 1 223 4026</w:t>
            </w:r>
          </w:p>
          <w:p w14:paraId="01A65460" w14:textId="77777777" w:rsidR="00D902B3" w:rsidRDefault="00D902B3" w:rsidP="00183CD7">
            <w:pPr>
              <w:rPr>
                <w:rFonts w:ascii="Times New Roman" w:eastAsia="맑은 고딕" w:hAnsi="Times New Roman" w:cs="Times New Roman"/>
                <w:noProof/>
                <w:lang w:val="sl-SI" w:eastAsia="fr-FR"/>
              </w:rPr>
            </w:pPr>
          </w:p>
        </w:tc>
        <w:tc>
          <w:tcPr>
            <w:tcW w:w="2500" w:type="pct"/>
          </w:tcPr>
          <w:p w14:paraId="64FFA523" w14:textId="77777777" w:rsidR="00D902B3" w:rsidRDefault="00D902B3" w:rsidP="00183CD7">
            <w:pPr>
              <w:rPr>
                <w:rFonts w:ascii="Times New Roman" w:eastAsia="맑은 고딕" w:hAnsi="Times New Roman" w:cs="Times New Roman"/>
                <w:b/>
                <w:noProof/>
                <w:lang w:val="sl-SI" w:eastAsia="fr-FR"/>
              </w:rPr>
            </w:pPr>
            <w:r>
              <w:rPr>
                <w:rFonts w:ascii="Times New Roman" w:eastAsia="맑은 고딕" w:hAnsi="Times New Roman" w:cs="Times New Roman"/>
                <w:b/>
                <w:noProof/>
                <w:lang w:val="sl-SI" w:eastAsia="fr-FR"/>
              </w:rPr>
              <w:t>Slovenija</w:t>
            </w:r>
          </w:p>
          <w:p w14:paraId="3E6F2DBF" w14:textId="77777777" w:rsidR="00D902B3" w:rsidRDefault="00D902B3" w:rsidP="00183CD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OPH Oktal Pharma d.o.o.</w:t>
            </w:r>
          </w:p>
          <w:p w14:paraId="4A3ACB42" w14:textId="77777777" w:rsidR="00D902B3" w:rsidRDefault="00D902B3" w:rsidP="00183CD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Tel.: +386 1 519 29 22</w:t>
            </w:r>
          </w:p>
          <w:p w14:paraId="4C9478C5" w14:textId="77777777" w:rsidR="00D902B3" w:rsidRDefault="00D902B3" w:rsidP="00183CD7">
            <w:pPr>
              <w:rPr>
                <w:rFonts w:ascii="Times New Roman" w:hAnsi="Times New Roman" w:cs="Times New Roman"/>
                <w:b/>
                <w:noProof/>
                <w:lang w:val="sl-SI"/>
              </w:rPr>
            </w:pPr>
          </w:p>
        </w:tc>
      </w:tr>
      <w:tr w:rsidR="00D902B3" w14:paraId="2A2DFD36" w14:textId="77777777" w:rsidTr="00183CD7">
        <w:tc>
          <w:tcPr>
            <w:tcW w:w="2500" w:type="pct"/>
          </w:tcPr>
          <w:p w14:paraId="08A583E1" w14:textId="77777777" w:rsidR="00D902B3" w:rsidRDefault="00D902B3" w:rsidP="00183CD7">
            <w:pPr>
              <w:rPr>
                <w:rFonts w:ascii="Times New Roman" w:eastAsia="맑은 고딕" w:hAnsi="Times New Roman" w:cs="Times New Roman"/>
                <w:noProof/>
                <w:lang w:val="sl-SI" w:eastAsia="fr-FR"/>
              </w:rPr>
            </w:pPr>
            <w:r>
              <w:rPr>
                <w:rFonts w:ascii="Times New Roman" w:eastAsia="맑은 고딕" w:hAnsi="Times New Roman" w:cs="Times New Roman"/>
                <w:b/>
                <w:noProof/>
                <w:lang w:val="sl-SI" w:eastAsia="fr-FR"/>
              </w:rPr>
              <w:t>Ísland</w:t>
            </w:r>
          </w:p>
          <w:p w14:paraId="50C108CF" w14:textId="77777777" w:rsidR="00D902B3" w:rsidRDefault="00D902B3" w:rsidP="00183CD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187BBE46" w14:textId="77777777" w:rsidR="00D902B3" w:rsidRDefault="00D902B3" w:rsidP="00183CD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Sími: +36 1 231 0493</w:t>
            </w:r>
          </w:p>
        </w:tc>
        <w:tc>
          <w:tcPr>
            <w:tcW w:w="2500" w:type="pct"/>
          </w:tcPr>
          <w:p w14:paraId="5E3F4B6F" w14:textId="77777777" w:rsidR="00D902B3" w:rsidRDefault="00D902B3" w:rsidP="00183CD7">
            <w:pPr>
              <w:rPr>
                <w:rFonts w:ascii="Times New Roman" w:eastAsia="맑은 고딕" w:hAnsi="Times New Roman" w:cs="Times New Roman"/>
                <w:b/>
                <w:noProof/>
                <w:lang w:val="sl-SI" w:eastAsia="fr-FR"/>
              </w:rPr>
            </w:pPr>
            <w:r>
              <w:rPr>
                <w:rFonts w:ascii="Times New Roman" w:hAnsi="Times New Roman" w:cs="Times New Roman"/>
                <w:b/>
                <w:noProof/>
                <w:lang w:val="sl-SI"/>
              </w:rPr>
              <w:t>Slovenská republika</w:t>
            </w:r>
          </w:p>
          <w:p w14:paraId="3D3DD085" w14:textId="77777777" w:rsidR="00D902B3" w:rsidRDefault="00D902B3" w:rsidP="00183CD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07754713" w14:textId="77777777" w:rsidR="00D902B3" w:rsidRDefault="00D902B3" w:rsidP="00183CD7">
            <w:pPr>
              <w:rPr>
                <w:rFonts w:ascii="Times New Roman" w:eastAsia="맑은 고딕" w:hAnsi="Times New Roman" w:cs="Times New Roman"/>
                <w:b/>
                <w:noProof/>
                <w:lang w:val="sl-SI" w:eastAsia="fr-FR"/>
              </w:rPr>
            </w:pPr>
            <w:r>
              <w:rPr>
                <w:rFonts w:ascii="Times New Roman" w:eastAsia="맑은 고딕" w:hAnsi="Times New Roman" w:cs="Times New Roman"/>
                <w:noProof/>
                <w:lang w:val="sl-SI" w:eastAsia="fr-FR"/>
              </w:rPr>
              <w:t>Tel: +36 1 231 0493</w:t>
            </w:r>
          </w:p>
          <w:p w14:paraId="393465B1" w14:textId="77777777" w:rsidR="00D902B3" w:rsidRPr="00DB4D19" w:rsidRDefault="00D902B3" w:rsidP="00183CD7">
            <w:pPr>
              <w:rPr>
                <w:rFonts w:ascii="Times New Roman" w:eastAsia="맑은 고딕" w:hAnsi="Times New Roman" w:cs="Times New Roman"/>
                <w:b/>
                <w:noProof/>
                <w:lang w:val="sl-SI" w:eastAsia="fr-FR"/>
              </w:rPr>
            </w:pPr>
          </w:p>
        </w:tc>
      </w:tr>
      <w:tr w:rsidR="00D902B3" w14:paraId="79F95C88" w14:textId="77777777" w:rsidTr="00183CD7">
        <w:tc>
          <w:tcPr>
            <w:tcW w:w="2500" w:type="pct"/>
          </w:tcPr>
          <w:p w14:paraId="4157C627" w14:textId="77777777" w:rsidR="00D902B3" w:rsidRDefault="00D902B3" w:rsidP="001B02C1">
            <w:pPr>
              <w:rPr>
                <w:rFonts w:ascii="Times New Roman" w:hAnsi="Times New Roman" w:cs="Times New Roman"/>
                <w:noProof/>
                <w:lang w:val="sl-SI" w:eastAsia="fr-FR"/>
              </w:rPr>
            </w:pPr>
            <w:r>
              <w:rPr>
                <w:rFonts w:ascii="Times New Roman" w:eastAsia="맑은 고딕" w:hAnsi="Times New Roman" w:cs="Times New Roman"/>
                <w:b/>
                <w:noProof/>
                <w:lang w:val="sl-SI" w:eastAsia="fr-FR"/>
              </w:rPr>
              <w:t>Italia</w:t>
            </w:r>
          </w:p>
          <w:p w14:paraId="5F598F39" w14:textId="77777777" w:rsidR="00D902B3" w:rsidRDefault="00D902B3" w:rsidP="001B02C1">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Italy S.r.l.</w:t>
            </w:r>
          </w:p>
          <w:p w14:paraId="09D85B5F" w14:textId="77777777" w:rsidR="00D902B3" w:rsidRDefault="00D902B3" w:rsidP="001B02C1">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 xml:space="preserve">Tel: +39 </w:t>
            </w:r>
            <w:r w:rsidRPr="000518B8">
              <w:rPr>
                <w:rFonts w:ascii="Times New Roman" w:eastAsia="맑은 고딕" w:hAnsi="Times New Roman" w:cs="Times New Roman"/>
                <w:noProof/>
                <w:lang w:val="sl-SI" w:eastAsia="fr-FR"/>
              </w:rPr>
              <w:t>0247927040</w:t>
            </w:r>
          </w:p>
          <w:p w14:paraId="4C3600EF" w14:textId="77777777" w:rsidR="00D902B3" w:rsidRDefault="00D902B3" w:rsidP="001B02C1">
            <w:pPr>
              <w:rPr>
                <w:rFonts w:ascii="Times New Roman" w:eastAsia="맑은 고딕" w:hAnsi="Times New Roman" w:cs="Times New Roman"/>
                <w:noProof/>
                <w:lang w:val="sl-SI" w:eastAsia="fr-FR"/>
              </w:rPr>
            </w:pPr>
          </w:p>
        </w:tc>
        <w:tc>
          <w:tcPr>
            <w:tcW w:w="2500" w:type="pct"/>
          </w:tcPr>
          <w:p w14:paraId="4ECEBE38" w14:textId="77777777" w:rsidR="00D902B3" w:rsidRDefault="00D902B3" w:rsidP="001B02C1">
            <w:pPr>
              <w:rPr>
                <w:rFonts w:ascii="Times New Roman" w:hAnsi="Times New Roman" w:cs="Times New Roman"/>
                <w:noProof/>
                <w:lang w:val="sl-SI" w:eastAsia="fr-FR"/>
              </w:rPr>
            </w:pPr>
            <w:r>
              <w:rPr>
                <w:rFonts w:ascii="Times New Roman" w:eastAsia="맑은 고딕" w:hAnsi="Times New Roman" w:cs="Times New Roman"/>
                <w:b/>
                <w:noProof/>
                <w:lang w:val="sl-SI" w:eastAsia="fr-FR"/>
              </w:rPr>
              <w:t>Suomi/Finland</w:t>
            </w:r>
          </w:p>
          <w:p w14:paraId="3E02E66F" w14:textId="77777777" w:rsidR="00566D4D" w:rsidRPr="0036074E" w:rsidRDefault="00566D4D" w:rsidP="001B02C1">
            <w:pPr>
              <w:tabs>
                <w:tab w:val="left" w:pos="-720"/>
              </w:tabs>
              <w:suppressAutoHyphens/>
              <w:rPr>
                <w:rFonts w:ascii="Times New Roman" w:eastAsia="맑은 고딕" w:hAnsi="Times New Roman" w:cs="Times New Roman"/>
                <w:noProof/>
                <w:lang w:val="sl-SI" w:eastAsia="fr-FR"/>
              </w:rPr>
            </w:pPr>
            <w:r w:rsidRPr="0036074E">
              <w:rPr>
                <w:rFonts w:ascii="Times New Roman" w:eastAsia="맑은 고딕" w:hAnsi="Times New Roman" w:cs="Times New Roman"/>
                <w:noProof/>
                <w:lang w:val="sl-SI" w:eastAsia="fr-FR"/>
              </w:rPr>
              <w:t xml:space="preserve">Celltrion Healthcare Finland Oy. </w:t>
            </w:r>
          </w:p>
          <w:p w14:paraId="5EB803D0" w14:textId="356F698C" w:rsidR="00D902B3" w:rsidRDefault="00566D4D" w:rsidP="001B02C1">
            <w:pPr>
              <w:autoSpaceDE w:val="0"/>
              <w:autoSpaceDN w:val="0"/>
              <w:adjustRightInd w:val="0"/>
              <w:rPr>
                <w:rFonts w:ascii="Times New Roman" w:eastAsia="맑은 고딕" w:hAnsi="Times New Roman" w:cs="Times New Roman"/>
                <w:noProof/>
                <w:lang w:val="sl-SI" w:eastAsia="fr-FR"/>
              </w:rPr>
            </w:pPr>
            <w:r w:rsidRPr="0036074E">
              <w:rPr>
                <w:rFonts w:ascii="Times New Roman" w:eastAsia="맑은 고딕" w:hAnsi="Times New Roman" w:cs="Times New Roman"/>
                <w:noProof/>
                <w:lang w:val="sl-SI" w:eastAsia="fr-FR"/>
              </w:rPr>
              <w:t>Puh/Tel: +358 29 170 7755</w:t>
            </w:r>
          </w:p>
          <w:p w14:paraId="547725FE" w14:textId="77777777" w:rsidR="00D902B3" w:rsidRDefault="00D902B3" w:rsidP="001B02C1">
            <w:pPr>
              <w:autoSpaceDE w:val="0"/>
              <w:autoSpaceDN w:val="0"/>
              <w:adjustRightInd w:val="0"/>
              <w:rPr>
                <w:rFonts w:ascii="Times New Roman" w:eastAsia="맑은 고딕" w:hAnsi="Times New Roman" w:cs="Times New Roman"/>
                <w:noProof/>
                <w:lang w:val="sl-SI" w:eastAsia="ko-KR"/>
              </w:rPr>
            </w:pPr>
          </w:p>
        </w:tc>
      </w:tr>
      <w:tr w:rsidR="00D902B3" w14:paraId="51D37240" w14:textId="77777777" w:rsidTr="00183CD7">
        <w:tc>
          <w:tcPr>
            <w:tcW w:w="2500" w:type="pct"/>
          </w:tcPr>
          <w:p w14:paraId="6E5FD6BF" w14:textId="77777777" w:rsidR="00D902B3" w:rsidRDefault="00D902B3" w:rsidP="001B02C1">
            <w:pPr>
              <w:keepNext/>
              <w:keepLines/>
              <w:tabs>
                <w:tab w:val="left" w:pos="-720"/>
              </w:tabs>
              <w:suppressAutoHyphens/>
              <w:rPr>
                <w:rFonts w:ascii="Times New Roman" w:hAnsi="Times New Roman" w:cs="Times New Roman"/>
                <w:b/>
                <w:bCs/>
                <w:noProof/>
                <w:lang w:val="sl-SI" w:eastAsia="fr-FR"/>
              </w:rPr>
            </w:pPr>
            <w:r>
              <w:rPr>
                <w:rFonts w:ascii="Times New Roman" w:hAnsi="Times New Roman" w:cs="Times New Roman"/>
                <w:b/>
                <w:noProof/>
                <w:lang w:val="sl-SI"/>
              </w:rPr>
              <w:lastRenderedPageBreak/>
              <w:t>Κύπρος</w:t>
            </w:r>
          </w:p>
          <w:p w14:paraId="6DBE5BA3" w14:textId="77777777" w:rsidR="00D902B3" w:rsidRDefault="00D902B3" w:rsidP="001B02C1">
            <w:pPr>
              <w:keepNext/>
              <w:keepLines/>
              <w:tabs>
                <w:tab w:val="left" w:pos="-720"/>
              </w:tabs>
              <w:suppressAutoHyphens/>
              <w:rPr>
                <w:rFonts w:ascii="Times New Roman" w:eastAsia="맑은 고딕" w:hAnsi="Times New Roman" w:cs="Times New Roman"/>
                <w:noProof/>
                <w:lang w:val="sl-SI" w:eastAsia="ko-KR"/>
              </w:rPr>
            </w:pPr>
            <w:r>
              <w:rPr>
                <w:rFonts w:ascii="Times New Roman" w:eastAsia="맑은 고딕" w:hAnsi="Times New Roman" w:cs="Times New Roman"/>
                <w:noProof/>
                <w:lang w:val="sl-SI" w:eastAsia="fr-FR"/>
              </w:rPr>
              <w:t>C.A. Papaellinas Ltd</w:t>
            </w:r>
          </w:p>
          <w:p w14:paraId="3ACE7EF7" w14:textId="77777777" w:rsidR="00D902B3" w:rsidRDefault="00D902B3" w:rsidP="001B02C1">
            <w:pPr>
              <w:keepNext/>
              <w:keepLines/>
              <w:autoSpaceDE w:val="0"/>
              <w:autoSpaceDN w:val="0"/>
              <w:adjustRightInd w:val="0"/>
              <w:rPr>
                <w:rFonts w:ascii="Times New Roman" w:eastAsia="맑은 고딕" w:hAnsi="Times New Roman" w:cs="Times New Roman"/>
                <w:b/>
                <w:bCs/>
                <w:lang w:val="sl-SI" w:eastAsia="fr-FR"/>
              </w:rPr>
            </w:pPr>
            <w:r>
              <w:rPr>
                <w:rFonts w:ascii="Times New Roman" w:hAnsi="Times New Roman" w:cs="Times New Roman"/>
                <w:noProof/>
                <w:lang w:val="sl-SI"/>
              </w:rPr>
              <w:t xml:space="preserve">Τηλ: </w:t>
            </w:r>
            <w:r>
              <w:rPr>
                <w:rFonts w:ascii="Times New Roman" w:eastAsia="맑은 고딕" w:hAnsi="Times New Roman" w:cs="Times New Roman"/>
                <w:noProof/>
                <w:lang w:val="sl-SI" w:eastAsia="fr-FR"/>
              </w:rPr>
              <w:t>+357 22741741</w:t>
            </w:r>
          </w:p>
          <w:p w14:paraId="1EE9A239" w14:textId="77777777" w:rsidR="00D902B3" w:rsidRDefault="00D902B3" w:rsidP="001B02C1">
            <w:pPr>
              <w:keepNext/>
              <w:keepLines/>
              <w:autoSpaceDE w:val="0"/>
              <w:autoSpaceDN w:val="0"/>
              <w:adjustRightInd w:val="0"/>
              <w:rPr>
                <w:rFonts w:ascii="Times New Roman" w:eastAsia="맑은 고딕" w:hAnsi="Times New Roman" w:cs="Times New Roman"/>
                <w:b/>
                <w:noProof/>
                <w:lang w:val="sl-SI" w:eastAsia="fr-FR"/>
              </w:rPr>
            </w:pPr>
          </w:p>
        </w:tc>
        <w:tc>
          <w:tcPr>
            <w:tcW w:w="2500" w:type="pct"/>
          </w:tcPr>
          <w:p w14:paraId="6235A998" w14:textId="77777777" w:rsidR="004D5EDF" w:rsidRPr="00D86615" w:rsidRDefault="004D5EDF" w:rsidP="001B02C1">
            <w:pPr>
              <w:keepNext/>
              <w:keepLines/>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t>Sverige</w:t>
            </w:r>
          </w:p>
          <w:p w14:paraId="1182827D" w14:textId="2DAAC678" w:rsidR="004D5EDF" w:rsidRPr="00A53EEB" w:rsidRDefault="004D5EDF" w:rsidP="001B02C1">
            <w:pPr>
              <w:keepNext/>
              <w:keepLines/>
              <w:tabs>
                <w:tab w:val="left" w:pos="-720"/>
              </w:tabs>
              <w:suppressAutoHyphens/>
              <w:rPr>
                <w:rFonts w:ascii="Times New Roman" w:eastAsia="맑은 고딕" w:hAnsi="Times New Roman" w:cs="Times New Roman"/>
                <w:noProof/>
                <w:lang w:eastAsia="ko-KR"/>
              </w:rPr>
            </w:pPr>
            <w:r w:rsidRPr="00A53EEB">
              <w:rPr>
                <w:rFonts w:ascii="Times New Roman" w:eastAsia="맑은 고딕" w:hAnsi="Times New Roman" w:cs="Times New Roman"/>
                <w:noProof/>
                <w:lang w:eastAsia="ko-KR"/>
              </w:rPr>
              <w:t>Celltrion Sweden AB</w:t>
            </w:r>
          </w:p>
          <w:p w14:paraId="56D4A07E" w14:textId="77777777" w:rsidR="004D5EDF" w:rsidRPr="00A53EEB" w:rsidRDefault="004D5EDF" w:rsidP="001B02C1">
            <w:pPr>
              <w:keepNext/>
              <w:keepLines/>
              <w:tabs>
                <w:tab w:val="left" w:pos="-720"/>
              </w:tabs>
              <w:suppressAutoHyphens/>
              <w:rPr>
                <w:rFonts w:ascii="Times New Roman" w:eastAsia="맑은 고딕" w:hAnsi="Times New Roman" w:cs="Times New Roman"/>
                <w:bCs/>
                <w:noProof/>
                <w:u w:val="single"/>
                <w:lang w:eastAsia="ko-KR"/>
              </w:rPr>
            </w:pPr>
            <w:hyperlink r:id="rId160" w:history="1">
              <w:r w:rsidRPr="00A53EEB">
                <w:rPr>
                  <w:rStyle w:val="ad"/>
                  <w:rFonts w:ascii="Times New Roman" w:eastAsia="맑은 고딕" w:hAnsi="Times New Roman" w:cs="Times New Roman"/>
                  <w:noProof/>
                  <w:lang w:eastAsia="ko-KR"/>
                </w:rPr>
                <w:t>contact_se@celltrionhc.com</w:t>
              </w:r>
            </w:hyperlink>
          </w:p>
          <w:p w14:paraId="667FD9CD" w14:textId="67A28E30" w:rsidR="00D902B3" w:rsidRPr="004D5EDF" w:rsidRDefault="00D902B3" w:rsidP="001B02C1">
            <w:pPr>
              <w:keepNext/>
              <w:keepLines/>
              <w:tabs>
                <w:tab w:val="left" w:pos="-720"/>
              </w:tabs>
              <w:suppressAutoHyphens/>
              <w:rPr>
                <w:rFonts w:ascii="Times New Roman" w:eastAsia="맑은 고딕" w:hAnsi="Times New Roman" w:cs="Times New Roman"/>
                <w:b/>
                <w:noProof/>
                <w:lang w:eastAsia="fr-FR"/>
              </w:rPr>
            </w:pPr>
          </w:p>
        </w:tc>
      </w:tr>
      <w:tr w:rsidR="00D902B3" w14:paraId="5779E426" w14:textId="77777777" w:rsidTr="00183CD7">
        <w:tc>
          <w:tcPr>
            <w:tcW w:w="2500" w:type="pct"/>
          </w:tcPr>
          <w:p w14:paraId="37D2E6DB" w14:textId="77777777" w:rsidR="00D902B3" w:rsidRDefault="00D902B3" w:rsidP="00183CD7">
            <w:pPr>
              <w:rPr>
                <w:rFonts w:ascii="Times New Roman" w:eastAsia="맑은 고딕" w:hAnsi="Times New Roman" w:cs="Times New Roman"/>
                <w:b/>
                <w:noProof/>
                <w:lang w:val="sl-SI" w:eastAsia="fr-FR"/>
              </w:rPr>
            </w:pPr>
            <w:r>
              <w:rPr>
                <w:rFonts w:ascii="Times New Roman" w:eastAsia="맑은 고딕" w:hAnsi="Times New Roman" w:cs="Times New Roman"/>
                <w:b/>
                <w:noProof/>
                <w:lang w:val="sl-SI" w:eastAsia="fr-FR"/>
              </w:rPr>
              <w:t>Latvija</w:t>
            </w:r>
          </w:p>
          <w:p w14:paraId="30EF1EB9" w14:textId="77777777" w:rsidR="00D902B3" w:rsidRDefault="00D902B3" w:rsidP="00183CD7">
            <w:pPr>
              <w:rPr>
                <w:rFonts w:ascii="Times New Roman" w:eastAsia="맑은 고딕" w:hAnsi="Times New Roman" w:cs="Times New Roman"/>
                <w:noProof/>
                <w:lang w:val="sl-SI" w:eastAsia="fr-FR"/>
              </w:rPr>
            </w:pPr>
            <w:r>
              <w:rPr>
                <w:rFonts w:ascii="Times New Roman" w:eastAsia="맑은 고딕" w:hAnsi="Times New Roman" w:cs="Times New Roman"/>
                <w:noProof/>
                <w:lang w:val="sl-SI" w:eastAsia="fr-FR"/>
              </w:rPr>
              <w:t>Celltrion Healthcare Hungary Kft.</w:t>
            </w:r>
          </w:p>
          <w:p w14:paraId="607A7DC4" w14:textId="77777777" w:rsidR="00D902B3" w:rsidRDefault="00D902B3" w:rsidP="00183CD7">
            <w:pPr>
              <w:autoSpaceDE w:val="0"/>
              <w:autoSpaceDN w:val="0"/>
              <w:adjustRightInd w:val="0"/>
              <w:rPr>
                <w:rFonts w:ascii="Times New Roman" w:eastAsia="맑은 고딕" w:hAnsi="Times New Roman" w:cs="Times New Roman"/>
                <w:noProof/>
                <w:lang w:val="sl-SI" w:eastAsia="fr-FR"/>
              </w:rPr>
            </w:pPr>
            <w:r w:rsidRPr="001E1A19">
              <w:rPr>
                <w:rFonts w:ascii="Times New Roman" w:eastAsia="맑은 고딕" w:hAnsi="Times New Roman" w:cs="Times New Roman"/>
                <w:noProof/>
                <w:lang w:val="sl-SI" w:eastAsia="fr-FR"/>
              </w:rPr>
              <w:t xml:space="preserve">Tālr.: </w:t>
            </w:r>
            <w:r>
              <w:rPr>
                <w:rFonts w:ascii="Times New Roman" w:eastAsia="맑은 고딕" w:hAnsi="Times New Roman" w:cs="Times New Roman"/>
                <w:noProof/>
                <w:lang w:val="sl-SI" w:eastAsia="fr-FR"/>
              </w:rPr>
              <w:t>+36 1 231 0493</w:t>
            </w:r>
          </w:p>
          <w:p w14:paraId="5637AAE2" w14:textId="77777777" w:rsidR="00D902B3" w:rsidRDefault="00D902B3" w:rsidP="00183CD7">
            <w:pPr>
              <w:autoSpaceDE w:val="0"/>
              <w:autoSpaceDN w:val="0"/>
              <w:adjustRightInd w:val="0"/>
              <w:rPr>
                <w:rFonts w:ascii="Times New Roman" w:eastAsia="맑은 고딕" w:hAnsi="Times New Roman" w:cs="Times New Roman"/>
                <w:b/>
                <w:bCs/>
                <w:lang w:val="sl-SI" w:eastAsia="fr-FR"/>
              </w:rPr>
            </w:pPr>
          </w:p>
        </w:tc>
        <w:tc>
          <w:tcPr>
            <w:tcW w:w="2500" w:type="pct"/>
          </w:tcPr>
          <w:p w14:paraId="42F54C38" w14:textId="77777777" w:rsidR="00D902B3" w:rsidRDefault="00D902B3" w:rsidP="00F40A58">
            <w:pPr>
              <w:tabs>
                <w:tab w:val="left" w:pos="-720"/>
              </w:tabs>
              <w:suppressAutoHyphens/>
              <w:rPr>
                <w:rFonts w:ascii="Times New Roman" w:eastAsia="맑은 고딕" w:hAnsi="Times New Roman" w:cs="Times New Roman"/>
                <w:b/>
                <w:noProof/>
                <w:lang w:val="sl-SI" w:eastAsia="fr-FR"/>
              </w:rPr>
            </w:pPr>
          </w:p>
        </w:tc>
      </w:tr>
    </w:tbl>
    <w:p w14:paraId="7A325D8B" w14:textId="77777777" w:rsidR="00D902B3" w:rsidRDefault="00D902B3" w:rsidP="00D902B3">
      <w:pPr>
        <w:numPr>
          <w:ilvl w:val="12"/>
          <w:numId w:val="0"/>
        </w:numPr>
        <w:rPr>
          <w:rFonts w:ascii="Times New Roman" w:hAnsi="Times New Roman" w:cs="Times New Roman"/>
          <w:b/>
          <w:noProof/>
          <w:lang w:val="sl-SI"/>
        </w:rPr>
      </w:pPr>
    </w:p>
    <w:p w14:paraId="793B923B" w14:textId="77777777" w:rsidR="00D902B3" w:rsidRDefault="00D902B3" w:rsidP="00D902B3">
      <w:pPr>
        <w:numPr>
          <w:ilvl w:val="12"/>
          <w:numId w:val="0"/>
        </w:numPr>
        <w:rPr>
          <w:rFonts w:ascii="Times New Roman" w:hAnsi="Times New Roman" w:cs="Times New Roman"/>
          <w:b/>
          <w:noProof/>
          <w:lang w:val="sl-SI"/>
        </w:rPr>
      </w:pPr>
    </w:p>
    <w:p w14:paraId="7D65E1A2" w14:textId="77777777" w:rsidR="00D902B3" w:rsidRDefault="00D902B3" w:rsidP="00D902B3">
      <w:pPr>
        <w:numPr>
          <w:ilvl w:val="12"/>
          <w:numId w:val="0"/>
        </w:numPr>
        <w:rPr>
          <w:rFonts w:ascii="Times New Roman" w:eastAsia="맑은 고딕" w:hAnsi="Times New Roman" w:cs="Times New Roman"/>
          <w:noProof/>
          <w:lang w:val="sl-SI" w:eastAsia="ko-KR"/>
        </w:rPr>
      </w:pPr>
      <w:r>
        <w:rPr>
          <w:rFonts w:ascii="Times New Roman" w:eastAsia="Times New Roman" w:hAnsi="Times New Roman" w:cs="Times New Roman"/>
          <w:b/>
          <w:bCs/>
          <w:noProof/>
          <w:lang w:val="sl-SI"/>
        </w:rPr>
        <w:t xml:space="preserve">Navodilo je bilo nazadnje revidirano dne </w:t>
      </w:r>
      <w:r>
        <w:rPr>
          <w:rFonts w:ascii="Times New Roman" w:eastAsia="Times New Roman" w:hAnsi="Times New Roman" w:cs="Times New Roman"/>
          <w:noProof/>
          <w:lang w:val="sl-SI"/>
        </w:rPr>
        <w:t>.</w:t>
      </w:r>
    </w:p>
    <w:p w14:paraId="488DFBF6" w14:textId="77777777" w:rsidR="00D902B3" w:rsidRDefault="00D902B3" w:rsidP="00D902B3">
      <w:pPr>
        <w:numPr>
          <w:ilvl w:val="12"/>
          <w:numId w:val="0"/>
        </w:numPr>
        <w:rPr>
          <w:rFonts w:ascii="Times New Roman" w:hAnsi="Times New Roman" w:cs="Times New Roman"/>
          <w:noProof/>
          <w:lang w:val="sl-SI"/>
        </w:rPr>
      </w:pPr>
    </w:p>
    <w:p w14:paraId="0A07ECCE" w14:textId="77777777" w:rsidR="00D902B3" w:rsidRDefault="00D902B3" w:rsidP="00D902B3">
      <w:pPr>
        <w:numPr>
          <w:ilvl w:val="12"/>
          <w:numId w:val="0"/>
        </w:numPr>
        <w:rPr>
          <w:rFonts w:ascii="Times New Roman" w:hAnsi="Times New Roman" w:cs="Times New Roman"/>
          <w:b/>
          <w:noProof/>
          <w:lang w:val="sl-SI"/>
        </w:rPr>
      </w:pPr>
      <w:r>
        <w:rPr>
          <w:rFonts w:ascii="Times New Roman" w:eastAsia="Times New Roman" w:hAnsi="Times New Roman" w:cs="Times New Roman"/>
          <w:b/>
          <w:bCs/>
          <w:noProof/>
          <w:lang w:val="sl-SI"/>
        </w:rPr>
        <w:t>Drugi viri informacij</w:t>
      </w:r>
    </w:p>
    <w:p w14:paraId="6D14458B" w14:textId="77777777" w:rsidR="00D902B3" w:rsidRDefault="00D902B3" w:rsidP="00D902B3">
      <w:pPr>
        <w:pStyle w:val="a3"/>
        <w:rPr>
          <w:lang w:val="sl-SI"/>
        </w:rPr>
      </w:pPr>
    </w:p>
    <w:p w14:paraId="3DBCD3DE" w14:textId="77777777" w:rsidR="00D902B3" w:rsidRDefault="00D902B3" w:rsidP="00D902B3">
      <w:pPr>
        <w:numPr>
          <w:ilvl w:val="12"/>
          <w:numId w:val="0"/>
        </w:numPr>
        <w:rPr>
          <w:rFonts w:ascii="Times New Roman" w:eastAsia="맑은 고딕" w:hAnsi="Times New Roman" w:cs="Times New Roman"/>
          <w:noProof/>
          <w:color w:val="0000FF"/>
          <w:lang w:val="sl-SI" w:eastAsia="ko-KR"/>
        </w:rPr>
      </w:pPr>
      <w:r>
        <w:rPr>
          <w:rFonts w:ascii="Times New Roman" w:eastAsia="Times New Roman" w:hAnsi="Times New Roman" w:cs="Times New Roman"/>
          <w:lang w:val="sl-SI"/>
        </w:rPr>
        <w:t xml:space="preserve">Podrobne informacije o zdravilu so objavljene na spletni strani Evropske agencije za zdravila </w:t>
      </w:r>
      <w:hyperlink r:id="rId161" w:history="1">
        <w:r w:rsidRPr="008E1817">
          <w:rPr>
            <w:rStyle w:val="ad"/>
            <w:rFonts w:ascii="Times New Roman" w:eastAsia="Times New Roman" w:hAnsi="Times New Roman" w:cs="Times New Roman"/>
            <w:lang w:val="sl-SI"/>
          </w:rPr>
          <w:t>http://www.ema.europa.eu</w:t>
        </w:r>
      </w:hyperlink>
    </w:p>
    <w:p w14:paraId="1018B48F" w14:textId="77777777" w:rsidR="00D902B3" w:rsidRDefault="00D902B3" w:rsidP="00D902B3">
      <w:pPr>
        <w:spacing w:before="4" w:line="100" w:lineRule="exact"/>
        <w:rPr>
          <w:sz w:val="10"/>
          <w:szCs w:val="10"/>
          <w:lang w:val="sl-SI"/>
        </w:rPr>
      </w:pPr>
    </w:p>
    <w:p w14:paraId="1ED37B50" w14:textId="77777777" w:rsidR="00D902B3" w:rsidRDefault="00D902B3" w:rsidP="00D902B3">
      <w:pPr>
        <w:spacing w:line="200" w:lineRule="exact"/>
        <w:rPr>
          <w:b/>
          <w:sz w:val="20"/>
          <w:szCs w:val="20"/>
          <w:lang w:val="sl-SI"/>
        </w:rPr>
      </w:pPr>
    </w:p>
    <w:p w14:paraId="322E69BB" w14:textId="77777777" w:rsidR="00D902B3" w:rsidRDefault="00D902B3" w:rsidP="00D902B3">
      <w:pPr>
        <w:spacing w:line="200" w:lineRule="exact"/>
        <w:rPr>
          <w:b/>
          <w:sz w:val="20"/>
          <w:szCs w:val="20"/>
          <w:lang w:val="sl-SI"/>
        </w:rPr>
      </w:pPr>
    </w:p>
    <w:p w14:paraId="399AF138" w14:textId="77777777" w:rsidR="00D902B3" w:rsidRDefault="00D902B3" w:rsidP="007811C6">
      <w:pPr>
        <w:pStyle w:val="a4"/>
        <w:numPr>
          <w:ilvl w:val="0"/>
          <w:numId w:val="141"/>
        </w:numPr>
        <w:spacing w:before="18" w:line="240" w:lineRule="exact"/>
        <w:ind w:hanging="468"/>
        <w:rPr>
          <w:rFonts w:ascii="Times New Roman" w:eastAsia="Times New Roman" w:hAnsi="Times New Roman" w:cs="Times New Roman"/>
          <w:b/>
          <w:lang w:val="sl-SI"/>
        </w:rPr>
      </w:pPr>
      <w:r>
        <w:rPr>
          <w:rFonts w:ascii="Times New Roman" w:eastAsia="Times New Roman" w:hAnsi="Times New Roman" w:cs="Times New Roman"/>
          <w:b/>
          <w:bCs/>
          <w:spacing w:val="-1"/>
          <w:lang w:val="sl-SI"/>
        </w:rPr>
        <w:t>Navodila za uporabo</w:t>
      </w:r>
    </w:p>
    <w:p w14:paraId="0824B35C" w14:textId="77777777" w:rsidR="00D902B3" w:rsidRDefault="00D902B3" w:rsidP="00D902B3">
      <w:pPr>
        <w:spacing w:before="9" w:line="260" w:lineRule="exact"/>
        <w:rPr>
          <w:b/>
          <w:sz w:val="26"/>
          <w:szCs w:val="26"/>
          <w:lang w:val="sl-SI"/>
        </w:rPr>
      </w:pPr>
    </w:p>
    <w:p w14:paraId="030184E0" w14:textId="11F08A76" w:rsidR="00D902B3" w:rsidRDefault="007811C6" w:rsidP="00D902B3">
      <w:pPr>
        <w:pStyle w:val="a3"/>
        <w:numPr>
          <w:ilvl w:val="1"/>
          <w:numId w:val="4"/>
        </w:numPr>
        <w:ind w:left="660" w:hanging="660"/>
        <w:rPr>
          <w:lang w:val="sl-SI"/>
        </w:rPr>
      </w:pPr>
      <w:r w:rsidRPr="007811C6">
        <w:rPr>
          <w:lang w:val="sl-SI"/>
        </w:rPr>
        <w:t xml:space="preserve">Naslednja navodila pojasnjujejo, kako vašemu otroku subkutano injicirate zdravilo </w:t>
      </w:r>
      <w:r>
        <w:rPr>
          <w:lang w:val="sl-SI"/>
        </w:rPr>
        <w:t>Yuflyma</w:t>
      </w:r>
      <w:r w:rsidRPr="007811C6">
        <w:rPr>
          <w:lang w:val="sl-SI"/>
        </w:rPr>
        <w:t xml:space="preserve"> z napolnjeno injekcijsko brizgo. </w:t>
      </w:r>
      <w:r w:rsidRPr="00566D4D">
        <w:rPr>
          <w:lang w:val="sl-SI"/>
        </w:rPr>
        <w:t>Navodila najprej natančno preberite in jih upoštevajte korak za korakom</w:t>
      </w:r>
      <w:r w:rsidR="00D902B3">
        <w:rPr>
          <w:rFonts w:eastAsia="Times New Roman"/>
          <w:lang w:val="sl-SI"/>
        </w:rPr>
        <w:t>.</w:t>
      </w:r>
    </w:p>
    <w:p w14:paraId="6C533E8B" w14:textId="77777777" w:rsidR="00D902B3" w:rsidRDefault="00D902B3" w:rsidP="00D902B3">
      <w:pPr>
        <w:pStyle w:val="a3"/>
        <w:rPr>
          <w:lang w:val="sl-SI"/>
        </w:rPr>
      </w:pPr>
    </w:p>
    <w:p w14:paraId="50934B0A" w14:textId="642A3134" w:rsidR="00D902B3" w:rsidRDefault="007811C6" w:rsidP="00D902B3">
      <w:pPr>
        <w:pStyle w:val="a3"/>
        <w:numPr>
          <w:ilvl w:val="1"/>
          <w:numId w:val="4"/>
        </w:numPr>
        <w:ind w:left="660" w:hanging="660"/>
        <w:rPr>
          <w:lang w:val="sl-SI"/>
        </w:rPr>
      </w:pPr>
      <w:r w:rsidRPr="00566D4D">
        <w:rPr>
          <w:lang w:val="sl-SI"/>
        </w:rPr>
        <w:t>Zdravnik, farmacevt ali medicinska sestra vas bodo naučili, kako si zdravilo injicirate sami</w:t>
      </w:r>
      <w:r w:rsidR="00D902B3">
        <w:rPr>
          <w:rFonts w:eastAsia="Times New Roman"/>
          <w:lang w:val="sl-SI"/>
        </w:rPr>
        <w:t>.</w:t>
      </w:r>
    </w:p>
    <w:p w14:paraId="3DB2A8CF" w14:textId="77777777" w:rsidR="00D902B3" w:rsidRDefault="00D902B3" w:rsidP="00D902B3">
      <w:pPr>
        <w:pStyle w:val="a3"/>
        <w:rPr>
          <w:lang w:val="sl-SI"/>
        </w:rPr>
      </w:pPr>
    </w:p>
    <w:p w14:paraId="0A02CF70" w14:textId="69AD8316" w:rsidR="00D902B3" w:rsidRDefault="007811C6" w:rsidP="00D902B3">
      <w:pPr>
        <w:pStyle w:val="a3"/>
        <w:numPr>
          <w:ilvl w:val="1"/>
          <w:numId w:val="4"/>
        </w:numPr>
        <w:ind w:left="660" w:hanging="660"/>
        <w:rPr>
          <w:lang w:val="sl-SI"/>
        </w:rPr>
      </w:pPr>
      <w:r w:rsidRPr="00566D4D">
        <w:rPr>
          <w:b/>
          <w:lang w:val="sl-SI"/>
        </w:rPr>
        <w:t>Ne</w:t>
      </w:r>
      <w:r w:rsidRPr="00566D4D">
        <w:rPr>
          <w:lang w:val="sl-SI"/>
        </w:rPr>
        <w:t xml:space="preserve"> poskušajte vašemu otroku zdravila injicirati, dokler popolnoma ne obvladate priprave in dajanja injekcije</w:t>
      </w:r>
      <w:r w:rsidR="00D902B3">
        <w:rPr>
          <w:rFonts w:eastAsia="Times New Roman"/>
          <w:lang w:val="sl-SI"/>
        </w:rPr>
        <w:t>.</w:t>
      </w:r>
    </w:p>
    <w:p w14:paraId="28DCC50B" w14:textId="77777777" w:rsidR="00D902B3" w:rsidRDefault="00D902B3" w:rsidP="00D902B3">
      <w:pPr>
        <w:pStyle w:val="a3"/>
        <w:rPr>
          <w:lang w:val="sl-SI"/>
        </w:rPr>
      </w:pPr>
    </w:p>
    <w:p w14:paraId="38800A2B" w14:textId="7BF1308A" w:rsidR="00D902B3" w:rsidRDefault="007811C6" w:rsidP="00D902B3">
      <w:pPr>
        <w:pStyle w:val="a3"/>
        <w:numPr>
          <w:ilvl w:val="1"/>
          <w:numId w:val="4"/>
        </w:numPr>
        <w:ind w:left="660" w:hanging="660"/>
        <w:rPr>
          <w:lang w:val="sl-SI"/>
        </w:rPr>
      </w:pPr>
      <w:r w:rsidRPr="007811C6">
        <w:rPr>
          <w:lang w:val="sl-SI"/>
        </w:rPr>
        <w:t>Po ustreznem urjenju si lahko injekcije daje vaš otrok sam ali mu jih daje kdo drug, na primer svojec ali prijatelj.</w:t>
      </w:r>
    </w:p>
    <w:p w14:paraId="2312DEED" w14:textId="77777777" w:rsidR="00D902B3" w:rsidRDefault="00D902B3" w:rsidP="00D902B3">
      <w:pPr>
        <w:pStyle w:val="a3"/>
        <w:rPr>
          <w:lang w:val="sl-SI"/>
        </w:rPr>
      </w:pPr>
    </w:p>
    <w:p w14:paraId="25FEF2A1" w14:textId="51497ED1" w:rsidR="00D902B3" w:rsidRDefault="007811C6" w:rsidP="00D902B3">
      <w:pPr>
        <w:pStyle w:val="a3"/>
        <w:numPr>
          <w:ilvl w:val="1"/>
          <w:numId w:val="4"/>
        </w:numPr>
        <w:ind w:left="660" w:hanging="660"/>
        <w:rPr>
          <w:lang w:val="sl-SI"/>
        </w:rPr>
      </w:pPr>
      <w:r w:rsidRPr="00566D4D">
        <w:rPr>
          <w:lang w:val="sl-SI"/>
        </w:rPr>
        <w:t>Eno napolnjeno injekcijsko brizgo uporabite samo za eno injiciranje</w:t>
      </w:r>
      <w:r w:rsidR="00D902B3">
        <w:rPr>
          <w:rFonts w:eastAsia="Times New Roman"/>
          <w:lang w:val="sl-SI"/>
        </w:rPr>
        <w:t>.</w:t>
      </w:r>
    </w:p>
    <w:p w14:paraId="40AEDDBC" w14:textId="77777777" w:rsidR="00D902B3" w:rsidRDefault="00D902B3" w:rsidP="00D902B3">
      <w:pPr>
        <w:rPr>
          <w:rFonts w:ascii="Times New Roman" w:hAnsi="Times New Roman" w:cs="Times New Roman"/>
          <w:lang w:val="sl-SI"/>
        </w:rPr>
      </w:pPr>
    </w:p>
    <w:p w14:paraId="0F7D4792" w14:textId="77777777" w:rsidR="00D902B3" w:rsidRDefault="00D902B3" w:rsidP="00D902B3">
      <w:pPr>
        <w:rPr>
          <w:rFonts w:ascii="Times New Roman" w:hAnsi="Times New Roman" w:cs="Times New Roman"/>
          <w:lang w:val="sl-SI"/>
        </w:rPr>
      </w:pPr>
      <w:r>
        <w:rPr>
          <w:lang w:val="sl-SI"/>
        </w:rPr>
        <w:br w:type="page"/>
      </w:r>
    </w:p>
    <w:p w14:paraId="730E0C80" w14:textId="77777777" w:rsidR="006D67C9" w:rsidRDefault="006D67C9" w:rsidP="006D67C9">
      <w:pPr>
        <w:pStyle w:val="a3"/>
        <w:rPr>
          <w:b/>
          <w:lang w:val="sl-SI"/>
        </w:rPr>
      </w:pPr>
      <w:r>
        <w:rPr>
          <w:rFonts w:eastAsia="Times New Roman"/>
          <w:b/>
          <w:bCs/>
          <w:lang w:val="sl-SI"/>
        </w:rPr>
        <w:lastRenderedPageBreak/>
        <w:t>Zdravilo Yuflyma napolnjena injekcijska brizga</w:t>
      </w:r>
    </w:p>
    <w:p w14:paraId="7D027DE3" w14:textId="0EA0EC95" w:rsidR="006D67C9" w:rsidRDefault="006D67C9" w:rsidP="006D67C9">
      <w:pPr>
        <w:spacing w:before="13" w:line="240" w:lineRule="exact"/>
        <w:rPr>
          <w:sz w:val="24"/>
          <w:szCs w:val="24"/>
          <w:lang w:val="sl-SI"/>
        </w:rPr>
      </w:pPr>
    </w:p>
    <w:p w14:paraId="63A4632D" w14:textId="4322C6AB" w:rsidR="006D67C9" w:rsidRDefault="006D67C9" w:rsidP="00385E1F">
      <w:pPr>
        <w:pStyle w:val="a3"/>
        <w:jc w:val="center"/>
        <w:rPr>
          <w:rFonts w:eastAsia="Times New Roman"/>
          <w:sz w:val="20"/>
          <w:szCs w:val="20"/>
          <w:lang w:val="sl-SI"/>
        </w:rPr>
      </w:pPr>
      <w:r w:rsidRPr="00B11B84">
        <w:rPr>
          <w:noProof/>
          <w:sz w:val="24"/>
          <w:szCs w:val="24"/>
          <w:lang w:eastAsia="ko-KR"/>
        </w:rPr>
        <w:drawing>
          <wp:inline distT="0" distB="0" distL="0" distR="0" wp14:anchorId="22B10632" wp14:editId="0DC4534E">
            <wp:extent cx="3390900" cy="3455066"/>
            <wp:effectExtent l="19050" t="19050" r="19050" b="12065"/>
            <wp:docPr id="406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그림 1"/>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0" y="0"/>
                      <a:ext cx="3396266" cy="3460533"/>
                    </a:xfrm>
                    <a:prstGeom prst="rect">
                      <a:avLst/>
                    </a:prstGeom>
                    <a:ln>
                      <a:solidFill>
                        <a:schemeClr val="tx1"/>
                      </a:solidFill>
                    </a:ln>
                  </pic:spPr>
                </pic:pic>
              </a:graphicData>
            </a:graphic>
          </wp:inline>
        </w:drawing>
      </w:r>
    </w:p>
    <w:p w14:paraId="347D9CF9" w14:textId="282C5634" w:rsidR="006D67C9" w:rsidRDefault="006D67C9" w:rsidP="006D67C9">
      <w:pPr>
        <w:pStyle w:val="a3"/>
        <w:rPr>
          <w:rFonts w:eastAsia="Times New Roman"/>
          <w:sz w:val="20"/>
          <w:szCs w:val="20"/>
          <w:lang w:val="sl-SI"/>
        </w:rPr>
      </w:pPr>
      <w:r>
        <w:rPr>
          <w:noProof/>
          <w:lang w:eastAsia="ko-KR"/>
        </w:rPr>
        <mc:AlternateContent>
          <mc:Choice Requires="wps">
            <w:drawing>
              <wp:anchor distT="0" distB="0" distL="114300" distR="114300" simplePos="0" relativeHeight="251658360" behindDoc="0" locked="0" layoutInCell="1" allowOverlap="1" wp14:anchorId="33359367" wp14:editId="010C0D6E">
                <wp:simplePos x="0" y="0"/>
                <wp:positionH relativeFrom="column">
                  <wp:posOffset>3839210</wp:posOffset>
                </wp:positionH>
                <wp:positionV relativeFrom="paragraph">
                  <wp:posOffset>11430</wp:posOffset>
                </wp:positionV>
                <wp:extent cx="895221" cy="174250"/>
                <wp:effectExtent l="0" t="0" r="0" b="0"/>
                <wp:wrapNone/>
                <wp:docPr id="4126" name="Text Box 4126"/>
                <wp:cNvGraphicFramePr/>
                <a:graphic xmlns:a="http://schemas.openxmlformats.org/drawingml/2006/main">
                  <a:graphicData uri="http://schemas.microsoft.com/office/word/2010/wordprocessingShape">
                    <wps:wsp>
                      <wps:cNvSpPr txBox="1"/>
                      <wps:spPr>
                        <a:xfrm>
                          <a:off x="0" y="0"/>
                          <a:ext cx="895221" cy="174250"/>
                        </a:xfrm>
                        <a:prstGeom prst="rect">
                          <a:avLst/>
                        </a:prstGeom>
                        <a:solidFill>
                          <a:prstClr val="white"/>
                        </a:solidFill>
                        <a:ln>
                          <a:noFill/>
                        </a:ln>
                      </wps:spPr>
                      <wps:txbx>
                        <w:txbxContent>
                          <w:p w14:paraId="62324A6B" w14:textId="756FA48C" w:rsidR="00474DFB" w:rsidRPr="00385E1F" w:rsidRDefault="00474DFB" w:rsidP="006D67C9">
                            <w:pPr>
                              <w:pStyle w:val="af0"/>
                              <w:jc w:val="right"/>
                              <w:rPr>
                                <w:rFonts w:ascii="Times New Roman" w:hAnsi="Times New Roman" w:cs="Times New Roman"/>
                                <w:noProof/>
                                <w:spacing w:val="-1"/>
                                <w:lang w:eastAsia="ko-KR"/>
                              </w:rPr>
                            </w:pPr>
                            <w:r>
                              <w:rPr>
                                <w:rFonts w:ascii="Times New Roman" w:eastAsia="Times New Roman" w:hAnsi="Times New Roman" w:cs="Times New Roman"/>
                                <w:lang w:val="sl-SI"/>
                              </w:rPr>
                              <w:t xml:space="preserve">Slika </w:t>
                            </w:r>
                            <w:r>
                              <w:rPr>
                                <w:rFonts w:ascii="Times New Roman" w:hAnsi="Times New Roman" w:cs="Times New Roman"/>
                                <w:lang w:val="sl-SI" w:eastAsia="ko-KR"/>
                              </w:rPr>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3359367" id="Text Box 4126" o:spid="_x0000_s1314" type="#_x0000_t202" style="position:absolute;margin-left:302.3pt;margin-top:.9pt;width:70.5pt;height:13.7pt;z-index:251658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" stroked="f">
                <v:textbox inset="0,0,0,0">
                  <w:txbxContent>
                    <w:p w14:paraId="62324A6B" w14:textId="756FA48C" w:rsidR="00474DFB" w:rsidRPr="00385E1F" w:rsidRDefault="00474DFB" w:rsidP="006D67C9">
                      <w:pPr>
                        <w:pStyle w:val="af0"/>
                        <w:jc w:val="right"/>
                        <w:rPr>
                          <w:rFonts w:ascii="Times New Roman" w:hAnsi="Times New Roman" w:cs="Times New Roman"/>
                          <w:noProof/>
                          <w:spacing w:val="-1"/>
                          <w:lang w:eastAsia="ko-KR"/>
                        </w:rPr>
                      </w:pPr>
                      <w:r>
                        <w:rPr>
                          <w:rFonts w:ascii="Times New Roman" w:eastAsia="Times New Roman" w:hAnsi="Times New Roman" w:cs="Times New Roman"/>
                          <w:lang w:val="sl-SI"/>
                        </w:rPr>
                        <w:t xml:space="preserve">Slika </w:t>
                      </w:r>
                      <w:r>
                        <w:rPr>
                          <w:rFonts w:ascii="Times New Roman" w:hAnsi="Times New Roman" w:cs="Times New Roman"/>
                          <w:lang w:val="sl-SI" w:eastAsia="ko-KR"/>
                        </w:rPr>
                        <w:t>A</w:t>
                      </w:r>
                    </w:p>
                  </w:txbxContent>
                </v:textbox>
              </v:shape>
            </w:pict>
          </mc:Fallback>
        </mc:AlternateContent>
      </w:r>
    </w:p>
    <w:p w14:paraId="0A7CC061" w14:textId="38C2EC66" w:rsidR="006D67C9" w:rsidRDefault="006D67C9" w:rsidP="006D67C9">
      <w:pPr>
        <w:pStyle w:val="a3"/>
        <w:rPr>
          <w:rFonts w:eastAsia="Times New Roman"/>
          <w:b/>
          <w:bCs/>
          <w:lang w:val="sl-SI"/>
        </w:rPr>
      </w:pPr>
    </w:p>
    <w:p w14:paraId="51FBDE50" w14:textId="4166B336" w:rsidR="006D67C9" w:rsidRDefault="006D67C9" w:rsidP="006D67C9">
      <w:pPr>
        <w:pStyle w:val="a3"/>
        <w:rPr>
          <w:b/>
          <w:lang w:val="sl-SI"/>
        </w:rPr>
      </w:pPr>
      <w:r>
        <w:rPr>
          <w:rFonts w:eastAsia="Times New Roman"/>
          <w:b/>
          <w:bCs/>
          <w:lang w:val="sl-SI"/>
        </w:rPr>
        <w:t>Napolnjene injekcijske brizge ne uporabljajte, če:</w:t>
      </w:r>
    </w:p>
    <w:p w14:paraId="468C8571" w14:textId="77777777" w:rsidR="006D67C9" w:rsidRDefault="006D67C9" w:rsidP="006D67C9">
      <w:pPr>
        <w:pStyle w:val="a3"/>
        <w:numPr>
          <w:ilvl w:val="1"/>
          <w:numId w:val="3"/>
        </w:numPr>
        <w:ind w:left="660" w:hanging="660"/>
        <w:rPr>
          <w:lang w:val="sl-SI"/>
        </w:rPr>
      </w:pPr>
      <w:r>
        <w:rPr>
          <w:rFonts w:eastAsia="Times New Roman"/>
          <w:lang w:val="sl-SI"/>
        </w:rPr>
        <w:t xml:space="preserve">je razpokana ali poškodovana, </w:t>
      </w:r>
    </w:p>
    <w:p w14:paraId="17E82CD9" w14:textId="77777777" w:rsidR="006D67C9" w:rsidRPr="00366D10" w:rsidRDefault="006D67C9" w:rsidP="006D67C9">
      <w:pPr>
        <w:pStyle w:val="a3"/>
        <w:numPr>
          <w:ilvl w:val="1"/>
          <w:numId w:val="3"/>
        </w:numPr>
        <w:ind w:left="660" w:hanging="660"/>
        <w:rPr>
          <w:lang w:val="sl-SI"/>
        </w:rPr>
      </w:pPr>
      <w:r>
        <w:rPr>
          <w:rFonts w:eastAsia="Times New Roman"/>
          <w:lang w:val="sl-SI"/>
        </w:rPr>
        <w:t xml:space="preserve">je pretekel rok uporabnosti. </w:t>
      </w:r>
    </w:p>
    <w:p w14:paraId="410D50C8" w14:textId="77777777" w:rsidR="006D67C9" w:rsidRDefault="006D67C9" w:rsidP="006D67C9">
      <w:pPr>
        <w:pStyle w:val="a3"/>
        <w:numPr>
          <w:ilvl w:val="1"/>
          <w:numId w:val="3"/>
        </w:numPr>
        <w:ind w:left="660" w:hanging="660"/>
        <w:rPr>
          <w:lang w:val="sl-SI"/>
        </w:rPr>
      </w:pPr>
      <w:r w:rsidRPr="00323C29">
        <w:rPr>
          <w:lang w:val="fr-CA"/>
        </w:rPr>
        <w:t>je padel na trdo površino.</w:t>
      </w:r>
    </w:p>
    <w:p w14:paraId="36E0DB3A" w14:textId="77777777" w:rsidR="006D67C9" w:rsidRDefault="006D67C9" w:rsidP="006D67C9">
      <w:pPr>
        <w:pStyle w:val="Default"/>
        <w:numPr>
          <w:ilvl w:val="2"/>
          <w:numId w:val="21"/>
        </w:numPr>
        <w:ind w:left="360"/>
        <w:rPr>
          <w:color w:val="211D1E"/>
          <w:sz w:val="20"/>
          <w:szCs w:val="20"/>
          <w:lang w:val="sl-SI"/>
        </w:rPr>
      </w:pPr>
    </w:p>
    <w:p w14:paraId="3C754E80" w14:textId="65D291E1" w:rsidR="00D902B3" w:rsidRDefault="006D67C9" w:rsidP="00385E1F">
      <w:pPr>
        <w:pStyle w:val="a3"/>
        <w:rPr>
          <w:lang w:val="sl-SI"/>
        </w:rPr>
      </w:pPr>
      <w:r>
        <w:rPr>
          <w:rFonts w:eastAsia="Times New Roman"/>
          <w:b/>
          <w:bCs/>
          <w:lang w:val="sl-SI"/>
        </w:rPr>
        <w:t>Pokrovček igle odstranite šele tik pred injiciranjem. Zdravilo Yuflyma shranjujte nedosegljivo otrokom.</w:t>
      </w:r>
    </w:p>
    <w:p w14:paraId="52C4E6C6" w14:textId="1C379EC0" w:rsidR="006D67C9" w:rsidRPr="00566D4D" w:rsidRDefault="006D67C9">
      <w:pPr>
        <w:rPr>
          <w:lang w:val="sl-SI"/>
        </w:rPr>
      </w:pPr>
    </w:p>
    <w:tbl>
      <w:tblPr>
        <w:tblStyle w:val="ac"/>
        <w:tblpPr w:leftFromText="142" w:rightFromText="142" w:vertAnchor="text" w:horzAnchor="margin" w:tblpY="67"/>
        <w:tblW w:w="9634" w:type="dxa"/>
        <w:tblLook w:val="04A0" w:firstRow="1" w:lastRow="0" w:firstColumn="1" w:lastColumn="0" w:noHBand="0" w:noVBand="1"/>
      </w:tblPr>
      <w:tblGrid>
        <w:gridCol w:w="9634"/>
      </w:tblGrid>
      <w:tr w:rsidR="00D902B3" w14:paraId="608FB100" w14:textId="77777777" w:rsidTr="00183CD7">
        <w:trPr>
          <w:trHeight w:val="2684"/>
        </w:trPr>
        <w:tc>
          <w:tcPr>
            <w:tcW w:w="9634" w:type="dxa"/>
          </w:tcPr>
          <w:p w14:paraId="7B5162C2" w14:textId="370EEDC8" w:rsidR="00D902B3" w:rsidRDefault="00D902B3" w:rsidP="00183CD7">
            <w:pPr>
              <w:pStyle w:val="a3"/>
              <w:numPr>
                <w:ilvl w:val="0"/>
                <w:numId w:val="0"/>
              </w:numPr>
              <w:ind w:left="580"/>
              <w:rPr>
                <w:lang w:val="sl-SI"/>
              </w:rPr>
            </w:pPr>
          </w:p>
          <w:p w14:paraId="7C4699A5" w14:textId="77777777" w:rsidR="00D902B3" w:rsidRDefault="00D902B3" w:rsidP="007811C6">
            <w:pPr>
              <w:pStyle w:val="a3"/>
              <w:numPr>
                <w:ilvl w:val="0"/>
                <w:numId w:val="142"/>
              </w:numPr>
              <w:rPr>
                <w:lang w:val="sl-SI"/>
              </w:rPr>
            </w:pPr>
            <w:r>
              <w:rPr>
                <w:rFonts w:eastAsia="Times New Roman"/>
                <w:b/>
                <w:bCs/>
                <w:lang w:val="sl-SI"/>
              </w:rPr>
              <w:t>Priprava opreme za injiciranje</w:t>
            </w:r>
          </w:p>
          <w:p w14:paraId="3B8141CF" w14:textId="77777777" w:rsidR="00D902B3" w:rsidRDefault="00D902B3" w:rsidP="00183CD7">
            <w:pPr>
              <w:pStyle w:val="a3"/>
              <w:numPr>
                <w:ilvl w:val="0"/>
                <w:numId w:val="0"/>
              </w:numPr>
              <w:ind w:left="580"/>
              <w:rPr>
                <w:lang w:val="sl-SI"/>
              </w:rPr>
            </w:pPr>
          </w:p>
          <w:p w14:paraId="68C66735" w14:textId="77777777" w:rsidR="00D902B3" w:rsidRDefault="00D902B3" w:rsidP="00183CD7">
            <w:pPr>
              <w:pStyle w:val="a3"/>
              <w:ind w:leftChars="153" w:left="337"/>
              <w:rPr>
                <w:lang w:val="sl-SI" w:eastAsia="ko-KR"/>
              </w:rPr>
            </w:pPr>
            <w:r>
              <w:rPr>
                <w:rFonts w:eastAsia="Times New Roman"/>
                <w:b/>
                <w:bCs/>
                <w:lang w:val="sl-SI" w:eastAsia="ko-KR"/>
              </w:rPr>
              <w:t>a.</w:t>
            </w:r>
            <w:r>
              <w:rPr>
                <w:rFonts w:eastAsia="Times New Roman"/>
                <w:lang w:val="sl-SI" w:eastAsia="ko-KR"/>
              </w:rPr>
              <w:t xml:space="preserve"> Pripravite čisto, ravno površino, kot je miza ali pult, v dobro osvetljenem prostoru.</w:t>
            </w:r>
          </w:p>
          <w:p w14:paraId="1E724142" w14:textId="77777777" w:rsidR="00D902B3" w:rsidRDefault="00D902B3" w:rsidP="00183CD7">
            <w:pPr>
              <w:pStyle w:val="a3"/>
              <w:ind w:leftChars="153" w:left="337"/>
              <w:rPr>
                <w:lang w:val="sl-SI" w:eastAsia="ko-KR"/>
              </w:rPr>
            </w:pPr>
            <w:r>
              <w:rPr>
                <w:rFonts w:eastAsia="Times New Roman"/>
                <w:b/>
                <w:bCs/>
                <w:lang w:val="sl-SI" w:eastAsia="ko-KR"/>
              </w:rPr>
              <w:t>b.</w:t>
            </w:r>
            <w:r>
              <w:rPr>
                <w:rFonts w:eastAsia="Times New Roman"/>
                <w:lang w:val="sl-SI" w:eastAsia="ko-KR"/>
              </w:rPr>
              <w:t xml:space="preserve"> Iz škatle, shranjene v hladilniku, vzemite 1 napolnjeno injekcijsko brizgo.</w:t>
            </w:r>
          </w:p>
          <w:p w14:paraId="203E5520" w14:textId="29EAEB2C" w:rsidR="00D902B3" w:rsidRDefault="00D902B3" w:rsidP="00183CD7">
            <w:pPr>
              <w:pStyle w:val="a3"/>
              <w:ind w:leftChars="300" w:left="660" w:rightChars="100" w:right="220"/>
              <w:rPr>
                <w:lang w:val="sl-SI" w:eastAsia="ko-KR"/>
              </w:rPr>
            </w:pPr>
            <w:r>
              <w:rPr>
                <w:rFonts w:ascii="맑은 고딕" w:eastAsia="맑은 고딕" w:hAnsi="맑은 고딕"/>
                <w:lang w:val="sl-SI" w:eastAsia="ko-KR"/>
              </w:rPr>
              <w:t>•</w:t>
            </w:r>
            <w:r>
              <w:rPr>
                <w:rFonts w:eastAsia="Times New Roman"/>
                <w:lang w:val="sl-SI" w:eastAsia="ko-KR"/>
              </w:rPr>
              <w:t xml:space="preserve"> Napolnjeno injekcijsko brizgo držite za telo, ko jo vzamete iz škatle.</w:t>
            </w:r>
            <w:r>
              <w:rPr>
                <w:rFonts w:eastAsia="Times New Roman"/>
                <w:b/>
                <w:bCs/>
                <w:lang w:val="sl-SI" w:eastAsia="ko-KR"/>
              </w:rPr>
              <w:t xml:space="preserve"> Ne</w:t>
            </w:r>
            <w:r>
              <w:rPr>
                <w:rFonts w:eastAsia="Times New Roman"/>
                <w:lang w:val="sl-SI" w:eastAsia="ko-KR"/>
              </w:rPr>
              <w:t xml:space="preserve"> dotikajte se </w:t>
            </w:r>
            <w:r w:rsidR="00033309" w:rsidRPr="00033309">
              <w:rPr>
                <w:rFonts w:eastAsia="Times New Roman"/>
                <w:lang w:val="sl-SI" w:eastAsia="ko-KR"/>
              </w:rPr>
              <w:t>bata in pokrovčka</w:t>
            </w:r>
            <w:r w:rsidR="00033309">
              <w:rPr>
                <w:rFonts w:eastAsia="Times New Roman"/>
                <w:lang w:val="sl-SI" w:eastAsia="ko-KR"/>
              </w:rPr>
              <w:t>.</w:t>
            </w:r>
          </w:p>
          <w:p w14:paraId="12545F6E" w14:textId="77777777" w:rsidR="00D902B3" w:rsidRDefault="00D902B3" w:rsidP="00183CD7">
            <w:pPr>
              <w:pStyle w:val="a3"/>
              <w:ind w:leftChars="153" w:left="337"/>
              <w:rPr>
                <w:lang w:val="sl-SI" w:eastAsia="ko-KR"/>
              </w:rPr>
            </w:pPr>
            <w:r>
              <w:rPr>
                <w:rFonts w:eastAsia="Times New Roman"/>
                <w:b/>
                <w:bCs/>
                <w:lang w:val="sl-SI" w:eastAsia="ko-KR"/>
              </w:rPr>
              <w:t>c.</w:t>
            </w:r>
            <w:r>
              <w:rPr>
                <w:rFonts w:eastAsia="Times New Roman"/>
                <w:lang w:val="sl-SI" w:eastAsia="ko-KR"/>
              </w:rPr>
              <w:t xml:space="preserve"> Prepričajte se, da imate naslednjo opremo:</w:t>
            </w:r>
          </w:p>
          <w:p w14:paraId="49DDB848" w14:textId="77777777" w:rsidR="00D902B3" w:rsidRDefault="00D902B3" w:rsidP="00183CD7">
            <w:pPr>
              <w:pStyle w:val="a3"/>
              <w:ind w:left="720"/>
              <w:rPr>
                <w:lang w:val="sl-SI" w:eastAsia="ko-KR"/>
              </w:rPr>
            </w:pPr>
            <w:r>
              <w:rPr>
                <w:rFonts w:eastAsia="Times New Roman"/>
                <w:lang w:val="sl-SI" w:eastAsia="ko-KR"/>
              </w:rPr>
              <w:t>- Napolnjena injekcijska brizga</w:t>
            </w:r>
          </w:p>
          <w:p w14:paraId="59F37A45" w14:textId="77777777" w:rsidR="00D902B3" w:rsidRDefault="00D902B3" w:rsidP="00183CD7">
            <w:pPr>
              <w:pStyle w:val="a3"/>
              <w:spacing w:after="120"/>
              <w:ind w:left="720"/>
              <w:rPr>
                <w:lang w:val="sl-SI" w:eastAsia="ko-KR"/>
              </w:rPr>
            </w:pPr>
            <w:r>
              <w:rPr>
                <w:rFonts w:eastAsia="Times New Roman"/>
                <w:lang w:val="sl-SI" w:eastAsia="ko-KR"/>
              </w:rPr>
              <w:t>- Alkoholni zloženec</w:t>
            </w:r>
          </w:p>
          <w:p w14:paraId="6CA69A48" w14:textId="77777777" w:rsidR="00D902B3" w:rsidRDefault="00D902B3" w:rsidP="00183CD7">
            <w:pPr>
              <w:pStyle w:val="a3"/>
              <w:ind w:left="720"/>
              <w:rPr>
                <w:b/>
                <w:lang w:val="sl-SI" w:eastAsia="ko-KR"/>
              </w:rPr>
            </w:pPr>
            <w:r>
              <w:rPr>
                <w:rFonts w:eastAsia="Times New Roman"/>
                <w:b/>
                <w:bCs/>
                <w:lang w:val="sl-SI" w:eastAsia="ko-KR"/>
              </w:rPr>
              <w:t>Ni priloženo pakiranju:</w:t>
            </w:r>
          </w:p>
          <w:p w14:paraId="4E79A79A" w14:textId="77777777" w:rsidR="00D902B3" w:rsidRDefault="00D902B3" w:rsidP="00183CD7">
            <w:pPr>
              <w:pStyle w:val="a3"/>
              <w:ind w:left="720"/>
              <w:rPr>
                <w:lang w:val="sl-SI" w:eastAsia="ko-KR"/>
              </w:rPr>
            </w:pPr>
            <w:r>
              <w:rPr>
                <w:rFonts w:eastAsia="Times New Roman"/>
                <w:lang w:val="sl-SI" w:eastAsia="ko-KR"/>
              </w:rPr>
              <w:t>- Bombažna blazinica ali gaza</w:t>
            </w:r>
          </w:p>
          <w:p w14:paraId="2C1FAB12" w14:textId="77777777" w:rsidR="00D902B3" w:rsidRDefault="00D902B3" w:rsidP="00183CD7">
            <w:pPr>
              <w:pStyle w:val="a3"/>
              <w:ind w:left="720"/>
              <w:rPr>
                <w:lang w:val="sl-SI" w:eastAsia="ko-KR"/>
              </w:rPr>
            </w:pPr>
            <w:r>
              <w:rPr>
                <w:rFonts w:eastAsia="Times New Roman"/>
                <w:lang w:val="sl-SI" w:eastAsia="ko-KR"/>
              </w:rPr>
              <w:t>- Lepilni povoj</w:t>
            </w:r>
          </w:p>
          <w:p w14:paraId="55F28923" w14:textId="77777777" w:rsidR="00D902B3" w:rsidRDefault="00D902B3" w:rsidP="00183CD7">
            <w:pPr>
              <w:pStyle w:val="a3"/>
              <w:ind w:left="720"/>
              <w:rPr>
                <w:lang w:val="sl-SI" w:eastAsia="ko-KR"/>
              </w:rPr>
            </w:pPr>
            <w:r>
              <w:rPr>
                <w:rFonts w:eastAsia="Times New Roman"/>
                <w:lang w:val="sl-SI" w:eastAsia="ko-KR"/>
              </w:rPr>
              <w:t>- Vsebnik za ostre predmete</w:t>
            </w:r>
          </w:p>
          <w:p w14:paraId="5483D503" w14:textId="77777777" w:rsidR="00D902B3" w:rsidRDefault="00D902B3" w:rsidP="00183CD7">
            <w:pPr>
              <w:ind w:left="224" w:right="1248"/>
              <w:rPr>
                <w:rFonts w:ascii="Times New Roman" w:eastAsia="Times New Roman" w:hAnsi="Times New Roman" w:cs="Times New Roman"/>
                <w:b/>
                <w:bCs/>
                <w:spacing w:val="-1"/>
                <w:lang w:val="sl-SI"/>
              </w:rPr>
            </w:pPr>
          </w:p>
        </w:tc>
      </w:tr>
      <w:tr w:rsidR="00D902B3" w:rsidRPr="00475A1E" w14:paraId="7C449021" w14:textId="77777777" w:rsidTr="00183CD7">
        <w:trPr>
          <w:trHeight w:val="3969"/>
        </w:trPr>
        <w:tc>
          <w:tcPr>
            <w:tcW w:w="9634" w:type="dxa"/>
          </w:tcPr>
          <w:p w14:paraId="03862FD6" w14:textId="77777777" w:rsidR="00D902B3" w:rsidRDefault="00D902B3" w:rsidP="00183CD7">
            <w:pPr>
              <w:ind w:left="224" w:right="1248"/>
              <w:rPr>
                <w:lang w:val="sl-SI"/>
              </w:rPr>
            </w:pPr>
            <w:r>
              <w:rPr>
                <w:noProof/>
                <w:lang w:eastAsia="ko-KR"/>
              </w:rPr>
              <w:lastRenderedPageBreak/>
              <mc:AlternateContent>
                <mc:Choice Requires="wpg">
                  <w:drawing>
                    <wp:anchor distT="0" distB="0" distL="114300" distR="114300" simplePos="0" relativeHeight="251658354" behindDoc="0" locked="0" layoutInCell="1" allowOverlap="1" wp14:anchorId="32A0B782" wp14:editId="6CBA1702">
                      <wp:simplePos x="0" y="0"/>
                      <wp:positionH relativeFrom="column">
                        <wp:posOffset>28575</wp:posOffset>
                      </wp:positionH>
                      <wp:positionV relativeFrom="paragraph">
                        <wp:posOffset>167640</wp:posOffset>
                      </wp:positionV>
                      <wp:extent cx="1982470" cy="2605405"/>
                      <wp:effectExtent l="0" t="0" r="0" b="4445"/>
                      <wp:wrapSquare wrapText="bothSides"/>
                      <wp:docPr id="3912" name="그룹 3912"/>
                      <wp:cNvGraphicFramePr/>
                      <a:graphic xmlns:a="http://schemas.openxmlformats.org/drawingml/2006/main">
                        <a:graphicData uri="http://schemas.microsoft.com/office/word/2010/wordprocessingGroup">
                          <wpg:wgp>
                            <wpg:cNvGrpSpPr/>
                            <wpg:grpSpPr>
                              <a:xfrm>
                                <a:off x="0" y="0"/>
                                <a:ext cx="1982470" cy="2605405"/>
                                <a:chOff x="31858" y="0"/>
                                <a:chExt cx="1594370" cy="2184707"/>
                              </a:xfrm>
                            </wpg:grpSpPr>
                            <wpg:grpSp>
                              <wpg:cNvPr id="3913" name="그룹 3913"/>
                              <wpg:cNvGrpSpPr/>
                              <wpg:grpSpPr>
                                <a:xfrm>
                                  <a:off x="31858" y="0"/>
                                  <a:ext cx="1594370" cy="2184707"/>
                                  <a:chOff x="31868" y="0"/>
                                  <a:chExt cx="1594884" cy="2184707"/>
                                </a:xfrm>
                              </wpg:grpSpPr>
                              <pic:pic xmlns:pic="http://schemas.openxmlformats.org/drawingml/2006/picture">
                                <pic:nvPicPr>
                                  <pic:cNvPr id="3914" name="그림 3914"/>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bwMode="auto">
                                  <a:xfrm>
                                    <a:off x="31868" y="0"/>
                                    <a:ext cx="1594884" cy="2044065"/>
                                  </a:xfrm>
                                  <a:prstGeom prst="rect">
                                    <a:avLst/>
                                  </a:prstGeom>
                                  <a:noFill/>
                                  <a:ln>
                                    <a:noFill/>
                                  </a:ln>
                                </pic:spPr>
                              </pic:pic>
                              <wps:wsp>
                                <wps:cNvPr id="3915" name="Text Box 3915"/>
                                <wps:cNvSpPr txBox="1"/>
                                <wps:spPr>
                                  <a:xfrm>
                                    <a:off x="893050" y="2038657"/>
                                    <a:ext cx="719990" cy="146050"/>
                                  </a:xfrm>
                                  <a:prstGeom prst="rect">
                                    <a:avLst/>
                                  </a:prstGeom>
                                  <a:solidFill>
                                    <a:prstClr val="white"/>
                                  </a:solidFill>
                                  <a:ln>
                                    <a:noFill/>
                                  </a:ln>
                                </wps:spPr>
                                <wps:txbx>
                                  <w:txbxContent>
                                    <w:p w14:paraId="2B2F3AA8"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916" name="Text Box 3916"/>
                              <wps:cNvSpPr txBox="1"/>
                              <wps:spPr>
                                <a:xfrm>
                                  <a:off x="784860" y="1066800"/>
                                  <a:ext cx="687833" cy="1403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C3E2FC" w14:textId="77777777" w:rsidR="00474DFB" w:rsidRPr="00385E1F" w:rsidRDefault="00474DFB" w:rsidP="00D902B3">
                                    <w:pPr>
                                      <w:rPr>
                                        <w:rFonts w:ascii="Arial" w:hAnsi="Arial" w:cs="Arial"/>
                                        <w:b/>
                                        <w:bCs/>
                                        <w:sz w:val="14"/>
                                        <w:szCs w:val="10"/>
                                      </w:rPr>
                                    </w:pPr>
                                    <w:r w:rsidRPr="00385E1F">
                                      <w:rPr>
                                        <w:rFonts w:ascii="Arial" w:eastAsia="Times New Roman" w:hAnsi="Arial" w:cs="Arial"/>
                                        <w:b/>
                                        <w:bCs/>
                                        <w:sz w:val="14"/>
                                        <w:szCs w:val="10"/>
                                        <w:lang w:val="sl-SI"/>
                                      </w:rPr>
                                      <w:t xml:space="preserve">EXP.: </w:t>
                                    </w:r>
                                    <w:r w:rsidRPr="00385E1F">
                                      <w:rPr>
                                        <w:rFonts w:ascii="Arial" w:eastAsia="Times New Roman" w:hAnsi="Arial" w:cs="Arial"/>
                                        <w:sz w:val="14"/>
                                        <w:szCs w:val="10"/>
                                        <w:lang w:val="sl-SI"/>
                                      </w:rPr>
                                      <w:t>MESEC LETO</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2A0B782" id="그룹 3912" o:spid="_x0000_s1315" style="position:absolute;left:0;text-align:left;margin-left:2.25pt;margin-top:13.2pt;width:156.1pt;height:205.15pt;z-index:251658354;mso-width-relative:margin;mso-height-relative:margin" coordorigin="318" coordsize="15943,21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">
                      <v:group id="그룹 3913" o:spid="_x0000_s1316" style="position:absolute;left:318;width:15944;height:21847" coordorigin="318" coordsize="15948,21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">
                        <v:shape id="그림 3914" o:spid="_x0000_s1317" type="#_x0000_t75" style="position:absolute;left:318;width:15949;height:2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">
                          <v:imagedata r:id="rId164" o:title=""/>
                        </v:shape>
                        <v:shape id="Text Box 3915" o:spid="_x0000_s1318" type="#_x0000_t202" style="position:absolute;left:8930;top:20386;width:7200;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" stroked="f">
                          <v:textbox inset="0,0,0,0">
                            <w:txbxContent>
                              <w:p w14:paraId="2B2F3AA8"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B</w:t>
                                </w:r>
                              </w:p>
                            </w:txbxContent>
                          </v:textbox>
                        </v:shape>
                      </v:group>
                      <v:shape id="Text Box 3916" o:spid="_x0000_s1319" type="#_x0000_t202" style="position:absolute;left:7848;top:10668;width:6878;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" fillcolor="white [3212]" stroked="f" strokeweight=".5pt">
                        <v:textbox inset="0,0,0,0">
                          <w:txbxContent>
                            <w:p w14:paraId="24C3E2FC" w14:textId="77777777" w:rsidR="00474DFB" w:rsidRPr="00385E1F" w:rsidRDefault="00474DFB" w:rsidP="00D902B3">
                              <w:pPr>
                                <w:rPr>
                                  <w:rFonts w:ascii="Arial" w:hAnsi="Arial" w:cs="Arial"/>
                                  <w:b/>
                                  <w:bCs/>
                                  <w:sz w:val="14"/>
                                  <w:szCs w:val="10"/>
                                </w:rPr>
                              </w:pPr>
                              <w:r w:rsidRPr="00385E1F">
                                <w:rPr>
                                  <w:rFonts w:ascii="Arial" w:eastAsia="Times New Roman" w:hAnsi="Arial" w:cs="Arial"/>
                                  <w:b/>
                                  <w:bCs/>
                                  <w:sz w:val="14"/>
                                  <w:szCs w:val="10"/>
                                  <w:lang w:val="sl-SI"/>
                                </w:rPr>
                                <w:t xml:space="preserve">EXP.: </w:t>
                              </w:r>
                              <w:r w:rsidRPr="00385E1F">
                                <w:rPr>
                                  <w:rFonts w:ascii="Arial" w:eastAsia="Times New Roman" w:hAnsi="Arial" w:cs="Arial"/>
                                  <w:sz w:val="14"/>
                                  <w:szCs w:val="10"/>
                                  <w:lang w:val="sl-SI"/>
                                </w:rPr>
                                <w:t>MESEC LETO</w:t>
                              </w:r>
                            </w:p>
                          </w:txbxContent>
                        </v:textbox>
                      </v:shape>
                      <w10:wrap type="square"/>
                    </v:group>
                  </w:pict>
                </mc:Fallback>
              </mc:AlternateContent>
            </w:r>
          </w:p>
          <w:p w14:paraId="4DE5C842" w14:textId="77777777" w:rsidR="00D902B3" w:rsidRDefault="00D902B3" w:rsidP="00183CD7">
            <w:pPr>
              <w:pStyle w:val="a3"/>
              <w:rPr>
                <w:lang w:val="sl-SI"/>
              </w:rPr>
            </w:pPr>
          </w:p>
          <w:p w14:paraId="03406991" w14:textId="77777777" w:rsidR="00D902B3" w:rsidRDefault="00D902B3" w:rsidP="007811C6">
            <w:pPr>
              <w:pStyle w:val="a3"/>
              <w:numPr>
                <w:ilvl w:val="0"/>
                <w:numId w:val="142"/>
              </w:numPr>
              <w:ind w:leftChars="100" w:left="580"/>
              <w:rPr>
                <w:b/>
                <w:lang w:val="sl-SI"/>
              </w:rPr>
            </w:pPr>
            <w:r>
              <w:rPr>
                <w:rFonts w:eastAsia="Times New Roman"/>
                <w:b/>
                <w:bCs/>
                <w:lang w:val="sl-SI"/>
              </w:rPr>
              <w:t>Preglejte napolnjeno injekcijsko brizgo</w:t>
            </w:r>
            <w:r>
              <w:rPr>
                <w:rFonts w:eastAsia="Times New Roman"/>
                <w:lang w:val="sl-SI"/>
              </w:rPr>
              <w:t>.</w:t>
            </w:r>
          </w:p>
          <w:p w14:paraId="591E8E21" w14:textId="77777777" w:rsidR="00D902B3" w:rsidRDefault="00D902B3" w:rsidP="00183CD7">
            <w:pPr>
              <w:pStyle w:val="a3"/>
              <w:numPr>
                <w:ilvl w:val="0"/>
                <w:numId w:val="0"/>
              </w:numPr>
              <w:ind w:left="580"/>
              <w:rPr>
                <w:lang w:val="sl-SI"/>
              </w:rPr>
            </w:pPr>
          </w:p>
          <w:p w14:paraId="043F7983" w14:textId="77777777" w:rsidR="00D902B3" w:rsidRDefault="00D902B3" w:rsidP="00183CD7">
            <w:pPr>
              <w:pStyle w:val="a3"/>
              <w:ind w:left="3397" w:hanging="180"/>
              <w:rPr>
                <w:lang w:val="sl-SI" w:eastAsia="ko-KR"/>
              </w:rPr>
            </w:pPr>
            <w:r>
              <w:rPr>
                <w:rFonts w:eastAsia="Times New Roman"/>
                <w:b/>
                <w:bCs/>
                <w:lang w:val="sl-SI" w:eastAsia="ko-KR"/>
              </w:rPr>
              <w:t>a</w:t>
            </w:r>
            <w:r>
              <w:rPr>
                <w:rFonts w:eastAsia="Times New Roman"/>
                <w:lang w:val="sl-SI" w:eastAsia="ko-KR"/>
              </w:rPr>
              <w:t xml:space="preserve">. Poskrbite, da imate pravo zdravilo (Yuflyma) in odmerek. </w:t>
            </w:r>
          </w:p>
          <w:p w14:paraId="122541D4" w14:textId="2D2444BC" w:rsidR="00D902B3" w:rsidRDefault="00D902B3" w:rsidP="00183CD7">
            <w:pPr>
              <w:pStyle w:val="a3"/>
              <w:ind w:left="3397" w:hanging="180"/>
              <w:rPr>
                <w:lang w:val="sl-SI" w:eastAsia="ko-KR"/>
              </w:rPr>
            </w:pPr>
            <w:r>
              <w:rPr>
                <w:rFonts w:eastAsia="Times New Roman"/>
                <w:b/>
                <w:bCs/>
                <w:lang w:val="sl-SI" w:eastAsia="ko-KR"/>
              </w:rPr>
              <w:t>b</w:t>
            </w:r>
            <w:r>
              <w:rPr>
                <w:rFonts w:eastAsia="Times New Roman"/>
                <w:lang w:val="sl-SI" w:eastAsia="ko-KR"/>
              </w:rPr>
              <w:t xml:space="preserve">. Poglejte napolnjeno injekcijsko brizgo in se prepričajte, da ni počena ali poškodovana. </w:t>
            </w:r>
          </w:p>
          <w:p w14:paraId="3A5B0E13" w14:textId="77777777" w:rsidR="00D902B3" w:rsidRDefault="00D902B3" w:rsidP="00183CD7">
            <w:pPr>
              <w:pStyle w:val="a3"/>
              <w:ind w:left="3397" w:hanging="180"/>
              <w:rPr>
                <w:lang w:val="sl-SI" w:eastAsia="ko-KR"/>
              </w:rPr>
            </w:pPr>
            <w:r>
              <w:rPr>
                <w:rFonts w:eastAsia="Times New Roman"/>
                <w:b/>
                <w:bCs/>
                <w:lang w:val="sl-SI" w:eastAsia="ko-KR"/>
              </w:rPr>
              <w:t>c</w:t>
            </w:r>
            <w:r>
              <w:rPr>
                <w:rFonts w:eastAsia="Times New Roman"/>
                <w:lang w:val="sl-SI" w:eastAsia="ko-KR"/>
              </w:rPr>
              <w:t xml:space="preserve">. Preverite rok uporabnosti na oznaki napolnjene injekcijske brizge. </w:t>
            </w:r>
          </w:p>
          <w:p w14:paraId="5237C13F" w14:textId="77777777" w:rsidR="00D902B3" w:rsidRDefault="00D902B3" w:rsidP="00183CD7">
            <w:pPr>
              <w:pStyle w:val="Default"/>
              <w:rPr>
                <w:lang w:val="sl-SI"/>
              </w:rPr>
            </w:pPr>
            <w:r>
              <w:rPr>
                <w:lang w:val="sl-SI"/>
              </w:rPr>
              <w:t xml:space="preserve"> </w:t>
            </w:r>
          </w:p>
          <w:p w14:paraId="3FFD7FA1" w14:textId="77777777" w:rsidR="00D902B3" w:rsidRDefault="00D902B3" w:rsidP="00183CD7">
            <w:pPr>
              <w:pStyle w:val="a3"/>
              <w:numPr>
                <w:ilvl w:val="0"/>
                <w:numId w:val="0"/>
              </w:numPr>
              <w:rPr>
                <w:b/>
                <w:lang w:val="sl-SI" w:eastAsia="ko-KR"/>
              </w:rPr>
            </w:pPr>
          </w:p>
          <w:p w14:paraId="7B1612FC" w14:textId="77777777" w:rsidR="00D902B3" w:rsidRDefault="00D902B3" w:rsidP="00183CD7">
            <w:pPr>
              <w:pStyle w:val="a3"/>
              <w:numPr>
                <w:ilvl w:val="0"/>
                <w:numId w:val="0"/>
              </w:numPr>
              <w:rPr>
                <w:lang w:val="sl-SI" w:eastAsia="ko-KR"/>
              </w:rPr>
            </w:pPr>
            <w:r>
              <w:rPr>
                <w:rFonts w:eastAsia="Times New Roman"/>
                <w:lang w:val="sl-SI" w:eastAsia="ko-KR"/>
              </w:rPr>
              <w:t xml:space="preserve">Napolnjene injekcijske brizge </w:t>
            </w:r>
            <w:r>
              <w:rPr>
                <w:rFonts w:eastAsia="Times New Roman"/>
                <w:b/>
                <w:bCs/>
                <w:lang w:val="sl-SI" w:eastAsia="ko-KR"/>
              </w:rPr>
              <w:t>ne</w:t>
            </w:r>
            <w:r>
              <w:rPr>
                <w:rFonts w:eastAsia="Times New Roman"/>
                <w:lang w:val="sl-SI" w:eastAsia="ko-KR"/>
              </w:rPr>
              <w:t xml:space="preserve"> uporabljajte ponovno, če:</w:t>
            </w:r>
          </w:p>
          <w:p w14:paraId="18E3430A" w14:textId="0E30E133" w:rsidR="00D902B3" w:rsidRDefault="00D902B3" w:rsidP="00183CD7">
            <w:pPr>
              <w:pStyle w:val="a3"/>
              <w:numPr>
                <w:ilvl w:val="2"/>
                <w:numId w:val="39"/>
              </w:numPr>
              <w:rPr>
                <w:lang w:val="sl-SI" w:eastAsia="ko-KR"/>
              </w:rPr>
            </w:pPr>
            <w:r>
              <w:rPr>
                <w:rFonts w:eastAsia="Times New Roman"/>
                <w:lang w:val="sl-SI" w:eastAsia="ko-KR"/>
              </w:rPr>
              <w:t xml:space="preserve">je razpokana ali poškodovana </w:t>
            </w:r>
          </w:p>
          <w:p w14:paraId="618F82EA" w14:textId="043C23FE" w:rsidR="00D902B3" w:rsidRPr="00366D10" w:rsidRDefault="00D902B3" w:rsidP="00183CD7">
            <w:pPr>
              <w:pStyle w:val="a3"/>
              <w:numPr>
                <w:ilvl w:val="2"/>
                <w:numId w:val="39"/>
              </w:numPr>
              <w:ind w:hanging="567"/>
              <w:rPr>
                <w:lang w:val="sl-SI" w:eastAsia="ko-KR"/>
              </w:rPr>
            </w:pPr>
            <w:r>
              <w:rPr>
                <w:rFonts w:eastAsia="Times New Roman"/>
                <w:lang w:val="sl-SI" w:eastAsia="ko-KR"/>
              </w:rPr>
              <w:t xml:space="preserve">je pretekel rok uporabnosti </w:t>
            </w:r>
          </w:p>
          <w:p w14:paraId="599E3242" w14:textId="77777777" w:rsidR="00D902B3" w:rsidRDefault="00D902B3" w:rsidP="00183CD7">
            <w:pPr>
              <w:pStyle w:val="a3"/>
              <w:numPr>
                <w:ilvl w:val="2"/>
                <w:numId w:val="39"/>
              </w:numPr>
              <w:ind w:hanging="567"/>
              <w:rPr>
                <w:lang w:val="sl-SI" w:eastAsia="ko-KR"/>
              </w:rPr>
            </w:pPr>
            <w:r w:rsidRPr="00323C29">
              <w:rPr>
                <w:lang w:val="fr-CA"/>
              </w:rPr>
              <w:t>je padel na trdo površino.</w:t>
            </w:r>
          </w:p>
          <w:p w14:paraId="24FAF35B" w14:textId="77777777" w:rsidR="00D902B3" w:rsidRDefault="00D902B3" w:rsidP="00183CD7">
            <w:pPr>
              <w:pStyle w:val="Default"/>
              <w:rPr>
                <w:color w:val="211D1E"/>
                <w:sz w:val="20"/>
                <w:szCs w:val="20"/>
                <w:lang w:val="sl-SI"/>
              </w:rPr>
            </w:pPr>
          </w:p>
          <w:p w14:paraId="4A56BAAE" w14:textId="77777777" w:rsidR="00D902B3" w:rsidRDefault="00D902B3" w:rsidP="00183CD7">
            <w:pPr>
              <w:ind w:right="1248"/>
              <w:rPr>
                <w:rFonts w:ascii="Times New Roman" w:eastAsia="Times New Roman" w:hAnsi="Times New Roman" w:cs="Times New Roman"/>
                <w:b/>
                <w:bCs/>
                <w:lang w:val="sl-SI"/>
              </w:rPr>
            </w:pPr>
          </w:p>
        </w:tc>
      </w:tr>
      <w:tr w:rsidR="00D902B3" w14:paraId="7D03F462" w14:textId="77777777" w:rsidTr="00183CD7">
        <w:trPr>
          <w:trHeight w:val="4422"/>
        </w:trPr>
        <w:tc>
          <w:tcPr>
            <w:tcW w:w="9634" w:type="dxa"/>
          </w:tcPr>
          <w:p w14:paraId="6D5A49E8" w14:textId="77777777" w:rsidR="00D902B3" w:rsidRDefault="00D902B3" w:rsidP="00183CD7">
            <w:pPr>
              <w:pStyle w:val="a3"/>
              <w:rPr>
                <w:lang w:val="sl-SI" w:eastAsia="ko-KR"/>
              </w:rPr>
            </w:pPr>
          </w:p>
          <w:p w14:paraId="3BD2364D" w14:textId="77777777" w:rsidR="00D902B3" w:rsidRDefault="00D902B3" w:rsidP="00183CD7">
            <w:pPr>
              <w:pStyle w:val="a3"/>
              <w:rPr>
                <w:lang w:val="sl-SI"/>
              </w:rPr>
            </w:pPr>
            <w:r>
              <w:rPr>
                <w:rFonts w:eastAsia="Times New Roman"/>
                <w:b/>
                <w:bCs/>
                <w:noProof/>
                <w:lang w:eastAsia="ko-KR"/>
              </w:rPr>
              <mc:AlternateContent>
                <mc:Choice Requires="wpg">
                  <w:drawing>
                    <wp:anchor distT="0" distB="0" distL="114300" distR="114300" simplePos="0" relativeHeight="251658347" behindDoc="0" locked="0" layoutInCell="1" allowOverlap="1" wp14:anchorId="33BF61F3" wp14:editId="72E4CB64">
                      <wp:simplePos x="0" y="0"/>
                      <wp:positionH relativeFrom="column">
                        <wp:posOffset>86995</wp:posOffset>
                      </wp:positionH>
                      <wp:positionV relativeFrom="paragraph">
                        <wp:posOffset>30480</wp:posOffset>
                      </wp:positionV>
                      <wp:extent cx="1924050" cy="2513330"/>
                      <wp:effectExtent l="0" t="0" r="0" b="1270"/>
                      <wp:wrapSquare wrapText="bothSides"/>
                      <wp:docPr id="3917" name="그룹 3917"/>
                      <wp:cNvGraphicFramePr/>
                      <a:graphic xmlns:a="http://schemas.openxmlformats.org/drawingml/2006/main">
                        <a:graphicData uri="http://schemas.microsoft.com/office/word/2010/wordprocessingGroup">
                          <wpg:wgp>
                            <wpg:cNvGrpSpPr/>
                            <wpg:grpSpPr>
                              <a:xfrm>
                                <a:off x="0" y="0"/>
                                <a:ext cx="1924050" cy="2513330"/>
                                <a:chOff x="5655" y="1"/>
                                <a:chExt cx="1924841" cy="2513999"/>
                              </a:xfrm>
                            </wpg:grpSpPr>
                            <pic:pic xmlns:pic="http://schemas.openxmlformats.org/drawingml/2006/picture">
                              <pic:nvPicPr>
                                <pic:cNvPr id="3918" name="그림 3918"/>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bwMode="auto">
                                <a:xfrm>
                                  <a:off x="5655" y="1"/>
                                  <a:ext cx="1924841" cy="2374900"/>
                                </a:xfrm>
                                <a:prstGeom prst="rect">
                                  <a:avLst/>
                                </a:prstGeom>
                                <a:noFill/>
                                <a:ln>
                                  <a:noFill/>
                                </a:ln>
                                <a:extLst>
                                  <a:ext uri="{53640926-AAD7-44D8-BBD7-CCE9431645EC}">
                                    <a14:shadowObscured xmlns:a14="http://schemas.microsoft.com/office/drawing/2010/main"/>
                                  </a:ext>
                                </a:extLst>
                              </pic:spPr>
                            </pic:pic>
                            <wps:wsp>
                              <wps:cNvPr id="3919" name="Text Box 3919"/>
                              <wps:cNvSpPr txBox="1"/>
                              <wps:spPr>
                                <a:xfrm>
                                  <a:off x="1197343" y="2367950"/>
                                  <a:ext cx="719758" cy="146050"/>
                                </a:xfrm>
                                <a:prstGeom prst="rect">
                                  <a:avLst/>
                                </a:prstGeom>
                                <a:solidFill>
                                  <a:prstClr val="white"/>
                                </a:solidFill>
                                <a:ln>
                                  <a:noFill/>
                                </a:ln>
                              </wps:spPr>
                              <wps:txbx>
                                <w:txbxContent>
                                  <w:p w14:paraId="1642C75E"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3BF61F3" id="그룹 3917" o:spid="_x0000_s1320" style="position:absolute;margin-left:6.85pt;margin-top:2.4pt;width:151.5pt;height:197.9pt;z-index:251658347;mso-width-relative:margin;mso-height-relative:margin" coordorigin="56" coordsize="19248,25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">
                      <v:shape id="그림 3918" o:spid="_x0000_s1321" type="#_x0000_t75" style="position:absolute;left:56;width:19248;height:2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">
                        <v:imagedata r:id="rId166" o:title=""/>
                      </v:shape>
                      <v:shape id="Text Box 3919" o:spid="_x0000_s1322" type="#_x0000_t202" style="position:absolute;left:11973;top:23679;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" stroked="f">
                        <v:textbox style="mso-fit-shape-to-text:t" inset="0,0,0,0">
                          <w:txbxContent>
                            <w:p w14:paraId="1642C75E"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C</w:t>
                              </w:r>
                            </w:p>
                          </w:txbxContent>
                        </v:textbox>
                      </v:shape>
                      <w10:wrap type="square"/>
                    </v:group>
                  </w:pict>
                </mc:Fallback>
              </mc:AlternateContent>
            </w:r>
          </w:p>
          <w:p w14:paraId="0A7A0CE8" w14:textId="77777777" w:rsidR="00D902B3" w:rsidRDefault="00D902B3" w:rsidP="007811C6">
            <w:pPr>
              <w:pStyle w:val="a3"/>
              <w:numPr>
                <w:ilvl w:val="0"/>
                <w:numId w:val="142"/>
              </w:numPr>
              <w:rPr>
                <w:b/>
                <w:lang w:val="sl-SI"/>
              </w:rPr>
            </w:pPr>
            <w:r>
              <w:rPr>
                <w:rFonts w:eastAsia="Times New Roman"/>
                <w:b/>
                <w:bCs/>
                <w:lang w:val="sl-SI"/>
              </w:rPr>
              <w:t>Preglejte zdravilo.</w:t>
            </w:r>
          </w:p>
          <w:p w14:paraId="074DC719" w14:textId="77777777" w:rsidR="00D902B3" w:rsidRDefault="00D902B3" w:rsidP="00183CD7">
            <w:pPr>
              <w:ind w:right="1248"/>
              <w:rPr>
                <w:rFonts w:ascii="Times New Roman" w:eastAsia="Times New Roman" w:hAnsi="Times New Roman" w:cs="Times New Roman"/>
                <w:b/>
                <w:bCs/>
                <w:lang w:val="sl-SI"/>
              </w:rPr>
            </w:pPr>
          </w:p>
          <w:p w14:paraId="4DDBC101" w14:textId="77777777" w:rsidR="00D902B3" w:rsidRDefault="00D902B3" w:rsidP="00183CD7">
            <w:pPr>
              <w:pStyle w:val="a3"/>
              <w:ind w:left="3576" w:hanging="284"/>
              <w:rPr>
                <w:lang w:val="sl-SI" w:eastAsia="ko-KR"/>
              </w:rPr>
            </w:pPr>
            <w:r>
              <w:rPr>
                <w:rFonts w:eastAsia="Times New Roman"/>
                <w:b/>
                <w:bCs/>
                <w:lang w:val="sl-SI" w:eastAsia="ko-KR"/>
              </w:rPr>
              <w:t>a</w:t>
            </w:r>
            <w:r>
              <w:rPr>
                <w:rFonts w:eastAsia="Times New Roman"/>
                <w:lang w:val="sl-SI" w:eastAsia="ko-KR"/>
              </w:rPr>
              <w:t>. Preglejte zdravilo in se prepričajte, da je tekočina bistra, brezbarvna do bledo rjava in brez delcev.</w:t>
            </w:r>
          </w:p>
          <w:p w14:paraId="028822AD" w14:textId="77777777" w:rsidR="00D902B3" w:rsidRDefault="00D902B3" w:rsidP="00183CD7">
            <w:pPr>
              <w:pStyle w:val="a3"/>
              <w:numPr>
                <w:ilvl w:val="0"/>
                <w:numId w:val="0"/>
              </w:numPr>
              <w:tabs>
                <w:tab w:val="left" w:pos="3861"/>
              </w:tabs>
              <w:ind w:left="3576" w:hanging="284"/>
              <w:rPr>
                <w:lang w:val="sl-SI"/>
              </w:rPr>
            </w:pPr>
          </w:p>
          <w:p w14:paraId="3BA6FC1F" w14:textId="77777777" w:rsidR="00D902B3" w:rsidRDefault="00D902B3" w:rsidP="00183CD7">
            <w:pPr>
              <w:pStyle w:val="a3"/>
              <w:numPr>
                <w:ilvl w:val="0"/>
                <w:numId w:val="40"/>
              </w:numPr>
              <w:ind w:left="3576" w:hanging="284"/>
              <w:rPr>
                <w:lang w:val="sl-SI"/>
              </w:rPr>
            </w:pPr>
            <w:r>
              <w:rPr>
                <w:rFonts w:eastAsia="Times New Roman"/>
                <w:lang w:val="sl-SI"/>
              </w:rPr>
              <w:t xml:space="preserve">Napolnjene injekcijske brizge </w:t>
            </w:r>
            <w:r>
              <w:rPr>
                <w:rFonts w:eastAsia="Times New Roman"/>
                <w:b/>
                <w:bCs/>
                <w:lang w:val="sl-SI"/>
              </w:rPr>
              <w:t>ne</w:t>
            </w:r>
            <w:r>
              <w:rPr>
                <w:rFonts w:eastAsia="Times New Roman"/>
                <w:lang w:val="sl-SI"/>
              </w:rPr>
              <w:t xml:space="preserve"> uporabljajte, če je tekočina obarvana (rumena ali temno rjavo), motna ali vsebuje delce.</w:t>
            </w:r>
          </w:p>
          <w:p w14:paraId="102310BA" w14:textId="77777777" w:rsidR="00D902B3" w:rsidRDefault="00D902B3" w:rsidP="00183CD7">
            <w:pPr>
              <w:pStyle w:val="a3"/>
              <w:numPr>
                <w:ilvl w:val="0"/>
                <w:numId w:val="0"/>
              </w:numPr>
              <w:ind w:left="3576" w:hanging="284"/>
              <w:rPr>
                <w:lang w:val="sl-SI"/>
              </w:rPr>
            </w:pPr>
          </w:p>
          <w:p w14:paraId="2C45636C" w14:textId="77777777" w:rsidR="00D902B3" w:rsidRDefault="00D902B3" w:rsidP="00183CD7">
            <w:pPr>
              <w:pStyle w:val="a3"/>
              <w:numPr>
                <w:ilvl w:val="0"/>
                <w:numId w:val="40"/>
              </w:numPr>
              <w:ind w:left="3576" w:hanging="284"/>
              <w:rPr>
                <w:b/>
                <w:bCs/>
                <w:lang w:val="sl-SI"/>
              </w:rPr>
            </w:pPr>
            <w:r>
              <w:rPr>
                <w:rFonts w:eastAsia="Times New Roman"/>
                <w:lang w:val="sl-SI"/>
              </w:rPr>
              <w:t>V tekočini so lahko vidni zračni mehurčki. To je normalno.</w:t>
            </w:r>
          </w:p>
        </w:tc>
      </w:tr>
      <w:tr w:rsidR="00D902B3" w:rsidRPr="00475A1E" w14:paraId="1F5D65A3" w14:textId="77777777" w:rsidTr="00183CD7">
        <w:trPr>
          <w:trHeight w:val="4530"/>
        </w:trPr>
        <w:tc>
          <w:tcPr>
            <w:tcW w:w="9634" w:type="dxa"/>
          </w:tcPr>
          <w:p w14:paraId="1BC33EC0" w14:textId="77777777" w:rsidR="00D902B3" w:rsidRDefault="00D902B3" w:rsidP="00183CD7">
            <w:pPr>
              <w:ind w:right="1248"/>
              <w:rPr>
                <w:rFonts w:ascii="Times New Roman" w:eastAsia="Times New Roman" w:hAnsi="Times New Roman" w:cs="Times New Roman"/>
                <w:b/>
                <w:bCs/>
                <w:spacing w:val="-1"/>
                <w:lang w:val="sl-SI"/>
              </w:rPr>
            </w:pPr>
            <w:r>
              <w:rPr>
                <w:rFonts w:ascii="Times New Roman" w:eastAsia="Times New Roman" w:hAnsi="Times New Roman" w:cs="Times New Roman"/>
                <w:bCs/>
                <w:noProof/>
                <w:lang w:eastAsia="ko-KR"/>
              </w:rPr>
              <mc:AlternateContent>
                <mc:Choice Requires="wpg">
                  <w:drawing>
                    <wp:anchor distT="0" distB="0" distL="114300" distR="114300" simplePos="0" relativeHeight="251658355" behindDoc="0" locked="0" layoutInCell="1" allowOverlap="1" wp14:anchorId="178A6697" wp14:editId="46FCFF8E">
                      <wp:simplePos x="0" y="0"/>
                      <wp:positionH relativeFrom="column">
                        <wp:posOffset>93345</wp:posOffset>
                      </wp:positionH>
                      <wp:positionV relativeFrom="paragraph">
                        <wp:posOffset>151130</wp:posOffset>
                      </wp:positionV>
                      <wp:extent cx="1995170" cy="2603500"/>
                      <wp:effectExtent l="0" t="0" r="5080" b="6350"/>
                      <wp:wrapSquare wrapText="bothSides"/>
                      <wp:docPr id="3920" name="그룹 3920"/>
                      <wp:cNvGraphicFramePr/>
                      <a:graphic xmlns:a="http://schemas.openxmlformats.org/drawingml/2006/main">
                        <a:graphicData uri="http://schemas.microsoft.com/office/word/2010/wordprocessingGroup">
                          <wpg:wgp>
                            <wpg:cNvGrpSpPr/>
                            <wpg:grpSpPr>
                              <a:xfrm>
                                <a:off x="0" y="0"/>
                                <a:ext cx="1995170" cy="2603500"/>
                                <a:chOff x="9832" y="0"/>
                                <a:chExt cx="1995711" cy="2604125"/>
                              </a:xfrm>
                            </wpg:grpSpPr>
                            <wpg:grpSp>
                              <wpg:cNvPr id="3921" name="그룹 3921"/>
                              <wpg:cNvGrpSpPr/>
                              <wpg:grpSpPr>
                                <a:xfrm>
                                  <a:off x="9832" y="0"/>
                                  <a:ext cx="1995711" cy="2604125"/>
                                  <a:chOff x="9832" y="0"/>
                                  <a:chExt cx="1995711" cy="2604125"/>
                                </a:xfrm>
                              </wpg:grpSpPr>
                              <pic:pic xmlns:pic="http://schemas.openxmlformats.org/drawingml/2006/picture">
                                <pic:nvPicPr>
                                  <pic:cNvPr id="3922" name="그림 3922"/>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bwMode="auto">
                                  <a:xfrm>
                                    <a:off x="9832" y="0"/>
                                    <a:ext cx="1995711" cy="2462103"/>
                                  </a:xfrm>
                                  <a:prstGeom prst="rect">
                                    <a:avLst/>
                                  </a:prstGeom>
                                  <a:noFill/>
                                  <a:ln>
                                    <a:noFill/>
                                  </a:ln>
                                </pic:spPr>
                              </pic:pic>
                              <wps:wsp>
                                <wps:cNvPr id="3923" name="Text Box 3923"/>
                                <wps:cNvSpPr txBox="1"/>
                                <wps:spPr>
                                  <a:xfrm>
                                    <a:off x="1263638" y="2458075"/>
                                    <a:ext cx="719758" cy="146050"/>
                                  </a:xfrm>
                                  <a:prstGeom prst="rect">
                                    <a:avLst/>
                                  </a:prstGeom>
                                  <a:solidFill>
                                    <a:prstClr val="white"/>
                                  </a:solidFill>
                                  <a:ln>
                                    <a:noFill/>
                                  </a:ln>
                                </wps:spPr>
                                <wps:txbx>
                                  <w:txbxContent>
                                    <w:p w14:paraId="30E92EF3"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924" name="Text Box 3924"/>
                              <wps:cNvSpPr txBox="1"/>
                              <wps:spPr>
                                <a:xfrm>
                                  <a:off x="1113363" y="140280"/>
                                  <a:ext cx="751542" cy="86937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65363B" w14:textId="77777777" w:rsidR="00474DFB" w:rsidRPr="00385E1F" w:rsidRDefault="00474DFB" w:rsidP="00D902B3">
                                    <w:pPr>
                                      <w:jc w:val="center"/>
                                      <w:rPr>
                                        <w:rFonts w:ascii="Arial" w:hAnsi="Arial" w:cs="Arial"/>
                                        <w:b/>
                                        <w:bCs/>
                                        <w:sz w:val="28"/>
                                        <w:szCs w:val="28"/>
                                      </w:rPr>
                                    </w:pPr>
                                    <w:r w:rsidRPr="00385E1F">
                                      <w:rPr>
                                        <w:rFonts w:ascii="Arial" w:eastAsia="Times New Roman" w:hAnsi="Arial" w:cs="Arial"/>
                                        <w:b/>
                                        <w:bCs/>
                                        <w:sz w:val="28"/>
                                        <w:szCs w:val="28"/>
                                        <w:lang w:val="sl-SI"/>
                                      </w:rPr>
                                      <w:t>15 – 30 minut</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78A6697" id="그룹 3920" o:spid="_x0000_s1323" style="position:absolute;margin-left:7.35pt;margin-top:11.9pt;width:157.1pt;height:205pt;z-index:251658355;mso-width-relative:margin;mso-height-relative:margin" coordorigin="98" coordsize="19957,26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">
                      <v:group id="그룹 3921" o:spid="_x0000_s1324" style="position:absolute;left:98;width:19957;height:26041" coordorigin="98" coordsize="19957,26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">
                        <v:shape id="그림 3922" o:spid="_x0000_s1325" type="#_x0000_t75" style="position:absolute;left:98;width:19957;height:24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">
                          <v:imagedata r:id="rId168" o:title=""/>
                        </v:shape>
                        <v:shape id="Text Box 3923" o:spid="_x0000_s1326" type="#_x0000_t202" style="position:absolute;left:12636;top:24580;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" stroked="f">
                          <v:textbox style="mso-fit-shape-to-text:t" inset="0,0,0,0">
                            <w:txbxContent>
                              <w:p w14:paraId="30E92EF3"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D</w:t>
                                </w:r>
                              </w:p>
                            </w:txbxContent>
                          </v:textbox>
                        </v:shape>
                      </v:group>
                      <v:shape id="Text Box 3924" o:spid="_x0000_s1327" type="#_x0000_t202" style="position:absolute;left:11133;top:1402;width:7516;height:86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" fillcolor="white [3212]" stroked="f" strokeweight=".5pt">
                        <v:textbox inset="0,0,0,0">
                          <w:txbxContent>
                            <w:p w14:paraId="2A65363B" w14:textId="77777777" w:rsidR="00474DFB" w:rsidRPr="00385E1F" w:rsidRDefault="00474DFB" w:rsidP="00D902B3">
                              <w:pPr>
                                <w:jc w:val="center"/>
                                <w:rPr>
                                  <w:rFonts w:ascii="Arial" w:hAnsi="Arial" w:cs="Arial"/>
                                  <w:b/>
                                  <w:bCs/>
                                  <w:sz w:val="28"/>
                                  <w:szCs w:val="28"/>
                                </w:rPr>
                              </w:pPr>
                              <w:r w:rsidRPr="00385E1F">
                                <w:rPr>
                                  <w:rFonts w:ascii="Arial" w:eastAsia="Times New Roman" w:hAnsi="Arial" w:cs="Arial"/>
                                  <w:b/>
                                  <w:bCs/>
                                  <w:sz w:val="28"/>
                                  <w:szCs w:val="28"/>
                                  <w:lang w:val="sl-SI"/>
                                </w:rPr>
                                <w:t>15 – 30 minut</w:t>
                              </w:r>
                            </w:p>
                          </w:txbxContent>
                        </v:textbox>
                      </v:shape>
                      <w10:wrap type="square"/>
                    </v:group>
                  </w:pict>
                </mc:Fallback>
              </mc:AlternateContent>
            </w:r>
          </w:p>
          <w:p w14:paraId="2C4B1C00" w14:textId="77777777" w:rsidR="00D902B3" w:rsidRDefault="00D902B3" w:rsidP="00183CD7">
            <w:pPr>
              <w:ind w:right="1248"/>
              <w:rPr>
                <w:rFonts w:ascii="Times New Roman" w:eastAsia="Times New Roman" w:hAnsi="Times New Roman" w:cs="Times New Roman"/>
                <w:bCs/>
                <w:lang w:val="sl-SI"/>
              </w:rPr>
            </w:pPr>
          </w:p>
          <w:p w14:paraId="587DF414" w14:textId="77777777" w:rsidR="00D902B3" w:rsidRDefault="00D902B3" w:rsidP="00183CD7">
            <w:pPr>
              <w:ind w:right="1248"/>
              <w:rPr>
                <w:rFonts w:ascii="Times New Roman" w:eastAsia="Times New Roman" w:hAnsi="Times New Roman" w:cs="Times New Roman"/>
                <w:bCs/>
                <w:lang w:val="sl-SI"/>
              </w:rPr>
            </w:pPr>
          </w:p>
          <w:p w14:paraId="7309996D" w14:textId="77777777" w:rsidR="00D902B3" w:rsidRDefault="00D902B3" w:rsidP="007811C6">
            <w:pPr>
              <w:pStyle w:val="a3"/>
              <w:numPr>
                <w:ilvl w:val="0"/>
                <w:numId w:val="142"/>
              </w:numPr>
              <w:rPr>
                <w:b/>
                <w:lang w:val="sl-SI"/>
              </w:rPr>
            </w:pPr>
            <w:r>
              <w:rPr>
                <w:rFonts w:eastAsia="Times New Roman"/>
                <w:b/>
                <w:bCs/>
                <w:lang w:val="sl-SI"/>
              </w:rPr>
              <w:t>Počakajte 15 do 30 minut.</w:t>
            </w:r>
          </w:p>
          <w:p w14:paraId="524FD598" w14:textId="77777777" w:rsidR="00D902B3" w:rsidRDefault="00D902B3" w:rsidP="00183CD7">
            <w:pPr>
              <w:pStyle w:val="a3"/>
              <w:numPr>
                <w:ilvl w:val="0"/>
                <w:numId w:val="0"/>
              </w:numPr>
              <w:ind w:left="471"/>
              <w:rPr>
                <w:b/>
                <w:lang w:val="sl-SI"/>
              </w:rPr>
            </w:pPr>
          </w:p>
          <w:p w14:paraId="5BC210BE" w14:textId="77777777" w:rsidR="00D902B3" w:rsidRDefault="00D902B3" w:rsidP="00183CD7">
            <w:pPr>
              <w:pStyle w:val="a3"/>
              <w:ind w:left="3718" w:hanging="284"/>
              <w:rPr>
                <w:lang w:val="sl-SI"/>
              </w:rPr>
            </w:pPr>
            <w:r>
              <w:rPr>
                <w:rFonts w:eastAsia="Times New Roman"/>
                <w:b/>
                <w:lang w:val="sl-SI"/>
              </w:rPr>
              <w:t>a</w:t>
            </w:r>
            <w:r>
              <w:rPr>
                <w:rFonts w:eastAsia="Times New Roman"/>
                <w:lang w:val="sl-SI"/>
              </w:rPr>
              <w:t>. Napolnjeno injekcijsko brizgo pustite na sobni temperaturi 15 do 30 minut, da se segreje.</w:t>
            </w:r>
          </w:p>
          <w:p w14:paraId="3F0931C6" w14:textId="77777777" w:rsidR="00D902B3" w:rsidRDefault="00D902B3" w:rsidP="00183CD7">
            <w:pPr>
              <w:pStyle w:val="Default"/>
              <w:rPr>
                <w:color w:val="211D1E"/>
                <w:sz w:val="20"/>
                <w:szCs w:val="20"/>
                <w:lang w:val="sl-SI"/>
              </w:rPr>
            </w:pPr>
          </w:p>
          <w:p w14:paraId="5EC75038" w14:textId="77777777" w:rsidR="00D902B3" w:rsidRDefault="00D902B3" w:rsidP="00183CD7">
            <w:pPr>
              <w:pStyle w:val="a3"/>
              <w:numPr>
                <w:ilvl w:val="0"/>
                <w:numId w:val="40"/>
              </w:numPr>
              <w:ind w:left="3718" w:hanging="863"/>
              <w:rPr>
                <w:rFonts w:eastAsia="Times New Roman" w:cstheme="minorBidi"/>
                <w:lang w:val="sl-SI"/>
              </w:rPr>
            </w:pPr>
            <w:r>
              <w:rPr>
                <w:rFonts w:eastAsia="Times New Roman"/>
                <w:lang w:val="sl-SI"/>
              </w:rPr>
              <w:t xml:space="preserve">Napolnjene injekcijske brizge </w:t>
            </w:r>
            <w:r>
              <w:rPr>
                <w:rFonts w:eastAsia="Times New Roman"/>
                <w:b/>
                <w:bCs/>
                <w:lang w:val="sl-SI"/>
              </w:rPr>
              <w:t>ne smete</w:t>
            </w:r>
            <w:r>
              <w:rPr>
                <w:rFonts w:eastAsia="Times New Roman"/>
                <w:lang w:val="sl-SI"/>
              </w:rPr>
              <w:t xml:space="preserve"> segrevati na kateri koli drug način, na primer v mikrovalovni pečici ali vroči vodi.</w:t>
            </w:r>
          </w:p>
        </w:tc>
      </w:tr>
    </w:tbl>
    <w:tbl>
      <w:tblPr>
        <w:tblStyle w:val="ac"/>
        <w:tblW w:w="0" w:type="auto"/>
        <w:tblLook w:val="04A0" w:firstRow="1" w:lastRow="0" w:firstColumn="1" w:lastColumn="0" w:noHBand="0" w:noVBand="1"/>
      </w:tblPr>
      <w:tblGrid>
        <w:gridCol w:w="9351"/>
      </w:tblGrid>
      <w:tr w:rsidR="00D902B3" w:rsidRPr="00475A1E" w14:paraId="2A99EED1" w14:textId="77777777" w:rsidTr="00183CD7">
        <w:trPr>
          <w:trHeight w:val="5933"/>
        </w:trPr>
        <w:tc>
          <w:tcPr>
            <w:tcW w:w="9351" w:type="dxa"/>
          </w:tcPr>
          <w:p w14:paraId="5D10EA44" w14:textId="10AD6777" w:rsidR="00D902B3" w:rsidRDefault="006D67C9" w:rsidP="00183CD7">
            <w:pPr>
              <w:ind w:left="224" w:right="1248"/>
              <w:rPr>
                <w:rFonts w:ascii="Times New Roman" w:eastAsia="Times New Roman" w:hAnsi="Times New Roman" w:cs="Times New Roman"/>
                <w:b/>
                <w:bCs/>
                <w:spacing w:val="-1"/>
                <w:lang w:val="sl-SI"/>
              </w:rPr>
            </w:pPr>
            <w:r>
              <w:rPr>
                <w:noProof/>
                <w:lang w:eastAsia="ko-KR"/>
              </w:rPr>
              <w:lastRenderedPageBreak/>
              <mc:AlternateContent>
                <mc:Choice Requires="wpg">
                  <w:drawing>
                    <wp:anchor distT="0" distB="0" distL="114300" distR="114300" simplePos="0" relativeHeight="251658356" behindDoc="0" locked="0" layoutInCell="1" allowOverlap="1" wp14:anchorId="79731C22" wp14:editId="2D1D7BDE">
                      <wp:simplePos x="0" y="0"/>
                      <wp:positionH relativeFrom="column">
                        <wp:posOffset>42545</wp:posOffset>
                      </wp:positionH>
                      <wp:positionV relativeFrom="paragraph">
                        <wp:posOffset>146685</wp:posOffset>
                      </wp:positionV>
                      <wp:extent cx="1968500" cy="3712210"/>
                      <wp:effectExtent l="0" t="0" r="0" b="2540"/>
                      <wp:wrapSquare wrapText="bothSides"/>
                      <wp:docPr id="3925" name="그룹 3925"/>
                      <wp:cNvGraphicFramePr/>
                      <a:graphic xmlns:a="http://schemas.openxmlformats.org/drawingml/2006/main">
                        <a:graphicData uri="http://schemas.microsoft.com/office/word/2010/wordprocessingGroup">
                          <wpg:wgp>
                            <wpg:cNvGrpSpPr/>
                            <wpg:grpSpPr>
                              <a:xfrm>
                                <a:off x="0" y="0"/>
                                <a:ext cx="1968500" cy="3712210"/>
                                <a:chOff x="0" y="0"/>
                                <a:chExt cx="1819275" cy="3207007"/>
                              </a:xfrm>
                            </wpg:grpSpPr>
                            <wpg:grpSp>
                              <wpg:cNvPr id="3926" name="그룹 3926"/>
                              <wpg:cNvGrpSpPr/>
                              <wpg:grpSpPr>
                                <a:xfrm>
                                  <a:off x="0" y="0"/>
                                  <a:ext cx="1819275" cy="3207007"/>
                                  <a:chOff x="0" y="0"/>
                                  <a:chExt cx="1819275" cy="3207007"/>
                                </a:xfrm>
                              </wpg:grpSpPr>
                              <pic:pic xmlns:pic="http://schemas.openxmlformats.org/drawingml/2006/picture">
                                <pic:nvPicPr>
                                  <pic:cNvPr id="3927" name="그림 3927"/>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3928" name="Text Box 3928"/>
                                <wps:cNvSpPr txBox="1"/>
                                <wps:spPr>
                                  <a:xfrm>
                                    <a:off x="1077709" y="3060957"/>
                                    <a:ext cx="719758" cy="146050"/>
                                  </a:xfrm>
                                  <a:prstGeom prst="rect">
                                    <a:avLst/>
                                  </a:prstGeom>
                                  <a:solidFill>
                                    <a:prstClr val="white"/>
                                  </a:solidFill>
                                  <a:ln>
                                    <a:noFill/>
                                  </a:ln>
                                </wps:spPr>
                                <wps:txbx>
                                  <w:txbxContent>
                                    <w:p w14:paraId="72ABAF1B"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929" name="Text Box 3929"/>
                              <wps:cNvSpPr txBox="1"/>
                              <wps:spPr>
                                <a:xfrm>
                                  <a:off x="536086" y="2307940"/>
                                  <a:ext cx="1233377" cy="6701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68717B" w14:textId="77777777" w:rsidR="00474DFB" w:rsidRPr="00385E1F" w:rsidRDefault="00474DFB" w:rsidP="00D902B3">
                                    <w:pPr>
                                      <w:rPr>
                                        <w:rFonts w:ascii="Arial" w:hAnsi="Arial" w:cs="Arial"/>
                                        <w:b/>
                                        <w:bCs/>
                                        <w:szCs w:val="18"/>
                                      </w:rPr>
                                    </w:pPr>
                                    <w:r w:rsidRPr="00385E1F">
                                      <w:rPr>
                                        <w:rFonts w:ascii="Arial" w:eastAsia="Times New Roman" w:hAnsi="Arial" w:cs="Arial"/>
                                        <w:b/>
                                        <w:bCs/>
                                        <w:szCs w:val="18"/>
                                        <w:lang w:val="sl-SI"/>
                                      </w:rPr>
                                      <w:t xml:space="preserve">SAMO za negovalce </w:t>
                                    </w:r>
                                  </w:p>
                                  <w:p w14:paraId="17D64C4F" w14:textId="77777777" w:rsidR="00474DFB" w:rsidRPr="00385E1F" w:rsidRDefault="00474DFB" w:rsidP="00D902B3">
                                    <w:pPr>
                                      <w:rPr>
                                        <w:rFonts w:ascii="Arial" w:hAnsi="Arial" w:cs="Arial"/>
                                        <w:b/>
                                        <w:bCs/>
                                        <w:szCs w:val="18"/>
                                      </w:rPr>
                                    </w:pPr>
                                  </w:p>
                                  <w:p w14:paraId="133A3743" w14:textId="7EB55133" w:rsidR="00474DFB" w:rsidRPr="00385E1F" w:rsidRDefault="00474DFB" w:rsidP="00D902B3">
                                    <w:pPr>
                                      <w:rPr>
                                        <w:rFonts w:ascii="Arial" w:hAnsi="Arial" w:cs="Arial"/>
                                        <w:b/>
                                        <w:bCs/>
                                        <w:szCs w:val="18"/>
                                      </w:rPr>
                                    </w:pPr>
                                    <w:r w:rsidRPr="00385E1F">
                                      <w:rPr>
                                        <w:rFonts w:ascii="Arial" w:eastAsia="Times New Roman" w:hAnsi="Arial" w:cs="Arial"/>
                                        <w:b/>
                                        <w:bCs/>
                                        <w:szCs w:val="18"/>
                                        <w:lang w:val="sl-SI"/>
                                      </w:rPr>
                                      <w:t>Samoinjiciranje in negovalec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731C22" id="그룹 3925" o:spid="_x0000_s1328" style="position:absolute;left:0;text-align:left;margin-left:3.35pt;margin-top:11.55pt;width:155pt;height:292.3pt;z-index:251658356;mso-width-relative:margin;mso-height-relative:margin" coordsize="18192,3207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">
                      <v:group id="그룹 3926" o:spid="_x0000_s1329" style="position:absolute;width:18192;height:32070" coordsize="18192,32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">
                        <v:shape id="그림 3927" o:spid="_x0000_s1330"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">
                          <v:imagedata r:id="rId41" o:title=""/>
                        </v:shape>
                        <v:shape id="Text Box 3928" o:spid="_x0000_s1331" type="#_x0000_t202" style="position:absolute;left:10777;top:3060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" stroked="f">
                          <v:textbox inset="0,0,0,0">
                            <w:txbxContent>
                              <w:p w14:paraId="72ABAF1B"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E</w:t>
                                </w:r>
                              </w:p>
                            </w:txbxContent>
                          </v:textbox>
                        </v:shape>
                      </v:group>
                      <v:shape id="Text Box 3929" o:spid="_x0000_s1332" type="#_x0000_t202" style="position:absolute;left:5360;top:23079;width:12334;height:6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" fillcolor="white [3212]" stroked="f" strokeweight=".5pt">
                        <v:textbox inset="0,0,0,0">
                          <w:txbxContent>
                            <w:p w14:paraId="4E68717B" w14:textId="77777777" w:rsidR="00474DFB" w:rsidRPr="00385E1F" w:rsidRDefault="00474DFB" w:rsidP="00D902B3">
                              <w:pPr>
                                <w:rPr>
                                  <w:rFonts w:ascii="Arial" w:hAnsi="Arial" w:cs="Arial"/>
                                  <w:b/>
                                  <w:bCs/>
                                  <w:szCs w:val="18"/>
                                </w:rPr>
                              </w:pPr>
                              <w:r w:rsidRPr="00385E1F">
                                <w:rPr>
                                  <w:rFonts w:ascii="Arial" w:eastAsia="Times New Roman" w:hAnsi="Arial" w:cs="Arial"/>
                                  <w:b/>
                                  <w:bCs/>
                                  <w:szCs w:val="18"/>
                                  <w:lang w:val="sl-SI"/>
                                </w:rPr>
                                <w:t xml:space="preserve">SAMO za negovalce </w:t>
                              </w:r>
                            </w:p>
                            <w:p w14:paraId="17D64C4F" w14:textId="77777777" w:rsidR="00474DFB" w:rsidRPr="00385E1F" w:rsidRDefault="00474DFB" w:rsidP="00D902B3">
                              <w:pPr>
                                <w:rPr>
                                  <w:rFonts w:ascii="Arial" w:hAnsi="Arial" w:cs="Arial"/>
                                  <w:b/>
                                  <w:bCs/>
                                  <w:szCs w:val="18"/>
                                </w:rPr>
                              </w:pPr>
                            </w:p>
                            <w:p w14:paraId="133A3743" w14:textId="7EB55133" w:rsidR="00474DFB" w:rsidRPr="00385E1F" w:rsidRDefault="00474DFB" w:rsidP="00D902B3">
                              <w:pPr>
                                <w:rPr>
                                  <w:rFonts w:ascii="Arial" w:hAnsi="Arial" w:cs="Arial"/>
                                  <w:b/>
                                  <w:bCs/>
                                  <w:szCs w:val="18"/>
                                </w:rPr>
                              </w:pPr>
                              <w:r w:rsidRPr="00385E1F">
                                <w:rPr>
                                  <w:rFonts w:ascii="Arial" w:eastAsia="Times New Roman" w:hAnsi="Arial" w:cs="Arial"/>
                                  <w:b/>
                                  <w:bCs/>
                                  <w:szCs w:val="18"/>
                                  <w:lang w:val="sl-SI"/>
                                </w:rPr>
                                <w:t>Samoinjiciranje in negovalec</w:t>
                              </w:r>
                            </w:p>
                          </w:txbxContent>
                        </v:textbox>
                      </v:shape>
                      <w10:wrap type="square"/>
                    </v:group>
                  </w:pict>
                </mc:Fallback>
              </mc:AlternateContent>
            </w:r>
          </w:p>
          <w:p w14:paraId="6CF81A8D" w14:textId="6A3163F6" w:rsidR="00D902B3" w:rsidRDefault="00D902B3" w:rsidP="00183CD7">
            <w:pPr>
              <w:ind w:right="1248"/>
              <w:rPr>
                <w:lang w:val="sl-SI"/>
              </w:rPr>
            </w:pPr>
          </w:p>
          <w:p w14:paraId="051F89FD" w14:textId="4646440C" w:rsidR="00D902B3" w:rsidRDefault="00D902B3" w:rsidP="00183CD7">
            <w:pPr>
              <w:ind w:right="1248"/>
              <w:rPr>
                <w:lang w:val="sl-SI"/>
              </w:rPr>
            </w:pPr>
          </w:p>
          <w:p w14:paraId="25FD5EA4" w14:textId="77777777" w:rsidR="00D902B3" w:rsidRDefault="00D902B3" w:rsidP="007811C6">
            <w:pPr>
              <w:pStyle w:val="a3"/>
              <w:numPr>
                <w:ilvl w:val="0"/>
                <w:numId w:val="142"/>
              </w:numPr>
              <w:rPr>
                <w:rFonts w:cstheme="minorBidi"/>
                <w:b/>
                <w:lang w:val="sl-SI"/>
              </w:rPr>
            </w:pPr>
            <w:r>
              <w:rPr>
                <w:rFonts w:eastAsia="Times New Roman" w:cs="Arial"/>
                <w:b/>
                <w:bCs/>
                <w:lang w:val="sl-SI"/>
              </w:rPr>
              <w:t>Izberite</w:t>
            </w:r>
            <w:r>
              <w:rPr>
                <w:rFonts w:eastAsia="Times New Roman"/>
                <w:b/>
                <w:bCs/>
                <w:lang w:val="sl-SI"/>
              </w:rPr>
              <w:t xml:space="preserve"> mesto injiciranja</w:t>
            </w:r>
            <w:r>
              <w:rPr>
                <w:rFonts w:eastAsia="Times New Roman" w:cs="Arial"/>
                <w:lang w:val="sl-SI"/>
              </w:rPr>
              <w:t xml:space="preserve"> </w:t>
            </w:r>
          </w:p>
          <w:p w14:paraId="0424881B" w14:textId="77777777" w:rsidR="00D902B3" w:rsidRDefault="00D902B3" w:rsidP="00183CD7">
            <w:pPr>
              <w:pStyle w:val="a3"/>
              <w:rPr>
                <w:lang w:val="sl-SI"/>
              </w:rPr>
            </w:pPr>
          </w:p>
          <w:p w14:paraId="08863513" w14:textId="77777777" w:rsidR="00D902B3" w:rsidRDefault="00D902B3" w:rsidP="00183CD7">
            <w:pPr>
              <w:pStyle w:val="a3"/>
              <w:ind w:left="3577" w:hanging="180"/>
              <w:rPr>
                <w:lang w:val="sl-SI"/>
              </w:rPr>
            </w:pPr>
            <w:r>
              <w:rPr>
                <w:rFonts w:eastAsia="Times New Roman"/>
                <w:b/>
                <w:bCs/>
                <w:lang w:val="sl-SI"/>
              </w:rPr>
              <w:t>a.</w:t>
            </w:r>
            <w:r>
              <w:rPr>
                <w:rFonts w:eastAsia="Times New Roman"/>
                <w:lang w:val="sl-SI"/>
              </w:rPr>
              <w:t xml:space="preserve"> Injicirate lahko v:</w:t>
            </w:r>
          </w:p>
          <w:p w14:paraId="1FAED566" w14:textId="77777777" w:rsidR="00D902B3" w:rsidRDefault="00D902B3" w:rsidP="00183CD7">
            <w:pPr>
              <w:pStyle w:val="a3"/>
              <w:ind w:left="3847"/>
              <w:rPr>
                <w:lang w:val="sl-SI"/>
              </w:rPr>
            </w:pPr>
            <w:r>
              <w:rPr>
                <w:rFonts w:eastAsia="Times New Roman"/>
                <w:lang w:val="sl-SI"/>
              </w:rPr>
              <w:t xml:space="preserve">- sprednjo stran stegen. </w:t>
            </w:r>
          </w:p>
          <w:p w14:paraId="113D6613" w14:textId="2788181A" w:rsidR="00D902B3" w:rsidRDefault="00D902B3" w:rsidP="00183CD7">
            <w:pPr>
              <w:pStyle w:val="a3"/>
              <w:ind w:left="3847"/>
              <w:rPr>
                <w:lang w:val="sl-SI"/>
              </w:rPr>
            </w:pPr>
            <w:r>
              <w:rPr>
                <w:rFonts w:eastAsia="Times New Roman"/>
                <w:lang w:val="sl-SI"/>
              </w:rPr>
              <w:t xml:space="preserve">- </w:t>
            </w:r>
            <w:r w:rsidR="00033309">
              <w:rPr>
                <w:rFonts w:eastAsia="Times New Roman"/>
                <w:lang w:val="sl-SI"/>
              </w:rPr>
              <w:t xml:space="preserve">otrokov </w:t>
            </w:r>
            <w:r>
              <w:rPr>
                <w:rFonts w:eastAsia="Times New Roman"/>
                <w:lang w:val="sl-SI"/>
              </w:rPr>
              <w:t xml:space="preserve">trebuh, najmanj 5 cm oddaljeno od popka. </w:t>
            </w:r>
          </w:p>
          <w:p w14:paraId="7B81AD55" w14:textId="77777777" w:rsidR="00D902B3" w:rsidRDefault="00D902B3" w:rsidP="00183CD7">
            <w:pPr>
              <w:pStyle w:val="a3"/>
              <w:ind w:left="3847"/>
              <w:rPr>
                <w:lang w:val="sl-SI"/>
              </w:rPr>
            </w:pPr>
            <w:r>
              <w:rPr>
                <w:rFonts w:eastAsia="Times New Roman"/>
                <w:lang w:val="sl-SI"/>
              </w:rPr>
              <w:t xml:space="preserve">- zunanji del nadlakti (SAMO, če ste negovalec). </w:t>
            </w:r>
          </w:p>
          <w:p w14:paraId="38E38C31" w14:textId="77777777" w:rsidR="00D902B3" w:rsidRDefault="00D902B3" w:rsidP="00183CD7">
            <w:pPr>
              <w:pStyle w:val="a3"/>
              <w:rPr>
                <w:lang w:val="sl-SI"/>
              </w:rPr>
            </w:pPr>
          </w:p>
          <w:p w14:paraId="0C860673" w14:textId="77777777" w:rsidR="00D902B3" w:rsidRDefault="00D902B3" w:rsidP="00183CD7">
            <w:pPr>
              <w:pStyle w:val="a3"/>
              <w:numPr>
                <w:ilvl w:val="0"/>
                <w:numId w:val="18"/>
              </w:numPr>
              <w:ind w:left="3577"/>
              <w:rPr>
                <w:lang w:val="sl-SI"/>
              </w:rPr>
            </w:pPr>
            <w:r>
              <w:rPr>
                <w:rFonts w:eastAsia="Times New Roman"/>
                <w:b/>
                <w:bCs/>
                <w:lang w:val="sl-SI"/>
              </w:rPr>
              <w:t>Ne</w:t>
            </w:r>
            <w:r>
              <w:rPr>
                <w:rFonts w:eastAsia="Times New Roman"/>
                <w:lang w:val="sl-SI"/>
              </w:rPr>
              <w:t xml:space="preserve"> injicirajte v kožo, ki je od popka oddaljena manj kot 5 cm, je rdeča, trda, občutljiva, poškodovana, podpluta ali brazgotinasta. </w:t>
            </w:r>
          </w:p>
          <w:p w14:paraId="0CB22AAB" w14:textId="344CBB2C" w:rsidR="00D902B3" w:rsidRDefault="0062753A" w:rsidP="00385E1F">
            <w:pPr>
              <w:pStyle w:val="a3"/>
              <w:numPr>
                <w:ilvl w:val="0"/>
                <w:numId w:val="18"/>
              </w:numPr>
              <w:ind w:left="3577"/>
              <w:rPr>
                <w:lang w:val="sl-SI"/>
              </w:rPr>
            </w:pPr>
            <w:r w:rsidRPr="0062753A">
              <w:rPr>
                <w:rFonts w:eastAsia="Times New Roman"/>
                <w:lang w:val="sl-SI"/>
              </w:rPr>
              <w:t>Če ima vaš otrok luskavico</w:t>
            </w:r>
            <w:r w:rsidR="00D902B3">
              <w:rPr>
                <w:rFonts w:eastAsia="Times New Roman"/>
                <w:lang w:val="sl-SI"/>
              </w:rPr>
              <w:t xml:space="preserve">, </w:t>
            </w:r>
            <w:r w:rsidR="00D902B3">
              <w:rPr>
                <w:rFonts w:eastAsia="Times New Roman"/>
                <w:b/>
                <w:bCs/>
                <w:lang w:val="sl-SI"/>
              </w:rPr>
              <w:t>ne</w:t>
            </w:r>
            <w:r w:rsidR="00D902B3">
              <w:rPr>
                <w:rFonts w:eastAsia="Times New Roman"/>
                <w:lang w:val="sl-SI"/>
              </w:rPr>
              <w:t xml:space="preserve"> injicirajte neposredno v dvignjene, odebeljene, rdeče ali luskaste zaplate ali lezije na koži. </w:t>
            </w:r>
          </w:p>
          <w:p w14:paraId="2A1BA123" w14:textId="77777777" w:rsidR="00D902B3" w:rsidRDefault="00D902B3" w:rsidP="00183CD7">
            <w:pPr>
              <w:pStyle w:val="a3"/>
              <w:numPr>
                <w:ilvl w:val="0"/>
                <w:numId w:val="18"/>
              </w:numPr>
              <w:rPr>
                <w:lang w:val="sl-SI"/>
              </w:rPr>
            </w:pPr>
            <w:r>
              <w:rPr>
                <w:rFonts w:eastAsia="Times New Roman"/>
                <w:b/>
                <w:bCs/>
                <w:lang w:val="sl-SI"/>
              </w:rPr>
              <w:t>Ne</w:t>
            </w:r>
            <w:r>
              <w:rPr>
                <w:rFonts w:eastAsia="Times New Roman"/>
                <w:lang w:val="sl-SI"/>
              </w:rPr>
              <w:t xml:space="preserve"> injicirajte skozi oblačila.</w:t>
            </w:r>
          </w:p>
          <w:p w14:paraId="01018C58" w14:textId="77777777" w:rsidR="00D902B3" w:rsidRDefault="00D902B3" w:rsidP="00183CD7">
            <w:pPr>
              <w:pStyle w:val="a3"/>
              <w:rPr>
                <w:lang w:val="sl-SI"/>
              </w:rPr>
            </w:pPr>
          </w:p>
          <w:p w14:paraId="3371AA2A" w14:textId="77777777" w:rsidR="00D902B3" w:rsidRDefault="00D902B3" w:rsidP="00183CD7">
            <w:pPr>
              <w:pStyle w:val="a3"/>
              <w:ind w:left="3577" w:hanging="180"/>
              <w:rPr>
                <w:lang w:val="sl-SI"/>
              </w:rPr>
            </w:pPr>
            <w:r>
              <w:rPr>
                <w:rFonts w:eastAsia="Times New Roman"/>
                <w:b/>
                <w:bCs/>
                <w:lang w:val="sl-SI"/>
              </w:rPr>
              <w:t>b.</w:t>
            </w:r>
            <w:r>
              <w:rPr>
                <w:rFonts w:eastAsia="Times New Roman"/>
                <w:lang w:val="sl-SI"/>
              </w:rPr>
              <w:t xml:space="preserve"> Za vsako injiciranje zamenjajte mesto injiciranja. Vsako novo mesto injiciranja mora biti vsaj 3 cm oddaljeno od prejšnjega mesta injiciranja.</w:t>
            </w:r>
          </w:p>
        </w:tc>
      </w:tr>
      <w:tr w:rsidR="00D902B3" w14:paraId="6A18789E" w14:textId="77777777" w:rsidTr="00183CD7">
        <w:trPr>
          <w:trHeight w:val="4819"/>
        </w:trPr>
        <w:tc>
          <w:tcPr>
            <w:tcW w:w="9351" w:type="dxa"/>
          </w:tcPr>
          <w:p w14:paraId="6E6B99EF" w14:textId="77777777" w:rsidR="00D902B3" w:rsidRDefault="00D902B3" w:rsidP="00183CD7">
            <w:pPr>
              <w:pStyle w:val="1"/>
              <w:spacing w:before="76"/>
              <w:ind w:left="0" w:right="2736"/>
              <w:rPr>
                <w:rFonts w:eastAsiaTheme="minorEastAsia"/>
                <w:lang w:val="sl-SI" w:eastAsia="ko-KR"/>
              </w:rPr>
            </w:pPr>
          </w:p>
          <w:p w14:paraId="30FD4B64" w14:textId="77777777" w:rsidR="00D902B3" w:rsidRDefault="00D902B3" w:rsidP="00183CD7">
            <w:pPr>
              <w:pStyle w:val="1"/>
              <w:spacing w:before="76"/>
              <w:ind w:left="0" w:right="2736"/>
              <w:rPr>
                <w:rFonts w:eastAsiaTheme="minorEastAsia"/>
                <w:lang w:val="sl-SI" w:eastAsia="ko-KR"/>
              </w:rPr>
            </w:pPr>
            <w:r>
              <w:rPr>
                <w:rFonts w:eastAsiaTheme="minorEastAsia"/>
                <w:noProof/>
                <w:lang w:eastAsia="ko-KR"/>
              </w:rPr>
              <mc:AlternateContent>
                <mc:Choice Requires="wpg">
                  <w:drawing>
                    <wp:anchor distT="0" distB="0" distL="114300" distR="114300" simplePos="0" relativeHeight="251658348" behindDoc="0" locked="0" layoutInCell="1" allowOverlap="1" wp14:anchorId="5974A2CD" wp14:editId="494A4097">
                      <wp:simplePos x="0" y="0"/>
                      <wp:positionH relativeFrom="column">
                        <wp:posOffset>-20955</wp:posOffset>
                      </wp:positionH>
                      <wp:positionV relativeFrom="paragraph">
                        <wp:posOffset>102235</wp:posOffset>
                      </wp:positionV>
                      <wp:extent cx="2031365" cy="2631440"/>
                      <wp:effectExtent l="0" t="0" r="6985" b="0"/>
                      <wp:wrapSquare wrapText="bothSides"/>
                      <wp:docPr id="3930" name="그룹 3930"/>
                      <wp:cNvGraphicFramePr/>
                      <a:graphic xmlns:a="http://schemas.openxmlformats.org/drawingml/2006/main">
                        <a:graphicData uri="http://schemas.microsoft.com/office/word/2010/wordprocessingGroup">
                          <wpg:wgp>
                            <wpg:cNvGrpSpPr/>
                            <wpg:grpSpPr>
                              <a:xfrm>
                                <a:off x="0" y="0"/>
                                <a:ext cx="2031365" cy="2631440"/>
                                <a:chOff x="0" y="0"/>
                                <a:chExt cx="2032000" cy="2631670"/>
                              </a:xfrm>
                            </wpg:grpSpPr>
                            <pic:pic xmlns:pic="http://schemas.openxmlformats.org/drawingml/2006/picture">
                              <pic:nvPicPr>
                                <pic:cNvPr id="3931" name="그림 393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032000" cy="2490700"/>
                                </a:xfrm>
                                <a:prstGeom prst="rect">
                                  <a:avLst/>
                                </a:prstGeom>
                                <a:noFill/>
                                <a:ln>
                                  <a:noFill/>
                                </a:ln>
                              </pic:spPr>
                            </pic:pic>
                            <wps:wsp>
                              <wps:cNvPr id="3932" name="Text Box 3932"/>
                              <wps:cNvSpPr txBox="1"/>
                              <wps:spPr>
                                <a:xfrm>
                                  <a:off x="1286833" y="2485620"/>
                                  <a:ext cx="719758" cy="146050"/>
                                </a:xfrm>
                                <a:prstGeom prst="rect">
                                  <a:avLst/>
                                </a:prstGeom>
                                <a:solidFill>
                                  <a:prstClr val="white"/>
                                </a:solidFill>
                                <a:ln>
                                  <a:noFill/>
                                </a:ln>
                              </wps:spPr>
                              <wps:txbx>
                                <w:txbxContent>
                                  <w:p w14:paraId="6FF50E46"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974A2CD" id="그룹 3930" o:spid="_x0000_s1333" style="position:absolute;margin-left:-1.65pt;margin-top:8.05pt;width:159.95pt;height:207.2pt;z-index:251658348;mso-width-relative:margin;mso-height-relative:margin" coordsize="20320,2631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">
                      <v:shape id="그림 3931" o:spid="_x0000_s1334" type="#_x0000_t75" style="position:absolute;width:20320;height:24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">
                        <v:imagedata r:id="rId43" o:title=""/>
                      </v:shape>
                      <v:shape id="Text Box 3932" o:spid="_x0000_s1335" type="#_x0000_t202" style="position:absolute;left:12868;top:24856;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" stroked="f">
                        <v:textbox style="mso-fit-shape-to-text:t" inset="0,0,0,0">
                          <w:txbxContent>
                            <w:p w14:paraId="6FF50E46"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F</w:t>
                              </w:r>
                            </w:p>
                          </w:txbxContent>
                        </v:textbox>
                      </v:shape>
                      <w10:wrap type="square"/>
                    </v:group>
                  </w:pict>
                </mc:Fallback>
              </mc:AlternateContent>
            </w:r>
          </w:p>
          <w:p w14:paraId="00420A3B" w14:textId="77777777" w:rsidR="00D902B3" w:rsidRDefault="00D902B3" w:rsidP="007811C6">
            <w:pPr>
              <w:pStyle w:val="a3"/>
              <w:numPr>
                <w:ilvl w:val="0"/>
                <w:numId w:val="142"/>
              </w:numPr>
              <w:rPr>
                <w:lang w:val="sl-SI"/>
              </w:rPr>
            </w:pPr>
            <w:r>
              <w:rPr>
                <w:rFonts w:eastAsia="Times New Roman"/>
                <w:b/>
                <w:bCs/>
                <w:lang w:val="sl-SI"/>
              </w:rPr>
              <w:t>Umijte si roke</w:t>
            </w:r>
          </w:p>
          <w:p w14:paraId="008F372E" w14:textId="77777777" w:rsidR="00D902B3" w:rsidRDefault="00D902B3" w:rsidP="00183CD7">
            <w:pPr>
              <w:pStyle w:val="a3"/>
              <w:numPr>
                <w:ilvl w:val="0"/>
                <w:numId w:val="0"/>
              </w:numPr>
              <w:ind w:left="471"/>
              <w:rPr>
                <w:lang w:val="sl-SI"/>
              </w:rPr>
            </w:pPr>
          </w:p>
          <w:p w14:paraId="1144869A" w14:textId="77777777" w:rsidR="00D902B3" w:rsidRDefault="00D902B3" w:rsidP="00183CD7">
            <w:pPr>
              <w:pStyle w:val="a3"/>
              <w:ind w:left="4297" w:hanging="180"/>
              <w:rPr>
                <w:lang w:val="sl-SI"/>
              </w:rPr>
            </w:pPr>
            <w:r>
              <w:rPr>
                <w:rFonts w:eastAsia="Times New Roman"/>
                <w:b/>
                <w:bCs/>
                <w:lang w:val="sl-SI"/>
              </w:rPr>
              <w:t>a.</w:t>
            </w:r>
            <w:r>
              <w:rPr>
                <w:rFonts w:eastAsia="Times New Roman"/>
                <w:lang w:val="sl-SI"/>
              </w:rPr>
              <w:t xml:space="preserve"> Roke si umijte z milom in vodo ter jih temeljito posušite. </w:t>
            </w:r>
          </w:p>
          <w:p w14:paraId="0CEC8E36" w14:textId="77777777" w:rsidR="00D902B3" w:rsidRDefault="00D902B3" w:rsidP="00183CD7">
            <w:pPr>
              <w:spacing w:line="252" w:lineRule="exact"/>
              <w:rPr>
                <w:lang w:val="sl-SI"/>
              </w:rPr>
            </w:pPr>
          </w:p>
        </w:tc>
      </w:tr>
      <w:tr w:rsidR="00D902B3" w:rsidRPr="00475A1E" w14:paraId="28DF08BD" w14:textId="77777777" w:rsidTr="00183CD7">
        <w:trPr>
          <w:trHeight w:val="5046"/>
        </w:trPr>
        <w:tc>
          <w:tcPr>
            <w:tcW w:w="9351" w:type="dxa"/>
          </w:tcPr>
          <w:p w14:paraId="47D83EC8" w14:textId="77777777" w:rsidR="00D902B3" w:rsidRDefault="00D902B3" w:rsidP="00183CD7">
            <w:pPr>
              <w:ind w:left="104"/>
              <w:rPr>
                <w:rFonts w:ascii="Times New Roman" w:eastAsia="Times New Roman" w:hAnsi="Times New Roman" w:cs="Times New Roman"/>
                <w:b/>
                <w:bCs/>
                <w:spacing w:val="-1"/>
                <w:lang w:val="sl-SI"/>
              </w:rPr>
            </w:pPr>
          </w:p>
          <w:p w14:paraId="4DED6263" w14:textId="77777777" w:rsidR="00D902B3" w:rsidRDefault="00D902B3" w:rsidP="00183CD7">
            <w:pPr>
              <w:pStyle w:val="a3"/>
              <w:rPr>
                <w:lang w:val="sl-SI"/>
              </w:rPr>
            </w:pPr>
          </w:p>
          <w:p w14:paraId="26E440BD" w14:textId="77777777" w:rsidR="00D902B3" w:rsidRDefault="00D902B3" w:rsidP="00183CD7">
            <w:pPr>
              <w:pStyle w:val="a3"/>
              <w:rPr>
                <w:lang w:val="sl-SI"/>
              </w:rPr>
            </w:pPr>
            <w:r>
              <w:rPr>
                <w:noProof/>
                <w:lang w:eastAsia="ko-KR"/>
              </w:rPr>
              <mc:AlternateContent>
                <mc:Choice Requires="wpg">
                  <w:drawing>
                    <wp:anchor distT="0" distB="0" distL="114300" distR="114300" simplePos="0" relativeHeight="251658349" behindDoc="0" locked="0" layoutInCell="1" allowOverlap="1" wp14:anchorId="27C8EA9B" wp14:editId="31C9D8C4">
                      <wp:simplePos x="0" y="0"/>
                      <wp:positionH relativeFrom="column">
                        <wp:posOffset>74295</wp:posOffset>
                      </wp:positionH>
                      <wp:positionV relativeFrom="paragraph">
                        <wp:posOffset>135255</wp:posOffset>
                      </wp:positionV>
                      <wp:extent cx="2056130" cy="2661920"/>
                      <wp:effectExtent l="0" t="0" r="1270" b="5080"/>
                      <wp:wrapSquare wrapText="bothSides"/>
                      <wp:docPr id="3933" name="그룹 3933"/>
                      <wp:cNvGraphicFramePr/>
                      <a:graphic xmlns:a="http://schemas.openxmlformats.org/drawingml/2006/main">
                        <a:graphicData uri="http://schemas.microsoft.com/office/word/2010/wordprocessingGroup">
                          <wpg:wgp>
                            <wpg:cNvGrpSpPr/>
                            <wpg:grpSpPr>
                              <a:xfrm>
                                <a:off x="0" y="0"/>
                                <a:ext cx="2056130" cy="2661920"/>
                                <a:chOff x="0" y="0"/>
                                <a:chExt cx="2255520" cy="2894762"/>
                              </a:xfrm>
                            </wpg:grpSpPr>
                            <pic:pic xmlns:pic="http://schemas.openxmlformats.org/drawingml/2006/picture">
                              <pic:nvPicPr>
                                <pic:cNvPr id="3934" name="그림 3934"/>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3935" name="Text Box 3935"/>
                              <wps:cNvSpPr txBox="1"/>
                              <wps:spPr>
                                <a:xfrm>
                                  <a:off x="1501873" y="2748711"/>
                                  <a:ext cx="719758" cy="146051"/>
                                </a:xfrm>
                                <a:prstGeom prst="rect">
                                  <a:avLst/>
                                </a:prstGeom>
                                <a:solidFill>
                                  <a:prstClr val="white"/>
                                </a:solidFill>
                                <a:ln>
                                  <a:noFill/>
                                </a:ln>
                              </wps:spPr>
                              <wps:txbx>
                                <w:txbxContent>
                                  <w:p w14:paraId="33896491"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C8EA9B" id="그룹 3933" o:spid="_x0000_s1336" style="position:absolute;margin-left:5.85pt;margin-top:10.65pt;width:161.9pt;height:209.6pt;z-index:251658349;mso-width-relative:margin;mso-height-relative:margin" coordsize="22555,2894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">
                      <v:shape id="그림 3934" o:spid="_x0000_s1337"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">
                        <v:imagedata r:id="rId45" o:title=""/>
                      </v:shape>
                      <v:shape id="Text Box 3935" o:spid="_x0000_s1338" type="#_x0000_t202" style="position:absolute;left:15018;top:27487;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" stroked="f">
                        <v:textbox inset="0,0,0,0">
                          <w:txbxContent>
                            <w:p w14:paraId="33896491"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G</w:t>
                              </w:r>
                            </w:p>
                          </w:txbxContent>
                        </v:textbox>
                      </v:shape>
                      <w10:wrap type="square"/>
                    </v:group>
                  </w:pict>
                </mc:Fallback>
              </mc:AlternateContent>
            </w:r>
          </w:p>
          <w:p w14:paraId="1D946529" w14:textId="77777777" w:rsidR="00D902B3" w:rsidRDefault="00D902B3" w:rsidP="00183CD7">
            <w:pPr>
              <w:pStyle w:val="a3"/>
              <w:rPr>
                <w:lang w:val="sl-SI"/>
              </w:rPr>
            </w:pPr>
          </w:p>
          <w:p w14:paraId="60F988D8" w14:textId="77777777" w:rsidR="00D902B3" w:rsidRDefault="00D902B3" w:rsidP="007811C6">
            <w:pPr>
              <w:pStyle w:val="a3"/>
              <w:numPr>
                <w:ilvl w:val="0"/>
                <w:numId w:val="142"/>
              </w:numPr>
              <w:rPr>
                <w:b/>
                <w:lang w:val="sl-SI"/>
              </w:rPr>
            </w:pPr>
            <w:r>
              <w:rPr>
                <w:rFonts w:eastAsia="Times New Roman"/>
                <w:b/>
                <w:bCs/>
                <w:lang w:val="sl-SI"/>
              </w:rPr>
              <w:t>Očistite mesto injiciranja</w:t>
            </w:r>
            <w:r>
              <w:rPr>
                <w:rFonts w:eastAsia="Times New Roman"/>
                <w:lang w:val="sl-SI"/>
              </w:rPr>
              <w:t xml:space="preserve"> </w:t>
            </w:r>
          </w:p>
          <w:p w14:paraId="6003B416" w14:textId="77777777" w:rsidR="00D902B3" w:rsidRDefault="00D902B3" w:rsidP="00183CD7">
            <w:pPr>
              <w:pStyle w:val="a3"/>
              <w:rPr>
                <w:lang w:val="sl-SI"/>
              </w:rPr>
            </w:pPr>
          </w:p>
          <w:p w14:paraId="0920A63C" w14:textId="77777777" w:rsidR="00D902B3" w:rsidRPr="00D14272" w:rsidRDefault="00D902B3" w:rsidP="00183CD7">
            <w:pPr>
              <w:pStyle w:val="a3"/>
              <w:ind w:left="4297" w:hanging="180"/>
              <w:rPr>
                <w:lang w:val="sl-SI"/>
              </w:rPr>
            </w:pPr>
            <w:r w:rsidRPr="00D14272">
              <w:rPr>
                <w:rFonts w:eastAsia="Times New Roman"/>
                <w:b/>
                <w:bCs/>
                <w:lang w:val="sl-SI"/>
              </w:rPr>
              <w:t>a</w:t>
            </w:r>
            <w:r w:rsidRPr="00D14272">
              <w:rPr>
                <w:rFonts w:eastAsia="Times New Roman"/>
                <w:lang w:val="sl-SI"/>
              </w:rPr>
              <w:t>. Mesto injiciranja očistite z alkoholnim zložencem s krožnimi gibi.</w:t>
            </w:r>
          </w:p>
          <w:p w14:paraId="4495F109" w14:textId="77777777" w:rsidR="00D902B3" w:rsidRDefault="00D902B3" w:rsidP="00183CD7">
            <w:pPr>
              <w:pStyle w:val="a3"/>
              <w:ind w:left="4297" w:hanging="180"/>
              <w:rPr>
                <w:lang w:val="sl-SI"/>
              </w:rPr>
            </w:pPr>
            <w:r w:rsidRPr="00D14272">
              <w:rPr>
                <w:rFonts w:eastAsia="Times New Roman"/>
                <w:b/>
                <w:bCs/>
                <w:lang w:val="sl-SI"/>
              </w:rPr>
              <w:t>b.</w:t>
            </w:r>
            <w:r w:rsidRPr="00D14272">
              <w:rPr>
                <w:rFonts w:eastAsia="Times New Roman"/>
                <w:lang w:val="sl-SI"/>
              </w:rPr>
              <w:t xml:space="preserve"> Pred injiciranjem počakajte, da se koža posu</w:t>
            </w:r>
            <w:r>
              <w:rPr>
                <w:rFonts w:eastAsia="Times New Roman"/>
                <w:lang w:val="sl-SI"/>
              </w:rPr>
              <w:t>ši.</w:t>
            </w:r>
          </w:p>
          <w:p w14:paraId="474CCAAC" w14:textId="77777777" w:rsidR="00D902B3" w:rsidRDefault="00D902B3" w:rsidP="00183CD7">
            <w:pPr>
              <w:pStyle w:val="a3"/>
              <w:rPr>
                <w:lang w:val="sl-SI"/>
              </w:rPr>
            </w:pPr>
          </w:p>
          <w:p w14:paraId="6808119B" w14:textId="77777777" w:rsidR="00D902B3" w:rsidRDefault="00D902B3" w:rsidP="00183CD7">
            <w:pPr>
              <w:pStyle w:val="a3"/>
              <w:rPr>
                <w:lang w:val="sl-SI"/>
              </w:rPr>
            </w:pPr>
          </w:p>
          <w:p w14:paraId="18986172" w14:textId="77777777" w:rsidR="00D902B3" w:rsidRDefault="00D902B3" w:rsidP="00183CD7">
            <w:pPr>
              <w:rPr>
                <w:lang w:val="sl-SI"/>
              </w:rPr>
            </w:pPr>
            <w:r>
              <w:rPr>
                <w:rFonts w:ascii="맑은 고딕" w:eastAsia="맑은 고딕" w:hAnsi="맑은 고딕" w:cs="Arial"/>
                <w:lang w:val="sl-SI"/>
              </w:rPr>
              <w:t>•</w:t>
            </w:r>
            <w:r>
              <w:rPr>
                <w:rFonts w:ascii="Calibri" w:eastAsia="Calibri" w:hAnsi="Calibri" w:cs="Arial"/>
                <w:lang w:val="sl-SI"/>
              </w:rPr>
              <w:t xml:space="preserve"> </w:t>
            </w:r>
            <w:r>
              <w:rPr>
                <w:rFonts w:ascii="Times New Roman" w:eastAsia="Times New Roman" w:hAnsi="Times New Roman" w:cs="Times New Roman"/>
                <w:lang w:val="sl-SI"/>
              </w:rPr>
              <w:t>Pred injiciranjem zdravila na mesto injiciranja</w:t>
            </w:r>
            <w:r>
              <w:rPr>
                <w:rFonts w:ascii="맑은 고딕" w:eastAsia="맑은 고딕" w:hAnsi="맑은 고딕" w:cs="Arial"/>
                <w:lang w:val="sl-SI"/>
              </w:rPr>
              <w:t xml:space="preserve"> </w:t>
            </w:r>
            <w:r>
              <w:rPr>
                <w:rFonts w:ascii="Times New Roman" w:eastAsia="맑은 고딕" w:hAnsi="Times New Roman" w:cs="Times New Roman"/>
                <w:b/>
                <w:bCs/>
                <w:lang w:val="sl-SI"/>
              </w:rPr>
              <w:t>ne</w:t>
            </w:r>
            <w:r>
              <w:rPr>
                <w:rFonts w:ascii="Times New Roman" w:eastAsia="Times New Roman" w:hAnsi="Times New Roman" w:cs="Times New Roman"/>
                <w:lang w:val="sl-SI"/>
              </w:rPr>
              <w:t xml:space="preserve"> pihajte in se ga ne dotikajte</w:t>
            </w:r>
            <w:r>
              <w:rPr>
                <w:rFonts w:ascii="맑은 고딕" w:eastAsia="맑은 고딕" w:hAnsi="맑은 고딕" w:cs="Arial"/>
                <w:lang w:val="sl-SI"/>
              </w:rPr>
              <w:t xml:space="preserve"> </w:t>
            </w:r>
            <w:r>
              <w:rPr>
                <w:rFonts w:ascii="Times New Roman" w:eastAsia="Times New Roman" w:hAnsi="Times New Roman" w:cs="Times New Roman"/>
                <w:lang w:val="sl-SI"/>
              </w:rPr>
              <w:t>ponovno.</w:t>
            </w:r>
          </w:p>
        </w:tc>
      </w:tr>
      <w:tr w:rsidR="00D902B3" w:rsidRPr="00BC4B06" w14:paraId="69244B68" w14:textId="77777777" w:rsidTr="00183CD7">
        <w:trPr>
          <w:trHeight w:val="5669"/>
        </w:trPr>
        <w:tc>
          <w:tcPr>
            <w:tcW w:w="9351" w:type="dxa"/>
          </w:tcPr>
          <w:p w14:paraId="0F5F0897" w14:textId="77777777" w:rsidR="00D902B3" w:rsidRDefault="00D902B3" w:rsidP="00183CD7">
            <w:pPr>
              <w:ind w:left="104"/>
              <w:rPr>
                <w:rFonts w:ascii="Times New Roman" w:eastAsia="Times New Roman" w:hAnsi="Times New Roman" w:cs="Times New Roman"/>
                <w:b/>
                <w:bCs/>
                <w:spacing w:val="-1"/>
                <w:lang w:val="sl-SI"/>
              </w:rPr>
            </w:pPr>
            <w:r>
              <w:rPr>
                <w:noProof/>
                <w:lang w:eastAsia="ko-KR"/>
              </w:rPr>
              <mc:AlternateContent>
                <mc:Choice Requires="wpg">
                  <w:drawing>
                    <wp:anchor distT="0" distB="0" distL="114300" distR="114300" simplePos="0" relativeHeight="251658350" behindDoc="0" locked="0" layoutInCell="1" allowOverlap="1" wp14:anchorId="78F8295D" wp14:editId="17522FB5">
                      <wp:simplePos x="0" y="0"/>
                      <wp:positionH relativeFrom="column">
                        <wp:posOffset>10795</wp:posOffset>
                      </wp:positionH>
                      <wp:positionV relativeFrom="paragraph">
                        <wp:posOffset>133350</wp:posOffset>
                      </wp:positionV>
                      <wp:extent cx="2115185" cy="2736215"/>
                      <wp:effectExtent l="0" t="0" r="0" b="6985"/>
                      <wp:wrapSquare wrapText="bothSides"/>
                      <wp:docPr id="3936" name="그룹 3936"/>
                      <wp:cNvGraphicFramePr/>
                      <a:graphic xmlns:a="http://schemas.openxmlformats.org/drawingml/2006/main">
                        <a:graphicData uri="http://schemas.microsoft.com/office/word/2010/wordprocessingGroup">
                          <wpg:wgp>
                            <wpg:cNvGrpSpPr/>
                            <wpg:grpSpPr>
                              <a:xfrm>
                                <a:off x="0" y="0"/>
                                <a:ext cx="2115185" cy="2736215"/>
                                <a:chOff x="2152" y="0"/>
                                <a:chExt cx="2115739" cy="2736459"/>
                              </a:xfrm>
                            </wpg:grpSpPr>
                            <pic:pic xmlns:pic="http://schemas.openxmlformats.org/drawingml/2006/picture">
                              <pic:nvPicPr>
                                <pic:cNvPr id="3937" name="그림 3937"/>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bwMode="auto">
                                <a:xfrm>
                                  <a:off x="2152" y="0"/>
                                  <a:ext cx="2115739" cy="2599937"/>
                                </a:xfrm>
                                <a:prstGeom prst="rect">
                                  <a:avLst/>
                                </a:prstGeom>
                                <a:noFill/>
                                <a:ln>
                                  <a:noFill/>
                                </a:ln>
                              </pic:spPr>
                            </pic:pic>
                            <wps:wsp>
                              <wps:cNvPr id="3938" name="Text Box 3938"/>
                              <wps:cNvSpPr txBox="1"/>
                              <wps:spPr>
                                <a:xfrm>
                                  <a:off x="1387448" y="2590409"/>
                                  <a:ext cx="719758" cy="146050"/>
                                </a:xfrm>
                                <a:prstGeom prst="rect">
                                  <a:avLst/>
                                </a:prstGeom>
                                <a:solidFill>
                                  <a:prstClr val="white"/>
                                </a:solidFill>
                                <a:ln>
                                  <a:noFill/>
                                </a:ln>
                              </wps:spPr>
                              <wps:txbx>
                                <w:txbxContent>
                                  <w:p w14:paraId="1B6175DC"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8F8295D" id="그룹 3936" o:spid="_x0000_s1339" style="position:absolute;left:0;text-align:left;margin-left:.85pt;margin-top:10.5pt;width:166.55pt;height:215.45pt;z-index:251658350;mso-width-relative:margin;mso-height-relative:margin" coordorigin="21" coordsize="21157,273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&#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">
                      <v:shape id="그림 3937" o:spid="_x0000_s1340" type="#_x0000_t75" style="position:absolute;left:21;width:21157;height:25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">
                        <v:imagedata r:id="rId170" o:title=""/>
                      </v:shape>
                      <v:shape id="Text Box 3938" o:spid="_x0000_s1341" type="#_x0000_t202" style="position:absolute;left:13874;top:2590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" stroked="f">
                        <v:textbox style="mso-fit-shape-to-text:t" inset="0,0,0,0">
                          <w:txbxContent>
                            <w:p w14:paraId="1B6175DC"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H</w:t>
                              </w:r>
                            </w:p>
                          </w:txbxContent>
                        </v:textbox>
                      </v:shape>
                      <w10:wrap type="square"/>
                    </v:group>
                  </w:pict>
                </mc:Fallback>
              </mc:AlternateContent>
            </w:r>
          </w:p>
          <w:p w14:paraId="4BD938BC" w14:textId="77777777" w:rsidR="00D902B3" w:rsidRDefault="00D902B3" w:rsidP="00183CD7">
            <w:pPr>
              <w:pStyle w:val="Default"/>
              <w:rPr>
                <w:lang w:val="sl-SI"/>
              </w:rPr>
            </w:pPr>
          </w:p>
          <w:p w14:paraId="676260C2" w14:textId="77777777" w:rsidR="00D902B3" w:rsidRDefault="00D902B3" w:rsidP="007811C6">
            <w:pPr>
              <w:pStyle w:val="a3"/>
              <w:numPr>
                <w:ilvl w:val="0"/>
                <w:numId w:val="142"/>
              </w:numPr>
              <w:rPr>
                <w:lang w:val="sl-SI"/>
              </w:rPr>
            </w:pPr>
            <w:r>
              <w:rPr>
                <w:rFonts w:eastAsia="Times New Roman"/>
                <w:b/>
                <w:bCs/>
                <w:lang w:val="sl-SI"/>
              </w:rPr>
              <w:t>Odstranite pokrovček</w:t>
            </w:r>
          </w:p>
          <w:p w14:paraId="4426D1DC" w14:textId="77777777" w:rsidR="00D902B3" w:rsidRDefault="00D902B3" w:rsidP="00183CD7">
            <w:pPr>
              <w:pStyle w:val="a3"/>
              <w:numPr>
                <w:ilvl w:val="0"/>
                <w:numId w:val="0"/>
              </w:numPr>
              <w:ind w:left="471"/>
              <w:rPr>
                <w:lang w:val="sl-SI"/>
              </w:rPr>
            </w:pPr>
          </w:p>
          <w:p w14:paraId="204DC788" w14:textId="77777777" w:rsidR="00D902B3" w:rsidRDefault="00D902B3" w:rsidP="00183CD7">
            <w:pPr>
              <w:pStyle w:val="a3"/>
              <w:ind w:left="4297" w:hanging="180"/>
              <w:rPr>
                <w:lang w:val="sl-SI"/>
              </w:rPr>
            </w:pPr>
            <w:r>
              <w:rPr>
                <w:rFonts w:eastAsia="Times New Roman"/>
                <w:b/>
                <w:bCs/>
                <w:lang w:val="sl-SI"/>
              </w:rPr>
              <w:t>a</w:t>
            </w:r>
            <w:r>
              <w:rPr>
                <w:rFonts w:eastAsia="Times New Roman"/>
                <w:lang w:val="sl-SI"/>
              </w:rPr>
              <w:t xml:space="preserve">. Odstranite pokrovček, tako da držite telo napolnjene injekcijske brizge z eno roko. Pokrovček z drugo roko nežno povlecite ravno navzdol. </w:t>
            </w:r>
          </w:p>
          <w:p w14:paraId="62EC6161" w14:textId="77777777" w:rsidR="00D902B3" w:rsidRDefault="00D902B3" w:rsidP="00183CD7">
            <w:pPr>
              <w:pStyle w:val="a3"/>
              <w:rPr>
                <w:lang w:val="sl-SI"/>
              </w:rPr>
            </w:pPr>
          </w:p>
          <w:p w14:paraId="79FEBFD5" w14:textId="6E1E471B" w:rsidR="0062753A" w:rsidRDefault="0062753A" w:rsidP="00385E1F">
            <w:pPr>
              <w:pStyle w:val="a3"/>
              <w:numPr>
                <w:ilvl w:val="0"/>
                <w:numId w:val="19"/>
              </w:numPr>
              <w:ind w:left="4297"/>
              <w:rPr>
                <w:lang w:val="sl-SI"/>
              </w:rPr>
            </w:pPr>
            <w:r w:rsidRPr="00385E1F">
              <w:rPr>
                <w:b/>
                <w:lang w:val="sl-SI"/>
              </w:rPr>
              <w:t>Nikoli ne</w:t>
            </w:r>
            <w:r w:rsidRPr="0062753A">
              <w:rPr>
                <w:lang w:val="sl-SI"/>
              </w:rPr>
              <w:t xml:space="preserve"> </w:t>
            </w:r>
            <w:r w:rsidRPr="00385E1F">
              <w:rPr>
                <w:rFonts w:eastAsia="Times New Roman"/>
                <w:lang w:val="sl-SI"/>
              </w:rPr>
              <w:t>vlecite</w:t>
            </w:r>
            <w:r w:rsidRPr="0062753A">
              <w:rPr>
                <w:lang w:val="sl-SI"/>
              </w:rPr>
              <w:t xml:space="preserve"> bata nazaj</w:t>
            </w:r>
          </w:p>
          <w:p w14:paraId="1A9AD54A" w14:textId="77777777" w:rsidR="0062753A" w:rsidRPr="00385E1F" w:rsidRDefault="0062753A" w:rsidP="00385E1F">
            <w:pPr>
              <w:pStyle w:val="a3"/>
              <w:numPr>
                <w:ilvl w:val="0"/>
                <w:numId w:val="0"/>
              </w:numPr>
              <w:ind w:left="4297"/>
              <w:rPr>
                <w:lang w:val="sl-SI"/>
              </w:rPr>
            </w:pPr>
          </w:p>
          <w:p w14:paraId="2160B030" w14:textId="37274E97" w:rsidR="00D902B3" w:rsidRDefault="00D902B3" w:rsidP="00183CD7">
            <w:pPr>
              <w:pStyle w:val="a3"/>
              <w:numPr>
                <w:ilvl w:val="0"/>
                <w:numId w:val="19"/>
              </w:numPr>
              <w:ind w:left="4297"/>
              <w:rPr>
                <w:lang w:val="sl-SI"/>
              </w:rPr>
            </w:pPr>
            <w:r>
              <w:rPr>
                <w:rFonts w:eastAsia="Times New Roman"/>
                <w:b/>
                <w:bCs/>
                <w:lang w:val="sl-SI"/>
              </w:rPr>
              <w:t>Ne</w:t>
            </w:r>
            <w:r>
              <w:rPr>
                <w:rFonts w:eastAsia="Times New Roman"/>
                <w:lang w:val="sl-SI"/>
              </w:rPr>
              <w:t xml:space="preserve"> odstranjujte pokrovčka, dokler niste pripravljeni na injiciranje. </w:t>
            </w:r>
          </w:p>
          <w:p w14:paraId="1553F523" w14:textId="77777777" w:rsidR="00D902B3" w:rsidRPr="0062753A" w:rsidRDefault="00D902B3" w:rsidP="00183CD7">
            <w:pPr>
              <w:pStyle w:val="a3"/>
              <w:numPr>
                <w:ilvl w:val="0"/>
                <w:numId w:val="0"/>
              </w:numPr>
              <w:ind w:left="4297"/>
              <w:rPr>
                <w:lang w:val="sl-SI"/>
              </w:rPr>
            </w:pPr>
          </w:p>
          <w:p w14:paraId="50EFEF12" w14:textId="77777777" w:rsidR="00D902B3" w:rsidRDefault="00D902B3" w:rsidP="00183CD7">
            <w:pPr>
              <w:pStyle w:val="a3"/>
              <w:numPr>
                <w:ilvl w:val="0"/>
                <w:numId w:val="19"/>
              </w:numPr>
              <w:ind w:left="4297"/>
              <w:rPr>
                <w:lang w:val="sl-SI"/>
              </w:rPr>
            </w:pPr>
            <w:r>
              <w:rPr>
                <w:rFonts w:eastAsia="Times New Roman"/>
                <w:lang w:val="sl-SI"/>
              </w:rPr>
              <w:t xml:space="preserve">Igle se </w:t>
            </w:r>
            <w:r>
              <w:rPr>
                <w:rFonts w:eastAsia="Times New Roman"/>
                <w:b/>
                <w:bCs/>
                <w:lang w:val="sl-SI"/>
              </w:rPr>
              <w:t>ne</w:t>
            </w:r>
            <w:r>
              <w:rPr>
                <w:rFonts w:eastAsia="Times New Roman"/>
                <w:lang w:val="sl-SI"/>
              </w:rPr>
              <w:t xml:space="preserve"> dotikajte. V nasprotnem primeru lahko pride do poškodbe zaradi vboda z iglo.</w:t>
            </w:r>
            <w:r>
              <w:rPr>
                <w:rFonts w:eastAsia="Times New Roman"/>
                <w:b/>
                <w:bCs/>
                <w:lang w:val="sl-SI"/>
              </w:rPr>
              <w:t xml:space="preserve"> </w:t>
            </w:r>
          </w:p>
          <w:p w14:paraId="1FB35796" w14:textId="77777777" w:rsidR="00D902B3" w:rsidRDefault="00D902B3" w:rsidP="00183CD7">
            <w:pPr>
              <w:pStyle w:val="a4"/>
              <w:ind w:left="4297"/>
              <w:rPr>
                <w:lang w:val="sl-SI"/>
              </w:rPr>
            </w:pPr>
          </w:p>
          <w:p w14:paraId="3E33EB5C" w14:textId="77777777" w:rsidR="00D902B3" w:rsidRPr="003B280A" w:rsidRDefault="00D902B3" w:rsidP="00183CD7">
            <w:pPr>
              <w:pStyle w:val="a3"/>
              <w:numPr>
                <w:ilvl w:val="0"/>
                <w:numId w:val="19"/>
              </w:numPr>
              <w:ind w:left="4297"/>
              <w:rPr>
                <w:lang w:val="sl-SI"/>
              </w:rPr>
            </w:pPr>
            <w:r>
              <w:rPr>
                <w:rFonts w:eastAsia="Times New Roman"/>
                <w:lang w:val="sl-SI"/>
              </w:rPr>
              <w:t xml:space="preserve">Na napolnjeno injekcijsko brizgo </w:t>
            </w:r>
            <w:r>
              <w:rPr>
                <w:rFonts w:eastAsia="Times New Roman"/>
                <w:b/>
                <w:bCs/>
                <w:lang w:val="sl-SI"/>
              </w:rPr>
              <w:t>ne</w:t>
            </w:r>
            <w:r>
              <w:rPr>
                <w:rFonts w:eastAsia="Times New Roman"/>
                <w:lang w:val="sl-SI"/>
              </w:rPr>
              <w:t xml:space="preserve"> natikajte ponovno pokrovčka. Pokrovček takoj zavrzite v vsebnik za ostre predmete.</w:t>
            </w:r>
          </w:p>
          <w:p w14:paraId="0DB77340" w14:textId="77777777" w:rsidR="00754E39" w:rsidRDefault="00754E39" w:rsidP="003B280A">
            <w:pPr>
              <w:pStyle w:val="a4"/>
              <w:rPr>
                <w:lang w:val="sl-SI"/>
              </w:rPr>
            </w:pPr>
          </w:p>
          <w:p w14:paraId="37853E65" w14:textId="73BD453B" w:rsidR="00754E39" w:rsidRDefault="00754E39" w:rsidP="00183CD7">
            <w:pPr>
              <w:pStyle w:val="a3"/>
              <w:numPr>
                <w:ilvl w:val="0"/>
                <w:numId w:val="19"/>
              </w:numPr>
              <w:ind w:left="4297"/>
              <w:rPr>
                <w:lang w:val="sl-SI"/>
              </w:rPr>
            </w:pPr>
            <w:r w:rsidRPr="007C415F">
              <w:rPr>
                <w:rFonts w:eastAsia="Times New Roman"/>
                <w:lang w:val="sl-SI"/>
              </w:rPr>
              <w:t>Na konici igle lahko vidite kapljico tekočine; to je normalno.</w:t>
            </w:r>
          </w:p>
          <w:p w14:paraId="68D90867" w14:textId="77777777" w:rsidR="00D902B3" w:rsidRDefault="00D902B3" w:rsidP="00183CD7">
            <w:pPr>
              <w:pStyle w:val="a3"/>
              <w:numPr>
                <w:ilvl w:val="0"/>
                <w:numId w:val="0"/>
              </w:numPr>
              <w:ind w:left="1384"/>
              <w:rPr>
                <w:lang w:val="sl-SI" w:eastAsia="ko-KR"/>
              </w:rPr>
            </w:pPr>
          </w:p>
        </w:tc>
      </w:tr>
      <w:tr w:rsidR="00D902B3" w:rsidRPr="00475A1E" w14:paraId="0F4C809E" w14:textId="77777777" w:rsidTr="00183CD7">
        <w:trPr>
          <w:trHeight w:val="6650"/>
        </w:trPr>
        <w:tc>
          <w:tcPr>
            <w:tcW w:w="9351" w:type="dxa"/>
          </w:tcPr>
          <w:p w14:paraId="306DB584" w14:textId="77777777" w:rsidR="00D902B3" w:rsidRDefault="00D902B3" w:rsidP="00183CD7">
            <w:pPr>
              <w:ind w:left="104"/>
              <w:rPr>
                <w:rFonts w:ascii="Times New Roman" w:eastAsia="Times New Roman" w:hAnsi="Times New Roman" w:cs="Times New Roman"/>
                <w:b/>
                <w:bCs/>
                <w:spacing w:val="-1"/>
                <w:lang w:val="sl-SI"/>
              </w:rPr>
            </w:pPr>
          </w:p>
          <w:p w14:paraId="7BD94F88" w14:textId="77777777" w:rsidR="00D902B3" w:rsidRDefault="00D902B3" w:rsidP="00183CD7">
            <w:pPr>
              <w:ind w:left="104"/>
              <w:rPr>
                <w:rFonts w:ascii="Times New Roman" w:eastAsia="Times New Roman" w:hAnsi="Times New Roman" w:cs="Times New Roman"/>
                <w:lang w:val="sl-SI"/>
              </w:rPr>
            </w:pPr>
          </w:p>
          <w:p w14:paraId="5ACD18A7" w14:textId="77777777" w:rsidR="00D902B3" w:rsidRDefault="00D902B3" w:rsidP="00183CD7">
            <w:pPr>
              <w:pStyle w:val="1"/>
              <w:spacing w:before="76"/>
              <w:ind w:left="0" w:right="2736"/>
              <w:rPr>
                <w:rFonts w:eastAsiaTheme="minorEastAsia"/>
                <w:lang w:val="sl-SI" w:eastAsia="ko-KR"/>
              </w:rPr>
            </w:pPr>
            <w:r>
              <w:rPr>
                <w:rFonts w:eastAsiaTheme="minorEastAsia"/>
                <w:noProof/>
                <w:lang w:eastAsia="ko-KR"/>
              </w:rPr>
              <mc:AlternateContent>
                <mc:Choice Requires="wpg">
                  <w:drawing>
                    <wp:anchor distT="0" distB="0" distL="114300" distR="114300" simplePos="0" relativeHeight="251658357" behindDoc="0" locked="0" layoutInCell="1" allowOverlap="1" wp14:anchorId="38EF3DF9" wp14:editId="07AE49EB">
                      <wp:simplePos x="0" y="0"/>
                      <wp:positionH relativeFrom="column">
                        <wp:posOffset>131445</wp:posOffset>
                      </wp:positionH>
                      <wp:positionV relativeFrom="paragraph">
                        <wp:posOffset>79375</wp:posOffset>
                      </wp:positionV>
                      <wp:extent cx="2153285" cy="3753485"/>
                      <wp:effectExtent l="0" t="0" r="0" b="0"/>
                      <wp:wrapSquare wrapText="bothSides"/>
                      <wp:docPr id="3939" name="그룹 3939"/>
                      <wp:cNvGraphicFramePr/>
                      <a:graphic xmlns:a="http://schemas.openxmlformats.org/drawingml/2006/main">
                        <a:graphicData uri="http://schemas.microsoft.com/office/word/2010/wordprocessingGroup">
                          <wpg:wgp>
                            <wpg:cNvGrpSpPr/>
                            <wpg:grpSpPr>
                              <a:xfrm>
                                <a:off x="0" y="0"/>
                                <a:ext cx="2153285" cy="3753485"/>
                                <a:chOff x="13701" y="0"/>
                                <a:chExt cx="2153823" cy="3753646"/>
                              </a:xfrm>
                            </wpg:grpSpPr>
                            <wpg:grpSp>
                              <wpg:cNvPr id="3940" name="그룹 3940"/>
                              <wpg:cNvGrpSpPr/>
                              <wpg:grpSpPr>
                                <a:xfrm>
                                  <a:off x="13701" y="0"/>
                                  <a:ext cx="2153823" cy="3753646"/>
                                  <a:chOff x="65460" y="0"/>
                                  <a:chExt cx="2153823" cy="3753646"/>
                                </a:xfrm>
                              </wpg:grpSpPr>
                              <pic:pic xmlns:pic="http://schemas.openxmlformats.org/drawingml/2006/picture">
                                <pic:nvPicPr>
                                  <pic:cNvPr id="3941" name="그림 3941"/>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bwMode="auto">
                                  <a:xfrm>
                                    <a:off x="65460" y="0"/>
                                    <a:ext cx="2153823" cy="3606800"/>
                                  </a:xfrm>
                                  <a:prstGeom prst="rect">
                                    <a:avLst/>
                                  </a:prstGeom>
                                  <a:noFill/>
                                  <a:ln>
                                    <a:noFill/>
                                  </a:ln>
                                </pic:spPr>
                              </pic:pic>
                              <wps:wsp>
                                <wps:cNvPr id="3942" name="Text Box 3942"/>
                                <wps:cNvSpPr txBox="1"/>
                                <wps:spPr>
                                  <a:xfrm>
                                    <a:off x="1482641" y="3607596"/>
                                    <a:ext cx="719758" cy="146050"/>
                                  </a:xfrm>
                                  <a:prstGeom prst="rect">
                                    <a:avLst/>
                                  </a:prstGeom>
                                  <a:solidFill>
                                    <a:prstClr val="white"/>
                                  </a:solidFill>
                                  <a:ln>
                                    <a:noFill/>
                                  </a:ln>
                                </wps:spPr>
                                <wps:txbx>
                                  <w:txbxContent>
                                    <w:p w14:paraId="013468A2"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943" name="Text Box 3943"/>
                              <wps:cNvSpPr txBox="1"/>
                              <wps:spPr>
                                <a:xfrm>
                                  <a:off x="37232" y="1712948"/>
                                  <a:ext cx="2119723" cy="261847"/>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2CEFB2" w14:textId="77777777" w:rsidR="00474DFB" w:rsidRPr="00385E1F" w:rsidRDefault="00474DFB" w:rsidP="00D902B3">
                                    <w:pPr>
                                      <w:jc w:val="center"/>
                                      <w:rPr>
                                        <w:rFonts w:ascii="Arial" w:hAnsi="Arial" w:cs="Arial"/>
                                        <w:b/>
                                        <w:bCs/>
                                        <w:color w:val="FFFFFF" w:themeColor="background1"/>
                                        <w:sz w:val="28"/>
                                        <w:szCs w:val="28"/>
                                      </w:rPr>
                                    </w:pPr>
                                    <w:r w:rsidRPr="00385E1F">
                                      <w:rPr>
                                        <w:rFonts w:ascii="Arial" w:eastAsia="Times New Roman" w:hAnsi="Arial" w:cs="Arial"/>
                                        <w:b/>
                                        <w:bCs/>
                                        <w:color w:val="FFFFFF"/>
                                        <w:sz w:val="28"/>
                                        <w:szCs w:val="28"/>
                                        <w:lang w:val="sl-SI"/>
                                      </w:rPr>
                                      <w:t>ALI</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8EF3DF9" id="그룹 3939" o:spid="_x0000_s1342" style="position:absolute;margin-left:10.35pt;margin-top:6.25pt;width:169.55pt;height:295.55pt;z-index:251658357;mso-width-relative:margin;mso-height-relative:margin" coordorigin="137" coordsize="21538,37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">
                      <v:group id="그룹 3940" o:spid="_x0000_s1343" style="position:absolute;left:137;width:21538;height:37536" coordorigin="654" coordsize="21538,3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">
                        <v:shape id="그림 3941" o:spid="_x0000_s1344" type="#_x0000_t75" style="position:absolute;left:654;width:21538;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">
                          <v:imagedata r:id="rId172" o:title=""/>
                        </v:shape>
                        <v:shape id="Text Box 3942" o:spid="_x0000_s1345" type="#_x0000_t202" style="position:absolute;left:14826;top:36075;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" stroked="f">
                          <v:textbox style="mso-fit-shape-to-text:t" inset="0,0,0,0">
                            <w:txbxContent>
                              <w:p w14:paraId="013468A2"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I</w:t>
                                </w:r>
                              </w:p>
                            </w:txbxContent>
                          </v:textbox>
                        </v:shape>
                      </v:group>
                      <v:shape id="Text Box 3943" o:spid="_x0000_s1346" type="#_x0000_t202" style="position:absolute;left:372;top:17129;width:21197;height:26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" fillcolor="black [3213]" stroked="f" strokeweight=".5pt">
                        <v:textbox inset="0,0,0,0">
                          <w:txbxContent>
                            <w:p w14:paraId="312CEFB2" w14:textId="77777777" w:rsidR="00474DFB" w:rsidRPr="00385E1F" w:rsidRDefault="00474DFB" w:rsidP="00D902B3">
                              <w:pPr>
                                <w:jc w:val="center"/>
                                <w:rPr>
                                  <w:rFonts w:ascii="Arial" w:hAnsi="Arial" w:cs="Arial"/>
                                  <w:b/>
                                  <w:bCs/>
                                  <w:color w:val="FFFFFF" w:themeColor="background1"/>
                                  <w:sz w:val="28"/>
                                  <w:szCs w:val="28"/>
                                </w:rPr>
                              </w:pPr>
                              <w:r w:rsidRPr="00385E1F">
                                <w:rPr>
                                  <w:rFonts w:ascii="Arial" w:eastAsia="Times New Roman" w:hAnsi="Arial" w:cs="Arial"/>
                                  <w:b/>
                                  <w:bCs/>
                                  <w:color w:val="FFFFFF"/>
                                  <w:sz w:val="28"/>
                                  <w:szCs w:val="28"/>
                                  <w:lang w:val="sl-SI"/>
                                </w:rPr>
                                <w:t>ALI</w:t>
                              </w:r>
                            </w:p>
                          </w:txbxContent>
                        </v:textbox>
                      </v:shape>
                      <w10:wrap type="square"/>
                    </v:group>
                  </w:pict>
                </mc:Fallback>
              </mc:AlternateContent>
            </w:r>
          </w:p>
          <w:p w14:paraId="0937AF70" w14:textId="77777777" w:rsidR="00D902B3" w:rsidRDefault="00D902B3" w:rsidP="007811C6">
            <w:pPr>
              <w:pStyle w:val="a3"/>
              <w:numPr>
                <w:ilvl w:val="0"/>
                <w:numId w:val="142"/>
              </w:numPr>
              <w:ind w:left="4297"/>
              <w:rPr>
                <w:b/>
                <w:lang w:val="sl-SI"/>
              </w:rPr>
            </w:pPr>
            <w:r>
              <w:rPr>
                <w:rFonts w:eastAsia="Times New Roman"/>
                <w:b/>
                <w:bCs/>
                <w:lang w:val="sl-SI"/>
              </w:rPr>
              <w:t>Napolnjeno injekcijsko brizgo vstavite v mesto injiciranja.</w:t>
            </w:r>
          </w:p>
          <w:p w14:paraId="38521D53" w14:textId="77777777" w:rsidR="00D902B3" w:rsidRDefault="00D902B3" w:rsidP="00183CD7">
            <w:pPr>
              <w:pStyle w:val="a3"/>
              <w:numPr>
                <w:ilvl w:val="0"/>
                <w:numId w:val="0"/>
              </w:numPr>
              <w:ind w:left="111"/>
              <w:rPr>
                <w:b/>
                <w:lang w:val="sl-SI"/>
              </w:rPr>
            </w:pPr>
          </w:p>
          <w:p w14:paraId="413BD77D" w14:textId="77777777" w:rsidR="00D902B3" w:rsidRDefault="00D902B3" w:rsidP="00183CD7">
            <w:pPr>
              <w:pStyle w:val="a3"/>
              <w:numPr>
                <w:ilvl w:val="0"/>
                <w:numId w:val="0"/>
              </w:numPr>
              <w:ind w:left="111"/>
              <w:rPr>
                <w:b/>
                <w:lang w:val="sl-SI"/>
              </w:rPr>
            </w:pPr>
          </w:p>
          <w:p w14:paraId="2FC6A430" w14:textId="77777777" w:rsidR="00D902B3" w:rsidRDefault="00D902B3" w:rsidP="00183CD7">
            <w:pPr>
              <w:pStyle w:val="a3"/>
              <w:ind w:left="4297" w:hanging="180"/>
              <w:rPr>
                <w:lang w:val="sl-SI"/>
              </w:rPr>
            </w:pPr>
            <w:r>
              <w:rPr>
                <w:rFonts w:eastAsia="Times New Roman"/>
                <w:b/>
                <w:bCs/>
                <w:lang w:val="sl-SI"/>
              </w:rPr>
              <w:t>a.</w:t>
            </w:r>
            <w:r>
              <w:rPr>
                <w:rFonts w:eastAsia="Times New Roman"/>
                <w:lang w:val="sl-SI"/>
              </w:rPr>
              <w:t xml:space="preserve"> Z eno roko nežno stisnite kožno gubo na mestu injiciranja.</w:t>
            </w:r>
          </w:p>
          <w:p w14:paraId="72958DBE" w14:textId="77777777" w:rsidR="00D902B3" w:rsidRDefault="00D902B3" w:rsidP="00183CD7">
            <w:pPr>
              <w:pStyle w:val="a3"/>
              <w:ind w:left="4297" w:hanging="180"/>
              <w:rPr>
                <w:lang w:val="sl-SI"/>
              </w:rPr>
            </w:pPr>
          </w:p>
          <w:p w14:paraId="6E6B96B9" w14:textId="77777777" w:rsidR="00D902B3" w:rsidRDefault="00D902B3" w:rsidP="00183CD7">
            <w:pPr>
              <w:pStyle w:val="a3"/>
              <w:ind w:left="4297" w:hanging="180"/>
              <w:rPr>
                <w:lang w:val="sl-SI"/>
              </w:rPr>
            </w:pPr>
            <w:r>
              <w:rPr>
                <w:rFonts w:eastAsia="Times New Roman"/>
                <w:b/>
                <w:bCs/>
                <w:lang w:val="sl-SI"/>
              </w:rPr>
              <w:t>b.</w:t>
            </w:r>
            <w:r>
              <w:rPr>
                <w:rFonts w:eastAsia="Times New Roman"/>
                <w:lang w:val="sl-SI"/>
              </w:rPr>
              <w:t xml:space="preserve"> Napolnjeno injekcijsko brizgo držite za telo in vstavite iglo do konca v kožno gubo pod kotom 45° s hitrim, kratkim gibom.</w:t>
            </w:r>
          </w:p>
          <w:p w14:paraId="30823C35" w14:textId="77777777" w:rsidR="00D902B3" w:rsidRDefault="00D902B3" w:rsidP="00183CD7">
            <w:pPr>
              <w:pStyle w:val="a3"/>
              <w:rPr>
                <w:lang w:val="sl-SI"/>
              </w:rPr>
            </w:pPr>
          </w:p>
        </w:tc>
      </w:tr>
      <w:tr w:rsidR="00D902B3" w:rsidRPr="00475A1E" w14:paraId="665BA6A3" w14:textId="77777777" w:rsidTr="00183CD7">
        <w:trPr>
          <w:trHeight w:val="5519"/>
        </w:trPr>
        <w:tc>
          <w:tcPr>
            <w:tcW w:w="9351" w:type="dxa"/>
          </w:tcPr>
          <w:p w14:paraId="04EEEC31" w14:textId="2CC3C31C" w:rsidR="00D902B3" w:rsidRDefault="00D902B3" w:rsidP="00183CD7">
            <w:pPr>
              <w:ind w:left="104"/>
              <w:rPr>
                <w:rFonts w:ascii="Times New Roman" w:eastAsia="Times New Roman" w:hAnsi="Times New Roman" w:cs="Times New Roman"/>
                <w:b/>
                <w:bCs/>
                <w:spacing w:val="-1"/>
                <w:lang w:val="sl-SI"/>
              </w:rPr>
            </w:pPr>
          </w:p>
          <w:p w14:paraId="5CE7CF84" w14:textId="6D20C5F0" w:rsidR="00D902B3" w:rsidRDefault="0016356E" w:rsidP="00183CD7">
            <w:pPr>
              <w:pStyle w:val="Default"/>
              <w:rPr>
                <w:lang w:val="sl-SI"/>
              </w:rPr>
            </w:pPr>
            <w:r>
              <w:rPr>
                <w:noProof/>
                <w:lang w:eastAsia="ko-KR"/>
              </w:rPr>
              <mc:AlternateContent>
                <mc:Choice Requires="wpg">
                  <w:drawing>
                    <wp:anchor distT="0" distB="0" distL="114300" distR="114300" simplePos="0" relativeHeight="251658351" behindDoc="0" locked="0" layoutInCell="1" allowOverlap="1" wp14:anchorId="46C36CE4" wp14:editId="4799A775">
                      <wp:simplePos x="0" y="0"/>
                      <wp:positionH relativeFrom="column">
                        <wp:posOffset>120650</wp:posOffset>
                      </wp:positionH>
                      <wp:positionV relativeFrom="paragraph">
                        <wp:posOffset>6350</wp:posOffset>
                      </wp:positionV>
                      <wp:extent cx="2184400" cy="2707005"/>
                      <wp:effectExtent l="0" t="0" r="6350" b="0"/>
                      <wp:wrapSquare wrapText="bothSides"/>
                      <wp:docPr id="3944" name="그룹 3944"/>
                      <wp:cNvGraphicFramePr/>
                      <a:graphic xmlns:a="http://schemas.openxmlformats.org/drawingml/2006/main">
                        <a:graphicData uri="http://schemas.microsoft.com/office/word/2010/wordprocessingGroup">
                          <wpg:wgp>
                            <wpg:cNvGrpSpPr/>
                            <wpg:grpSpPr>
                              <a:xfrm>
                                <a:off x="0" y="0"/>
                                <a:ext cx="2184400" cy="2707005"/>
                                <a:chOff x="0" y="11842"/>
                                <a:chExt cx="2185035" cy="2707781"/>
                              </a:xfrm>
                            </wpg:grpSpPr>
                            <pic:pic xmlns:pic="http://schemas.openxmlformats.org/drawingml/2006/picture">
                              <pic:nvPicPr>
                                <pic:cNvPr id="3945" name="그림 3945"/>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bwMode="auto">
                                <a:xfrm>
                                  <a:off x="0" y="11842"/>
                                  <a:ext cx="2185035" cy="2558225"/>
                                </a:xfrm>
                                <a:prstGeom prst="rect">
                                  <a:avLst/>
                                </a:prstGeom>
                                <a:noFill/>
                                <a:ln>
                                  <a:noFill/>
                                </a:ln>
                              </pic:spPr>
                            </pic:pic>
                            <wps:wsp>
                              <wps:cNvPr id="3946" name="Text Box 3946"/>
                              <wps:cNvSpPr txBox="1"/>
                              <wps:spPr>
                                <a:xfrm>
                                  <a:off x="1448738" y="2573573"/>
                                  <a:ext cx="719758" cy="146050"/>
                                </a:xfrm>
                                <a:prstGeom prst="rect">
                                  <a:avLst/>
                                </a:prstGeom>
                                <a:solidFill>
                                  <a:prstClr val="white"/>
                                </a:solidFill>
                                <a:ln>
                                  <a:noFill/>
                                </a:ln>
                              </wps:spPr>
                              <wps:txbx>
                                <w:txbxContent>
                                  <w:p w14:paraId="6FAD4072"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46C36CE4" id="그룹 3944" o:spid="_x0000_s1347" style="position:absolute;margin-left:9.5pt;margin-top:.5pt;width:172pt;height:213.15pt;z-index:251658351;mso-height-relative:margin" coordorigin=",118" coordsize="21850,27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">
                      <v:shape id="그림 3945" o:spid="_x0000_s1348" type="#_x0000_t75" style="position:absolute;top:118;width:21850;height:25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">
                        <v:imagedata r:id="rId174" o:title=""/>
                      </v:shape>
                      <v:shape id="Text Box 3946" o:spid="_x0000_s1349" type="#_x0000_t202" style="position:absolute;left:14487;top:25735;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" stroked="f">
                        <v:textbox style="mso-fit-shape-to-text:t" inset="0,0,0,0">
                          <w:txbxContent>
                            <w:p w14:paraId="6FAD4072"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J</w:t>
                              </w:r>
                            </w:p>
                          </w:txbxContent>
                        </v:textbox>
                      </v:shape>
                      <w10:wrap type="square"/>
                    </v:group>
                  </w:pict>
                </mc:Fallback>
              </mc:AlternateContent>
            </w:r>
          </w:p>
          <w:p w14:paraId="4410F23D" w14:textId="77777777" w:rsidR="00D902B3" w:rsidRDefault="00D902B3" w:rsidP="007811C6">
            <w:pPr>
              <w:pStyle w:val="a3"/>
              <w:numPr>
                <w:ilvl w:val="0"/>
                <w:numId w:val="142"/>
              </w:numPr>
              <w:rPr>
                <w:lang w:val="sl-SI"/>
              </w:rPr>
            </w:pPr>
            <w:r>
              <w:rPr>
                <w:rFonts w:eastAsia="Times New Roman"/>
                <w:b/>
                <w:bCs/>
                <w:lang w:val="sl-SI"/>
              </w:rPr>
              <w:t>Dajte si injekcijo</w:t>
            </w:r>
          </w:p>
          <w:p w14:paraId="5929EE97" w14:textId="77777777" w:rsidR="00D902B3" w:rsidRDefault="00D902B3" w:rsidP="00183CD7">
            <w:pPr>
              <w:pStyle w:val="a3"/>
              <w:rPr>
                <w:lang w:val="sl-SI"/>
              </w:rPr>
            </w:pPr>
          </w:p>
          <w:p w14:paraId="38B30E4B" w14:textId="77777777" w:rsidR="00D902B3" w:rsidRDefault="00D902B3" w:rsidP="00183CD7">
            <w:pPr>
              <w:pStyle w:val="a3"/>
              <w:ind w:left="4297" w:hanging="180"/>
              <w:rPr>
                <w:lang w:val="sl-SI"/>
              </w:rPr>
            </w:pPr>
            <w:r>
              <w:rPr>
                <w:rFonts w:eastAsia="Times New Roman"/>
                <w:b/>
                <w:bCs/>
                <w:lang w:val="sl-SI"/>
              </w:rPr>
              <w:t>a.</w:t>
            </w:r>
            <w:r>
              <w:rPr>
                <w:rFonts w:eastAsia="Times New Roman"/>
                <w:lang w:val="sl-SI"/>
              </w:rPr>
              <w:t xml:space="preserve"> Ko iglo vstavite, spustite kožno gubo.</w:t>
            </w:r>
          </w:p>
          <w:p w14:paraId="48381B41" w14:textId="77777777" w:rsidR="00D902B3" w:rsidRDefault="00D902B3" w:rsidP="00183CD7">
            <w:pPr>
              <w:pStyle w:val="a3"/>
              <w:ind w:left="4297" w:hanging="180"/>
              <w:rPr>
                <w:lang w:val="sl-SI"/>
              </w:rPr>
            </w:pPr>
            <w:r>
              <w:rPr>
                <w:rFonts w:eastAsia="Times New Roman"/>
                <w:b/>
                <w:bCs/>
                <w:lang w:val="sl-SI"/>
              </w:rPr>
              <w:t>b.</w:t>
            </w:r>
            <w:r>
              <w:rPr>
                <w:rFonts w:eastAsia="Times New Roman"/>
                <w:lang w:val="sl-SI"/>
              </w:rPr>
              <w:t xml:space="preserve"> Počasi potisnite bat do konca, dokler ne injicirate celotne tekočine in je brizga prazna.</w:t>
            </w:r>
          </w:p>
          <w:p w14:paraId="2B7A5572" w14:textId="77777777" w:rsidR="00D902B3" w:rsidRDefault="00D902B3" w:rsidP="00183CD7">
            <w:pPr>
              <w:pStyle w:val="a3"/>
              <w:rPr>
                <w:lang w:val="sl-SI"/>
              </w:rPr>
            </w:pPr>
          </w:p>
          <w:p w14:paraId="0F2CBF2C" w14:textId="77777777" w:rsidR="00D902B3" w:rsidRDefault="00D902B3" w:rsidP="00183CD7">
            <w:pPr>
              <w:pStyle w:val="a3"/>
              <w:rPr>
                <w:lang w:val="sl-SI"/>
              </w:rPr>
            </w:pPr>
          </w:p>
          <w:p w14:paraId="42AEBCC6" w14:textId="77777777" w:rsidR="00D902B3" w:rsidRDefault="00D902B3" w:rsidP="00183CD7">
            <w:pPr>
              <w:pStyle w:val="a3"/>
              <w:rPr>
                <w:lang w:val="sl-SI"/>
              </w:rPr>
            </w:pPr>
            <w:r>
              <w:rPr>
                <w:rFonts w:ascii="맑은 고딕" w:eastAsia="맑은 고딕" w:hAnsi="맑은 고딕"/>
                <w:lang w:val="sl-SI"/>
              </w:rPr>
              <w:t>•</w:t>
            </w:r>
            <w:r>
              <w:rPr>
                <w:rFonts w:eastAsia="Times New Roman"/>
                <w:lang w:val="sl-SI"/>
              </w:rPr>
              <w:t xml:space="preserve"> </w:t>
            </w:r>
            <w:r>
              <w:rPr>
                <w:rFonts w:eastAsia="Times New Roman"/>
                <w:bCs/>
                <w:lang w:val="sl-SI"/>
              </w:rPr>
              <w:t>Po začetku</w:t>
            </w:r>
            <w:r>
              <w:rPr>
                <w:rFonts w:eastAsia="Times New Roman"/>
                <w:b/>
                <w:bCs/>
                <w:lang w:val="sl-SI"/>
              </w:rPr>
              <w:t xml:space="preserve"> </w:t>
            </w:r>
            <w:r>
              <w:rPr>
                <w:rFonts w:eastAsia="맑은 고딕"/>
                <w:lang w:val="sl-SI"/>
              </w:rPr>
              <w:t xml:space="preserve">injiciranja </w:t>
            </w:r>
            <w:r>
              <w:rPr>
                <w:rFonts w:eastAsia="맑은 고딕"/>
                <w:b/>
                <w:lang w:val="sl-SI"/>
              </w:rPr>
              <w:t>ne</w:t>
            </w:r>
            <w:r>
              <w:rPr>
                <w:rFonts w:eastAsia="Times New Roman"/>
                <w:lang w:val="sl-SI"/>
              </w:rPr>
              <w:t xml:space="preserve"> spreminjajte položaja napolnjene injekcijske brizge.</w:t>
            </w:r>
          </w:p>
          <w:p w14:paraId="448CBDD6" w14:textId="77777777" w:rsidR="00D902B3" w:rsidRDefault="00D902B3" w:rsidP="00183CD7">
            <w:pPr>
              <w:pStyle w:val="a3"/>
              <w:rPr>
                <w:lang w:val="sl-SI" w:eastAsia="ko-KR"/>
              </w:rPr>
            </w:pPr>
            <w:r>
              <w:rPr>
                <w:color w:val="211D1E"/>
                <w:sz w:val="20"/>
                <w:szCs w:val="20"/>
                <w:lang w:val="sl-SI"/>
              </w:rPr>
              <w:t xml:space="preserve"> </w:t>
            </w:r>
          </w:p>
        </w:tc>
      </w:tr>
      <w:tr w:rsidR="00D902B3" w14:paraId="62239D1D" w14:textId="77777777" w:rsidTr="0069079F">
        <w:trPr>
          <w:trHeight w:val="5111"/>
        </w:trPr>
        <w:tc>
          <w:tcPr>
            <w:tcW w:w="9351" w:type="dxa"/>
          </w:tcPr>
          <w:p w14:paraId="6514AAA2" w14:textId="77777777" w:rsidR="00D902B3" w:rsidRDefault="00D902B3" w:rsidP="00183CD7">
            <w:pPr>
              <w:ind w:left="104"/>
              <w:rPr>
                <w:rFonts w:ascii="Times New Roman" w:eastAsia="Times New Roman" w:hAnsi="Times New Roman" w:cs="Times New Roman"/>
                <w:b/>
                <w:bCs/>
                <w:spacing w:val="-1"/>
                <w:lang w:val="sl-SI"/>
              </w:rPr>
            </w:pPr>
          </w:p>
          <w:p w14:paraId="64E2E683" w14:textId="77777777" w:rsidR="00D902B3" w:rsidRDefault="00D902B3" w:rsidP="00183CD7">
            <w:pPr>
              <w:rPr>
                <w:rFonts w:ascii="Times New Roman" w:eastAsia="Times New Roman" w:hAnsi="Times New Roman" w:cs="Times New Roman"/>
                <w:lang w:val="sl-SI"/>
              </w:rPr>
            </w:pPr>
          </w:p>
          <w:p w14:paraId="6FB20B60" w14:textId="77777777" w:rsidR="00D902B3" w:rsidRDefault="00D902B3" w:rsidP="00183CD7">
            <w:pPr>
              <w:pStyle w:val="a3"/>
              <w:rPr>
                <w:lang w:val="sl-SI"/>
              </w:rPr>
            </w:pPr>
            <w:r>
              <w:rPr>
                <w:noProof/>
                <w:lang w:eastAsia="ko-KR"/>
              </w:rPr>
              <w:drawing>
                <wp:anchor distT="0" distB="0" distL="114300" distR="114300" simplePos="0" relativeHeight="251658353" behindDoc="0" locked="0" layoutInCell="1" allowOverlap="1" wp14:anchorId="612C8436" wp14:editId="531E2C63">
                  <wp:simplePos x="0" y="0"/>
                  <wp:positionH relativeFrom="column">
                    <wp:posOffset>66675</wp:posOffset>
                  </wp:positionH>
                  <wp:positionV relativeFrom="paragraph">
                    <wp:posOffset>67945</wp:posOffset>
                  </wp:positionV>
                  <wp:extent cx="2028190" cy="2497455"/>
                  <wp:effectExtent l="0" t="0" r="0" b="0"/>
                  <wp:wrapSquare wrapText="bothSides"/>
                  <wp:docPr id="4056" name="그림 4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41769" name="Figure K.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028190" cy="2497455"/>
                          </a:xfrm>
                          <a:prstGeom prst="rect">
                            <a:avLst/>
                          </a:prstGeom>
                          <a:ln w="12700">
                            <a:noFill/>
                          </a:ln>
                        </pic:spPr>
                      </pic:pic>
                    </a:graphicData>
                  </a:graphic>
                  <wp14:sizeRelH relativeFrom="margin">
                    <wp14:pctWidth>0</wp14:pctWidth>
                  </wp14:sizeRelH>
                  <wp14:sizeRelV relativeFrom="margin">
                    <wp14:pctHeight>0</wp14:pctHeight>
                  </wp14:sizeRelV>
                </wp:anchor>
              </w:drawing>
            </w:r>
          </w:p>
          <w:p w14:paraId="1C6B4F46" w14:textId="77777777" w:rsidR="00D902B3" w:rsidRDefault="00D902B3" w:rsidP="007811C6">
            <w:pPr>
              <w:pStyle w:val="a3"/>
              <w:numPr>
                <w:ilvl w:val="0"/>
                <w:numId w:val="142"/>
              </w:numPr>
              <w:ind w:left="4297" w:hanging="540"/>
              <w:rPr>
                <w:b/>
                <w:lang w:val="sl-SI"/>
              </w:rPr>
            </w:pPr>
            <w:r>
              <w:rPr>
                <w:rFonts w:eastAsia="Times New Roman"/>
                <w:b/>
                <w:bCs/>
                <w:lang w:val="sl-SI"/>
              </w:rPr>
              <w:t>Napolnjeno injekcijsko brizgo odstranite iz mesta injiciranja in poskrbite za mesto injiciranja</w:t>
            </w:r>
            <w:r>
              <w:rPr>
                <w:rFonts w:eastAsia="Times New Roman"/>
                <w:lang w:val="sl-SI"/>
              </w:rPr>
              <w:t xml:space="preserve"> </w:t>
            </w:r>
          </w:p>
          <w:p w14:paraId="5BCCEB66" w14:textId="77777777" w:rsidR="00D902B3" w:rsidRDefault="00D902B3" w:rsidP="00183CD7">
            <w:pPr>
              <w:pStyle w:val="a3"/>
              <w:numPr>
                <w:ilvl w:val="0"/>
                <w:numId w:val="0"/>
              </w:numPr>
              <w:ind w:left="471"/>
              <w:rPr>
                <w:b/>
                <w:lang w:val="sl-SI"/>
              </w:rPr>
            </w:pPr>
          </w:p>
          <w:p w14:paraId="5F6F8005" w14:textId="77777777" w:rsidR="00D902B3" w:rsidRDefault="00D902B3" w:rsidP="00183CD7">
            <w:pPr>
              <w:pStyle w:val="a3"/>
              <w:ind w:left="4117" w:hanging="180"/>
              <w:rPr>
                <w:lang w:val="sl-SI"/>
              </w:rPr>
            </w:pPr>
            <w:r>
              <w:rPr>
                <w:rFonts w:eastAsia="Times New Roman"/>
                <w:b/>
                <w:bCs/>
                <w:lang w:val="sl-SI"/>
              </w:rPr>
              <w:t>a.</w:t>
            </w:r>
            <w:r>
              <w:rPr>
                <w:rFonts w:eastAsia="Times New Roman"/>
                <w:lang w:val="sl-SI"/>
              </w:rPr>
              <w:t xml:space="preserve"> Ko je napolnjena injekcijska brizga prazna, odstranite napolnjeno injekcijsko brizgo iz kože pod istim kotom, kot ste jo vstavili.</w:t>
            </w:r>
          </w:p>
          <w:p w14:paraId="538F2318" w14:textId="77777777" w:rsidR="00D902B3" w:rsidRDefault="00D902B3" w:rsidP="00183CD7">
            <w:pPr>
              <w:pStyle w:val="a3"/>
              <w:ind w:left="4117" w:hanging="180"/>
              <w:rPr>
                <w:rFonts w:eastAsia="Times New Roman"/>
                <w:lang w:val="sl-SI"/>
              </w:rPr>
            </w:pPr>
            <w:r>
              <w:rPr>
                <w:rFonts w:eastAsia="Times New Roman"/>
                <w:b/>
                <w:bCs/>
                <w:lang w:val="sl-SI"/>
              </w:rPr>
              <w:t>b.</w:t>
            </w:r>
            <w:r>
              <w:rPr>
                <w:rFonts w:eastAsia="Times New Roman"/>
                <w:lang w:val="sl-SI"/>
              </w:rPr>
              <w:t>Na mesto injiciranja nežno pritisnite (ne drgnite) z vato ali gazo in po potrebi namestite lepilni povoj. Pojavi se lahko rahla krvavitev.</w:t>
            </w:r>
          </w:p>
          <w:p w14:paraId="35424369" w14:textId="77777777" w:rsidR="00D902B3" w:rsidRDefault="00D902B3" w:rsidP="00183CD7">
            <w:pPr>
              <w:pStyle w:val="a3"/>
              <w:rPr>
                <w:lang w:val="sl-SI"/>
              </w:rPr>
            </w:pPr>
          </w:p>
          <w:p w14:paraId="4A20D801" w14:textId="77777777" w:rsidR="00D902B3" w:rsidRDefault="00D902B3" w:rsidP="00183CD7">
            <w:pPr>
              <w:pStyle w:val="a3"/>
              <w:rPr>
                <w:lang w:val="sl-SI"/>
              </w:rPr>
            </w:pPr>
            <w:r>
              <w:rPr>
                <w:lang w:val="sl-SI"/>
              </w:rPr>
              <w:t xml:space="preserve"> </w:t>
            </w:r>
          </w:p>
          <w:p w14:paraId="690B756E" w14:textId="77777777" w:rsidR="00D902B3" w:rsidRDefault="00D902B3" w:rsidP="00183CD7">
            <w:pPr>
              <w:pStyle w:val="a3"/>
              <w:rPr>
                <w:lang w:val="sl-SI"/>
              </w:rPr>
            </w:pPr>
            <w:r>
              <w:rPr>
                <w:rFonts w:ascii="맑은 고딕" w:eastAsia="맑은 고딕" w:hAnsi="맑은 고딕"/>
                <w:lang w:val="sl-SI"/>
              </w:rPr>
              <w:t>•</w:t>
            </w:r>
            <w:r>
              <w:rPr>
                <w:rFonts w:eastAsia="Times New Roman"/>
                <w:lang w:val="sl-SI"/>
              </w:rPr>
              <w:t xml:space="preserve"> Napolnjene injekcijske brizge</w:t>
            </w:r>
            <w:r>
              <w:rPr>
                <w:rFonts w:eastAsia="맑은 고딕"/>
                <w:lang w:val="sl-SI"/>
              </w:rPr>
              <w:t xml:space="preserve"> </w:t>
            </w:r>
            <w:r>
              <w:rPr>
                <w:rFonts w:eastAsia="맑은 고딕"/>
                <w:b/>
                <w:bCs/>
                <w:lang w:val="sl-SI"/>
              </w:rPr>
              <w:t>ne</w:t>
            </w:r>
            <w:r>
              <w:rPr>
                <w:rFonts w:eastAsia="맑은 고딕"/>
                <w:lang w:val="sl-SI"/>
              </w:rPr>
              <w:t xml:space="preserve"> uporabljajte ponovno</w:t>
            </w:r>
            <w:r>
              <w:rPr>
                <w:rFonts w:eastAsia="Times New Roman"/>
                <w:lang w:val="sl-SI"/>
              </w:rPr>
              <w:t>.</w:t>
            </w:r>
          </w:p>
          <w:p w14:paraId="77A4D958" w14:textId="77777777" w:rsidR="00D902B3" w:rsidRDefault="00D902B3" w:rsidP="00183CD7">
            <w:pPr>
              <w:pStyle w:val="a3"/>
              <w:ind w:left="3859" w:hangingChars="1754" w:hanging="3859"/>
              <w:rPr>
                <w:lang w:val="sl-SI"/>
              </w:rPr>
            </w:pPr>
            <w:r>
              <w:rPr>
                <w:rFonts w:ascii="맑은 고딕" w:eastAsia="맑은 고딕" w:hAnsi="맑은 고딕"/>
                <w:lang w:val="sl-SI"/>
              </w:rPr>
              <w:t>•</w:t>
            </w:r>
            <w:r>
              <w:rPr>
                <w:rFonts w:eastAsia="Times New Roman"/>
                <w:lang w:val="sl-SI"/>
              </w:rPr>
              <w:t xml:space="preserve"> </w:t>
            </w:r>
            <w:r>
              <w:rPr>
                <w:rFonts w:eastAsia="Times New Roman"/>
                <w:bCs/>
                <w:lang w:val="sl-SI"/>
              </w:rPr>
              <w:t>Igle se</w:t>
            </w:r>
            <w:r>
              <w:rPr>
                <w:rFonts w:eastAsia="Times New Roman"/>
                <w:b/>
                <w:bCs/>
                <w:lang w:val="sl-SI"/>
              </w:rPr>
              <w:t xml:space="preserve"> ne</w:t>
            </w:r>
            <w:r>
              <w:rPr>
                <w:rFonts w:eastAsia="Times New Roman"/>
                <w:lang w:val="sl-SI"/>
              </w:rPr>
              <w:t xml:space="preserve"> dotikajte in pokrovčka ne nameščajte nazaj na iglo.</w:t>
            </w:r>
          </w:p>
          <w:p w14:paraId="0A3303C0" w14:textId="77777777" w:rsidR="00D902B3" w:rsidRDefault="00D902B3" w:rsidP="00183CD7">
            <w:pPr>
              <w:pStyle w:val="a3"/>
              <w:rPr>
                <w:lang w:val="sl-SI"/>
              </w:rPr>
            </w:pPr>
            <w:r>
              <w:rPr>
                <w:noProof/>
                <w:lang w:eastAsia="ko-KR"/>
              </w:rPr>
              <mc:AlternateContent>
                <mc:Choice Requires="wps">
                  <w:drawing>
                    <wp:anchor distT="0" distB="0" distL="114300" distR="114300" simplePos="0" relativeHeight="251658352" behindDoc="0" locked="0" layoutInCell="1" allowOverlap="1" wp14:anchorId="36FAFC3B" wp14:editId="06D8AA97">
                      <wp:simplePos x="0" y="0"/>
                      <wp:positionH relativeFrom="column">
                        <wp:posOffset>1362710</wp:posOffset>
                      </wp:positionH>
                      <wp:positionV relativeFrom="paragraph">
                        <wp:posOffset>168275</wp:posOffset>
                      </wp:positionV>
                      <wp:extent cx="719455" cy="146050"/>
                      <wp:effectExtent l="0" t="0" r="4445" b="6350"/>
                      <wp:wrapSquare wrapText="bothSides"/>
                      <wp:docPr id="3947" name="Text Box 3947"/>
                      <wp:cNvGraphicFramePr/>
                      <a:graphic xmlns:a="http://schemas.openxmlformats.org/drawingml/2006/main">
                        <a:graphicData uri="http://schemas.microsoft.com/office/word/2010/wordprocessingShape">
                          <wps:wsp>
                            <wps:cNvSpPr txBox="1"/>
                            <wps:spPr>
                              <a:xfrm>
                                <a:off x="0" y="0"/>
                                <a:ext cx="719455" cy="146050"/>
                              </a:xfrm>
                              <a:prstGeom prst="rect">
                                <a:avLst/>
                              </a:prstGeom>
                              <a:solidFill>
                                <a:prstClr val="white"/>
                              </a:solidFill>
                              <a:ln>
                                <a:noFill/>
                              </a:ln>
                            </wps:spPr>
                            <wps:txbx>
                              <w:txbxContent>
                                <w:p w14:paraId="43DEDB7D"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FAFC3B" id="Text Box 3947" o:spid="_x0000_s1350" type="#_x0000_t202" style="position:absolute;margin-left:107.3pt;margin-top:13.25pt;width:56.65pt;height:11.5pt;z-index:25165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" stroked="f">
                      <v:textbox style="mso-fit-shape-to-text:t" inset="0,0,0,0">
                        <w:txbxContent>
                          <w:p w14:paraId="43DEDB7D"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K</w:t>
                            </w:r>
                          </w:p>
                        </w:txbxContent>
                      </v:textbox>
                      <w10:wrap type="square"/>
                    </v:shape>
                  </w:pict>
                </mc:Fallback>
              </mc:AlternateContent>
            </w:r>
            <w:r>
              <w:rPr>
                <w:rFonts w:ascii="맑은 고딕" w:eastAsia="맑은 고딕" w:hAnsi="맑은 고딕"/>
                <w:lang w:val="sl-SI"/>
              </w:rPr>
              <w:t>•</w:t>
            </w:r>
            <w:r>
              <w:rPr>
                <w:rFonts w:eastAsia="Times New Roman"/>
                <w:lang w:val="sl-SI"/>
              </w:rPr>
              <w:t xml:space="preserve"> Mesta injiciranja</w:t>
            </w:r>
            <w:r>
              <w:rPr>
                <w:rFonts w:eastAsia="맑은 고딕"/>
                <w:lang w:val="sl-SI"/>
              </w:rPr>
              <w:t xml:space="preserve"> </w:t>
            </w:r>
            <w:r>
              <w:rPr>
                <w:rFonts w:eastAsia="맑은 고딕"/>
                <w:b/>
                <w:bCs/>
                <w:lang w:val="sl-SI"/>
              </w:rPr>
              <w:t>ne</w:t>
            </w:r>
            <w:r>
              <w:rPr>
                <w:rFonts w:eastAsia="맑은 고딕"/>
                <w:lang w:val="sl-SI"/>
              </w:rPr>
              <w:t xml:space="preserve"> drgnite</w:t>
            </w:r>
            <w:r>
              <w:rPr>
                <w:rFonts w:ascii="맑은 고딕" w:eastAsia="맑은 고딕" w:hAnsi="맑은 고딕"/>
                <w:lang w:val="sl-SI"/>
              </w:rPr>
              <w:t xml:space="preserve">. </w:t>
            </w:r>
          </w:p>
        </w:tc>
      </w:tr>
      <w:tr w:rsidR="00D902B3" w:rsidRPr="00652F18" w14:paraId="4E104DAE" w14:textId="77777777" w:rsidTr="0069079F">
        <w:trPr>
          <w:trHeight w:val="4786"/>
        </w:trPr>
        <w:tc>
          <w:tcPr>
            <w:tcW w:w="9351" w:type="dxa"/>
          </w:tcPr>
          <w:p w14:paraId="0B4F3C80" w14:textId="77777777" w:rsidR="00D902B3" w:rsidRPr="00A10714" w:rsidRDefault="00D902B3" w:rsidP="007811C6">
            <w:pPr>
              <w:pStyle w:val="a3"/>
              <w:numPr>
                <w:ilvl w:val="0"/>
                <w:numId w:val="142"/>
              </w:numPr>
              <w:rPr>
                <w:rFonts w:eastAsia="Times New Roman"/>
                <w:b/>
                <w:bCs/>
                <w:spacing w:val="-1"/>
                <w:lang w:val="sl-SI"/>
              </w:rPr>
            </w:pPr>
            <w:r>
              <w:rPr>
                <w:noProof/>
                <w:lang w:eastAsia="ko-KR"/>
              </w:rPr>
              <w:drawing>
                <wp:anchor distT="0" distB="0" distL="114300" distR="114300" simplePos="0" relativeHeight="251658359" behindDoc="0" locked="0" layoutInCell="1" allowOverlap="1" wp14:anchorId="2551D87E" wp14:editId="6C13EAA8">
                  <wp:simplePos x="0" y="0"/>
                  <wp:positionH relativeFrom="column">
                    <wp:posOffset>-24130</wp:posOffset>
                  </wp:positionH>
                  <wp:positionV relativeFrom="paragraph">
                    <wp:posOffset>128270</wp:posOffset>
                  </wp:positionV>
                  <wp:extent cx="2123440" cy="2602865"/>
                  <wp:effectExtent l="0" t="0" r="0" b="6985"/>
                  <wp:wrapSquare wrapText="bothSides"/>
                  <wp:docPr id="4057" name="그림 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1058" name="Figurle L.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123440" cy="2602865"/>
                          </a:xfrm>
                          <a:prstGeom prst="rect">
                            <a:avLst/>
                          </a:prstGeom>
                          <a:ln w="12700">
                            <a:noFill/>
                          </a:ln>
                        </pic:spPr>
                      </pic:pic>
                    </a:graphicData>
                  </a:graphic>
                  <wp14:sizeRelH relativeFrom="margin">
                    <wp14:pctWidth>0</wp14:pctWidth>
                  </wp14:sizeRelH>
                  <wp14:sizeRelV relativeFrom="margin">
                    <wp14:pctHeight>0</wp14:pctHeight>
                  </wp14:sizeRelV>
                </wp:anchor>
              </w:drawing>
            </w:r>
            <w:r w:rsidRPr="00FE5F68">
              <w:rPr>
                <w:rFonts w:eastAsia="Times New Roman"/>
                <w:b/>
                <w:bCs/>
                <w:lang w:val="sl-SI"/>
              </w:rPr>
              <w:t>Napolnjeno injekcijsko brizgo zavrzite</w:t>
            </w:r>
          </w:p>
          <w:p w14:paraId="79D0C19B" w14:textId="77777777" w:rsidR="00D902B3" w:rsidRPr="00A10714" w:rsidRDefault="00D902B3" w:rsidP="00183CD7">
            <w:pPr>
              <w:ind w:left="104"/>
              <w:rPr>
                <w:rFonts w:ascii="Times New Roman" w:eastAsia="Times New Roman" w:hAnsi="Times New Roman" w:cs="Times New Roman"/>
                <w:b/>
                <w:bCs/>
                <w:spacing w:val="-1"/>
                <w:lang w:val="sl-SI"/>
              </w:rPr>
            </w:pPr>
          </w:p>
          <w:p w14:paraId="58A03F9C" w14:textId="77777777" w:rsidR="00D902B3" w:rsidRDefault="00D902B3" w:rsidP="00183CD7">
            <w:pPr>
              <w:ind w:leftChars="347" w:left="763"/>
              <w:rPr>
                <w:rFonts w:ascii="Times New Roman" w:eastAsia="Times New Roman" w:hAnsi="Times New Roman" w:cs="Times New Roman"/>
                <w:spacing w:val="-1"/>
                <w:lang w:val="sl-SI"/>
              </w:rPr>
            </w:pPr>
            <w:r w:rsidRPr="00FE5F68">
              <w:rPr>
                <w:rFonts w:ascii="Times New Roman" w:eastAsia="Times New Roman" w:hAnsi="Times New Roman" w:cs="Times New Roman" w:hint="eastAsia"/>
                <w:spacing w:val="-1"/>
                <w:lang w:val="sl-SI"/>
              </w:rPr>
              <w:t>•</w:t>
            </w:r>
            <w:r w:rsidRPr="00FE5F68">
              <w:rPr>
                <w:rFonts w:ascii="Times New Roman" w:eastAsia="Times New Roman" w:hAnsi="Times New Roman" w:cs="Times New Roman"/>
                <w:spacing w:val="-1"/>
                <w:lang w:val="sl-SI"/>
              </w:rPr>
              <w:t xml:space="preserve"> Napolnjene injekcijske brizge </w:t>
            </w:r>
            <w:r w:rsidRPr="00A10714">
              <w:rPr>
                <w:rFonts w:ascii="Times New Roman" w:eastAsia="Times New Roman" w:hAnsi="Times New Roman" w:cs="Times New Roman"/>
                <w:b/>
                <w:bCs/>
                <w:spacing w:val="-1"/>
                <w:lang w:val="sl-SI"/>
              </w:rPr>
              <w:t>ne</w:t>
            </w:r>
            <w:r w:rsidRPr="00FE5F68">
              <w:rPr>
                <w:rFonts w:ascii="Times New Roman" w:eastAsia="Times New Roman" w:hAnsi="Times New Roman" w:cs="Times New Roman"/>
                <w:spacing w:val="-1"/>
                <w:lang w:val="sl-SI"/>
              </w:rPr>
              <w:t xml:space="preserve"> zamašite znova.</w:t>
            </w:r>
          </w:p>
          <w:p w14:paraId="16B51785" w14:textId="77777777" w:rsidR="00D902B3" w:rsidRPr="00FE5F68" w:rsidRDefault="00D902B3" w:rsidP="00183CD7">
            <w:pPr>
              <w:ind w:leftChars="347" w:left="763"/>
              <w:rPr>
                <w:rFonts w:ascii="Times New Roman" w:eastAsia="Times New Roman" w:hAnsi="Times New Roman" w:cs="Times New Roman"/>
                <w:spacing w:val="-1"/>
                <w:lang w:val="sl-SI"/>
              </w:rPr>
            </w:pPr>
          </w:p>
          <w:p w14:paraId="3C54069C" w14:textId="77777777" w:rsidR="00D902B3" w:rsidRDefault="00D902B3" w:rsidP="00566D4D">
            <w:pPr>
              <w:pStyle w:val="a3"/>
              <w:numPr>
                <w:ilvl w:val="0"/>
                <w:numId w:val="155"/>
              </w:numPr>
              <w:rPr>
                <w:rFonts w:eastAsia="Times New Roman"/>
                <w:spacing w:val="-1"/>
                <w:lang w:val="sl-SI"/>
              </w:rPr>
            </w:pPr>
            <w:r w:rsidRPr="00FE5F68">
              <w:rPr>
                <w:rFonts w:eastAsia="Times New Roman"/>
                <w:spacing w:val="-1"/>
                <w:lang w:val="sl-SI"/>
              </w:rPr>
              <w:t>Uporabljeno napolnjeno injekcijsko brizgo zavrzite v posebn</w:t>
            </w:r>
            <w:r>
              <w:rPr>
                <w:rFonts w:eastAsia="Times New Roman"/>
                <w:spacing w:val="-1"/>
                <w:lang w:val="sl-SI"/>
              </w:rPr>
              <w:t>o</w:t>
            </w:r>
            <w:r w:rsidRPr="00FE5F68">
              <w:rPr>
                <w:rFonts w:eastAsia="Times New Roman"/>
                <w:spacing w:val="-1"/>
                <w:lang w:val="sl-SI"/>
              </w:rPr>
              <w:t xml:space="preserve"> posod</w:t>
            </w:r>
            <w:r>
              <w:rPr>
                <w:rFonts w:eastAsia="Times New Roman"/>
                <w:spacing w:val="-1"/>
                <w:lang w:val="sl-SI"/>
              </w:rPr>
              <w:t>o</w:t>
            </w:r>
            <w:r w:rsidRPr="00FE5F68">
              <w:rPr>
                <w:rFonts w:eastAsia="Times New Roman"/>
                <w:spacing w:val="-1"/>
                <w:lang w:val="sl-SI"/>
              </w:rPr>
              <w:t xml:space="preserve"> za odlaganje ostrih predmetov po navodilih</w:t>
            </w:r>
            <w:r>
              <w:rPr>
                <w:rFonts w:eastAsia="Times New Roman"/>
                <w:spacing w:val="-1"/>
                <w:lang w:val="sl-SI"/>
              </w:rPr>
              <w:t xml:space="preserve"> </w:t>
            </w:r>
            <w:r w:rsidRPr="00FE5F68">
              <w:rPr>
                <w:rFonts w:eastAsia="Times New Roman"/>
                <w:spacing w:val="-1"/>
                <w:lang w:val="sl-SI"/>
              </w:rPr>
              <w:t>svojega zdravnika, medicinske sestre ali farmacevta.</w:t>
            </w:r>
          </w:p>
          <w:p w14:paraId="7E8E5879" w14:textId="77777777" w:rsidR="00D902B3" w:rsidRDefault="00D902B3" w:rsidP="00183CD7">
            <w:pPr>
              <w:pStyle w:val="a3"/>
              <w:numPr>
                <w:ilvl w:val="0"/>
                <w:numId w:val="0"/>
              </w:numPr>
              <w:ind w:left="4318"/>
              <w:rPr>
                <w:rFonts w:eastAsia="Times New Roman"/>
                <w:spacing w:val="-1"/>
                <w:lang w:val="sl-SI"/>
              </w:rPr>
            </w:pPr>
          </w:p>
          <w:p w14:paraId="35E516F0" w14:textId="77777777" w:rsidR="00D902B3" w:rsidRPr="00FE5F68" w:rsidRDefault="00D902B3" w:rsidP="00566D4D">
            <w:pPr>
              <w:pStyle w:val="a3"/>
              <w:numPr>
                <w:ilvl w:val="0"/>
                <w:numId w:val="155"/>
              </w:numPr>
              <w:rPr>
                <w:rFonts w:eastAsia="Times New Roman"/>
                <w:spacing w:val="-1"/>
                <w:lang w:val="sl-SI"/>
              </w:rPr>
            </w:pPr>
            <w:r w:rsidRPr="00FE5F68">
              <w:rPr>
                <w:rFonts w:eastAsia="Times New Roman"/>
                <w:lang w:val="sl-SI"/>
              </w:rPr>
              <w:t>Alkoholn</w:t>
            </w:r>
            <w:r>
              <w:rPr>
                <w:rFonts w:eastAsia="Times New Roman"/>
                <w:lang w:val="sl-SI"/>
              </w:rPr>
              <w:t>o</w:t>
            </w:r>
            <w:r w:rsidRPr="00FE5F68">
              <w:rPr>
                <w:rFonts w:eastAsia="Times New Roman"/>
                <w:lang w:val="sl-SI"/>
              </w:rPr>
              <w:t xml:space="preserve"> blazinic</w:t>
            </w:r>
            <w:r>
              <w:rPr>
                <w:rFonts w:eastAsia="Times New Roman"/>
                <w:lang w:val="sl-SI"/>
              </w:rPr>
              <w:t>o</w:t>
            </w:r>
            <w:r w:rsidRPr="00FE5F68">
              <w:rPr>
                <w:rFonts w:eastAsia="Times New Roman"/>
                <w:lang w:val="sl-SI"/>
              </w:rPr>
              <w:t xml:space="preserve"> in embalaž</w:t>
            </w:r>
            <w:r>
              <w:rPr>
                <w:rFonts w:eastAsia="Times New Roman"/>
                <w:lang w:val="sl-SI"/>
              </w:rPr>
              <w:t>o</w:t>
            </w:r>
            <w:r w:rsidRPr="00FE5F68">
              <w:rPr>
                <w:rFonts w:eastAsia="Times New Roman"/>
                <w:lang w:val="sl-SI"/>
              </w:rPr>
              <w:t>lahko odložite med gospodinjske odpadke.</w:t>
            </w:r>
          </w:p>
          <w:p w14:paraId="30ADCE21" w14:textId="77777777" w:rsidR="00D902B3" w:rsidRPr="004E4431" w:rsidRDefault="00D902B3" w:rsidP="00183CD7">
            <w:pPr>
              <w:pStyle w:val="a3"/>
              <w:numPr>
                <w:ilvl w:val="0"/>
                <w:numId w:val="0"/>
              </w:numPr>
              <w:rPr>
                <w:rFonts w:eastAsia="Times New Roman"/>
                <w:spacing w:val="-1"/>
                <w:lang w:val="sl-SI"/>
              </w:rPr>
            </w:pPr>
          </w:p>
          <w:p w14:paraId="16C992C5" w14:textId="77777777" w:rsidR="00D902B3" w:rsidRDefault="00D902B3" w:rsidP="00183CD7">
            <w:pPr>
              <w:ind w:leftChars="147" w:left="323"/>
              <w:rPr>
                <w:rFonts w:ascii="Times New Roman" w:eastAsia="Times New Roman" w:hAnsi="Times New Roman" w:cs="Times New Roman"/>
                <w:b/>
                <w:bCs/>
                <w:spacing w:val="-1"/>
                <w:lang w:val="sl-SI"/>
              </w:rPr>
            </w:pPr>
            <w:r w:rsidRPr="00A10714">
              <w:rPr>
                <w:noProof/>
                <w:lang w:eastAsia="ko-KR"/>
              </w:rPr>
              <mc:AlternateContent>
                <mc:Choice Requires="wps">
                  <w:drawing>
                    <wp:anchor distT="0" distB="0" distL="114300" distR="114300" simplePos="0" relativeHeight="251658358" behindDoc="0" locked="0" layoutInCell="1" allowOverlap="1" wp14:anchorId="09312D5D" wp14:editId="65B30727">
                      <wp:simplePos x="0" y="0"/>
                      <wp:positionH relativeFrom="column">
                        <wp:posOffset>1353185</wp:posOffset>
                      </wp:positionH>
                      <wp:positionV relativeFrom="paragraph">
                        <wp:posOffset>810260</wp:posOffset>
                      </wp:positionV>
                      <wp:extent cx="719455" cy="146050"/>
                      <wp:effectExtent l="0" t="0" r="4445" b="6350"/>
                      <wp:wrapSquare wrapText="bothSides"/>
                      <wp:docPr id="3948" name="Text Box 3948"/>
                      <wp:cNvGraphicFramePr/>
                      <a:graphic xmlns:a="http://schemas.openxmlformats.org/drawingml/2006/main">
                        <a:graphicData uri="http://schemas.microsoft.com/office/word/2010/wordprocessingShape">
                          <wps:wsp>
                            <wps:cNvSpPr txBox="1"/>
                            <wps:spPr>
                              <a:xfrm>
                                <a:off x="0" y="0"/>
                                <a:ext cx="719455" cy="146050"/>
                              </a:xfrm>
                              <a:prstGeom prst="rect">
                                <a:avLst/>
                              </a:prstGeom>
                              <a:solidFill>
                                <a:prstClr val="white"/>
                              </a:solidFill>
                              <a:ln>
                                <a:noFill/>
                              </a:ln>
                            </wps:spPr>
                            <wps:txbx>
                              <w:txbxContent>
                                <w:p w14:paraId="5E1408E0"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312D5D" id="Text Box 3948" o:spid="_x0000_s1351" type="#_x0000_t202" style="position:absolute;left:0;text-align:left;margin-left:106.55pt;margin-top:63.8pt;width:56.65pt;height:11.5pt;z-index:2516583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" stroked="f">
                      <v:textbox style="mso-fit-shape-to-text:t" inset="0,0,0,0">
                        <w:txbxContent>
                          <w:p w14:paraId="5E1408E0" w14:textId="77777777" w:rsidR="00474DFB" w:rsidRDefault="00474DFB" w:rsidP="00D902B3">
                            <w:pPr>
                              <w:pStyle w:val="af0"/>
                              <w:jc w:val="right"/>
                              <w:rPr>
                                <w:rFonts w:ascii="Times New Roman" w:hAnsi="Times New Roman" w:cs="Times New Roman"/>
                                <w:noProof/>
                                <w:spacing w:val="-1"/>
                              </w:rPr>
                            </w:pPr>
                            <w:r>
                              <w:rPr>
                                <w:rFonts w:ascii="Times New Roman" w:eastAsia="Times New Roman" w:hAnsi="Times New Roman" w:cs="Times New Roman"/>
                                <w:lang w:val="sl-SI"/>
                              </w:rPr>
                              <w:t>Slika L</w:t>
                            </w:r>
                          </w:p>
                        </w:txbxContent>
                      </v:textbox>
                      <w10:wrap type="square"/>
                    </v:shape>
                  </w:pict>
                </mc:Fallback>
              </mc:AlternateContent>
            </w:r>
            <w:r w:rsidRPr="00FE5F68">
              <w:rPr>
                <w:rFonts w:ascii="Times New Roman" w:eastAsia="Times New Roman" w:hAnsi="Times New Roman" w:cs="Times New Roman" w:hint="eastAsia"/>
                <w:spacing w:val="-1"/>
                <w:lang w:val="sl-SI"/>
              </w:rPr>
              <w:t>•</w:t>
            </w:r>
            <w:r w:rsidRPr="00FE5F68">
              <w:rPr>
                <w:rFonts w:ascii="Times New Roman" w:eastAsia="Times New Roman" w:hAnsi="Times New Roman" w:cs="Times New Roman"/>
                <w:spacing w:val="-1"/>
                <w:lang w:val="sl-SI"/>
              </w:rPr>
              <w:t xml:space="preserve"> Vedno imejte napolnjeno injekcijsko brizgo in posebno</w:t>
            </w:r>
            <w:r>
              <w:rPr>
                <w:rFonts w:ascii="Times New Roman" w:eastAsia="Times New Roman" w:hAnsi="Times New Roman" w:cs="Times New Roman"/>
                <w:spacing w:val="-1"/>
                <w:lang w:val="sl-SI"/>
              </w:rPr>
              <w:t xml:space="preserve"> </w:t>
            </w:r>
            <w:r w:rsidRPr="00FE5F68">
              <w:rPr>
                <w:rFonts w:ascii="Times New Roman" w:eastAsia="Times New Roman" w:hAnsi="Times New Roman" w:cs="Times New Roman"/>
                <w:spacing w:val="-1"/>
                <w:lang w:val="sl-SI"/>
              </w:rPr>
              <w:t>posod</w:t>
            </w:r>
            <w:r>
              <w:rPr>
                <w:rFonts w:ascii="Times New Roman" w:eastAsia="Times New Roman" w:hAnsi="Times New Roman" w:cs="Times New Roman"/>
                <w:spacing w:val="-1"/>
                <w:lang w:val="sl-SI"/>
              </w:rPr>
              <w:t>o</w:t>
            </w:r>
            <w:r w:rsidRPr="00FE5F68">
              <w:rPr>
                <w:rFonts w:ascii="Times New Roman" w:eastAsia="Times New Roman" w:hAnsi="Times New Roman" w:cs="Times New Roman"/>
                <w:spacing w:val="-1"/>
                <w:lang w:val="sl-SI"/>
              </w:rPr>
              <w:t xml:space="preserve"> za odlaganje ostrih predmetov izven dosega</w:t>
            </w:r>
            <w:r>
              <w:rPr>
                <w:rFonts w:ascii="Times New Roman" w:eastAsia="Times New Roman" w:hAnsi="Times New Roman" w:cs="Times New Roman"/>
                <w:spacing w:val="-1"/>
                <w:lang w:val="sl-SI"/>
              </w:rPr>
              <w:t xml:space="preserve"> </w:t>
            </w:r>
            <w:r w:rsidRPr="00FE5F68">
              <w:rPr>
                <w:rFonts w:ascii="Times New Roman" w:eastAsia="Times New Roman" w:hAnsi="Times New Roman" w:cs="Times New Roman"/>
                <w:spacing w:val="-1"/>
                <w:lang w:val="sl-SI"/>
              </w:rPr>
              <w:t>otrok.</w:t>
            </w:r>
          </w:p>
        </w:tc>
      </w:tr>
    </w:tbl>
    <w:p w14:paraId="770698FA" w14:textId="0F0DBE82" w:rsidR="00E04C8A" w:rsidRPr="00D902B3" w:rsidRDefault="00E04C8A" w:rsidP="007811C6">
      <w:pPr>
        <w:spacing w:line="241" w:lineRule="auto"/>
        <w:rPr>
          <w:lang w:val="sl-SI" w:eastAsia="ko-KR"/>
        </w:rPr>
      </w:pPr>
    </w:p>
    <w:sectPr w:rsidR="00E04C8A" w:rsidRPr="00D902B3">
      <w:footerReference w:type="default" r:id="rId177"/>
      <w:pgSz w:w="12240" w:h="15840"/>
      <w:pgMar w:top="1060" w:right="1340" w:bottom="860" w:left="1300" w:header="737" w:footer="73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941D13" w14:textId="77777777" w:rsidR="00465118" w:rsidRDefault="00465118">
      <w:r>
        <w:separator/>
      </w:r>
    </w:p>
  </w:endnote>
  <w:endnote w:type="continuationSeparator" w:id="0">
    <w:p w14:paraId="3FA988F5" w14:textId="77777777" w:rsidR="00465118" w:rsidRDefault="00465118">
      <w:r>
        <w:continuationSeparator/>
      </w:r>
    </w:p>
  </w:endnote>
  <w:endnote w:type="continuationNotice" w:id="1">
    <w:p w14:paraId="7323DE62" w14:textId="77777777" w:rsidR="00465118" w:rsidRDefault="0046511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바탕">
    <w:altName w:val="Batang"/>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굴림체">
    <w:panose1 w:val="020B0609000101010101"/>
    <w:charset w:val="81"/>
    <w:family w:val="modern"/>
    <w:pitch w:val="fixed"/>
    <w:sig w:usb0="B00002AF" w:usb1="69D77CFB" w:usb2="00000030" w:usb3="00000000" w:csb0="0008009F" w:csb1="00000000"/>
  </w:font>
  <w:font w:name="굴림">
    <w:altName w:val="Gulim"/>
    <w:panose1 w:val="020B0600000101010101"/>
    <w:charset w:val="81"/>
    <w:family w:val="moder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C36B0" w14:textId="77777777" w:rsidR="00474DFB" w:rsidRDefault="00474DFB">
    <w:pPr>
      <w:spacing w:line="199" w:lineRule="exact"/>
      <w:rPr>
        <w:sz w:val="20"/>
        <w:szCs w:val="20"/>
      </w:rPr>
    </w:pPr>
    <w:r>
      <w:rPr>
        <w:noProof/>
        <w:lang w:eastAsia="ko-KR"/>
      </w:rPr>
      <mc:AlternateContent>
        <mc:Choice Requires="wps">
          <w:drawing>
            <wp:anchor distT="0" distB="0" distL="114300" distR="114300" simplePos="0" relativeHeight="251658240" behindDoc="1" locked="0" layoutInCell="1" allowOverlap="1" wp14:anchorId="31F39097" wp14:editId="67FED149">
              <wp:simplePos x="0" y="0"/>
              <wp:positionH relativeFrom="page">
                <wp:posOffset>3745230</wp:posOffset>
              </wp:positionH>
              <wp:positionV relativeFrom="page">
                <wp:posOffset>9483090</wp:posOffset>
              </wp:positionV>
              <wp:extent cx="219710" cy="127635"/>
              <wp:effectExtent l="1905" t="0" r="0" b="0"/>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5C3B8E" w14:textId="4B8E0583" w:rsidR="00474DFB" w:rsidRDefault="00474DFB">
                          <w:pPr>
                            <w:pStyle w:val="a6"/>
                            <w:jc w:val="center"/>
                            <w:rPr>
                              <w:rFonts w:ascii="Arial" w:eastAsia="Arial" w:hAnsi="Arial" w:cs="Arial"/>
                              <w:sz w:val="16"/>
                              <w:szCs w:val="16"/>
                            </w:rPr>
                          </w:pPr>
                          <w:r>
                            <w:fldChar w:fldCharType="begin"/>
                          </w:r>
                          <w:r>
                            <w:rPr>
                              <w:rFonts w:ascii="Arial" w:eastAsia="Arial" w:hAnsi="Arial" w:cs="Arial"/>
                              <w:sz w:val="16"/>
                              <w:szCs w:val="16"/>
                            </w:rPr>
                            <w:instrText xml:space="preserve"> PAGE </w:instrText>
                          </w:r>
                          <w:r>
                            <w:fldChar w:fldCharType="separate"/>
                          </w:r>
                          <w:r w:rsidR="00253F96">
                            <w:rPr>
                              <w:rFonts w:ascii="Arial" w:eastAsia="Arial" w:hAnsi="Arial" w:cs="Arial"/>
                              <w:noProof/>
                              <w:sz w:val="16"/>
                              <w:szCs w:val="16"/>
                            </w:rPr>
                            <w:t>279</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w14:anchorId="31F39097" id="_x0000_t202" coordsize="21600,21600" o:spt="202" path="m,l,21600r21600,l21600,xe">
              <v:stroke joinstyle="miter"/>
              <v:path gradientshapeok="t" o:connecttype="rect"/>
            </v:shapetype>
            <v:shape id="Text Box 27" o:spid="_x0000_s1352" type="#_x0000_t202" style="position:absolute;margin-left:294.9pt;margin-top:746.7pt;width:17.3pt;height:10.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" filled="f" stroked="f">
              <v:textbox inset="0,0,0,0">
                <w:txbxContent>
                  <w:p w14:paraId="275C3B8E" w14:textId="4B8E0583" w:rsidR="00474DFB" w:rsidRDefault="00474DFB">
                    <w:pPr>
                      <w:pStyle w:val="a6"/>
                      <w:jc w:val="center"/>
                      <w:rPr>
                        <w:rFonts w:ascii="Arial" w:eastAsia="Arial" w:hAnsi="Arial" w:cs="Arial"/>
                        <w:sz w:val="16"/>
                        <w:szCs w:val="16"/>
                      </w:rPr>
                    </w:pPr>
                    <w:r>
                      <w:fldChar w:fldCharType="begin"/>
                    </w:r>
                    <w:r>
                      <w:rPr>
                        <w:rFonts w:ascii="Arial" w:eastAsia="Arial" w:hAnsi="Arial" w:cs="Arial"/>
                        <w:sz w:val="16"/>
                        <w:szCs w:val="16"/>
                      </w:rPr>
                      <w:instrText xml:space="preserve"> PAGE </w:instrText>
                    </w:r>
                    <w:r>
                      <w:fldChar w:fldCharType="separate"/>
                    </w:r>
                    <w:r w:rsidR="00253F96">
                      <w:rPr>
                        <w:rFonts w:ascii="Arial" w:eastAsia="Arial" w:hAnsi="Arial" w:cs="Arial"/>
                        <w:noProof/>
                        <w:sz w:val="16"/>
                        <w:szCs w:val="16"/>
                      </w:rPr>
                      <w:t>279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AFE88B" w14:textId="77777777" w:rsidR="00465118" w:rsidRDefault="00465118">
      <w:r>
        <w:separator/>
      </w:r>
    </w:p>
  </w:footnote>
  <w:footnote w:type="continuationSeparator" w:id="0">
    <w:p w14:paraId="7DB7511A" w14:textId="77777777" w:rsidR="00465118" w:rsidRDefault="00465118">
      <w:r>
        <w:continuationSeparator/>
      </w:r>
    </w:p>
  </w:footnote>
  <w:footnote w:type="continuationNotice" w:id="1">
    <w:p w14:paraId="6A0B9E31" w14:textId="77777777" w:rsidR="00465118" w:rsidRDefault="0046511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B0022DD"/>
    <w:multiLevelType w:val="hybridMultilevel"/>
    <w:tmpl w:val="78783959"/>
    <w:lvl w:ilvl="0" w:tplc="9AAE9F72">
      <w:start w:val="1"/>
      <w:numFmt w:val="ideographDigital"/>
      <w:lvlText w:val=""/>
      <w:lvlJc w:val="left"/>
    </w:lvl>
    <w:lvl w:ilvl="1" w:tplc="6C6CFAF6">
      <w:start w:val="1"/>
      <w:numFmt w:val="ideographDigital"/>
      <w:lvlText w:val=""/>
      <w:lvlJc w:val="left"/>
    </w:lvl>
    <w:lvl w:ilvl="2" w:tplc="5926815A">
      <w:start w:val="1"/>
      <w:numFmt w:val="decimal"/>
      <w:lvlText w:val=""/>
      <w:lvlJc w:val="left"/>
    </w:lvl>
    <w:lvl w:ilvl="3" w:tplc="FA1E0F42">
      <w:numFmt w:val="decimal"/>
      <w:lvlText w:val=""/>
      <w:lvlJc w:val="left"/>
    </w:lvl>
    <w:lvl w:ilvl="4" w:tplc="94EEF91C">
      <w:numFmt w:val="decimal"/>
      <w:lvlText w:val=""/>
      <w:lvlJc w:val="left"/>
    </w:lvl>
    <w:lvl w:ilvl="5" w:tplc="43BCDCCE">
      <w:numFmt w:val="decimal"/>
      <w:lvlText w:val=""/>
      <w:lvlJc w:val="left"/>
    </w:lvl>
    <w:lvl w:ilvl="6" w:tplc="6B6C6B34">
      <w:numFmt w:val="decimal"/>
      <w:lvlText w:val=""/>
      <w:lvlJc w:val="left"/>
    </w:lvl>
    <w:lvl w:ilvl="7" w:tplc="0A06FEC2">
      <w:numFmt w:val="decimal"/>
      <w:lvlText w:val=""/>
      <w:lvlJc w:val="left"/>
    </w:lvl>
    <w:lvl w:ilvl="8" w:tplc="22D6BFA2">
      <w:numFmt w:val="decimal"/>
      <w:lvlText w:val=""/>
      <w:lvlJc w:val="left"/>
    </w:lvl>
  </w:abstractNum>
  <w:abstractNum w:abstractNumId="1" w15:restartNumberingAfterBreak="0">
    <w:nsid w:val="FFFFFFFE"/>
    <w:multiLevelType w:val="singleLevel"/>
    <w:tmpl w:val="FFFFFFFF"/>
    <w:lvl w:ilvl="0">
      <w:numFmt w:val="decimal"/>
      <w:lvlText w:val="*"/>
      <w:lvlJc w:val="left"/>
      <w:rPr>
        <w:rFonts w:cs="Times New Roman"/>
      </w:rPr>
    </w:lvl>
  </w:abstractNum>
  <w:abstractNum w:abstractNumId="2" w15:restartNumberingAfterBreak="0">
    <w:nsid w:val="001308DD"/>
    <w:multiLevelType w:val="hybridMultilevel"/>
    <w:tmpl w:val="339C2F6A"/>
    <w:lvl w:ilvl="0" w:tplc="9E3AC8B0">
      <w:start w:val="1"/>
      <w:numFmt w:val="decimal"/>
      <w:lvlText w:val="%1."/>
      <w:lvlJc w:val="left"/>
      <w:pPr>
        <w:ind w:hanging="562"/>
      </w:pPr>
      <w:rPr>
        <w:rFonts w:ascii="Times New Roman" w:eastAsia="Times New Roman" w:hAnsi="Times New Roman" w:hint="default"/>
        <w:b/>
        <w:bCs/>
        <w:sz w:val="22"/>
        <w:szCs w:val="22"/>
      </w:rPr>
    </w:lvl>
    <w:lvl w:ilvl="1" w:tplc="B1E4FC3A">
      <w:start w:val="1"/>
      <w:numFmt w:val="bullet"/>
      <w:lvlText w:val="•"/>
      <w:lvlJc w:val="left"/>
      <w:rPr>
        <w:rFonts w:hint="default"/>
      </w:rPr>
    </w:lvl>
    <w:lvl w:ilvl="2" w:tplc="F4F62BEE">
      <w:start w:val="1"/>
      <w:numFmt w:val="bullet"/>
      <w:lvlText w:val="•"/>
      <w:lvlJc w:val="left"/>
      <w:rPr>
        <w:rFonts w:hint="default"/>
      </w:rPr>
    </w:lvl>
    <w:lvl w:ilvl="3" w:tplc="9ED84712">
      <w:start w:val="1"/>
      <w:numFmt w:val="bullet"/>
      <w:lvlText w:val="•"/>
      <w:lvlJc w:val="left"/>
      <w:rPr>
        <w:rFonts w:hint="default"/>
      </w:rPr>
    </w:lvl>
    <w:lvl w:ilvl="4" w:tplc="00DEA548">
      <w:start w:val="1"/>
      <w:numFmt w:val="bullet"/>
      <w:lvlText w:val="•"/>
      <w:lvlJc w:val="left"/>
      <w:rPr>
        <w:rFonts w:hint="default"/>
      </w:rPr>
    </w:lvl>
    <w:lvl w:ilvl="5" w:tplc="398C35FC">
      <w:start w:val="1"/>
      <w:numFmt w:val="bullet"/>
      <w:lvlText w:val="•"/>
      <w:lvlJc w:val="left"/>
      <w:rPr>
        <w:rFonts w:hint="default"/>
      </w:rPr>
    </w:lvl>
    <w:lvl w:ilvl="6" w:tplc="72188530">
      <w:start w:val="1"/>
      <w:numFmt w:val="bullet"/>
      <w:lvlText w:val="•"/>
      <w:lvlJc w:val="left"/>
      <w:rPr>
        <w:rFonts w:hint="default"/>
      </w:rPr>
    </w:lvl>
    <w:lvl w:ilvl="7" w:tplc="0F50E40A">
      <w:start w:val="1"/>
      <w:numFmt w:val="bullet"/>
      <w:lvlText w:val="•"/>
      <w:lvlJc w:val="left"/>
      <w:rPr>
        <w:rFonts w:hint="default"/>
      </w:rPr>
    </w:lvl>
    <w:lvl w:ilvl="8" w:tplc="D3D41A08">
      <w:start w:val="1"/>
      <w:numFmt w:val="bullet"/>
      <w:lvlText w:val="•"/>
      <w:lvlJc w:val="left"/>
      <w:rPr>
        <w:rFonts w:hint="default"/>
      </w:rPr>
    </w:lvl>
  </w:abstractNum>
  <w:abstractNum w:abstractNumId="3" w15:restartNumberingAfterBreak="0">
    <w:nsid w:val="01374F10"/>
    <w:multiLevelType w:val="multilevel"/>
    <w:tmpl w:val="B19E9702"/>
    <w:lvl w:ilvl="0">
      <w:start w:val="1"/>
      <w:numFmt w:val="decimal"/>
      <w:lvlText w:val="%1."/>
      <w:lvlJc w:val="left"/>
      <w:pPr>
        <w:ind w:left="111" w:hanging="562"/>
      </w:pPr>
      <w:rPr>
        <w:rFonts w:ascii="Times New Roman" w:eastAsia="Times New Roman" w:hAnsi="Times New Roman" w:hint="default"/>
        <w:b/>
        <w:bCs/>
        <w:sz w:val="22"/>
        <w:szCs w:val="22"/>
      </w:rPr>
    </w:lvl>
    <w:lvl w:ilvl="1">
      <w:start w:val="1"/>
      <w:numFmt w:val="decimal"/>
      <w:lvlText w:val="%1.%2"/>
      <w:lvlJc w:val="left"/>
      <w:pPr>
        <w:ind w:left="672" w:hanging="562"/>
      </w:pPr>
      <w:rPr>
        <w:rFonts w:ascii="Times New Roman" w:eastAsia="Times New Roman" w:hAnsi="Times New Roman" w:hint="default"/>
        <w:b/>
        <w:bCs/>
        <w:sz w:val="22"/>
        <w:szCs w:val="22"/>
      </w:rPr>
    </w:lvl>
    <w:lvl w:ilvl="2">
      <w:start w:val="1"/>
      <w:numFmt w:val="bullet"/>
      <w:lvlText w:val="•"/>
      <w:lvlJc w:val="left"/>
      <w:pPr>
        <w:ind w:left="1649" w:hanging="562"/>
      </w:pPr>
      <w:rPr>
        <w:rFonts w:hint="default"/>
      </w:rPr>
    </w:lvl>
    <w:lvl w:ilvl="3">
      <w:start w:val="1"/>
      <w:numFmt w:val="bullet"/>
      <w:lvlText w:val="•"/>
      <w:lvlJc w:val="left"/>
      <w:pPr>
        <w:ind w:left="2625" w:hanging="562"/>
      </w:pPr>
      <w:rPr>
        <w:rFonts w:hint="default"/>
      </w:rPr>
    </w:lvl>
    <w:lvl w:ilvl="4">
      <w:start w:val="1"/>
      <w:numFmt w:val="bullet"/>
      <w:lvlText w:val="•"/>
      <w:lvlJc w:val="left"/>
      <w:pPr>
        <w:ind w:left="3601" w:hanging="562"/>
      </w:pPr>
      <w:rPr>
        <w:rFonts w:hint="default"/>
      </w:rPr>
    </w:lvl>
    <w:lvl w:ilvl="5">
      <w:start w:val="1"/>
      <w:numFmt w:val="bullet"/>
      <w:lvlText w:val="•"/>
      <w:lvlJc w:val="left"/>
      <w:pPr>
        <w:ind w:left="4578" w:hanging="562"/>
      </w:pPr>
      <w:rPr>
        <w:rFonts w:hint="default"/>
      </w:rPr>
    </w:lvl>
    <w:lvl w:ilvl="6">
      <w:start w:val="1"/>
      <w:numFmt w:val="bullet"/>
      <w:lvlText w:val="•"/>
      <w:lvlJc w:val="left"/>
      <w:pPr>
        <w:ind w:left="5554" w:hanging="562"/>
      </w:pPr>
      <w:rPr>
        <w:rFonts w:hint="default"/>
      </w:rPr>
    </w:lvl>
    <w:lvl w:ilvl="7">
      <w:start w:val="1"/>
      <w:numFmt w:val="bullet"/>
      <w:lvlText w:val="•"/>
      <w:lvlJc w:val="left"/>
      <w:pPr>
        <w:ind w:left="6530" w:hanging="562"/>
      </w:pPr>
      <w:rPr>
        <w:rFonts w:hint="default"/>
      </w:rPr>
    </w:lvl>
    <w:lvl w:ilvl="8">
      <w:start w:val="1"/>
      <w:numFmt w:val="bullet"/>
      <w:lvlText w:val="•"/>
      <w:lvlJc w:val="left"/>
      <w:pPr>
        <w:ind w:left="7507" w:hanging="562"/>
      </w:pPr>
      <w:rPr>
        <w:rFonts w:hint="default"/>
      </w:rPr>
    </w:lvl>
  </w:abstractNum>
  <w:abstractNum w:abstractNumId="4" w15:restartNumberingAfterBreak="0">
    <w:nsid w:val="01F95071"/>
    <w:multiLevelType w:val="hybridMultilevel"/>
    <w:tmpl w:val="7EB2DDBE"/>
    <w:lvl w:ilvl="0" w:tplc="7B24787A">
      <w:start w:val="6"/>
      <w:numFmt w:val="decimal"/>
      <w:lvlText w:val="%1."/>
      <w:lvlJc w:val="left"/>
      <w:pPr>
        <w:ind w:left="677" w:hanging="567"/>
      </w:pPr>
      <w:rPr>
        <w:rFonts w:ascii="Times New Roman" w:eastAsia="Times New Roman" w:hAnsi="Times New Roman" w:hint="default"/>
        <w:sz w:val="22"/>
        <w:szCs w:val="22"/>
      </w:rPr>
    </w:lvl>
    <w:lvl w:ilvl="1" w:tplc="6F6A9A9C">
      <w:start w:val="1"/>
      <w:numFmt w:val="bullet"/>
      <w:lvlText w:val="•"/>
      <w:lvlJc w:val="left"/>
      <w:pPr>
        <w:ind w:left="1569" w:hanging="567"/>
      </w:pPr>
      <w:rPr>
        <w:rFonts w:hint="default"/>
      </w:rPr>
    </w:lvl>
    <w:lvl w:ilvl="2" w:tplc="B82CEFA2">
      <w:start w:val="1"/>
      <w:numFmt w:val="bullet"/>
      <w:lvlText w:val="•"/>
      <w:lvlJc w:val="left"/>
      <w:pPr>
        <w:ind w:left="2462" w:hanging="567"/>
      </w:pPr>
      <w:rPr>
        <w:rFonts w:hint="default"/>
      </w:rPr>
    </w:lvl>
    <w:lvl w:ilvl="3" w:tplc="9A58B1C8">
      <w:start w:val="1"/>
      <w:numFmt w:val="bullet"/>
      <w:lvlText w:val="•"/>
      <w:lvlJc w:val="left"/>
      <w:pPr>
        <w:ind w:left="3354" w:hanging="567"/>
      </w:pPr>
      <w:rPr>
        <w:rFonts w:hint="default"/>
      </w:rPr>
    </w:lvl>
    <w:lvl w:ilvl="4" w:tplc="CBB6BE66">
      <w:start w:val="1"/>
      <w:numFmt w:val="bullet"/>
      <w:lvlText w:val="•"/>
      <w:lvlJc w:val="left"/>
      <w:pPr>
        <w:ind w:left="4246" w:hanging="567"/>
      </w:pPr>
      <w:rPr>
        <w:rFonts w:hint="default"/>
      </w:rPr>
    </w:lvl>
    <w:lvl w:ilvl="5" w:tplc="CE18F430">
      <w:start w:val="1"/>
      <w:numFmt w:val="bullet"/>
      <w:lvlText w:val="•"/>
      <w:lvlJc w:val="left"/>
      <w:pPr>
        <w:ind w:left="5138" w:hanging="567"/>
      </w:pPr>
      <w:rPr>
        <w:rFonts w:hint="default"/>
      </w:rPr>
    </w:lvl>
    <w:lvl w:ilvl="6" w:tplc="966651C0">
      <w:start w:val="1"/>
      <w:numFmt w:val="bullet"/>
      <w:lvlText w:val="•"/>
      <w:lvlJc w:val="left"/>
      <w:pPr>
        <w:ind w:left="6031" w:hanging="567"/>
      </w:pPr>
      <w:rPr>
        <w:rFonts w:hint="default"/>
      </w:rPr>
    </w:lvl>
    <w:lvl w:ilvl="7" w:tplc="8ECCB8E0">
      <w:start w:val="1"/>
      <w:numFmt w:val="bullet"/>
      <w:lvlText w:val="•"/>
      <w:lvlJc w:val="left"/>
      <w:pPr>
        <w:ind w:left="6923" w:hanging="567"/>
      </w:pPr>
      <w:rPr>
        <w:rFonts w:hint="default"/>
      </w:rPr>
    </w:lvl>
    <w:lvl w:ilvl="8" w:tplc="158AD458">
      <w:start w:val="1"/>
      <w:numFmt w:val="bullet"/>
      <w:lvlText w:val="•"/>
      <w:lvlJc w:val="left"/>
      <w:pPr>
        <w:ind w:left="7815" w:hanging="567"/>
      </w:pPr>
      <w:rPr>
        <w:rFonts w:hint="default"/>
      </w:rPr>
    </w:lvl>
  </w:abstractNum>
  <w:abstractNum w:abstractNumId="5" w15:restartNumberingAfterBreak="0">
    <w:nsid w:val="02732D4B"/>
    <w:multiLevelType w:val="hybridMultilevel"/>
    <w:tmpl w:val="9DCE5D74"/>
    <w:lvl w:ilvl="0" w:tplc="71FEAF98">
      <w:start w:val="6"/>
      <w:numFmt w:val="decimal"/>
      <w:lvlText w:val="%1."/>
      <w:lvlJc w:val="left"/>
      <w:pPr>
        <w:ind w:left="677" w:hanging="567"/>
      </w:pPr>
      <w:rPr>
        <w:rFonts w:ascii="Times New Roman" w:eastAsia="Times New Roman" w:hAnsi="Times New Roman" w:hint="default"/>
        <w:sz w:val="22"/>
        <w:szCs w:val="22"/>
      </w:rPr>
    </w:lvl>
    <w:lvl w:ilvl="1" w:tplc="FA72834C">
      <w:start w:val="1"/>
      <w:numFmt w:val="bullet"/>
      <w:lvlText w:val="•"/>
      <w:lvlJc w:val="left"/>
      <w:pPr>
        <w:ind w:left="1569" w:hanging="567"/>
      </w:pPr>
      <w:rPr>
        <w:rFonts w:hint="default"/>
      </w:rPr>
    </w:lvl>
    <w:lvl w:ilvl="2" w:tplc="6C62485A">
      <w:start w:val="1"/>
      <w:numFmt w:val="bullet"/>
      <w:lvlText w:val="•"/>
      <w:lvlJc w:val="left"/>
      <w:pPr>
        <w:ind w:left="2462" w:hanging="567"/>
      </w:pPr>
      <w:rPr>
        <w:rFonts w:hint="default"/>
      </w:rPr>
    </w:lvl>
    <w:lvl w:ilvl="3" w:tplc="0826070C">
      <w:start w:val="1"/>
      <w:numFmt w:val="bullet"/>
      <w:lvlText w:val="•"/>
      <w:lvlJc w:val="left"/>
      <w:pPr>
        <w:ind w:left="3354" w:hanging="567"/>
      </w:pPr>
      <w:rPr>
        <w:rFonts w:hint="default"/>
      </w:rPr>
    </w:lvl>
    <w:lvl w:ilvl="4" w:tplc="C4A81756">
      <w:start w:val="1"/>
      <w:numFmt w:val="bullet"/>
      <w:lvlText w:val="•"/>
      <w:lvlJc w:val="left"/>
      <w:pPr>
        <w:ind w:left="4246" w:hanging="567"/>
      </w:pPr>
      <w:rPr>
        <w:rFonts w:hint="default"/>
      </w:rPr>
    </w:lvl>
    <w:lvl w:ilvl="5" w:tplc="C6926940">
      <w:start w:val="1"/>
      <w:numFmt w:val="bullet"/>
      <w:lvlText w:val="•"/>
      <w:lvlJc w:val="left"/>
      <w:pPr>
        <w:ind w:left="5138" w:hanging="567"/>
      </w:pPr>
      <w:rPr>
        <w:rFonts w:hint="default"/>
      </w:rPr>
    </w:lvl>
    <w:lvl w:ilvl="6" w:tplc="197C161E">
      <w:start w:val="1"/>
      <w:numFmt w:val="bullet"/>
      <w:lvlText w:val="•"/>
      <w:lvlJc w:val="left"/>
      <w:pPr>
        <w:ind w:left="6031" w:hanging="567"/>
      </w:pPr>
      <w:rPr>
        <w:rFonts w:hint="default"/>
      </w:rPr>
    </w:lvl>
    <w:lvl w:ilvl="7" w:tplc="F7227EC8">
      <w:start w:val="1"/>
      <w:numFmt w:val="bullet"/>
      <w:lvlText w:val="•"/>
      <w:lvlJc w:val="left"/>
      <w:pPr>
        <w:ind w:left="6923" w:hanging="567"/>
      </w:pPr>
      <w:rPr>
        <w:rFonts w:hint="default"/>
      </w:rPr>
    </w:lvl>
    <w:lvl w:ilvl="8" w:tplc="59E4ECC8">
      <w:start w:val="1"/>
      <w:numFmt w:val="bullet"/>
      <w:lvlText w:val="•"/>
      <w:lvlJc w:val="left"/>
      <w:pPr>
        <w:ind w:left="7815" w:hanging="567"/>
      </w:pPr>
      <w:rPr>
        <w:rFonts w:hint="default"/>
      </w:rPr>
    </w:lvl>
  </w:abstractNum>
  <w:abstractNum w:abstractNumId="6" w15:restartNumberingAfterBreak="0">
    <w:nsid w:val="03435DEC"/>
    <w:multiLevelType w:val="multilevel"/>
    <w:tmpl w:val="9CEA38DA"/>
    <w:lvl w:ilvl="0">
      <w:start w:val="1"/>
      <w:numFmt w:val="decimal"/>
      <w:lvlText w:val="%1."/>
      <w:lvlJc w:val="left"/>
      <w:pPr>
        <w:ind w:left="111" w:hanging="562"/>
      </w:pPr>
      <w:rPr>
        <w:rFonts w:ascii="Times New Roman" w:eastAsia="Times New Roman" w:hAnsi="Times New Roman" w:hint="default"/>
        <w:b/>
        <w:bCs/>
        <w:sz w:val="22"/>
        <w:szCs w:val="22"/>
      </w:rPr>
    </w:lvl>
    <w:lvl w:ilvl="1">
      <w:start w:val="1"/>
      <w:numFmt w:val="decimal"/>
      <w:lvlText w:val="%1.%2"/>
      <w:lvlJc w:val="left"/>
      <w:pPr>
        <w:ind w:left="672" w:hanging="562"/>
      </w:pPr>
      <w:rPr>
        <w:rFonts w:ascii="Times New Roman" w:eastAsia="Times New Roman" w:hAnsi="Times New Roman" w:hint="default"/>
        <w:b/>
        <w:bCs/>
        <w:sz w:val="22"/>
        <w:szCs w:val="22"/>
      </w:rPr>
    </w:lvl>
    <w:lvl w:ilvl="2">
      <w:start w:val="1"/>
      <w:numFmt w:val="bullet"/>
      <w:lvlText w:val="•"/>
      <w:lvlJc w:val="left"/>
      <w:pPr>
        <w:ind w:left="1649" w:hanging="562"/>
      </w:pPr>
      <w:rPr>
        <w:rFonts w:hint="default"/>
      </w:rPr>
    </w:lvl>
    <w:lvl w:ilvl="3">
      <w:start w:val="1"/>
      <w:numFmt w:val="bullet"/>
      <w:lvlText w:val="•"/>
      <w:lvlJc w:val="left"/>
      <w:pPr>
        <w:ind w:left="2625" w:hanging="562"/>
      </w:pPr>
      <w:rPr>
        <w:rFonts w:hint="default"/>
      </w:rPr>
    </w:lvl>
    <w:lvl w:ilvl="4">
      <w:start w:val="1"/>
      <w:numFmt w:val="bullet"/>
      <w:lvlText w:val="•"/>
      <w:lvlJc w:val="left"/>
      <w:pPr>
        <w:ind w:left="3601" w:hanging="562"/>
      </w:pPr>
      <w:rPr>
        <w:rFonts w:hint="default"/>
      </w:rPr>
    </w:lvl>
    <w:lvl w:ilvl="5">
      <w:start w:val="1"/>
      <w:numFmt w:val="bullet"/>
      <w:lvlText w:val="•"/>
      <w:lvlJc w:val="left"/>
      <w:pPr>
        <w:ind w:left="4578" w:hanging="562"/>
      </w:pPr>
      <w:rPr>
        <w:rFonts w:hint="default"/>
      </w:rPr>
    </w:lvl>
    <w:lvl w:ilvl="6">
      <w:start w:val="1"/>
      <w:numFmt w:val="bullet"/>
      <w:lvlText w:val="•"/>
      <w:lvlJc w:val="left"/>
      <w:pPr>
        <w:ind w:left="5554" w:hanging="562"/>
      </w:pPr>
      <w:rPr>
        <w:rFonts w:hint="default"/>
      </w:rPr>
    </w:lvl>
    <w:lvl w:ilvl="7">
      <w:start w:val="1"/>
      <w:numFmt w:val="bullet"/>
      <w:lvlText w:val="•"/>
      <w:lvlJc w:val="left"/>
      <w:pPr>
        <w:ind w:left="6530" w:hanging="562"/>
      </w:pPr>
      <w:rPr>
        <w:rFonts w:hint="default"/>
      </w:rPr>
    </w:lvl>
    <w:lvl w:ilvl="8">
      <w:start w:val="1"/>
      <w:numFmt w:val="bullet"/>
      <w:lvlText w:val="•"/>
      <w:lvlJc w:val="left"/>
      <w:pPr>
        <w:ind w:left="7507" w:hanging="562"/>
      </w:pPr>
      <w:rPr>
        <w:rFonts w:hint="default"/>
      </w:rPr>
    </w:lvl>
  </w:abstractNum>
  <w:abstractNum w:abstractNumId="7" w15:restartNumberingAfterBreak="0">
    <w:nsid w:val="03587F97"/>
    <w:multiLevelType w:val="multilevel"/>
    <w:tmpl w:val="EF18197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8" w15:restartNumberingAfterBreak="0">
    <w:nsid w:val="042E0F8A"/>
    <w:multiLevelType w:val="hybridMultilevel"/>
    <w:tmpl w:val="F08486F8"/>
    <w:lvl w:ilvl="0" w:tplc="60C4D592">
      <w:start w:val="1"/>
      <w:numFmt w:val="decimal"/>
      <w:lvlText w:val="%1."/>
      <w:lvlJc w:val="left"/>
      <w:pPr>
        <w:ind w:left="468" w:hanging="360"/>
      </w:pPr>
      <w:rPr>
        <w:rFonts w:ascii="Times New Roman" w:hAnsi="Times New Roman" w:cs="Times New Roman" w:hint="default"/>
        <w:b/>
      </w:rPr>
    </w:lvl>
    <w:lvl w:ilvl="1" w:tplc="B914E23E" w:tentative="1">
      <w:start w:val="1"/>
      <w:numFmt w:val="upperLetter"/>
      <w:lvlText w:val="%2."/>
      <w:lvlJc w:val="left"/>
      <w:pPr>
        <w:ind w:left="908" w:hanging="400"/>
      </w:pPr>
    </w:lvl>
    <w:lvl w:ilvl="2" w:tplc="1C88FE72" w:tentative="1">
      <w:start w:val="1"/>
      <w:numFmt w:val="lowerRoman"/>
      <w:lvlText w:val="%3."/>
      <w:lvlJc w:val="right"/>
      <w:pPr>
        <w:ind w:left="1308" w:hanging="400"/>
      </w:pPr>
    </w:lvl>
    <w:lvl w:ilvl="3" w:tplc="1C822FFC" w:tentative="1">
      <w:start w:val="1"/>
      <w:numFmt w:val="decimal"/>
      <w:lvlText w:val="%4."/>
      <w:lvlJc w:val="left"/>
      <w:pPr>
        <w:ind w:left="1708" w:hanging="400"/>
      </w:pPr>
    </w:lvl>
    <w:lvl w:ilvl="4" w:tplc="4212FFD6" w:tentative="1">
      <w:start w:val="1"/>
      <w:numFmt w:val="upperLetter"/>
      <w:lvlText w:val="%5."/>
      <w:lvlJc w:val="left"/>
      <w:pPr>
        <w:ind w:left="2108" w:hanging="400"/>
      </w:pPr>
    </w:lvl>
    <w:lvl w:ilvl="5" w:tplc="48D232C6" w:tentative="1">
      <w:start w:val="1"/>
      <w:numFmt w:val="lowerRoman"/>
      <w:lvlText w:val="%6."/>
      <w:lvlJc w:val="right"/>
      <w:pPr>
        <w:ind w:left="2508" w:hanging="400"/>
      </w:pPr>
    </w:lvl>
    <w:lvl w:ilvl="6" w:tplc="51FEE4CE" w:tentative="1">
      <w:start w:val="1"/>
      <w:numFmt w:val="decimal"/>
      <w:lvlText w:val="%7."/>
      <w:lvlJc w:val="left"/>
      <w:pPr>
        <w:ind w:left="2908" w:hanging="400"/>
      </w:pPr>
    </w:lvl>
    <w:lvl w:ilvl="7" w:tplc="4F90D812" w:tentative="1">
      <w:start w:val="1"/>
      <w:numFmt w:val="upperLetter"/>
      <w:lvlText w:val="%8."/>
      <w:lvlJc w:val="left"/>
      <w:pPr>
        <w:ind w:left="3308" w:hanging="400"/>
      </w:pPr>
    </w:lvl>
    <w:lvl w:ilvl="8" w:tplc="E8BAB232" w:tentative="1">
      <w:start w:val="1"/>
      <w:numFmt w:val="lowerRoman"/>
      <w:lvlText w:val="%9."/>
      <w:lvlJc w:val="right"/>
      <w:pPr>
        <w:ind w:left="3708" w:hanging="400"/>
      </w:pPr>
    </w:lvl>
  </w:abstractNum>
  <w:abstractNum w:abstractNumId="9" w15:restartNumberingAfterBreak="0">
    <w:nsid w:val="045E2D8C"/>
    <w:multiLevelType w:val="hybridMultilevel"/>
    <w:tmpl w:val="27FC5404"/>
    <w:lvl w:ilvl="0" w:tplc="E68290FE">
      <w:start w:val="1"/>
      <w:numFmt w:val="decimal"/>
      <w:lvlText w:val="%1."/>
      <w:lvlJc w:val="left"/>
      <w:pPr>
        <w:ind w:left="111" w:hanging="562"/>
      </w:pPr>
      <w:rPr>
        <w:rFonts w:ascii="Times New Roman" w:eastAsia="Times New Roman" w:hAnsi="Times New Roman" w:hint="default"/>
        <w:b/>
        <w:bCs/>
        <w:sz w:val="22"/>
        <w:szCs w:val="22"/>
      </w:rPr>
    </w:lvl>
    <w:lvl w:ilvl="1" w:tplc="03E013D6">
      <w:start w:val="1"/>
      <w:numFmt w:val="bullet"/>
      <w:lvlText w:val=""/>
      <w:lvlJc w:val="left"/>
      <w:pPr>
        <w:ind w:left="831" w:hanging="360"/>
      </w:pPr>
      <w:rPr>
        <w:rFonts w:ascii="Symbol" w:eastAsia="Symbol" w:hAnsi="Symbol" w:hint="default"/>
        <w:sz w:val="22"/>
        <w:szCs w:val="22"/>
      </w:rPr>
    </w:lvl>
    <w:lvl w:ilvl="2" w:tplc="4AA03D90">
      <w:start w:val="1"/>
      <w:numFmt w:val="bullet"/>
      <w:lvlText w:val=""/>
      <w:lvlJc w:val="left"/>
      <w:pPr>
        <w:ind w:left="1551" w:hanging="360"/>
      </w:pPr>
      <w:rPr>
        <w:rFonts w:ascii="Symbol" w:eastAsia="Symbol" w:hAnsi="Symbol" w:hint="default"/>
        <w:sz w:val="22"/>
        <w:szCs w:val="22"/>
      </w:rPr>
    </w:lvl>
    <w:lvl w:ilvl="3" w:tplc="0D62A452">
      <w:start w:val="1"/>
      <w:numFmt w:val="bullet"/>
      <w:lvlText w:val="•"/>
      <w:lvlJc w:val="left"/>
      <w:pPr>
        <w:ind w:left="2557" w:hanging="360"/>
      </w:pPr>
      <w:rPr>
        <w:rFonts w:hint="default"/>
      </w:rPr>
    </w:lvl>
    <w:lvl w:ilvl="4" w:tplc="7ABAA0EC">
      <w:start w:val="1"/>
      <w:numFmt w:val="bullet"/>
      <w:lvlText w:val="•"/>
      <w:lvlJc w:val="left"/>
      <w:pPr>
        <w:ind w:left="3563" w:hanging="360"/>
      </w:pPr>
      <w:rPr>
        <w:rFonts w:hint="default"/>
      </w:rPr>
    </w:lvl>
    <w:lvl w:ilvl="5" w:tplc="1C44A96E">
      <w:start w:val="1"/>
      <w:numFmt w:val="bullet"/>
      <w:lvlText w:val="•"/>
      <w:lvlJc w:val="left"/>
      <w:pPr>
        <w:ind w:left="4569" w:hanging="360"/>
      </w:pPr>
      <w:rPr>
        <w:rFonts w:hint="default"/>
      </w:rPr>
    </w:lvl>
    <w:lvl w:ilvl="6" w:tplc="61D00438">
      <w:start w:val="1"/>
      <w:numFmt w:val="bullet"/>
      <w:lvlText w:val="•"/>
      <w:lvlJc w:val="left"/>
      <w:pPr>
        <w:ind w:left="5575" w:hanging="360"/>
      </w:pPr>
      <w:rPr>
        <w:rFonts w:hint="default"/>
      </w:rPr>
    </w:lvl>
    <w:lvl w:ilvl="7" w:tplc="5B8CA2F0">
      <w:start w:val="1"/>
      <w:numFmt w:val="bullet"/>
      <w:lvlText w:val="•"/>
      <w:lvlJc w:val="left"/>
      <w:pPr>
        <w:ind w:left="6581" w:hanging="360"/>
      </w:pPr>
      <w:rPr>
        <w:rFonts w:hint="default"/>
      </w:rPr>
    </w:lvl>
    <w:lvl w:ilvl="8" w:tplc="6A222E02">
      <w:start w:val="1"/>
      <w:numFmt w:val="bullet"/>
      <w:lvlText w:val="•"/>
      <w:lvlJc w:val="left"/>
      <w:pPr>
        <w:ind w:left="7587" w:hanging="360"/>
      </w:pPr>
      <w:rPr>
        <w:rFonts w:hint="default"/>
      </w:rPr>
    </w:lvl>
  </w:abstractNum>
  <w:abstractNum w:abstractNumId="10" w15:restartNumberingAfterBreak="0">
    <w:nsid w:val="04E578FA"/>
    <w:multiLevelType w:val="hybridMultilevel"/>
    <w:tmpl w:val="D36EAE72"/>
    <w:lvl w:ilvl="0" w:tplc="6B68DF2A">
      <w:start w:val="1"/>
      <w:numFmt w:val="decimal"/>
      <w:lvlText w:val="%1."/>
      <w:lvlJc w:val="left"/>
      <w:pPr>
        <w:ind w:hanging="562"/>
      </w:pPr>
      <w:rPr>
        <w:rFonts w:ascii="Times New Roman" w:eastAsia="Times New Roman" w:hAnsi="Times New Roman" w:hint="default"/>
        <w:b/>
        <w:bCs/>
        <w:sz w:val="22"/>
        <w:szCs w:val="22"/>
      </w:rPr>
    </w:lvl>
    <w:lvl w:ilvl="1" w:tplc="0EF0872A">
      <w:start w:val="1"/>
      <w:numFmt w:val="bullet"/>
      <w:lvlText w:val=""/>
      <w:lvlJc w:val="left"/>
      <w:pPr>
        <w:ind w:hanging="360"/>
      </w:pPr>
      <w:rPr>
        <w:rFonts w:ascii="Symbol" w:eastAsia="Symbol" w:hAnsi="Symbol" w:hint="default"/>
        <w:sz w:val="22"/>
        <w:szCs w:val="22"/>
      </w:rPr>
    </w:lvl>
    <w:lvl w:ilvl="2" w:tplc="C65A0934">
      <w:start w:val="1"/>
      <w:numFmt w:val="bullet"/>
      <w:lvlText w:val=""/>
      <w:lvlJc w:val="left"/>
      <w:pPr>
        <w:ind w:hanging="360"/>
      </w:pPr>
      <w:rPr>
        <w:rFonts w:ascii="Symbol" w:eastAsia="Symbol" w:hAnsi="Symbol" w:hint="default"/>
        <w:sz w:val="22"/>
        <w:szCs w:val="22"/>
      </w:rPr>
    </w:lvl>
    <w:lvl w:ilvl="3" w:tplc="5EFEC0AE">
      <w:start w:val="1"/>
      <w:numFmt w:val="bullet"/>
      <w:lvlText w:val="•"/>
      <w:lvlJc w:val="left"/>
      <w:rPr>
        <w:rFonts w:hint="default"/>
      </w:rPr>
    </w:lvl>
    <w:lvl w:ilvl="4" w:tplc="75327FB6">
      <w:start w:val="1"/>
      <w:numFmt w:val="bullet"/>
      <w:lvlText w:val="•"/>
      <w:lvlJc w:val="left"/>
      <w:rPr>
        <w:rFonts w:hint="default"/>
      </w:rPr>
    </w:lvl>
    <w:lvl w:ilvl="5" w:tplc="027A41AC">
      <w:start w:val="1"/>
      <w:numFmt w:val="bullet"/>
      <w:lvlText w:val="•"/>
      <w:lvlJc w:val="left"/>
      <w:rPr>
        <w:rFonts w:hint="default"/>
      </w:rPr>
    </w:lvl>
    <w:lvl w:ilvl="6" w:tplc="E700AAA4">
      <w:start w:val="1"/>
      <w:numFmt w:val="bullet"/>
      <w:lvlText w:val="•"/>
      <w:lvlJc w:val="left"/>
      <w:rPr>
        <w:rFonts w:hint="default"/>
      </w:rPr>
    </w:lvl>
    <w:lvl w:ilvl="7" w:tplc="C922D1B4">
      <w:start w:val="1"/>
      <w:numFmt w:val="bullet"/>
      <w:lvlText w:val="•"/>
      <w:lvlJc w:val="left"/>
      <w:rPr>
        <w:rFonts w:hint="default"/>
      </w:rPr>
    </w:lvl>
    <w:lvl w:ilvl="8" w:tplc="8390B4A2">
      <w:start w:val="1"/>
      <w:numFmt w:val="bullet"/>
      <w:lvlText w:val="•"/>
      <w:lvlJc w:val="left"/>
      <w:rPr>
        <w:rFonts w:hint="default"/>
      </w:rPr>
    </w:lvl>
  </w:abstractNum>
  <w:abstractNum w:abstractNumId="11" w15:restartNumberingAfterBreak="0">
    <w:nsid w:val="04EE48B3"/>
    <w:multiLevelType w:val="hybridMultilevel"/>
    <w:tmpl w:val="67D4B0F6"/>
    <w:lvl w:ilvl="0" w:tplc="71A42F7C">
      <w:start w:val="1"/>
      <w:numFmt w:val="bullet"/>
      <w:lvlText w:val=""/>
      <w:lvlJc w:val="left"/>
      <w:pPr>
        <w:ind w:left="1854" w:hanging="360"/>
      </w:pPr>
      <w:rPr>
        <w:rFonts w:ascii="Symbol" w:eastAsia="Symbol" w:hAnsi="Symbol" w:hint="default"/>
        <w:sz w:val="22"/>
        <w:szCs w:val="22"/>
      </w:rPr>
    </w:lvl>
    <w:lvl w:ilvl="1" w:tplc="2D0C8E66">
      <w:start w:val="1"/>
      <w:numFmt w:val="bullet"/>
      <w:lvlText w:val="•"/>
      <w:lvlJc w:val="left"/>
      <w:pPr>
        <w:ind w:left="2311" w:hanging="360"/>
      </w:pPr>
      <w:rPr>
        <w:rFonts w:hint="default"/>
      </w:rPr>
    </w:lvl>
    <w:lvl w:ilvl="2" w:tplc="89646B28">
      <w:start w:val="1"/>
      <w:numFmt w:val="bullet"/>
      <w:lvlText w:val="•"/>
      <w:lvlJc w:val="left"/>
      <w:pPr>
        <w:ind w:left="2767" w:hanging="360"/>
      </w:pPr>
      <w:rPr>
        <w:rFonts w:hint="default"/>
      </w:rPr>
    </w:lvl>
    <w:lvl w:ilvl="3" w:tplc="7588649A">
      <w:start w:val="1"/>
      <w:numFmt w:val="bullet"/>
      <w:lvlText w:val="•"/>
      <w:lvlJc w:val="left"/>
      <w:pPr>
        <w:ind w:left="3224" w:hanging="360"/>
      </w:pPr>
      <w:rPr>
        <w:rFonts w:hint="default"/>
      </w:rPr>
    </w:lvl>
    <w:lvl w:ilvl="4" w:tplc="DD9E9EAE">
      <w:start w:val="1"/>
      <w:numFmt w:val="bullet"/>
      <w:lvlText w:val="•"/>
      <w:lvlJc w:val="left"/>
      <w:pPr>
        <w:ind w:left="3680" w:hanging="360"/>
      </w:pPr>
      <w:rPr>
        <w:rFonts w:hint="default"/>
      </w:rPr>
    </w:lvl>
    <w:lvl w:ilvl="5" w:tplc="E87EB880">
      <w:start w:val="1"/>
      <w:numFmt w:val="bullet"/>
      <w:lvlText w:val="•"/>
      <w:lvlJc w:val="left"/>
      <w:pPr>
        <w:ind w:left="4137" w:hanging="360"/>
      </w:pPr>
      <w:rPr>
        <w:rFonts w:hint="default"/>
      </w:rPr>
    </w:lvl>
    <w:lvl w:ilvl="6" w:tplc="7AB279D0">
      <w:start w:val="1"/>
      <w:numFmt w:val="bullet"/>
      <w:lvlText w:val="•"/>
      <w:lvlJc w:val="left"/>
      <w:pPr>
        <w:ind w:left="4594" w:hanging="360"/>
      </w:pPr>
      <w:rPr>
        <w:rFonts w:hint="default"/>
      </w:rPr>
    </w:lvl>
    <w:lvl w:ilvl="7" w:tplc="BE22A60C">
      <w:start w:val="1"/>
      <w:numFmt w:val="bullet"/>
      <w:lvlText w:val="•"/>
      <w:lvlJc w:val="left"/>
      <w:pPr>
        <w:ind w:left="5050" w:hanging="360"/>
      </w:pPr>
      <w:rPr>
        <w:rFonts w:hint="default"/>
      </w:rPr>
    </w:lvl>
    <w:lvl w:ilvl="8" w:tplc="98FA5CB4">
      <w:start w:val="1"/>
      <w:numFmt w:val="bullet"/>
      <w:lvlText w:val="•"/>
      <w:lvlJc w:val="left"/>
      <w:pPr>
        <w:ind w:left="5507" w:hanging="360"/>
      </w:pPr>
      <w:rPr>
        <w:rFonts w:hint="default"/>
      </w:rPr>
    </w:lvl>
  </w:abstractNum>
  <w:abstractNum w:abstractNumId="12" w15:restartNumberingAfterBreak="0">
    <w:nsid w:val="06895608"/>
    <w:multiLevelType w:val="hybridMultilevel"/>
    <w:tmpl w:val="71345E0E"/>
    <w:lvl w:ilvl="0" w:tplc="3B664748">
      <w:start w:val="1"/>
      <w:numFmt w:val="bullet"/>
      <w:lvlText w:val="-"/>
      <w:lvlJc w:val="left"/>
      <w:pPr>
        <w:ind w:hanging="567"/>
      </w:pPr>
      <w:rPr>
        <w:rFonts w:ascii="Times New Roman" w:eastAsia="Times New Roman" w:hAnsi="Times New Roman" w:hint="default"/>
        <w:sz w:val="22"/>
        <w:szCs w:val="22"/>
      </w:rPr>
    </w:lvl>
    <w:lvl w:ilvl="1" w:tplc="2B360D4E">
      <w:start w:val="1"/>
      <w:numFmt w:val="bullet"/>
      <w:lvlText w:val="•"/>
      <w:lvlJc w:val="left"/>
      <w:rPr>
        <w:rFonts w:hint="default"/>
      </w:rPr>
    </w:lvl>
    <w:lvl w:ilvl="2" w:tplc="D4ECD7D4">
      <w:start w:val="1"/>
      <w:numFmt w:val="bullet"/>
      <w:lvlText w:val=""/>
      <w:lvlJc w:val="left"/>
      <w:rPr>
        <w:rFonts w:ascii="Symbol" w:hAnsi="Symbol" w:hint="default"/>
        <w:sz w:val="26"/>
        <w:szCs w:val="26"/>
      </w:rPr>
    </w:lvl>
    <w:lvl w:ilvl="3" w:tplc="EB26CA64">
      <w:start w:val="1"/>
      <w:numFmt w:val="bullet"/>
      <w:lvlText w:val="•"/>
      <w:lvlJc w:val="left"/>
      <w:rPr>
        <w:rFonts w:hint="default"/>
      </w:rPr>
    </w:lvl>
    <w:lvl w:ilvl="4" w:tplc="0CD0EFD2">
      <w:start w:val="1"/>
      <w:numFmt w:val="bullet"/>
      <w:lvlText w:val="•"/>
      <w:lvlJc w:val="left"/>
      <w:rPr>
        <w:rFonts w:hint="default"/>
      </w:rPr>
    </w:lvl>
    <w:lvl w:ilvl="5" w:tplc="EAB01CB2">
      <w:start w:val="1"/>
      <w:numFmt w:val="bullet"/>
      <w:lvlText w:val="•"/>
      <w:lvlJc w:val="left"/>
      <w:rPr>
        <w:rFonts w:hint="default"/>
      </w:rPr>
    </w:lvl>
    <w:lvl w:ilvl="6" w:tplc="1B5AC91A">
      <w:start w:val="1"/>
      <w:numFmt w:val="bullet"/>
      <w:lvlText w:val="•"/>
      <w:lvlJc w:val="left"/>
      <w:rPr>
        <w:rFonts w:hint="default"/>
      </w:rPr>
    </w:lvl>
    <w:lvl w:ilvl="7" w:tplc="67EAFCC2">
      <w:start w:val="1"/>
      <w:numFmt w:val="bullet"/>
      <w:lvlText w:val="•"/>
      <w:lvlJc w:val="left"/>
      <w:rPr>
        <w:rFonts w:hint="default"/>
      </w:rPr>
    </w:lvl>
    <w:lvl w:ilvl="8" w:tplc="31E4548E">
      <w:start w:val="1"/>
      <w:numFmt w:val="bullet"/>
      <w:lvlText w:val="•"/>
      <w:lvlJc w:val="left"/>
      <w:rPr>
        <w:rFonts w:hint="default"/>
      </w:rPr>
    </w:lvl>
  </w:abstractNum>
  <w:abstractNum w:abstractNumId="13" w15:restartNumberingAfterBreak="0">
    <w:nsid w:val="073815D1"/>
    <w:multiLevelType w:val="hybridMultilevel"/>
    <w:tmpl w:val="6B341B0C"/>
    <w:lvl w:ilvl="0" w:tplc="55ECC18A">
      <w:start w:val="1"/>
      <w:numFmt w:val="bullet"/>
      <w:lvlText w:val=""/>
      <w:lvlJc w:val="left"/>
      <w:pPr>
        <w:ind w:left="111" w:hanging="360"/>
      </w:pPr>
      <w:rPr>
        <w:rFonts w:ascii="Symbol" w:eastAsia="Symbol" w:hAnsi="Symbol" w:hint="default"/>
        <w:sz w:val="22"/>
        <w:szCs w:val="22"/>
      </w:rPr>
    </w:lvl>
    <w:lvl w:ilvl="1" w:tplc="53125882">
      <w:start w:val="1"/>
      <w:numFmt w:val="bullet"/>
      <w:lvlText w:val="•"/>
      <w:lvlJc w:val="left"/>
      <w:pPr>
        <w:ind w:left="1050" w:hanging="360"/>
      </w:pPr>
      <w:rPr>
        <w:rFonts w:hint="default"/>
      </w:rPr>
    </w:lvl>
    <w:lvl w:ilvl="2" w:tplc="E68408F4">
      <w:start w:val="1"/>
      <w:numFmt w:val="bullet"/>
      <w:lvlText w:val="•"/>
      <w:lvlJc w:val="left"/>
      <w:pPr>
        <w:ind w:left="1988" w:hanging="360"/>
      </w:pPr>
      <w:rPr>
        <w:rFonts w:hint="default"/>
      </w:rPr>
    </w:lvl>
    <w:lvl w:ilvl="3" w:tplc="BCC445D6">
      <w:start w:val="1"/>
      <w:numFmt w:val="bullet"/>
      <w:lvlText w:val="•"/>
      <w:lvlJc w:val="left"/>
      <w:pPr>
        <w:ind w:left="2927" w:hanging="360"/>
      </w:pPr>
      <w:rPr>
        <w:rFonts w:hint="default"/>
      </w:rPr>
    </w:lvl>
    <w:lvl w:ilvl="4" w:tplc="B41C1EE6">
      <w:start w:val="1"/>
      <w:numFmt w:val="bullet"/>
      <w:lvlText w:val="•"/>
      <w:lvlJc w:val="left"/>
      <w:pPr>
        <w:ind w:left="3866" w:hanging="360"/>
      </w:pPr>
      <w:rPr>
        <w:rFonts w:hint="default"/>
      </w:rPr>
    </w:lvl>
    <w:lvl w:ilvl="5" w:tplc="B4663972">
      <w:start w:val="1"/>
      <w:numFmt w:val="bullet"/>
      <w:lvlText w:val="•"/>
      <w:lvlJc w:val="left"/>
      <w:pPr>
        <w:ind w:left="4805" w:hanging="360"/>
      </w:pPr>
      <w:rPr>
        <w:rFonts w:hint="default"/>
      </w:rPr>
    </w:lvl>
    <w:lvl w:ilvl="6" w:tplc="28D246B8">
      <w:start w:val="1"/>
      <w:numFmt w:val="bullet"/>
      <w:lvlText w:val="•"/>
      <w:lvlJc w:val="left"/>
      <w:pPr>
        <w:ind w:left="5744" w:hanging="360"/>
      </w:pPr>
      <w:rPr>
        <w:rFonts w:hint="default"/>
      </w:rPr>
    </w:lvl>
    <w:lvl w:ilvl="7" w:tplc="8A3A6BAE">
      <w:start w:val="1"/>
      <w:numFmt w:val="bullet"/>
      <w:lvlText w:val="•"/>
      <w:lvlJc w:val="left"/>
      <w:pPr>
        <w:ind w:left="6683" w:hanging="360"/>
      </w:pPr>
      <w:rPr>
        <w:rFonts w:hint="default"/>
      </w:rPr>
    </w:lvl>
    <w:lvl w:ilvl="8" w:tplc="8B06E390">
      <w:start w:val="1"/>
      <w:numFmt w:val="bullet"/>
      <w:lvlText w:val="•"/>
      <w:lvlJc w:val="left"/>
      <w:pPr>
        <w:ind w:left="7622" w:hanging="360"/>
      </w:pPr>
      <w:rPr>
        <w:rFonts w:hint="default"/>
      </w:rPr>
    </w:lvl>
  </w:abstractNum>
  <w:abstractNum w:abstractNumId="14" w15:restartNumberingAfterBreak="0">
    <w:nsid w:val="07DD551D"/>
    <w:multiLevelType w:val="hybridMultilevel"/>
    <w:tmpl w:val="9FFAA5F2"/>
    <w:lvl w:ilvl="0" w:tplc="111CAF04">
      <w:start w:val="1"/>
      <w:numFmt w:val="bullet"/>
      <w:lvlText w:val=""/>
      <w:lvlJc w:val="left"/>
      <w:pPr>
        <w:ind w:left="1384" w:hanging="400"/>
      </w:pPr>
      <w:rPr>
        <w:rFonts w:ascii="Symbol" w:hAnsi="Symbol" w:hint="default"/>
        <w:sz w:val="22"/>
        <w:szCs w:val="22"/>
      </w:rPr>
    </w:lvl>
    <w:lvl w:ilvl="1" w:tplc="9FB098F2" w:tentative="1">
      <w:start w:val="1"/>
      <w:numFmt w:val="bullet"/>
      <w:lvlText w:val=""/>
      <w:lvlJc w:val="left"/>
      <w:pPr>
        <w:ind w:left="1784" w:hanging="400"/>
      </w:pPr>
      <w:rPr>
        <w:rFonts w:ascii="Wingdings" w:hAnsi="Wingdings" w:hint="default"/>
      </w:rPr>
    </w:lvl>
    <w:lvl w:ilvl="2" w:tplc="E2DEFE02" w:tentative="1">
      <w:start w:val="1"/>
      <w:numFmt w:val="bullet"/>
      <w:lvlText w:val=""/>
      <w:lvlJc w:val="left"/>
      <w:pPr>
        <w:ind w:left="2184" w:hanging="400"/>
      </w:pPr>
      <w:rPr>
        <w:rFonts w:ascii="Wingdings" w:hAnsi="Wingdings" w:hint="default"/>
      </w:rPr>
    </w:lvl>
    <w:lvl w:ilvl="3" w:tplc="4CE08E44" w:tentative="1">
      <w:start w:val="1"/>
      <w:numFmt w:val="bullet"/>
      <w:lvlText w:val=""/>
      <w:lvlJc w:val="left"/>
      <w:pPr>
        <w:ind w:left="2584" w:hanging="400"/>
      </w:pPr>
      <w:rPr>
        <w:rFonts w:ascii="Wingdings" w:hAnsi="Wingdings" w:hint="default"/>
      </w:rPr>
    </w:lvl>
    <w:lvl w:ilvl="4" w:tplc="2CF63612" w:tentative="1">
      <w:start w:val="1"/>
      <w:numFmt w:val="bullet"/>
      <w:lvlText w:val=""/>
      <w:lvlJc w:val="left"/>
      <w:pPr>
        <w:ind w:left="2984" w:hanging="400"/>
      </w:pPr>
      <w:rPr>
        <w:rFonts w:ascii="Wingdings" w:hAnsi="Wingdings" w:hint="default"/>
      </w:rPr>
    </w:lvl>
    <w:lvl w:ilvl="5" w:tplc="B3765C1A" w:tentative="1">
      <w:start w:val="1"/>
      <w:numFmt w:val="bullet"/>
      <w:lvlText w:val=""/>
      <w:lvlJc w:val="left"/>
      <w:pPr>
        <w:ind w:left="3384" w:hanging="400"/>
      </w:pPr>
      <w:rPr>
        <w:rFonts w:ascii="Wingdings" w:hAnsi="Wingdings" w:hint="default"/>
      </w:rPr>
    </w:lvl>
    <w:lvl w:ilvl="6" w:tplc="BBBA4FB8" w:tentative="1">
      <w:start w:val="1"/>
      <w:numFmt w:val="bullet"/>
      <w:lvlText w:val=""/>
      <w:lvlJc w:val="left"/>
      <w:pPr>
        <w:ind w:left="3784" w:hanging="400"/>
      </w:pPr>
      <w:rPr>
        <w:rFonts w:ascii="Wingdings" w:hAnsi="Wingdings" w:hint="default"/>
      </w:rPr>
    </w:lvl>
    <w:lvl w:ilvl="7" w:tplc="98DA9052" w:tentative="1">
      <w:start w:val="1"/>
      <w:numFmt w:val="bullet"/>
      <w:lvlText w:val=""/>
      <w:lvlJc w:val="left"/>
      <w:pPr>
        <w:ind w:left="4184" w:hanging="400"/>
      </w:pPr>
      <w:rPr>
        <w:rFonts w:ascii="Wingdings" w:hAnsi="Wingdings" w:hint="default"/>
      </w:rPr>
    </w:lvl>
    <w:lvl w:ilvl="8" w:tplc="1338BF8C" w:tentative="1">
      <w:start w:val="1"/>
      <w:numFmt w:val="bullet"/>
      <w:lvlText w:val=""/>
      <w:lvlJc w:val="left"/>
      <w:pPr>
        <w:ind w:left="4584" w:hanging="400"/>
      </w:pPr>
      <w:rPr>
        <w:rFonts w:ascii="Wingdings" w:hAnsi="Wingdings" w:hint="default"/>
      </w:rPr>
    </w:lvl>
  </w:abstractNum>
  <w:abstractNum w:abstractNumId="15" w15:restartNumberingAfterBreak="0">
    <w:nsid w:val="07DD6190"/>
    <w:multiLevelType w:val="hybridMultilevel"/>
    <w:tmpl w:val="5184914E"/>
    <w:lvl w:ilvl="0" w:tplc="55F63B6C">
      <w:start w:val="1"/>
      <w:numFmt w:val="bullet"/>
      <w:lvlText w:val=""/>
      <w:lvlJc w:val="left"/>
      <w:pPr>
        <w:ind w:left="660" w:hanging="550"/>
      </w:pPr>
      <w:rPr>
        <w:rFonts w:ascii="Wingdings" w:eastAsia="Wingdings" w:hAnsi="Wingdings" w:hint="default"/>
        <w:sz w:val="22"/>
        <w:szCs w:val="22"/>
      </w:rPr>
    </w:lvl>
    <w:lvl w:ilvl="1" w:tplc="29CA797E">
      <w:start w:val="1"/>
      <w:numFmt w:val="bullet"/>
      <w:lvlText w:val="•"/>
      <w:lvlJc w:val="left"/>
      <w:pPr>
        <w:ind w:left="1540" w:hanging="550"/>
      </w:pPr>
      <w:rPr>
        <w:rFonts w:hint="default"/>
      </w:rPr>
    </w:lvl>
    <w:lvl w:ilvl="2" w:tplc="75781096">
      <w:start w:val="1"/>
      <w:numFmt w:val="bullet"/>
      <w:lvlText w:val="•"/>
      <w:lvlJc w:val="left"/>
      <w:pPr>
        <w:ind w:left="2420" w:hanging="550"/>
      </w:pPr>
      <w:rPr>
        <w:rFonts w:hint="default"/>
      </w:rPr>
    </w:lvl>
    <w:lvl w:ilvl="3" w:tplc="C3BE09BC">
      <w:start w:val="1"/>
      <w:numFmt w:val="bullet"/>
      <w:lvlText w:val="•"/>
      <w:lvlJc w:val="left"/>
      <w:pPr>
        <w:ind w:left="3300" w:hanging="550"/>
      </w:pPr>
      <w:rPr>
        <w:rFonts w:hint="default"/>
      </w:rPr>
    </w:lvl>
    <w:lvl w:ilvl="4" w:tplc="CBA4D9A4">
      <w:start w:val="1"/>
      <w:numFmt w:val="bullet"/>
      <w:lvlText w:val="•"/>
      <w:lvlJc w:val="left"/>
      <w:pPr>
        <w:ind w:left="4180" w:hanging="550"/>
      </w:pPr>
      <w:rPr>
        <w:rFonts w:hint="default"/>
      </w:rPr>
    </w:lvl>
    <w:lvl w:ilvl="5" w:tplc="0A06FE3A">
      <w:start w:val="1"/>
      <w:numFmt w:val="bullet"/>
      <w:lvlText w:val="•"/>
      <w:lvlJc w:val="left"/>
      <w:pPr>
        <w:ind w:left="5060" w:hanging="550"/>
      </w:pPr>
      <w:rPr>
        <w:rFonts w:hint="default"/>
      </w:rPr>
    </w:lvl>
    <w:lvl w:ilvl="6" w:tplc="8CFC1D70">
      <w:start w:val="1"/>
      <w:numFmt w:val="bullet"/>
      <w:lvlText w:val="•"/>
      <w:lvlJc w:val="left"/>
      <w:pPr>
        <w:ind w:left="5940" w:hanging="550"/>
      </w:pPr>
      <w:rPr>
        <w:rFonts w:hint="default"/>
      </w:rPr>
    </w:lvl>
    <w:lvl w:ilvl="7" w:tplc="C2920D62">
      <w:start w:val="1"/>
      <w:numFmt w:val="bullet"/>
      <w:lvlText w:val="•"/>
      <w:lvlJc w:val="left"/>
      <w:pPr>
        <w:ind w:left="6820" w:hanging="550"/>
      </w:pPr>
      <w:rPr>
        <w:rFonts w:hint="default"/>
      </w:rPr>
    </w:lvl>
    <w:lvl w:ilvl="8" w:tplc="C936BE5A">
      <w:start w:val="1"/>
      <w:numFmt w:val="bullet"/>
      <w:lvlText w:val="•"/>
      <w:lvlJc w:val="left"/>
      <w:pPr>
        <w:ind w:left="7700" w:hanging="550"/>
      </w:pPr>
      <w:rPr>
        <w:rFonts w:hint="default"/>
      </w:rPr>
    </w:lvl>
  </w:abstractNum>
  <w:abstractNum w:abstractNumId="16" w15:restartNumberingAfterBreak="0">
    <w:nsid w:val="081E1F69"/>
    <w:multiLevelType w:val="hybridMultilevel"/>
    <w:tmpl w:val="6944D5F6"/>
    <w:lvl w:ilvl="0" w:tplc="F532439A">
      <w:start w:val="1"/>
      <w:numFmt w:val="decimal"/>
      <w:lvlText w:val="%1."/>
      <w:lvlJc w:val="left"/>
      <w:pPr>
        <w:ind w:left="111" w:hanging="562"/>
      </w:pPr>
      <w:rPr>
        <w:rFonts w:ascii="Times New Roman" w:eastAsia="Times New Roman" w:hAnsi="Times New Roman" w:hint="default"/>
        <w:b/>
        <w:bCs/>
        <w:sz w:val="22"/>
        <w:szCs w:val="22"/>
      </w:rPr>
    </w:lvl>
    <w:lvl w:ilvl="1" w:tplc="00AAD0B4">
      <w:start w:val="1"/>
      <w:numFmt w:val="bullet"/>
      <w:lvlText w:val=""/>
      <w:lvlJc w:val="left"/>
      <w:pPr>
        <w:ind w:left="831" w:hanging="360"/>
      </w:pPr>
      <w:rPr>
        <w:rFonts w:ascii="Symbol" w:eastAsia="Symbol" w:hAnsi="Symbol" w:hint="default"/>
        <w:sz w:val="22"/>
        <w:szCs w:val="22"/>
      </w:rPr>
    </w:lvl>
    <w:lvl w:ilvl="2" w:tplc="2C38CCBA">
      <w:start w:val="1"/>
      <w:numFmt w:val="bullet"/>
      <w:lvlText w:val="•"/>
      <w:lvlJc w:val="left"/>
      <w:pPr>
        <w:ind w:left="1805" w:hanging="360"/>
      </w:pPr>
      <w:rPr>
        <w:rFonts w:hint="default"/>
      </w:rPr>
    </w:lvl>
    <w:lvl w:ilvl="3" w:tplc="A65CA58C">
      <w:start w:val="1"/>
      <w:numFmt w:val="bullet"/>
      <w:lvlText w:val="•"/>
      <w:lvlJc w:val="left"/>
      <w:pPr>
        <w:ind w:left="2779" w:hanging="360"/>
      </w:pPr>
      <w:rPr>
        <w:rFonts w:hint="default"/>
      </w:rPr>
    </w:lvl>
    <w:lvl w:ilvl="4" w:tplc="551A39C6">
      <w:start w:val="1"/>
      <w:numFmt w:val="bullet"/>
      <w:lvlText w:val="•"/>
      <w:lvlJc w:val="left"/>
      <w:pPr>
        <w:ind w:left="3754" w:hanging="360"/>
      </w:pPr>
      <w:rPr>
        <w:rFonts w:hint="default"/>
      </w:rPr>
    </w:lvl>
    <w:lvl w:ilvl="5" w:tplc="ECF616C6">
      <w:start w:val="1"/>
      <w:numFmt w:val="bullet"/>
      <w:lvlText w:val="•"/>
      <w:lvlJc w:val="left"/>
      <w:pPr>
        <w:ind w:left="4728" w:hanging="360"/>
      </w:pPr>
      <w:rPr>
        <w:rFonts w:hint="default"/>
      </w:rPr>
    </w:lvl>
    <w:lvl w:ilvl="6" w:tplc="1C5A1634">
      <w:start w:val="1"/>
      <w:numFmt w:val="bullet"/>
      <w:lvlText w:val="•"/>
      <w:lvlJc w:val="left"/>
      <w:pPr>
        <w:ind w:left="5702" w:hanging="360"/>
      </w:pPr>
      <w:rPr>
        <w:rFonts w:hint="default"/>
      </w:rPr>
    </w:lvl>
    <w:lvl w:ilvl="7" w:tplc="220684EE">
      <w:start w:val="1"/>
      <w:numFmt w:val="bullet"/>
      <w:lvlText w:val="•"/>
      <w:lvlJc w:val="left"/>
      <w:pPr>
        <w:ind w:left="6677" w:hanging="360"/>
      </w:pPr>
      <w:rPr>
        <w:rFonts w:hint="default"/>
      </w:rPr>
    </w:lvl>
    <w:lvl w:ilvl="8" w:tplc="2E582D7A">
      <w:start w:val="1"/>
      <w:numFmt w:val="bullet"/>
      <w:lvlText w:val="•"/>
      <w:lvlJc w:val="left"/>
      <w:pPr>
        <w:ind w:left="7651" w:hanging="360"/>
      </w:pPr>
      <w:rPr>
        <w:rFonts w:hint="default"/>
      </w:rPr>
    </w:lvl>
  </w:abstractNum>
  <w:abstractNum w:abstractNumId="17" w15:restartNumberingAfterBreak="0">
    <w:nsid w:val="095B25AB"/>
    <w:multiLevelType w:val="hybridMultilevel"/>
    <w:tmpl w:val="585AF41A"/>
    <w:lvl w:ilvl="0" w:tplc="04C44556">
      <w:start w:val="1"/>
      <w:numFmt w:val="decimal"/>
      <w:lvlText w:val="%1."/>
      <w:lvlJc w:val="left"/>
      <w:pPr>
        <w:ind w:left="471" w:hanging="360"/>
      </w:pPr>
      <w:rPr>
        <w:rFonts w:hint="default"/>
        <w:b/>
      </w:rPr>
    </w:lvl>
    <w:lvl w:ilvl="1" w:tplc="4718E9D6" w:tentative="1">
      <w:start w:val="1"/>
      <w:numFmt w:val="upperLetter"/>
      <w:lvlText w:val="%2."/>
      <w:lvlJc w:val="left"/>
      <w:pPr>
        <w:ind w:left="911" w:hanging="400"/>
      </w:pPr>
    </w:lvl>
    <w:lvl w:ilvl="2" w:tplc="38CAE774" w:tentative="1">
      <w:start w:val="1"/>
      <w:numFmt w:val="lowerRoman"/>
      <w:lvlText w:val="%3."/>
      <w:lvlJc w:val="right"/>
      <w:pPr>
        <w:ind w:left="1311" w:hanging="400"/>
      </w:pPr>
    </w:lvl>
    <w:lvl w:ilvl="3" w:tplc="EDC64D4A" w:tentative="1">
      <w:start w:val="1"/>
      <w:numFmt w:val="decimal"/>
      <w:lvlText w:val="%4."/>
      <w:lvlJc w:val="left"/>
      <w:pPr>
        <w:ind w:left="1711" w:hanging="400"/>
      </w:pPr>
    </w:lvl>
    <w:lvl w:ilvl="4" w:tplc="A3407838" w:tentative="1">
      <w:start w:val="1"/>
      <w:numFmt w:val="upperLetter"/>
      <w:lvlText w:val="%5."/>
      <w:lvlJc w:val="left"/>
      <w:pPr>
        <w:ind w:left="2111" w:hanging="400"/>
      </w:pPr>
    </w:lvl>
    <w:lvl w:ilvl="5" w:tplc="5E80B1BE" w:tentative="1">
      <w:start w:val="1"/>
      <w:numFmt w:val="lowerRoman"/>
      <w:lvlText w:val="%6."/>
      <w:lvlJc w:val="right"/>
      <w:pPr>
        <w:ind w:left="2511" w:hanging="400"/>
      </w:pPr>
    </w:lvl>
    <w:lvl w:ilvl="6" w:tplc="501C940A" w:tentative="1">
      <w:start w:val="1"/>
      <w:numFmt w:val="decimal"/>
      <w:lvlText w:val="%7."/>
      <w:lvlJc w:val="left"/>
      <w:pPr>
        <w:ind w:left="2911" w:hanging="400"/>
      </w:pPr>
    </w:lvl>
    <w:lvl w:ilvl="7" w:tplc="EFC286A0" w:tentative="1">
      <w:start w:val="1"/>
      <w:numFmt w:val="upperLetter"/>
      <w:lvlText w:val="%8."/>
      <w:lvlJc w:val="left"/>
      <w:pPr>
        <w:ind w:left="3311" w:hanging="400"/>
      </w:pPr>
    </w:lvl>
    <w:lvl w:ilvl="8" w:tplc="454AB0F4" w:tentative="1">
      <w:start w:val="1"/>
      <w:numFmt w:val="lowerRoman"/>
      <w:lvlText w:val="%9."/>
      <w:lvlJc w:val="right"/>
      <w:pPr>
        <w:ind w:left="3711" w:hanging="400"/>
      </w:pPr>
    </w:lvl>
  </w:abstractNum>
  <w:abstractNum w:abstractNumId="18" w15:restartNumberingAfterBreak="0">
    <w:nsid w:val="0A1320C1"/>
    <w:multiLevelType w:val="hybridMultilevel"/>
    <w:tmpl w:val="AA02787C"/>
    <w:lvl w:ilvl="0" w:tplc="5BDC63F6">
      <w:start w:val="1"/>
      <w:numFmt w:val="decimal"/>
      <w:lvlText w:val="%1."/>
      <w:lvlJc w:val="left"/>
      <w:pPr>
        <w:ind w:left="111" w:hanging="562"/>
      </w:pPr>
      <w:rPr>
        <w:rFonts w:ascii="Times New Roman" w:eastAsia="Times New Roman" w:hAnsi="Times New Roman" w:hint="default"/>
        <w:b/>
        <w:bCs/>
        <w:sz w:val="22"/>
        <w:szCs w:val="22"/>
      </w:rPr>
    </w:lvl>
    <w:lvl w:ilvl="1" w:tplc="376A2FB2">
      <w:start w:val="1"/>
      <w:numFmt w:val="bullet"/>
      <w:lvlText w:val=""/>
      <w:lvlJc w:val="left"/>
      <w:pPr>
        <w:ind w:left="831" w:hanging="360"/>
      </w:pPr>
      <w:rPr>
        <w:rFonts w:ascii="Symbol" w:eastAsia="Symbol" w:hAnsi="Symbol" w:hint="default"/>
        <w:sz w:val="22"/>
        <w:szCs w:val="22"/>
      </w:rPr>
    </w:lvl>
    <w:lvl w:ilvl="2" w:tplc="22429D06">
      <w:start w:val="1"/>
      <w:numFmt w:val="bullet"/>
      <w:lvlText w:val=""/>
      <w:lvlJc w:val="left"/>
      <w:pPr>
        <w:ind w:left="1551" w:hanging="360"/>
      </w:pPr>
      <w:rPr>
        <w:rFonts w:ascii="Symbol" w:eastAsia="Symbol" w:hAnsi="Symbol" w:hint="default"/>
        <w:sz w:val="22"/>
        <w:szCs w:val="22"/>
      </w:rPr>
    </w:lvl>
    <w:lvl w:ilvl="3" w:tplc="7D6066D4">
      <w:start w:val="1"/>
      <w:numFmt w:val="bullet"/>
      <w:lvlText w:val="•"/>
      <w:lvlJc w:val="left"/>
      <w:pPr>
        <w:ind w:left="4162" w:hanging="360"/>
      </w:pPr>
      <w:rPr>
        <w:rFonts w:hint="default"/>
      </w:rPr>
    </w:lvl>
    <w:lvl w:ilvl="4" w:tplc="44420A36">
      <w:start w:val="1"/>
      <w:numFmt w:val="bullet"/>
      <w:lvlText w:val="•"/>
      <w:lvlJc w:val="left"/>
      <w:pPr>
        <w:ind w:left="4927" w:hanging="360"/>
      </w:pPr>
      <w:rPr>
        <w:rFonts w:hint="default"/>
      </w:rPr>
    </w:lvl>
    <w:lvl w:ilvl="5" w:tplc="3A8EE1A4">
      <w:start w:val="1"/>
      <w:numFmt w:val="bullet"/>
      <w:lvlText w:val="•"/>
      <w:lvlJc w:val="left"/>
      <w:pPr>
        <w:ind w:left="5693" w:hanging="360"/>
      </w:pPr>
      <w:rPr>
        <w:rFonts w:hint="default"/>
      </w:rPr>
    </w:lvl>
    <w:lvl w:ilvl="6" w:tplc="09DE00A4">
      <w:start w:val="1"/>
      <w:numFmt w:val="bullet"/>
      <w:lvlText w:val="•"/>
      <w:lvlJc w:val="left"/>
      <w:pPr>
        <w:ind w:left="6458" w:hanging="360"/>
      </w:pPr>
      <w:rPr>
        <w:rFonts w:hint="default"/>
      </w:rPr>
    </w:lvl>
    <w:lvl w:ilvl="7" w:tplc="DC16E76C">
      <w:start w:val="1"/>
      <w:numFmt w:val="bullet"/>
      <w:lvlText w:val="•"/>
      <w:lvlJc w:val="left"/>
      <w:pPr>
        <w:ind w:left="7223" w:hanging="360"/>
      </w:pPr>
      <w:rPr>
        <w:rFonts w:hint="default"/>
      </w:rPr>
    </w:lvl>
    <w:lvl w:ilvl="8" w:tplc="C846CFAC">
      <w:start w:val="1"/>
      <w:numFmt w:val="bullet"/>
      <w:lvlText w:val="•"/>
      <w:lvlJc w:val="left"/>
      <w:pPr>
        <w:ind w:left="7989" w:hanging="360"/>
      </w:pPr>
      <w:rPr>
        <w:rFonts w:hint="default"/>
      </w:rPr>
    </w:lvl>
  </w:abstractNum>
  <w:abstractNum w:abstractNumId="19" w15:restartNumberingAfterBreak="0">
    <w:nsid w:val="0B492342"/>
    <w:multiLevelType w:val="hybridMultilevel"/>
    <w:tmpl w:val="28A00D86"/>
    <w:lvl w:ilvl="0" w:tplc="65AAB8EE">
      <w:start w:val="1"/>
      <w:numFmt w:val="decimal"/>
      <w:lvlText w:val="%1."/>
      <w:lvlJc w:val="left"/>
      <w:pPr>
        <w:ind w:left="760" w:hanging="360"/>
      </w:pPr>
      <w:rPr>
        <w:rFonts w:hint="default"/>
      </w:rPr>
    </w:lvl>
    <w:lvl w:ilvl="1" w:tplc="F8709F64" w:tentative="1">
      <w:start w:val="1"/>
      <w:numFmt w:val="upperLetter"/>
      <w:lvlText w:val="%2."/>
      <w:lvlJc w:val="left"/>
      <w:pPr>
        <w:ind w:left="1200" w:hanging="400"/>
      </w:pPr>
    </w:lvl>
    <w:lvl w:ilvl="2" w:tplc="4FBC6638" w:tentative="1">
      <w:start w:val="1"/>
      <w:numFmt w:val="lowerRoman"/>
      <w:lvlText w:val="%3."/>
      <w:lvlJc w:val="right"/>
      <w:pPr>
        <w:ind w:left="1600" w:hanging="400"/>
      </w:pPr>
    </w:lvl>
    <w:lvl w:ilvl="3" w:tplc="F64C4968" w:tentative="1">
      <w:start w:val="1"/>
      <w:numFmt w:val="decimal"/>
      <w:lvlText w:val="%4."/>
      <w:lvlJc w:val="left"/>
      <w:pPr>
        <w:ind w:left="2000" w:hanging="400"/>
      </w:pPr>
    </w:lvl>
    <w:lvl w:ilvl="4" w:tplc="9C308B46" w:tentative="1">
      <w:start w:val="1"/>
      <w:numFmt w:val="upperLetter"/>
      <w:lvlText w:val="%5."/>
      <w:lvlJc w:val="left"/>
      <w:pPr>
        <w:ind w:left="2400" w:hanging="400"/>
      </w:pPr>
    </w:lvl>
    <w:lvl w:ilvl="5" w:tplc="5CC20F62" w:tentative="1">
      <w:start w:val="1"/>
      <w:numFmt w:val="lowerRoman"/>
      <w:lvlText w:val="%6."/>
      <w:lvlJc w:val="right"/>
      <w:pPr>
        <w:ind w:left="2800" w:hanging="400"/>
      </w:pPr>
    </w:lvl>
    <w:lvl w:ilvl="6" w:tplc="9742354A" w:tentative="1">
      <w:start w:val="1"/>
      <w:numFmt w:val="decimal"/>
      <w:lvlText w:val="%7."/>
      <w:lvlJc w:val="left"/>
      <w:pPr>
        <w:ind w:left="3200" w:hanging="400"/>
      </w:pPr>
    </w:lvl>
    <w:lvl w:ilvl="7" w:tplc="E432EF48" w:tentative="1">
      <w:start w:val="1"/>
      <w:numFmt w:val="upperLetter"/>
      <w:lvlText w:val="%8."/>
      <w:lvlJc w:val="left"/>
      <w:pPr>
        <w:ind w:left="3600" w:hanging="400"/>
      </w:pPr>
    </w:lvl>
    <w:lvl w:ilvl="8" w:tplc="54AE21DE" w:tentative="1">
      <w:start w:val="1"/>
      <w:numFmt w:val="lowerRoman"/>
      <w:lvlText w:val="%9."/>
      <w:lvlJc w:val="right"/>
      <w:pPr>
        <w:ind w:left="4000" w:hanging="400"/>
      </w:pPr>
    </w:lvl>
  </w:abstractNum>
  <w:abstractNum w:abstractNumId="20" w15:restartNumberingAfterBreak="0">
    <w:nsid w:val="0C3F1014"/>
    <w:multiLevelType w:val="hybridMultilevel"/>
    <w:tmpl w:val="FEACB2EA"/>
    <w:lvl w:ilvl="0" w:tplc="7CDCA6FC">
      <w:start w:val="1"/>
      <w:numFmt w:val="lowerLetter"/>
      <w:lvlText w:val="%1."/>
      <w:lvlJc w:val="left"/>
      <w:pPr>
        <w:ind w:left="462" w:hanging="332"/>
      </w:pPr>
      <w:rPr>
        <w:rFonts w:ascii="Times New Roman" w:eastAsia="Times New Roman" w:hAnsi="Times New Roman" w:hint="default"/>
        <w:sz w:val="22"/>
        <w:szCs w:val="22"/>
      </w:rPr>
    </w:lvl>
    <w:lvl w:ilvl="1" w:tplc="929858A4">
      <w:start w:val="1"/>
      <w:numFmt w:val="bullet"/>
      <w:lvlText w:val="•"/>
      <w:lvlJc w:val="left"/>
      <w:pPr>
        <w:ind w:left="1338" w:hanging="332"/>
      </w:pPr>
      <w:rPr>
        <w:rFonts w:hint="default"/>
      </w:rPr>
    </w:lvl>
    <w:lvl w:ilvl="2" w:tplc="130864EA">
      <w:start w:val="1"/>
      <w:numFmt w:val="bullet"/>
      <w:lvlText w:val="•"/>
      <w:lvlJc w:val="left"/>
      <w:pPr>
        <w:ind w:left="2214" w:hanging="332"/>
      </w:pPr>
      <w:rPr>
        <w:rFonts w:hint="default"/>
      </w:rPr>
    </w:lvl>
    <w:lvl w:ilvl="3" w:tplc="DC9029A2">
      <w:start w:val="1"/>
      <w:numFmt w:val="bullet"/>
      <w:lvlText w:val="•"/>
      <w:lvlJc w:val="left"/>
      <w:pPr>
        <w:ind w:left="3091" w:hanging="332"/>
      </w:pPr>
      <w:rPr>
        <w:rFonts w:hint="default"/>
      </w:rPr>
    </w:lvl>
    <w:lvl w:ilvl="4" w:tplc="A5A06CE8">
      <w:start w:val="1"/>
      <w:numFmt w:val="bullet"/>
      <w:lvlText w:val="•"/>
      <w:lvlJc w:val="left"/>
      <w:pPr>
        <w:ind w:left="3967" w:hanging="332"/>
      </w:pPr>
      <w:rPr>
        <w:rFonts w:hint="default"/>
      </w:rPr>
    </w:lvl>
    <w:lvl w:ilvl="5" w:tplc="9D1834B2">
      <w:start w:val="1"/>
      <w:numFmt w:val="bullet"/>
      <w:lvlText w:val="•"/>
      <w:lvlJc w:val="left"/>
      <w:pPr>
        <w:ind w:left="4844" w:hanging="332"/>
      </w:pPr>
      <w:rPr>
        <w:rFonts w:hint="default"/>
      </w:rPr>
    </w:lvl>
    <w:lvl w:ilvl="6" w:tplc="F5CC2CC0">
      <w:start w:val="1"/>
      <w:numFmt w:val="bullet"/>
      <w:lvlText w:val="•"/>
      <w:lvlJc w:val="left"/>
      <w:pPr>
        <w:ind w:left="5720" w:hanging="332"/>
      </w:pPr>
      <w:rPr>
        <w:rFonts w:hint="default"/>
      </w:rPr>
    </w:lvl>
    <w:lvl w:ilvl="7" w:tplc="1526962E">
      <w:start w:val="1"/>
      <w:numFmt w:val="bullet"/>
      <w:lvlText w:val="•"/>
      <w:lvlJc w:val="left"/>
      <w:pPr>
        <w:ind w:left="6596" w:hanging="332"/>
      </w:pPr>
      <w:rPr>
        <w:rFonts w:hint="default"/>
      </w:rPr>
    </w:lvl>
    <w:lvl w:ilvl="8" w:tplc="D89EC206">
      <w:start w:val="1"/>
      <w:numFmt w:val="bullet"/>
      <w:lvlText w:val="•"/>
      <w:lvlJc w:val="left"/>
      <w:pPr>
        <w:ind w:left="7473" w:hanging="332"/>
      </w:pPr>
      <w:rPr>
        <w:rFonts w:hint="default"/>
      </w:rPr>
    </w:lvl>
  </w:abstractNum>
  <w:abstractNum w:abstractNumId="21" w15:restartNumberingAfterBreak="0">
    <w:nsid w:val="0C5550FC"/>
    <w:multiLevelType w:val="hybridMultilevel"/>
    <w:tmpl w:val="FF08613C"/>
    <w:lvl w:ilvl="0" w:tplc="082CFB74">
      <w:start w:val="1"/>
      <w:numFmt w:val="decimal"/>
      <w:lvlText w:val="%1."/>
      <w:lvlJc w:val="left"/>
      <w:pPr>
        <w:ind w:left="468" w:hanging="360"/>
      </w:pPr>
      <w:rPr>
        <w:rFonts w:ascii="Times New Roman" w:hAnsi="Times New Roman" w:cs="Times New Roman" w:hint="default"/>
        <w:b/>
      </w:rPr>
    </w:lvl>
    <w:lvl w:ilvl="1" w:tplc="2D5A4B58" w:tentative="1">
      <w:start w:val="1"/>
      <w:numFmt w:val="upperLetter"/>
      <w:lvlText w:val="%2."/>
      <w:lvlJc w:val="left"/>
      <w:pPr>
        <w:ind w:left="908" w:hanging="400"/>
      </w:pPr>
    </w:lvl>
    <w:lvl w:ilvl="2" w:tplc="FF30847C" w:tentative="1">
      <w:start w:val="1"/>
      <w:numFmt w:val="lowerRoman"/>
      <w:lvlText w:val="%3."/>
      <w:lvlJc w:val="right"/>
      <w:pPr>
        <w:ind w:left="1308" w:hanging="400"/>
      </w:pPr>
    </w:lvl>
    <w:lvl w:ilvl="3" w:tplc="29AC3A42" w:tentative="1">
      <w:start w:val="1"/>
      <w:numFmt w:val="decimal"/>
      <w:lvlText w:val="%4."/>
      <w:lvlJc w:val="left"/>
      <w:pPr>
        <w:ind w:left="1708" w:hanging="400"/>
      </w:pPr>
    </w:lvl>
    <w:lvl w:ilvl="4" w:tplc="85FC7DEE" w:tentative="1">
      <w:start w:val="1"/>
      <w:numFmt w:val="upperLetter"/>
      <w:lvlText w:val="%5."/>
      <w:lvlJc w:val="left"/>
      <w:pPr>
        <w:ind w:left="2108" w:hanging="400"/>
      </w:pPr>
    </w:lvl>
    <w:lvl w:ilvl="5" w:tplc="92D47102" w:tentative="1">
      <w:start w:val="1"/>
      <w:numFmt w:val="lowerRoman"/>
      <w:lvlText w:val="%6."/>
      <w:lvlJc w:val="right"/>
      <w:pPr>
        <w:ind w:left="2508" w:hanging="400"/>
      </w:pPr>
    </w:lvl>
    <w:lvl w:ilvl="6" w:tplc="CD548784" w:tentative="1">
      <w:start w:val="1"/>
      <w:numFmt w:val="decimal"/>
      <w:lvlText w:val="%7."/>
      <w:lvlJc w:val="left"/>
      <w:pPr>
        <w:ind w:left="2908" w:hanging="400"/>
      </w:pPr>
    </w:lvl>
    <w:lvl w:ilvl="7" w:tplc="49E66CDA" w:tentative="1">
      <w:start w:val="1"/>
      <w:numFmt w:val="upperLetter"/>
      <w:lvlText w:val="%8."/>
      <w:lvlJc w:val="left"/>
      <w:pPr>
        <w:ind w:left="3308" w:hanging="400"/>
      </w:pPr>
    </w:lvl>
    <w:lvl w:ilvl="8" w:tplc="6D469936" w:tentative="1">
      <w:start w:val="1"/>
      <w:numFmt w:val="lowerRoman"/>
      <w:lvlText w:val="%9."/>
      <w:lvlJc w:val="right"/>
      <w:pPr>
        <w:ind w:left="3708" w:hanging="400"/>
      </w:pPr>
    </w:lvl>
  </w:abstractNum>
  <w:abstractNum w:abstractNumId="22" w15:restartNumberingAfterBreak="0">
    <w:nsid w:val="0C5D7079"/>
    <w:multiLevelType w:val="hybridMultilevel"/>
    <w:tmpl w:val="D034DC0E"/>
    <w:lvl w:ilvl="0" w:tplc="9C8421C2">
      <w:start w:val="1"/>
      <w:numFmt w:val="decimal"/>
      <w:lvlText w:val="%1"/>
      <w:lvlJc w:val="left"/>
      <w:pPr>
        <w:ind w:hanging="180"/>
      </w:pPr>
      <w:rPr>
        <w:rFonts w:ascii="Times New Roman" w:eastAsia="Times New Roman" w:hAnsi="Times New Roman" w:hint="default"/>
        <w:w w:val="99"/>
        <w:position w:val="8"/>
        <w:sz w:val="22"/>
        <w:szCs w:val="22"/>
        <w:vertAlign w:val="superscript"/>
      </w:rPr>
    </w:lvl>
    <w:lvl w:ilvl="1" w:tplc="D3725E24">
      <w:start w:val="1"/>
      <w:numFmt w:val="bullet"/>
      <w:lvlText w:val="•"/>
      <w:lvlJc w:val="left"/>
      <w:rPr>
        <w:rFonts w:hint="default"/>
      </w:rPr>
    </w:lvl>
    <w:lvl w:ilvl="2" w:tplc="0DC81DB4">
      <w:start w:val="1"/>
      <w:numFmt w:val="bullet"/>
      <w:lvlText w:val="•"/>
      <w:lvlJc w:val="left"/>
      <w:rPr>
        <w:rFonts w:hint="default"/>
      </w:rPr>
    </w:lvl>
    <w:lvl w:ilvl="3" w:tplc="CCD6B30C">
      <w:start w:val="1"/>
      <w:numFmt w:val="bullet"/>
      <w:lvlText w:val="•"/>
      <w:lvlJc w:val="left"/>
      <w:rPr>
        <w:rFonts w:hint="default"/>
      </w:rPr>
    </w:lvl>
    <w:lvl w:ilvl="4" w:tplc="7034ED4A">
      <w:start w:val="1"/>
      <w:numFmt w:val="bullet"/>
      <w:lvlText w:val="•"/>
      <w:lvlJc w:val="left"/>
      <w:rPr>
        <w:rFonts w:hint="default"/>
      </w:rPr>
    </w:lvl>
    <w:lvl w:ilvl="5" w:tplc="D49AAF48">
      <w:start w:val="1"/>
      <w:numFmt w:val="bullet"/>
      <w:lvlText w:val="•"/>
      <w:lvlJc w:val="left"/>
      <w:rPr>
        <w:rFonts w:hint="default"/>
      </w:rPr>
    </w:lvl>
    <w:lvl w:ilvl="6" w:tplc="0ACA2BC6">
      <w:start w:val="1"/>
      <w:numFmt w:val="bullet"/>
      <w:lvlText w:val="•"/>
      <w:lvlJc w:val="left"/>
      <w:rPr>
        <w:rFonts w:hint="default"/>
      </w:rPr>
    </w:lvl>
    <w:lvl w:ilvl="7" w:tplc="8F74E6C0">
      <w:start w:val="1"/>
      <w:numFmt w:val="bullet"/>
      <w:lvlText w:val="•"/>
      <w:lvlJc w:val="left"/>
      <w:rPr>
        <w:rFonts w:hint="default"/>
      </w:rPr>
    </w:lvl>
    <w:lvl w:ilvl="8" w:tplc="0F7C6650">
      <w:start w:val="1"/>
      <w:numFmt w:val="bullet"/>
      <w:lvlText w:val="•"/>
      <w:lvlJc w:val="left"/>
      <w:rPr>
        <w:rFonts w:hint="default"/>
      </w:rPr>
    </w:lvl>
  </w:abstractNum>
  <w:abstractNum w:abstractNumId="23" w15:restartNumberingAfterBreak="0">
    <w:nsid w:val="0CF41E08"/>
    <w:multiLevelType w:val="multilevel"/>
    <w:tmpl w:val="696E340C"/>
    <w:lvl w:ilvl="0">
      <w:start w:val="1"/>
      <w:numFmt w:val="decimal"/>
      <w:lvlText w:val="%1"/>
      <w:lvlJc w:val="left"/>
      <w:pPr>
        <w:ind w:left="170" w:firstLine="170"/>
      </w:pPr>
      <w:rPr>
        <w:rFonts w:ascii="Times New Roman" w:eastAsia="Times New Roman" w:hAnsi="Times New Roman" w:cs="Times New Roman"/>
        <w:w w:val="99"/>
        <w:position w:val="8"/>
        <w:sz w:val="22"/>
        <w:szCs w:val="22"/>
        <w:vertAlign w:val="superscript"/>
      </w:rPr>
    </w:lvl>
    <w:lvl w:ilvl="1">
      <w:start w:val="1"/>
      <w:numFmt w:val="bullet"/>
      <w:lvlText w:val="•"/>
      <w:lvlJc w:val="left"/>
      <w:pPr>
        <w:ind w:left="170" w:firstLine="0"/>
      </w:pPr>
      <w:rPr>
        <w:rFonts w:hint="default"/>
      </w:rPr>
    </w:lvl>
    <w:lvl w:ilvl="2">
      <w:start w:val="1"/>
      <w:numFmt w:val="bullet"/>
      <w:lvlText w:val="•"/>
      <w:lvlJc w:val="left"/>
      <w:pPr>
        <w:ind w:left="170" w:firstLine="0"/>
      </w:pPr>
      <w:rPr>
        <w:rFonts w:hint="default"/>
      </w:rPr>
    </w:lvl>
    <w:lvl w:ilvl="3">
      <w:start w:val="1"/>
      <w:numFmt w:val="bullet"/>
      <w:lvlText w:val="•"/>
      <w:lvlJc w:val="left"/>
      <w:pPr>
        <w:ind w:left="170" w:firstLine="0"/>
      </w:pPr>
      <w:rPr>
        <w:rFonts w:hint="default"/>
      </w:rPr>
    </w:lvl>
    <w:lvl w:ilvl="4">
      <w:start w:val="1"/>
      <w:numFmt w:val="bullet"/>
      <w:lvlText w:val="•"/>
      <w:lvlJc w:val="left"/>
      <w:pPr>
        <w:ind w:left="170" w:firstLine="0"/>
      </w:pPr>
      <w:rPr>
        <w:rFonts w:hint="default"/>
      </w:rPr>
    </w:lvl>
    <w:lvl w:ilvl="5">
      <w:start w:val="1"/>
      <w:numFmt w:val="bullet"/>
      <w:lvlText w:val="•"/>
      <w:lvlJc w:val="left"/>
      <w:pPr>
        <w:ind w:left="170" w:firstLine="0"/>
      </w:pPr>
      <w:rPr>
        <w:rFonts w:hint="default"/>
      </w:rPr>
    </w:lvl>
    <w:lvl w:ilvl="6">
      <w:start w:val="1"/>
      <w:numFmt w:val="bullet"/>
      <w:lvlText w:val="•"/>
      <w:lvlJc w:val="left"/>
      <w:pPr>
        <w:ind w:left="170" w:firstLine="0"/>
      </w:pPr>
      <w:rPr>
        <w:rFonts w:hint="default"/>
      </w:rPr>
    </w:lvl>
    <w:lvl w:ilvl="7">
      <w:start w:val="1"/>
      <w:numFmt w:val="bullet"/>
      <w:lvlText w:val="•"/>
      <w:lvlJc w:val="left"/>
      <w:pPr>
        <w:ind w:left="170" w:firstLine="0"/>
      </w:pPr>
      <w:rPr>
        <w:rFonts w:hint="default"/>
      </w:rPr>
    </w:lvl>
    <w:lvl w:ilvl="8">
      <w:start w:val="1"/>
      <w:numFmt w:val="bullet"/>
      <w:lvlText w:val="•"/>
      <w:lvlJc w:val="left"/>
      <w:pPr>
        <w:ind w:left="170" w:firstLine="0"/>
      </w:pPr>
      <w:rPr>
        <w:rFonts w:hint="default"/>
      </w:rPr>
    </w:lvl>
  </w:abstractNum>
  <w:abstractNum w:abstractNumId="24" w15:restartNumberingAfterBreak="0">
    <w:nsid w:val="0D5A5C68"/>
    <w:multiLevelType w:val="hybridMultilevel"/>
    <w:tmpl w:val="B7D4F6E4"/>
    <w:lvl w:ilvl="0" w:tplc="23F6EF2C">
      <w:start w:val="1"/>
      <w:numFmt w:val="bullet"/>
      <w:lvlText w:val="-"/>
      <w:lvlJc w:val="left"/>
      <w:pPr>
        <w:ind w:hanging="567"/>
      </w:pPr>
      <w:rPr>
        <w:rFonts w:ascii="Times New Roman" w:eastAsia="Times New Roman" w:hAnsi="Times New Roman" w:hint="default"/>
        <w:sz w:val="22"/>
        <w:szCs w:val="22"/>
      </w:rPr>
    </w:lvl>
    <w:lvl w:ilvl="1" w:tplc="269ECEE0">
      <w:start w:val="1"/>
      <w:numFmt w:val="bullet"/>
      <w:lvlText w:val="•"/>
      <w:lvlJc w:val="left"/>
      <w:rPr>
        <w:rFonts w:hint="default"/>
      </w:rPr>
    </w:lvl>
    <w:lvl w:ilvl="2" w:tplc="063ED606">
      <w:start w:val="1"/>
      <w:numFmt w:val="bullet"/>
      <w:lvlText w:val="•"/>
      <w:lvlJc w:val="left"/>
      <w:rPr>
        <w:rFonts w:hint="default"/>
      </w:rPr>
    </w:lvl>
    <w:lvl w:ilvl="3" w:tplc="60DC658E">
      <w:start w:val="1"/>
      <w:numFmt w:val="bullet"/>
      <w:lvlText w:val="•"/>
      <w:lvlJc w:val="left"/>
      <w:rPr>
        <w:rFonts w:hint="default"/>
      </w:rPr>
    </w:lvl>
    <w:lvl w:ilvl="4" w:tplc="841EDA0E">
      <w:start w:val="1"/>
      <w:numFmt w:val="bullet"/>
      <w:lvlText w:val="•"/>
      <w:lvlJc w:val="left"/>
      <w:rPr>
        <w:rFonts w:hint="default"/>
      </w:rPr>
    </w:lvl>
    <w:lvl w:ilvl="5" w:tplc="EAB4A1D8">
      <w:start w:val="1"/>
      <w:numFmt w:val="bullet"/>
      <w:lvlText w:val="•"/>
      <w:lvlJc w:val="left"/>
      <w:rPr>
        <w:rFonts w:hint="default"/>
      </w:rPr>
    </w:lvl>
    <w:lvl w:ilvl="6" w:tplc="6B26F1D0">
      <w:start w:val="1"/>
      <w:numFmt w:val="bullet"/>
      <w:lvlText w:val="•"/>
      <w:lvlJc w:val="left"/>
      <w:rPr>
        <w:rFonts w:hint="default"/>
      </w:rPr>
    </w:lvl>
    <w:lvl w:ilvl="7" w:tplc="58F05986">
      <w:start w:val="1"/>
      <w:numFmt w:val="bullet"/>
      <w:lvlText w:val="•"/>
      <w:lvlJc w:val="left"/>
      <w:rPr>
        <w:rFonts w:hint="default"/>
      </w:rPr>
    </w:lvl>
    <w:lvl w:ilvl="8" w:tplc="C420858C">
      <w:start w:val="1"/>
      <w:numFmt w:val="bullet"/>
      <w:lvlText w:val="•"/>
      <w:lvlJc w:val="left"/>
      <w:rPr>
        <w:rFonts w:hint="default"/>
      </w:rPr>
    </w:lvl>
  </w:abstractNum>
  <w:abstractNum w:abstractNumId="25" w15:restartNumberingAfterBreak="0">
    <w:nsid w:val="0E324E5E"/>
    <w:multiLevelType w:val="hybridMultilevel"/>
    <w:tmpl w:val="842C2D8C"/>
    <w:lvl w:ilvl="0" w:tplc="22D0EF94">
      <w:start w:val="1"/>
      <w:numFmt w:val="bullet"/>
      <w:lvlText w:val=""/>
      <w:lvlJc w:val="left"/>
      <w:pPr>
        <w:ind w:left="584" w:hanging="360"/>
      </w:pPr>
      <w:rPr>
        <w:rFonts w:ascii="Symbol" w:eastAsia="Symbol" w:hAnsi="Symbol" w:hint="default"/>
        <w:sz w:val="22"/>
        <w:szCs w:val="22"/>
      </w:rPr>
    </w:lvl>
    <w:lvl w:ilvl="1" w:tplc="904AFBE6">
      <w:start w:val="1"/>
      <w:numFmt w:val="bullet"/>
      <w:lvlText w:val=""/>
      <w:lvlJc w:val="left"/>
      <w:pPr>
        <w:ind w:left="944" w:hanging="360"/>
      </w:pPr>
      <w:rPr>
        <w:rFonts w:ascii="Symbol" w:eastAsia="Symbol" w:hAnsi="Symbol" w:hint="default"/>
        <w:sz w:val="22"/>
        <w:szCs w:val="22"/>
      </w:rPr>
    </w:lvl>
    <w:lvl w:ilvl="2" w:tplc="61CC51FA">
      <w:start w:val="1"/>
      <w:numFmt w:val="bullet"/>
      <w:lvlText w:val="•"/>
      <w:lvlJc w:val="left"/>
      <w:pPr>
        <w:ind w:left="1424" w:hanging="360"/>
      </w:pPr>
      <w:rPr>
        <w:rFonts w:hint="default"/>
      </w:rPr>
    </w:lvl>
    <w:lvl w:ilvl="3" w:tplc="47E6C16C">
      <w:start w:val="1"/>
      <w:numFmt w:val="bullet"/>
      <w:lvlText w:val="•"/>
      <w:lvlJc w:val="left"/>
      <w:pPr>
        <w:ind w:left="1905" w:hanging="360"/>
      </w:pPr>
      <w:rPr>
        <w:rFonts w:hint="default"/>
      </w:rPr>
    </w:lvl>
    <w:lvl w:ilvl="4" w:tplc="D8223A7A">
      <w:start w:val="1"/>
      <w:numFmt w:val="bullet"/>
      <w:lvlText w:val="•"/>
      <w:lvlJc w:val="left"/>
      <w:pPr>
        <w:ind w:left="2386" w:hanging="360"/>
      </w:pPr>
      <w:rPr>
        <w:rFonts w:hint="default"/>
      </w:rPr>
    </w:lvl>
    <w:lvl w:ilvl="5" w:tplc="B6905B62">
      <w:start w:val="1"/>
      <w:numFmt w:val="bullet"/>
      <w:lvlText w:val="•"/>
      <w:lvlJc w:val="left"/>
      <w:pPr>
        <w:ind w:left="2867" w:hanging="360"/>
      </w:pPr>
      <w:rPr>
        <w:rFonts w:hint="default"/>
      </w:rPr>
    </w:lvl>
    <w:lvl w:ilvl="6" w:tplc="2BBE6180">
      <w:start w:val="1"/>
      <w:numFmt w:val="bullet"/>
      <w:lvlText w:val="•"/>
      <w:lvlJc w:val="left"/>
      <w:pPr>
        <w:ind w:left="3348" w:hanging="360"/>
      </w:pPr>
      <w:rPr>
        <w:rFonts w:hint="default"/>
      </w:rPr>
    </w:lvl>
    <w:lvl w:ilvl="7" w:tplc="049054EA">
      <w:start w:val="1"/>
      <w:numFmt w:val="bullet"/>
      <w:lvlText w:val="•"/>
      <w:lvlJc w:val="left"/>
      <w:pPr>
        <w:ind w:left="3829" w:hanging="360"/>
      </w:pPr>
      <w:rPr>
        <w:rFonts w:hint="default"/>
      </w:rPr>
    </w:lvl>
    <w:lvl w:ilvl="8" w:tplc="EBA23362">
      <w:start w:val="1"/>
      <w:numFmt w:val="bullet"/>
      <w:lvlText w:val="•"/>
      <w:lvlJc w:val="left"/>
      <w:pPr>
        <w:ind w:left="4310" w:hanging="360"/>
      </w:pPr>
      <w:rPr>
        <w:rFonts w:hint="default"/>
      </w:rPr>
    </w:lvl>
  </w:abstractNum>
  <w:abstractNum w:abstractNumId="26" w15:restartNumberingAfterBreak="0">
    <w:nsid w:val="0F4A4AA0"/>
    <w:multiLevelType w:val="hybridMultilevel"/>
    <w:tmpl w:val="478A0D6A"/>
    <w:lvl w:ilvl="0" w:tplc="07989ACE">
      <w:start w:val="3"/>
      <w:numFmt w:val="decimal"/>
      <w:lvlText w:val="%1)"/>
      <w:lvlJc w:val="left"/>
      <w:pPr>
        <w:ind w:left="295" w:hanging="185"/>
      </w:pPr>
      <w:rPr>
        <w:rFonts w:hint="default"/>
        <w:highlight w:val="lightGray"/>
      </w:rPr>
    </w:lvl>
    <w:lvl w:ilvl="1" w:tplc="47864BDE">
      <w:start w:val="1"/>
      <w:numFmt w:val="bullet"/>
      <w:lvlText w:val="•"/>
      <w:lvlJc w:val="left"/>
      <w:pPr>
        <w:ind w:left="1222" w:hanging="185"/>
      </w:pPr>
      <w:rPr>
        <w:rFonts w:hint="default"/>
      </w:rPr>
    </w:lvl>
    <w:lvl w:ilvl="2" w:tplc="DDA24B70">
      <w:start w:val="1"/>
      <w:numFmt w:val="bullet"/>
      <w:lvlText w:val="•"/>
      <w:lvlJc w:val="left"/>
      <w:pPr>
        <w:ind w:left="2148" w:hanging="185"/>
      </w:pPr>
      <w:rPr>
        <w:rFonts w:hint="default"/>
      </w:rPr>
    </w:lvl>
    <w:lvl w:ilvl="3" w:tplc="767261B8">
      <w:start w:val="1"/>
      <w:numFmt w:val="bullet"/>
      <w:lvlText w:val="•"/>
      <w:lvlJc w:val="left"/>
      <w:pPr>
        <w:ind w:left="3075" w:hanging="185"/>
      </w:pPr>
      <w:rPr>
        <w:rFonts w:hint="default"/>
      </w:rPr>
    </w:lvl>
    <w:lvl w:ilvl="4" w:tplc="3A262082">
      <w:start w:val="1"/>
      <w:numFmt w:val="bullet"/>
      <w:lvlText w:val="•"/>
      <w:lvlJc w:val="left"/>
      <w:pPr>
        <w:ind w:left="4001" w:hanging="185"/>
      </w:pPr>
      <w:rPr>
        <w:rFonts w:hint="default"/>
      </w:rPr>
    </w:lvl>
    <w:lvl w:ilvl="5" w:tplc="82B601B6">
      <w:start w:val="1"/>
      <w:numFmt w:val="bullet"/>
      <w:lvlText w:val="•"/>
      <w:lvlJc w:val="left"/>
      <w:pPr>
        <w:ind w:left="4928" w:hanging="185"/>
      </w:pPr>
      <w:rPr>
        <w:rFonts w:hint="default"/>
      </w:rPr>
    </w:lvl>
    <w:lvl w:ilvl="6" w:tplc="0AF2483C">
      <w:start w:val="1"/>
      <w:numFmt w:val="bullet"/>
      <w:lvlText w:val="•"/>
      <w:lvlJc w:val="left"/>
      <w:pPr>
        <w:ind w:left="5854" w:hanging="185"/>
      </w:pPr>
      <w:rPr>
        <w:rFonts w:hint="default"/>
      </w:rPr>
    </w:lvl>
    <w:lvl w:ilvl="7" w:tplc="B4B8AB9C">
      <w:start w:val="1"/>
      <w:numFmt w:val="bullet"/>
      <w:lvlText w:val="•"/>
      <w:lvlJc w:val="left"/>
      <w:pPr>
        <w:ind w:left="6780" w:hanging="185"/>
      </w:pPr>
      <w:rPr>
        <w:rFonts w:hint="default"/>
      </w:rPr>
    </w:lvl>
    <w:lvl w:ilvl="8" w:tplc="19ECCE0E">
      <w:start w:val="1"/>
      <w:numFmt w:val="bullet"/>
      <w:lvlText w:val="•"/>
      <w:lvlJc w:val="left"/>
      <w:pPr>
        <w:ind w:left="7707" w:hanging="185"/>
      </w:pPr>
      <w:rPr>
        <w:rFonts w:hint="default"/>
      </w:rPr>
    </w:lvl>
  </w:abstractNum>
  <w:abstractNum w:abstractNumId="27" w15:restartNumberingAfterBreak="0">
    <w:nsid w:val="0FAA2FDE"/>
    <w:multiLevelType w:val="hybridMultilevel"/>
    <w:tmpl w:val="3D02C536"/>
    <w:lvl w:ilvl="0" w:tplc="184443DA">
      <w:start w:val="1"/>
      <w:numFmt w:val="bullet"/>
      <w:lvlText w:val="•"/>
      <w:lvlJc w:val="left"/>
      <w:pPr>
        <w:ind w:left="1024" w:hanging="400"/>
      </w:pPr>
      <w:rPr>
        <w:rFonts w:ascii="Times New Roman" w:eastAsia="Times New Roman" w:hAnsi="Times New Roman" w:hint="default"/>
        <w:sz w:val="22"/>
        <w:szCs w:val="22"/>
      </w:rPr>
    </w:lvl>
    <w:lvl w:ilvl="1" w:tplc="94449438" w:tentative="1">
      <w:start w:val="1"/>
      <w:numFmt w:val="bullet"/>
      <w:lvlText w:val=""/>
      <w:lvlJc w:val="left"/>
      <w:pPr>
        <w:ind w:left="1424" w:hanging="400"/>
      </w:pPr>
      <w:rPr>
        <w:rFonts w:ascii="Wingdings" w:hAnsi="Wingdings" w:hint="default"/>
      </w:rPr>
    </w:lvl>
    <w:lvl w:ilvl="2" w:tplc="A74A6108" w:tentative="1">
      <w:start w:val="1"/>
      <w:numFmt w:val="bullet"/>
      <w:lvlText w:val=""/>
      <w:lvlJc w:val="left"/>
      <w:pPr>
        <w:ind w:left="1824" w:hanging="400"/>
      </w:pPr>
      <w:rPr>
        <w:rFonts w:ascii="Wingdings" w:hAnsi="Wingdings" w:hint="default"/>
      </w:rPr>
    </w:lvl>
    <w:lvl w:ilvl="3" w:tplc="EE746E24" w:tentative="1">
      <w:start w:val="1"/>
      <w:numFmt w:val="bullet"/>
      <w:lvlText w:val=""/>
      <w:lvlJc w:val="left"/>
      <w:pPr>
        <w:ind w:left="2224" w:hanging="400"/>
      </w:pPr>
      <w:rPr>
        <w:rFonts w:ascii="Wingdings" w:hAnsi="Wingdings" w:hint="default"/>
      </w:rPr>
    </w:lvl>
    <w:lvl w:ilvl="4" w:tplc="D8361FAE" w:tentative="1">
      <w:start w:val="1"/>
      <w:numFmt w:val="bullet"/>
      <w:lvlText w:val=""/>
      <w:lvlJc w:val="left"/>
      <w:pPr>
        <w:ind w:left="2624" w:hanging="400"/>
      </w:pPr>
      <w:rPr>
        <w:rFonts w:ascii="Wingdings" w:hAnsi="Wingdings" w:hint="default"/>
      </w:rPr>
    </w:lvl>
    <w:lvl w:ilvl="5" w:tplc="DFE6388C" w:tentative="1">
      <w:start w:val="1"/>
      <w:numFmt w:val="bullet"/>
      <w:lvlText w:val=""/>
      <w:lvlJc w:val="left"/>
      <w:pPr>
        <w:ind w:left="3024" w:hanging="400"/>
      </w:pPr>
      <w:rPr>
        <w:rFonts w:ascii="Wingdings" w:hAnsi="Wingdings" w:hint="default"/>
      </w:rPr>
    </w:lvl>
    <w:lvl w:ilvl="6" w:tplc="DFCC30AA" w:tentative="1">
      <w:start w:val="1"/>
      <w:numFmt w:val="bullet"/>
      <w:lvlText w:val=""/>
      <w:lvlJc w:val="left"/>
      <w:pPr>
        <w:ind w:left="3424" w:hanging="400"/>
      </w:pPr>
      <w:rPr>
        <w:rFonts w:ascii="Wingdings" w:hAnsi="Wingdings" w:hint="default"/>
      </w:rPr>
    </w:lvl>
    <w:lvl w:ilvl="7" w:tplc="3DFC388E" w:tentative="1">
      <w:start w:val="1"/>
      <w:numFmt w:val="bullet"/>
      <w:lvlText w:val=""/>
      <w:lvlJc w:val="left"/>
      <w:pPr>
        <w:ind w:left="3824" w:hanging="400"/>
      </w:pPr>
      <w:rPr>
        <w:rFonts w:ascii="Wingdings" w:hAnsi="Wingdings" w:hint="default"/>
      </w:rPr>
    </w:lvl>
    <w:lvl w:ilvl="8" w:tplc="0A048DEC" w:tentative="1">
      <w:start w:val="1"/>
      <w:numFmt w:val="bullet"/>
      <w:lvlText w:val=""/>
      <w:lvlJc w:val="left"/>
      <w:pPr>
        <w:ind w:left="4224" w:hanging="400"/>
      </w:pPr>
      <w:rPr>
        <w:rFonts w:ascii="Wingdings" w:hAnsi="Wingdings" w:hint="default"/>
      </w:rPr>
    </w:lvl>
  </w:abstractNum>
  <w:abstractNum w:abstractNumId="28" w15:restartNumberingAfterBreak="0">
    <w:nsid w:val="101413E8"/>
    <w:multiLevelType w:val="hybridMultilevel"/>
    <w:tmpl w:val="E4B46054"/>
    <w:lvl w:ilvl="0" w:tplc="45DC706A">
      <w:start w:val="1"/>
      <w:numFmt w:val="bullet"/>
      <w:lvlText w:val="o"/>
      <w:lvlJc w:val="left"/>
      <w:pPr>
        <w:ind w:left="1244" w:hanging="567"/>
      </w:pPr>
      <w:rPr>
        <w:rFonts w:ascii="Courier New" w:eastAsia="Courier New" w:hAnsi="Courier New" w:hint="default"/>
        <w:sz w:val="22"/>
        <w:szCs w:val="22"/>
      </w:rPr>
    </w:lvl>
    <w:lvl w:ilvl="1" w:tplc="1E7CEF90">
      <w:start w:val="1"/>
      <w:numFmt w:val="bullet"/>
      <w:lvlText w:val="•"/>
      <w:lvlJc w:val="left"/>
      <w:pPr>
        <w:ind w:left="2077" w:hanging="567"/>
      </w:pPr>
      <w:rPr>
        <w:rFonts w:hint="default"/>
      </w:rPr>
    </w:lvl>
    <w:lvl w:ilvl="2" w:tplc="EF5C3F4A">
      <w:start w:val="1"/>
      <w:numFmt w:val="bullet"/>
      <w:lvlText w:val="•"/>
      <w:lvlJc w:val="left"/>
      <w:pPr>
        <w:ind w:left="2911" w:hanging="567"/>
      </w:pPr>
      <w:rPr>
        <w:rFonts w:hint="default"/>
      </w:rPr>
    </w:lvl>
    <w:lvl w:ilvl="3" w:tplc="78FA8B10">
      <w:start w:val="1"/>
      <w:numFmt w:val="bullet"/>
      <w:lvlText w:val="•"/>
      <w:lvlJc w:val="left"/>
      <w:pPr>
        <w:ind w:left="3744" w:hanging="567"/>
      </w:pPr>
      <w:rPr>
        <w:rFonts w:hint="default"/>
      </w:rPr>
    </w:lvl>
    <w:lvl w:ilvl="4" w:tplc="591CEB82">
      <w:start w:val="1"/>
      <w:numFmt w:val="bullet"/>
      <w:lvlText w:val="•"/>
      <w:lvlJc w:val="left"/>
      <w:pPr>
        <w:ind w:left="4578" w:hanging="567"/>
      </w:pPr>
      <w:rPr>
        <w:rFonts w:hint="default"/>
      </w:rPr>
    </w:lvl>
    <w:lvl w:ilvl="5" w:tplc="7D92C096">
      <w:start w:val="1"/>
      <w:numFmt w:val="bullet"/>
      <w:lvlText w:val="•"/>
      <w:lvlJc w:val="left"/>
      <w:pPr>
        <w:ind w:left="5412" w:hanging="567"/>
      </w:pPr>
      <w:rPr>
        <w:rFonts w:hint="default"/>
      </w:rPr>
    </w:lvl>
    <w:lvl w:ilvl="6" w:tplc="AF90BA4E">
      <w:start w:val="1"/>
      <w:numFmt w:val="bullet"/>
      <w:lvlText w:val="•"/>
      <w:lvlJc w:val="left"/>
      <w:pPr>
        <w:ind w:left="6245" w:hanging="567"/>
      </w:pPr>
      <w:rPr>
        <w:rFonts w:hint="default"/>
      </w:rPr>
    </w:lvl>
    <w:lvl w:ilvl="7" w:tplc="E1FC358C">
      <w:start w:val="1"/>
      <w:numFmt w:val="bullet"/>
      <w:lvlText w:val="•"/>
      <w:lvlJc w:val="left"/>
      <w:pPr>
        <w:ind w:left="7079" w:hanging="567"/>
      </w:pPr>
      <w:rPr>
        <w:rFonts w:hint="default"/>
      </w:rPr>
    </w:lvl>
    <w:lvl w:ilvl="8" w:tplc="A69E980A">
      <w:start w:val="1"/>
      <w:numFmt w:val="bullet"/>
      <w:lvlText w:val="•"/>
      <w:lvlJc w:val="left"/>
      <w:pPr>
        <w:ind w:left="7912" w:hanging="567"/>
      </w:pPr>
      <w:rPr>
        <w:rFonts w:hint="default"/>
      </w:rPr>
    </w:lvl>
  </w:abstractNum>
  <w:abstractNum w:abstractNumId="29" w15:restartNumberingAfterBreak="0">
    <w:nsid w:val="1225413B"/>
    <w:multiLevelType w:val="hybridMultilevel"/>
    <w:tmpl w:val="339C2F6A"/>
    <w:lvl w:ilvl="0" w:tplc="65E8E2F4">
      <w:start w:val="1"/>
      <w:numFmt w:val="decimal"/>
      <w:lvlText w:val="%1."/>
      <w:lvlJc w:val="left"/>
      <w:pPr>
        <w:ind w:hanging="562"/>
      </w:pPr>
      <w:rPr>
        <w:rFonts w:ascii="Times New Roman" w:eastAsia="Times New Roman" w:hAnsi="Times New Roman" w:hint="default"/>
        <w:b/>
        <w:bCs/>
        <w:sz w:val="22"/>
        <w:szCs w:val="22"/>
      </w:rPr>
    </w:lvl>
    <w:lvl w:ilvl="1" w:tplc="6F08019C">
      <w:start w:val="1"/>
      <w:numFmt w:val="bullet"/>
      <w:lvlText w:val="•"/>
      <w:lvlJc w:val="left"/>
      <w:rPr>
        <w:rFonts w:hint="default"/>
      </w:rPr>
    </w:lvl>
    <w:lvl w:ilvl="2" w:tplc="23560242">
      <w:start w:val="1"/>
      <w:numFmt w:val="bullet"/>
      <w:lvlText w:val="•"/>
      <w:lvlJc w:val="left"/>
      <w:rPr>
        <w:rFonts w:hint="default"/>
      </w:rPr>
    </w:lvl>
    <w:lvl w:ilvl="3" w:tplc="E7AC6104">
      <w:start w:val="1"/>
      <w:numFmt w:val="bullet"/>
      <w:lvlText w:val="•"/>
      <w:lvlJc w:val="left"/>
      <w:rPr>
        <w:rFonts w:hint="default"/>
      </w:rPr>
    </w:lvl>
    <w:lvl w:ilvl="4" w:tplc="47D06596">
      <w:start w:val="1"/>
      <w:numFmt w:val="bullet"/>
      <w:lvlText w:val="•"/>
      <w:lvlJc w:val="left"/>
      <w:rPr>
        <w:rFonts w:hint="default"/>
      </w:rPr>
    </w:lvl>
    <w:lvl w:ilvl="5" w:tplc="A73C441C">
      <w:start w:val="1"/>
      <w:numFmt w:val="bullet"/>
      <w:lvlText w:val="•"/>
      <w:lvlJc w:val="left"/>
      <w:rPr>
        <w:rFonts w:hint="default"/>
      </w:rPr>
    </w:lvl>
    <w:lvl w:ilvl="6" w:tplc="5AB40CC4">
      <w:start w:val="1"/>
      <w:numFmt w:val="bullet"/>
      <w:lvlText w:val="•"/>
      <w:lvlJc w:val="left"/>
      <w:rPr>
        <w:rFonts w:hint="default"/>
      </w:rPr>
    </w:lvl>
    <w:lvl w:ilvl="7" w:tplc="3B0241C0">
      <w:start w:val="1"/>
      <w:numFmt w:val="bullet"/>
      <w:lvlText w:val="•"/>
      <w:lvlJc w:val="left"/>
      <w:rPr>
        <w:rFonts w:hint="default"/>
      </w:rPr>
    </w:lvl>
    <w:lvl w:ilvl="8" w:tplc="ADF405DA">
      <w:start w:val="1"/>
      <w:numFmt w:val="bullet"/>
      <w:lvlText w:val="•"/>
      <w:lvlJc w:val="left"/>
      <w:rPr>
        <w:rFonts w:hint="default"/>
      </w:rPr>
    </w:lvl>
  </w:abstractNum>
  <w:abstractNum w:abstractNumId="30" w15:restartNumberingAfterBreak="0">
    <w:nsid w:val="137774C6"/>
    <w:multiLevelType w:val="hybridMultilevel"/>
    <w:tmpl w:val="F08486F8"/>
    <w:lvl w:ilvl="0" w:tplc="60C4D592">
      <w:start w:val="1"/>
      <w:numFmt w:val="decimal"/>
      <w:lvlText w:val="%1."/>
      <w:lvlJc w:val="left"/>
      <w:pPr>
        <w:ind w:left="360" w:hanging="360"/>
      </w:pPr>
      <w:rPr>
        <w:rFonts w:ascii="Times New Roman" w:hAnsi="Times New Roman" w:cs="Times New Roman" w:hint="default"/>
        <w:b/>
      </w:rPr>
    </w:lvl>
    <w:lvl w:ilvl="1" w:tplc="B914E23E" w:tentative="1">
      <w:start w:val="1"/>
      <w:numFmt w:val="upperLetter"/>
      <w:lvlText w:val="%2."/>
      <w:lvlJc w:val="left"/>
      <w:pPr>
        <w:ind w:left="800" w:hanging="400"/>
      </w:pPr>
    </w:lvl>
    <w:lvl w:ilvl="2" w:tplc="1C88FE72" w:tentative="1">
      <w:start w:val="1"/>
      <w:numFmt w:val="lowerRoman"/>
      <w:lvlText w:val="%3."/>
      <w:lvlJc w:val="right"/>
      <w:pPr>
        <w:ind w:left="1200" w:hanging="400"/>
      </w:pPr>
    </w:lvl>
    <w:lvl w:ilvl="3" w:tplc="1C822FFC" w:tentative="1">
      <w:start w:val="1"/>
      <w:numFmt w:val="decimal"/>
      <w:lvlText w:val="%4."/>
      <w:lvlJc w:val="left"/>
      <w:pPr>
        <w:ind w:left="1600" w:hanging="400"/>
      </w:pPr>
    </w:lvl>
    <w:lvl w:ilvl="4" w:tplc="4212FFD6" w:tentative="1">
      <w:start w:val="1"/>
      <w:numFmt w:val="upperLetter"/>
      <w:lvlText w:val="%5."/>
      <w:lvlJc w:val="left"/>
      <w:pPr>
        <w:ind w:left="2000" w:hanging="400"/>
      </w:pPr>
    </w:lvl>
    <w:lvl w:ilvl="5" w:tplc="48D232C6" w:tentative="1">
      <w:start w:val="1"/>
      <w:numFmt w:val="lowerRoman"/>
      <w:lvlText w:val="%6."/>
      <w:lvlJc w:val="right"/>
      <w:pPr>
        <w:ind w:left="2400" w:hanging="400"/>
      </w:pPr>
    </w:lvl>
    <w:lvl w:ilvl="6" w:tplc="51FEE4CE" w:tentative="1">
      <w:start w:val="1"/>
      <w:numFmt w:val="decimal"/>
      <w:lvlText w:val="%7."/>
      <w:lvlJc w:val="left"/>
      <w:pPr>
        <w:ind w:left="2800" w:hanging="400"/>
      </w:pPr>
    </w:lvl>
    <w:lvl w:ilvl="7" w:tplc="4F90D812" w:tentative="1">
      <w:start w:val="1"/>
      <w:numFmt w:val="upperLetter"/>
      <w:lvlText w:val="%8."/>
      <w:lvlJc w:val="left"/>
      <w:pPr>
        <w:ind w:left="3200" w:hanging="400"/>
      </w:pPr>
    </w:lvl>
    <w:lvl w:ilvl="8" w:tplc="E8BAB232" w:tentative="1">
      <w:start w:val="1"/>
      <w:numFmt w:val="lowerRoman"/>
      <w:lvlText w:val="%9."/>
      <w:lvlJc w:val="right"/>
      <w:pPr>
        <w:ind w:left="3600" w:hanging="400"/>
      </w:pPr>
    </w:lvl>
  </w:abstractNum>
  <w:abstractNum w:abstractNumId="31" w15:restartNumberingAfterBreak="0">
    <w:nsid w:val="13F542FC"/>
    <w:multiLevelType w:val="hybridMultilevel"/>
    <w:tmpl w:val="E278AD72"/>
    <w:lvl w:ilvl="0" w:tplc="D5DAA636">
      <w:start w:val="6"/>
      <w:numFmt w:val="decimal"/>
      <w:lvlText w:val="%1."/>
      <w:lvlJc w:val="left"/>
      <w:pPr>
        <w:ind w:left="677" w:hanging="567"/>
      </w:pPr>
      <w:rPr>
        <w:rFonts w:ascii="Times New Roman" w:eastAsia="Times New Roman" w:hAnsi="Times New Roman" w:hint="default"/>
        <w:sz w:val="22"/>
        <w:szCs w:val="22"/>
      </w:rPr>
    </w:lvl>
    <w:lvl w:ilvl="1" w:tplc="D7AA3520">
      <w:start w:val="1"/>
      <w:numFmt w:val="bullet"/>
      <w:lvlText w:val="•"/>
      <w:lvlJc w:val="left"/>
      <w:pPr>
        <w:ind w:left="1567" w:hanging="567"/>
      </w:pPr>
      <w:rPr>
        <w:rFonts w:hint="default"/>
      </w:rPr>
    </w:lvl>
    <w:lvl w:ilvl="2" w:tplc="75606F30">
      <w:start w:val="1"/>
      <w:numFmt w:val="bullet"/>
      <w:lvlText w:val="•"/>
      <w:lvlJc w:val="left"/>
      <w:pPr>
        <w:ind w:left="2458" w:hanging="567"/>
      </w:pPr>
      <w:rPr>
        <w:rFonts w:hint="default"/>
      </w:rPr>
    </w:lvl>
    <w:lvl w:ilvl="3" w:tplc="E6224232">
      <w:start w:val="1"/>
      <w:numFmt w:val="bullet"/>
      <w:lvlText w:val="•"/>
      <w:lvlJc w:val="left"/>
      <w:pPr>
        <w:ind w:left="3348" w:hanging="567"/>
      </w:pPr>
      <w:rPr>
        <w:rFonts w:hint="default"/>
      </w:rPr>
    </w:lvl>
    <w:lvl w:ilvl="4" w:tplc="D62CD532">
      <w:start w:val="1"/>
      <w:numFmt w:val="bullet"/>
      <w:lvlText w:val="•"/>
      <w:lvlJc w:val="left"/>
      <w:pPr>
        <w:ind w:left="4238" w:hanging="567"/>
      </w:pPr>
      <w:rPr>
        <w:rFonts w:hint="default"/>
      </w:rPr>
    </w:lvl>
    <w:lvl w:ilvl="5" w:tplc="8ECA429E">
      <w:start w:val="1"/>
      <w:numFmt w:val="bullet"/>
      <w:lvlText w:val="•"/>
      <w:lvlJc w:val="left"/>
      <w:pPr>
        <w:ind w:left="5128" w:hanging="567"/>
      </w:pPr>
      <w:rPr>
        <w:rFonts w:hint="default"/>
      </w:rPr>
    </w:lvl>
    <w:lvl w:ilvl="6" w:tplc="35C0871C">
      <w:start w:val="1"/>
      <w:numFmt w:val="bullet"/>
      <w:lvlText w:val="•"/>
      <w:lvlJc w:val="left"/>
      <w:pPr>
        <w:ind w:left="6019" w:hanging="567"/>
      </w:pPr>
      <w:rPr>
        <w:rFonts w:hint="default"/>
      </w:rPr>
    </w:lvl>
    <w:lvl w:ilvl="7" w:tplc="DAC68CC8">
      <w:start w:val="1"/>
      <w:numFmt w:val="bullet"/>
      <w:lvlText w:val="•"/>
      <w:lvlJc w:val="left"/>
      <w:pPr>
        <w:ind w:left="6909" w:hanging="567"/>
      </w:pPr>
      <w:rPr>
        <w:rFonts w:hint="default"/>
      </w:rPr>
    </w:lvl>
    <w:lvl w:ilvl="8" w:tplc="509CDB32">
      <w:start w:val="1"/>
      <w:numFmt w:val="bullet"/>
      <w:lvlText w:val="•"/>
      <w:lvlJc w:val="left"/>
      <w:pPr>
        <w:ind w:left="7799" w:hanging="567"/>
      </w:pPr>
      <w:rPr>
        <w:rFonts w:hint="default"/>
      </w:rPr>
    </w:lvl>
  </w:abstractNum>
  <w:abstractNum w:abstractNumId="32" w15:restartNumberingAfterBreak="0">
    <w:nsid w:val="141D4C66"/>
    <w:multiLevelType w:val="hybridMultilevel"/>
    <w:tmpl w:val="5ED0E810"/>
    <w:lvl w:ilvl="0" w:tplc="AF586D68">
      <w:start w:val="1"/>
      <w:numFmt w:val="bullet"/>
      <w:lvlText w:val=""/>
      <w:lvlJc w:val="left"/>
      <w:pPr>
        <w:ind w:left="720" w:hanging="360"/>
      </w:pPr>
      <w:rPr>
        <w:rFonts w:ascii="Symbol" w:hAnsi="Symbol" w:hint="default"/>
      </w:rPr>
    </w:lvl>
    <w:lvl w:ilvl="1" w:tplc="CC3EE8AE" w:tentative="1">
      <w:start w:val="1"/>
      <w:numFmt w:val="bullet"/>
      <w:lvlText w:val="o"/>
      <w:lvlJc w:val="left"/>
      <w:pPr>
        <w:ind w:left="1440" w:hanging="360"/>
      </w:pPr>
      <w:rPr>
        <w:rFonts w:ascii="Courier New" w:hAnsi="Courier New" w:cs="Courier New" w:hint="default"/>
      </w:rPr>
    </w:lvl>
    <w:lvl w:ilvl="2" w:tplc="E6609136" w:tentative="1">
      <w:start w:val="1"/>
      <w:numFmt w:val="bullet"/>
      <w:lvlText w:val=""/>
      <w:lvlJc w:val="left"/>
      <w:pPr>
        <w:ind w:left="2160" w:hanging="360"/>
      </w:pPr>
      <w:rPr>
        <w:rFonts w:ascii="Wingdings" w:hAnsi="Wingdings" w:hint="default"/>
      </w:rPr>
    </w:lvl>
    <w:lvl w:ilvl="3" w:tplc="6ACC9780" w:tentative="1">
      <w:start w:val="1"/>
      <w:numFmt w:val="bullet"/>
      <w:lvlText w:val=""/>
      <w:lvlJc w:val="left"/>
      <w:pPr>
        <w:ind w:left="2880" w:hanging="360"/>
      </w:pPr>
      <w:rPr>
        <w:rFonts w:ascii="Symbol" w:hAnsi="Symbol" w:hint="default"/>
      </w:rPr>
    </w:lvl>
    <w:lvl w:ilvl="4" w:tplc="9F22767E" w:tentative="1">
      <w:start w:val="1"/>
      <w:numFmt w:val="bullet"/>
      <w:lvlText w:val="o"/>
      <w:lvlJc w:val="left"/>
      <w:pPr>
        <w:ind w:left="3600" w:hanging="360"/>
      </w:pPr>
      <w:rPr>
        <w:rFonts w:ascii="Courier New" w:hAnsi="Courier New" w:cs="Courier New" w:hint="default"/>
      </w:rPr>
    </w:lvl>
    <w:lvl w:ilvl="5" w:tplc="4BBAB542" w:tentative="1">
      <w:start w:val="1"/>
      <w:numFmt w:val="bullet"/>
      <w:lvlText w:val=""/>
      <w:lvlJc w:val="left"/>
      <w:pPr>
        <w:ind w:left="4320" w:hanging="360"/>
      </w:pPr>
      <w:rPr>
        <w:rFonts w:ascii="Wingdings" w:hAnsi="Wingdings" w:hint="default"/>
      </w:rPr>
    </w:lvl>
    <w:lvl w:ilvl="6" w:tplc="4C6C5E02" w:tentative="1">
      <w:start w:val="1"/>
      <w:numFmt w:val="bullet"/>
      <w:lvlText w:val=""/>
      <w:lvlJc w:val="left"/>
      <w:pPr>
        <w:ind w:left="5040" w:hanging="360"/>
      </w:pPr>
      <w:rPr>
        <w:rFonts w:ascii="Symbol" w:hAnsi="Symbol" w:hint="default"/>
      </w:rPr>
    </w:lvl>
    <w:lvl w:ilvl="7" w:tplc="D21AC97E" w:tentative="1">
      <w:start w:val="1"/>
      <w:numFmt w:val="bullet"/>
      <w:lvlText w:val="o"/>
      <w:lvlJc w:val="left"/>
      <w:pPr>
        <w:ind w:left="5760" w:hanging="360"/>
      </w:pPr>
      <w:rPr>
        <w:rFonts w:ascii="Courier New" w:hAnsi="Courier New" w:cs="Courier New" w:hint="default"/>
      </w:rPr>
    </w:lvl>
    <w:lvl w:ilvl="8" w:tplc="8AAC4D5E" w:tentative="1">
      <w:start w:val="1"/>
      <w:numFmt w:val="bullet"/>
      <w:lvlText w:val=""/>
      <w:lvlJc w:val="left"/>
      <w:pPr>
        <w:ind w:left="6480" w:hanging="360"/>
      </w:pPr>
      <w:rPr>
        <w:rFonts w:ascii="Wingdings" w:hAnsi="Wingdings" w:hint="default"/>
      </w:rPr>
    </w:lvl>
  </w:abstractNum>
  <w:abstractNum w:abstractNumId="33" w15:restartNumberingAfterBreak="0">
    <w:nsid w:val="142805C3"/>
    <w:multiLevelType w:val="multilevel"/>
    <w:tmpl w:val="EF18197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34" w15:restartNumberingAfterBreak="0">
    <w:nsid w:val="1573096C"/>
    <w:multiLevelType w:val="hybridMultilevel"/>
    <w:tmpl w:val="339C2F6A"/>
    <w:lvl w:ilvl="0" w:tplc="42E22998">
      <w:start w:val="1"/>
      <w:numFmt w:val="decimal"/>
      <w:lvlText w:val="%1."/>
      <w:lvlJc w:val="left"/>
      <w:pPr>
        <w:ind w:hanging="562"/>
      </w:pPr>
      <w:rPr>
        <w:rFonts w:ascii="Times New Roman" w:eastAsia="Times New Roman" w:hAnsi="Times New Roman" w:hint="default"/>
        <w:b/>
        <w:bCs/>
        <w:sz w:val="22"/>
        <w:szCs w:val="22"/>
      </w:rPr>
    </w:lvl>
    <w:lvl w:ilvl="1" w:tplc="2D628852">
      <w:start w:val="1"/>
      <w:numFmt w:val="bullet"/>
      <w:lvlText w:val="•"/>
      <w:lvlJc w:val="left"/>
      <w:rPr>
        <w:rFonts w:hint="default"/>
      </w:rPr>
    </w:lvl>
    <w:lvl w:ilvl="2" w:tplc="3BCC744E">
      <w:start w:val="1"/>
      <w:numFmt w:val="bullet"/>
      <w:lvlText w:val="•"/>
      <w:lvlJc w:val="left"/>
      <w:rPr>
        <w:rFonts w:hint="default"/>
      </w:rPr>
    </w:lvl>
    <w:lvl w:ilvl="3" w:tplc="6E122888">
      <w:start w:val="1"/>
      <w:numFmt w:val="bullet"/>
      <w:lvlText w:val="•"/>
      <w:lvlJc w:val="left"/>
      <w:rPr>
        <w:rFonts w:hint="default"/>
      </w:rPr>
    </w:lvl>
    <w:lvl w:ilvl="4" w:tplc="39004736">
      <w:start w:val="1"/>
      <w:numFmt w:val="bullet"/>
      <w:lvlText w:val="•"/>
      <w:lvlJc w:val="left"/>
      <w:rPr>
        <w:rFonts w:hint="default"/>
      </w:rPr>
    </w:lvl>
    <w:lvl w:ilvl="5" w:tplc="34F4ED50">
      <w:start w:val="1"/>
      <w:numFmt w:val="bullet"/>
      <w:lvlText w:val="•"/>
      <w:lvlJc w:val="left"/>
      <w:rPr>
        <w:rFonts w:hint="default"/>
      </w:rPr>
    </w:lvl>
    <w:lvl w:ilvl="6" w:tplc="DB7A71C0">
      <w:start w:val="1"/>
      <w:numFmt w:val="bullet"/>
      <w:lvlText w:val="•"/>
      <w:lvlJc w:val="left"/>
      <w:rPr>
        <w:rFonts w:hint="default"/>
      </w:rPr>
    </w:lvl>
    <w:lvl w:ilvl="7" w:tplc="51964392">
      <w:start w:val="1"/>
      <w:numFmt w:val="bullet"/>
      <w:lvlText w:val="•"/>
      <w:lvlJc w:val="left"/>
      <w:rPr>
        <w:rFonts w:hint="default"/>
      </w:rPr>
    </w:lvl>
    <w:lvl w:ilvl="8" w:tplc="BA3E9602">
      <w:start w:val="1"/>
      <w:numFmt w:val="bullet"/>
      <w:lvlText w:val="•"/>
      <w:lvlJc w:val="left"/>
      <w:rPr>
        <w:rFonts w:hint="default"/>
      </w:rPr>
    </w:lvl>
  </w:abstractNum>
  <w:abstractNum w:abstractNumId="35" w15:restartNumberingAfterBreak="0">
    <w:nsid w:val="15C83BD3"/>
    <w:multiLevelType w:val="multilevel"/>
    <w:tmpl w:val="FBB62B10"/>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36" w15:restartNumberingAfterBreak="0">
    <w:nsid w:val="160A2539"/>
    <w:multiLevelType w:val="hybridMultilevel"/>
    <w:tmpl w:val="B11621AC"/>
    <w:lvl w:ilvl="0" w:tplc="170A32F4">
      <w:start w:val="1"/>
      <w:numFmt w:val="decimal"/>
      <w:lvlText w:val="%1."/>
      <w:lvlJc w:val="left"/>
      <w:pPr>
        <w:ind w:left="805" w:hanging="360"/>
      </w:pPr>
      <w:rPr>
        <w:rFonts w:ascii="Times New Roman" w:hAnsi="Times New Roman" w:cs="Times New Roman" w:hint="default"/>
        <w:b/>
      </w:rPr>
    </w:lvl>
    <w:lvl w:ilvl="1" w:tplc="1B6EBDE6" w:tentative="1">
      <w:start w:val="1"/>
      <w:numFmt w:val="upperLetter"/>
      <w:lvlText w:val="%2."/>
      <w:lvlJc w:val="left"/>
      <w:pPr>
        <w:ind w:left="1245" w:hanging="400"/>
      </w:pPr>
    </w:lvl>
    <w:lvl w:ilvl="2" w:tplc="A5BCB3EE" w:tentative="1">
      <w:start w:val="1"/>
      <w:numFmt w:val="lowerRoman"/>
      <w:lvlText w:val="%3."/>
      <w:lvlJc w:val="right"/>
      <w:pPr>
        <w:ind w:left="1645" w:hanging="400"/>
      </w:pPr>
    </w:lvl>
    <w:lvl w:ilvl="3" w:tplc="4AA86A60" w:tentative="1">
      <w:start w:val="1"/>
      <w:numFmt w:val="decimal"/>
      <w:lvlText w:val="%4."/>
      <w:lvlJc w:val="left"/>
      <w:pPr>
        <w:ind w:left="2045" w:hanging="400"/>
      </w:pPr>
    </w:lvl>
    <w:lvl w:ilvl="4" w:tplc="847E3F3C" w:tentative="1">
      <w:start w:val="1"/>
      <w:numFmt w:val="upperLetter"/>
      <w:lvlText w:val="%5."/>
      <w:lvlJc w:val="left"/>
      <w:pPr>
        <w:ind w:left="2445" w:hanging="400"/>
      </w:pPr>
    </w:lvl>
    <w:lvl w:ilvl="5" w:tplc="66A8C776" w:tentative="1">
      <w:start w:val="1"/>
      <w:numFmt w:val="lowerRoman"/>
      <w:lvlText w:val="%6."/>
      <w:lvlJc w:val="right"/>
      <w:pPr>
        <w:ind w:left="2845" w:hanging="400"/>
      </w:pPr>
    </w:lvl>
    <w:lvl w:ilvl="6" w:tplc="AB72D112" w:tentative="1">
      <w:start w:val="1"/>
      <w:numFmt w:val="decimal"/>
      <w:lvlText w:val="%7."/>
      <w:lvlJc w:val="left"/>
      <w:pPr>
        <w:ind w:left="3245" w:hanging="400"/>
      </w:pPr>
    </w:lvl>
    <w:lvl w:ilvl="7" w:tplc="3B465728" w:tentative="1">
      <w:start w:val="1"/>
      <w:numFmt w:val="upperLetter"/>
      <w:lvlText w:val="%8."/>
      <w:lvlJc w:val="left"/>
      <w:pPr>
        <w:ind w:left="3645" w:hanging="400"/>
      </w:pPr>
    </w:lvl>
    <w:lvl w:ilvl="8" w:tplc="228E0CDA" w:tentative="1">
      <w:start w:val="1"/>
      <w:numFmt w:val="lowerRoman"/>
      <w:lvlText w:val="%9."/>
      <w:lvlJc w:val="right"/>
      <w:pPr>
        <w:ind w:left="4045" w:hanging="400"/>
      </w:pPr>
    </w:lvl>
  </w:abstractNum>
  <w:abstractNum w:abstractNumId="37" w15:restartNumberingAfterBreak="0">
    <w:nsid w:val="161F5682"/>
    <w:multiLevelType w:val="hybridMultilevel"/>
    <w:tmpl w:val="28A00D86"/>
    <w:lvl w:ilvl="0" w:tplc="65AAB8EE">
      <w:start w:val="1"/>
      <w:numFmt w:val="decimal"/>
      <w:lvlText w:val="%1."/>
      <w:lvlJc w:val="left"/>
      <w:pPr>
        <w:ind w:left="760" w:hanging="360"/>
      </w:pPr>
      <w:rPr>
        <w:rFonts w:hint="default"/>
      </w:rPr>
    </w:lvl>
    <w:lvl w:ilvl="1" w:tplc="F8709F64" w:tentative="1">
      <w:start w:val="1"/>
      <w:numFmt w:val="upperLetter"/>
      <w:lvlText w:val="%2."/>
      <w:lvlJc w:val="left"/>
      <w:pPr>
        <w:ind w:left="1200" w:hanging="400"/>
      </w:pPr>
    </w:lvl>
    <w:lvl w:ilvl="2" w:tplc="4FBC6638" w:tentative="1">
      <w:start w:val="1"/>
      <w:numFmt w:val="lowerRoman"/>
      <w:lvlText w:val="%3."/>
      <w:lvlJc w:val="right"/>
      <w:pPr>
        <w:ind w:left="1600" w:hanging="400"/>
      </w:pPr>
    </w:lvl>
    <w:lvl w:ilvl="3" w:tplc="F64C4968" w:tentative="1">
      <w:start w:val="1"/>
      <w:numFmt w:val="decimal"/>
      <w:lvlText w:val="%4."/>
      <w:lvlJc w:val="left"/>
      <w:pPr>
        <w:ind w:left="2000" w:hanging="400"/>
      </w:pPr>
    </w:lvl>
    <w:lvl w:ilvl="4" w:tplc="9C308B46" w:tentative="1">
      <w:start w:val="1"/>
      <w:numFmt w:val="upperLetter"/>
      <w:lvlText w:val="%5."/>
      <w:lvlJc w:val="left"/>
      <w:pPr>
        <w:ind w:left="2400" w:hanging="400"/>
      </w:pPr>
    </w:lvl>
    <w:lvl w:ilvl="5" w:tplc="5CC20F62" w:tentative="1">
      <w:start w:val="1"/>
      <w:numFmt w:val="lowerRoman"/>
      <w:lvlText w:val="%6."/>
      <w:lvlJc w:val="right"/>
      <w:pPr>
        <w:ind w:left="2800" w:hanging="400"/>
      </w:pPr>
    </w:lvl>
    <w:lvl w:ilvl="6" w:tplc="9742354A" w:tentative="1">
      <w:start w:val="1"/>
      <w:numFmt w:val="decimal"/>
      <w:lvlText w:val="%7."/>
      <w:lvlJc w:val="left"/>
      <w:pPr>
        <w:ind w:left="3200" w:hanging="400"/>
      </w:pPr>
    </w:lvl>
    <w:lvl w:ilvl="7" w:tplc="E432EF48" w:tentative="1">
      <w:start w:val="1"/>
      <w:numFmt w:val="upperLetter"/>
      <w:lvlText w:val="%8."/>
      <w:lvlJc w:val="left"/>
      <w:pPr>
        <w:ind w:left="3600" w:hanging="400"/>
      </w:pPr>
    </w:lvl>
    <w:lvl w:ilvl="8" w:tplc="54AE21DE" w:tentative="1">
      <w:start w:val="1"/>
      <w:numFmt w:val="lowerRoman"/>
      <w:lvlText w:val="%9."/>
      <w:lvlJc w:val="right"/>
      <w:pPr>
        <w:ind w:left="4000" w:hanging="400"/>
      </w:pPr>
    </w:lvl>
  </w:abstractNum>
  <w:abstractNum w:abstractNumId="38" w15:restartNumberingAfterBreak="0">
    <w:nsid w:val="16F73A6F"/>
    <w:multiLevelType w:val="hybridMultilevel"/>
    <w:tmpl w:val="339C2F6A"/>
    <w:lvl w:ilvl="0" w:tplc="42E22998">
      <w:start w:val="1"/>
      <w:numFmt w:val="decimal"/>
      <w:lvlText w:val="%1."/>
      <w:lvlJc w:val="left"/>
      <w:pPr>
        <w:ind w:hanging="562"/>
      </w:pPr>
      <w:rPr>
        <w:rFonts w:ascii="Times New Roman" w:eastAsia="Times New Roman" w:hAnsi="Times New Roman" w:hint="default"/>
        <w:b/>
        <w:bCs/>
        <w:sz w:val="22"/>
        <w:szCs w:val="22"/>
      </w:rPr>
    </w:lvl>
    <w:lvl w:ilvl="1" w:tplc="2D628852">
      <w:start w:val="1"/>
      <w:numFmt w:val="bullet"/>
      <w:lvlText w:val="•"/>
      <w:lvlJc w:val="left"/>
      <w:rPr>
        <w:rFonts w:hint="default"/>
      </w:rPr>
    </w:lvl>
    <w:lvl w:ilvl="2" w:tplc="3BCC744E">
      <w:start w:val="1"/>
      <w:numFmt w:val="bullet"/>
      <w:lvlText w:val="•"/>
      <w:lvlJc w:val="left"/>
      <w:rPr>
        <w:rFonts w:hint="default"/>
      </w:rPr>
    </w:lvl>
    <w:lvl w:ilvl="3" w:tplc="6E122888">
      <w:start w:val="1"/>
      <w:numFmt w:val="bullet"/>
      <w:lvlText w:val="•"/>
      <w:lvlJc w:val="left"/>
      <w:rPr>
        <w:rFonts w:hint="default"/>
      </w:rPr>
    </w:lvl>
    <w:lvl w:ilvl="4" w:tplc="39004736">
      <w:start w:val="1"/>
      <w:numFmt w:val="bullet"/>
      <w:lvlText w:val="•"/>
      <w:lvlJc w:val="left"/>
      <w:rPr>
        <w:rFonts w:hint="default"/>
      </w:rPr>
    </w:lvl>
    <w:lvl w:ilvl="5" w:tplc="34F4ED50">
      <w:start w:val="1"/>
      <w:numFmt w:val="bullet"/>
      <w:lvlText w:val="•"/>
      <w:lvlJc w:val="left"/>
      <w:rPr>
        <w:rFonts w:hint="default"/>
      </w:rPr>
    </w:lvl>
    <w:lvl w:ilvl="6" w:tplc="DB7A71C0">
      <w:start w:val="1"/>
      <w:numFmt w:val="bullet"/>
      <w:lvlText w:val="•"/>
      <w:lvlJc w:val="left"/>
      <w:rPr>
        <w:rFonts w:hint="default"/>
      </w:rPr>
    </w:lvl>
    <w:lvl w:ilvl="7" w:tplc="51964392">
      <w:start w:val="1"/>
      <w:numFmt w:val="bullet"/>
      <w:lvlText w:val="•"/>
      <w:lvlJc w:val="left"/>
      <w:rPr>
        <w:rFonts w:hint="default"/>
      </w:rPr>
    </w:lvl>
    <w:lvl w:ilvl="8" w:tplc="BA3E9602">
      <w:start w:val="1"/>
      <w:numFmt w:val="bullet"/>
      <w:lvlText w:val="•"/>
      <w:lvlJc w:val="left"/>
      <w:rPr>
        <w:rFonts w:hint="default"/>
      </w:rPr>
    </w:lvl>
  </w:abstractNum>
  <w:abstractNum w:abstractNumId="39" w15:restartNumberingAfterBreak="0">
    <w:nsid w:val="174E4F77"/>
    <w:multiLevelType w:val="hybridMultilevel"/>
    <w:tmpl w:val="A5728272"/>
    <w:lvl w:ilvl="0" w:tplc="352078CA">
      <w:start w:val="1"/>
      <w:numFmt w:val="bullet"/>
      <w:lvlText w:val=""/>
      <w:lvlJc w:val="left"/>
      <w:pPr>
        <w:ind w:left="2287" w:hanging="360"/>
      </w:pPr>
      <w:rPr>
        <w:rFonts w:ascii="Symbol" w:eastAsia="Symbol" w:hAnsi="Symbol" w:hint="default"/>
        <w:sz w:val="22"/>
        <w:szCs w:val="22"/>
      </w:rPr>
    </w:lvl>
    <w:lvl w:ilvl="1" w:tplc="4276389C">
      <w:start w:val="1"/>
      <w:numFmt w:val="bullet"/>
      <w:lvlText w:val="•"/>
      <w:lvlJc w:val="left"/>
      <w:pPr>
        <w:ind w:left="2754" w:hanging="360"/>
      </w:pPr>
      <w:rPr>
        <w:rFonts w:hint="default"/>
      </w:rPr>
    </w:lvl>
    <w:lvl w:ilvl="2" w:tplc="06AC3E24">
      <w:start w:val="1"/>
      <w:numFmt w:val="bullet"/>
      <w:lvlText w:val="•"/>
      <w:lvlJc w:val="left"/>
      <w:pPr>
        <w:ind w:left="3222" w:hanging="360"/>
      </w:pPr>
      <w:rPr>
        <w:rFonts w:hint="default"/>
      </w:rPr>
    </w:lvl>
    <w:lvl w:ilvl="3" w:tplc="7F6607F6">
      <w:start w:val="1"/>
      <w:numFmt w:val="bullet"/>
      <w:lvlText w:val="•"/>
      <w:lvlJc w:val="left"/>
      <w:pPr>
        <w:ind w:left="3689" w:hanging="360"/>
      </w:pPr>
      <w:rPr>
        <w:rFonts w:hint="default"/>
      </w:rPr>
    </w:lvl>
    <w:lvl w:ilvl="4" w:tplc="C08AFC8E">
      <w:start w:val="1"/>
      <w:numFmt w:val="bullet"/>
      <w:lvlText w:val="•"/>
      <w:lvlJc w:val="left"/>
      <w:pPr>
        <w:ind w:left="4156" w:hanging="360"/>
      </w:pPr>
      <w:rPr>
        <w:rFonts w:hint="default"/>
      </w:rPr>
    </w:lvl>
    <w:lvl w:ilvl="5" w:tplc="9E2805B8">
      <w:start w:val="1"/>
      <w:numFmt w:val="bullet"/>
      <w:lvlText w:val="•"/>
      <w:lvlJc w:val="left"/>
      <w:pPr>
        <w:ind w:left="4624" w:hanging="360"/>
      </w:pPr>
      <w:rPr>
        <w:rFonts w:hint="default"/>
      </w:rPr>
    </w:lvl>
    <w:lvl w:ilvl="6" w:tplc="C1685C84">
      <w:start w:val="1"/>
      <w:numFmt w:val="bullet"/>
      <w:lvlText w:val="•"/>
      <w:lvlJc w:val="left"/>
      <w:pPr>
        <w:ind w:left="5091" w:hanging="360"/>
      </w:pPr>
      <w:rPr>
        <w:rFonts w:hint="default"/>
      </w:rPr>
    </w:lvl>
    <w:lvl w:ilvl="7" w:tplc="9AB6B35E">
      <w:start w:val="1"/>
      <w:numFmt w:val="bullet"/>
      <w:lvlText w:val="•"/>
      <w:lvlJc w:val="left"/>
      <w:pPr>
        <w:ind w:left="5559" w:hanging="360"/>
      </w:pPr>
      <w:rPr>
        <w:rFonts w:hint="default"/>
      </w:rPr>
    </w:lvl>
    <w:lvl w:ilvl="8" w:tplc="CACCB188">
      <w:start w:val="1"/>
      <w:numFmt w:val="bullet"/>
      <w:lvlText w:val="•"/>
      <w:lvlJc w:val="left"/>
      <w:pPr>
        <w:ind w:left="6026" w:hanging="360"/>
      </w:pPr>
      <w:rPr>
        <w:rFonts w:hint="default"/>
      </w:rPr>
    </w:lvl>
  </w:abstractNum>
  <w:abstractNum w:abstractNumId="40" w15:restartNumberingAfterBreak="0">
    <w:nsid w:val="1B320F7A"/>
    <w:multiLevelType w:val="hybridMultilevel"/>
    <w:tmpl w:val="E2C09F78"/>
    <w:lvl w:ilvl="0" w:tplc="F2EE419E">
      <w:start w:val="1"/>
      <w:numFmt w:val="bullet"/>
      <w:lvlText w:val=""/>
      <w:lvlJc w:val="left"/>
      <w:pPr>
        <w:ind w:hanging="176"/>
      </w:pPr>
      <w:rPr>
        <w:rFonts w:ascii="Symbol" w:eastAsia="Symbol" w:hAnsi="Symbol" w:hint="default"/>
        <w:sz w:val="22"/>
        <w:szCs w:val="22"/>
      </w:rPr>
    </w:lvl>
    <w:lvl w:ilvl="1" w:tplc="DCFE7C5E">
      <w:start w:val="1"/>
      <w:numFmt w:val="bullet"/>
      <w:lvlText w:val="•"/>
      <w:lvlJc w:val="left"/>
      <w:rPr>
        <w:rFonts w:hint="default"/>
      </w:rPr>
    </w:lvl>
    <w:lvl w:ilvl="2" w:tplc="9C829ACC">
      <w:start w:val="1"/>
      <w:numFmt w:val="bullet"/>
      <w:lvlText w:val="•"/>
      <w:lvlJc w:val="left"/>
      <w:rPr>
        <w:rFonts w:hint="default"/>
      </w:rPr>
    </w:lvl>
    <w:lvl w:ilvl="3" w:tplc="F0989770">
      <w:start w:val="1"/>
      <w:numFmt w:val="bullet"/>
      <w:lvlText w:val="•"/>
      <w:lvlJc w:val="left"/>
      <w:rPr>
        <w:rFonts w:hint="default"/>
      </w:rPr>
    </w:lvl>
    <w:lvl w:ilvl="4" w:tplc="18DE75D4">
      <w:start w:val="1"/>
      <w:numFmt w:val="bullet"/>
      <w:lvlText w:val="•"/>
      <w:lvlJc w:val="left"/>
      <w:rPr>
        <w:rFonts w:hint="default"/>
      </w:rPr>
    </w:lvl>
    <w:lvl w:ilvl="5" w:tplc="E8DE2DD0">
      <w:start w:val="1"/>
      <w:numFmt w:val="bullet"/>
      <w:lvlText w:val="•"/>
      <w:lvlJc w:val="left"/>
      <w:rPr>
        <w:rFonts w:hint="default"/>
      </w:rPr>
    </w:lvl>
    <w:lvl w:ilvl="6" w:tplc="0F049324">
      <w:start w:val="1"/>
      <w:numFmt w:val="bullet"/>
      <w:lvlText w:val="•"/>
      <w:lvlJc w:val="left"/>
      <w:rPr>
        <w:rFonts w:hint="default"/>
      </w:rPr>
    </w:lvl>
    <w:lvl w:ilvl="7" w:tplc="3A123AFE">
      <w:start w:val="1"/>
      <w:numFmt w:val="bullet"/>
      <w:lvlText w:val="•"/>
      <w:lvlJc w:val="left"/>
      <w:rPr>
        <w:rFonts w:hint="default"/>
      </w:rPr>
    </w:lvl>
    <w:lvl w:ilvl="8" w:tplc="89D427D4">
      <w:start w:val="1"/>
      <w:numFmt w:val="bullet"/>
      <w:lvlText w:val="•"/>
      <w:lvlJc w:val="left"/>
      <w:rPr>
        <w:rFonts w:hint="default"/>
      </w:rPr>
    </w:lvl>
  </w:abstractNum>
  <w:abstractNum w:abstractNumId="41" w15:restartNumberingAfterBreak="0">
    <w:nsid w:val="1B5B21A7"/>
    <w:multiLevelType w:val="hybridMultilevel"/>
    <w:tmpl w:val="28A00D86"/>
    <w:lvl w:ilvl="0" w:tplc="65AAB8EE">
      <w:start w:val="1"/>
      <w:numFmt w:val="decimal"/>
      <w:lvlText w:val="%1."/>
      <w:lvlJc w:val="left"/>
      <w:pPr>
        <w:ind w:left="760" w:hanging="360"/>
      </w:pPr>
      <w:rPr>
        <w:rFonts w:hint="default"/>
      </w:rPr>
    </w:lvl>
    <w:lvl w:ilvl="1" w:tplc="F8709F64" w:tentative="1">
      <w:start w:val="1"/>
      <w:numFmt w:val="upperLetter"/>
      <w:lvlText w:val="%2."/>
      <w:lvlJc w:val="left"/>
      <w:pPr>
        <w:ind w:left="1200" w:hanging="400"/>
      </w:pPr>
    </w:lvl>
    <w:lvl w:ilvl="2" w:tplc="4FBC6638" w:tentative="1">
      <w:start w:val="1"/>
      <w:numFmt w:val="lowerRoman"/>
      <w:lvlText w:val="%3."/>
      <w:lvlJc w:val="right"/>
      <w:pPr>
        <w:ind w:left="1600" w:hanging="400"/>
      </w:pPr>
    </w:lvl>
    <w:lvl w:ilvl="3" w:tplc="F64C4968" w:tentative="1">
      <w:start w:val="1"/>
      <w:numFmt w:val="decimal"/>
      <w:lvlText w:val="%4."/>
      <w:lvlJc w:val="left"/>
      <w:pPr>
        <w:ind w:left="2000" w:hanging="400"/>
      </w:pPr>
    </w:lvl>
    <w:lvl w:ilvl="4" w:tplc="9C308B46" w:tentative="1">
      <w:start w:val="1"/>
      <w:numFmt w:val="upperLetter"/>
      <w:lvlText w:val="%5."/>
      <w:lvlJc w:val="left"/>
      <w:pPr>
        <w:ind w:left="2400" w:hanging="400"/>
      </w:pPr>
    </w:lvl>
    <w:lvl w:ilvl="5" w:tplc="5CC20F62" w:tentative="1">
      <w:start w:val="1"/>
      <w:numFmt w:val="lowerRoman"/>
      <w:lvlText w:val="%6."/>
      <w:lvlJc w:val="right"/>
      <w:pPr>
        <w:ind w:left="2800" w:hanging="400"/>
      </w:pPr>
    </w:lvl>
    <w:lvl w:ilvl="6" w:tplc="9742354A" w:tentative="1">
      <w:start w:val="1"/>
      <w:numFmt w:val="decimal"/>
      <w:lvlText w:val="%7."/>
      <w:lvlJc w:val="left"/>
      <w:pPr>
        <w:ind w:left="3200" w:hanging="400"/>
      </w:pPr>
    </w:lvl>
    <w:lvl w:ilvl="7" w:tplc="E432EF48" w:tentative="1">
      <w:start w:val="1"/>
      <w:numFmt w:val="upperLetter"/>
      <w:lvlText w:val="%8."/>
      <w:lvlJc w:val="left"/>
      <w:pPr>
        <w:ind w:left="3600" w:hanging="400"/>
      </w:pPr>
    </w:lvl>
    <w:lvl w:ilvl="8" w:tplc="54AE21DE" w:tentative="1">
      <w:start w:val="1"/>
      <w:numFmt w:val="lowerRoman"/>
      <w:lvlText w:val="%9."/>
      <w:lvlJc w:val="right"/>
      <w:pPr>
        <w:ind w:left="4000" w:hanging="400"/>
      </w:pPr>
    </w:lvl>
  </w:abstractNum>
  <w:abstractNum w:abstractNumId="42" w15:restartNumberingAfterBreak="0">
    <w:nsid w:val="1B677A11"/>
    <w:multiLevelType w:val="hybridMultilevel"/>
    <w:tmpl w:val="853E151E"/>
    <w:lvl w:ilvl="0" w:tplc="AB624068">
      <w:start w:val="6"/>
      <w:numFmt w:val="decimal"/>
      <w:lvlText w:val="%1."/>
      <w:lvlJc w:val="left"/>
      <w:pPr>
        <w:ind w:left="677" w:hanging="567"/>
      </w:pPr>
      <w:rPr>
        <w:rFonts w:ascii="Times New Roman" w:eastAsia="Times New Roman" w:hAnsi="Times New Roman" w:hint="default"/>
        <w:sz w:val="22"/>
        <w:szCs w:val="22"/>
      </w:rPr>
    </w:lvl>
    <w:lvl w:ilvl="1" w:tplc="62106EE8">
      <w:start w:val="1"/>
      <w:numFmt w:val="bullet"/>
      <w:lvlText w:val="•"/>
      <w:lvlJc w:val="left"/>
      <w:pPr>
        <w:ind w:left="1569" w:hanging="567"/>
      </w:pPr>
      <w:rPr>
        <w:rFonts w:hint="default"/>
      </w:rPr>
    </w:lvl>
    <w:lvl w:ilvl="2" w:tplc="46CC5584">
      <w:start w:val="1"/>
      <w:numFmt w:val="bullet"/>
      <w:lvlText w:val="•"/>
      <w:lvlJc w:val="left"/>
      <w:pPr>
        <w:ind w:left="2462" w:hanging="567"/>
      </w:pPr>
      <w:rPr>
        <w:rFonts w:hint="default"/>
      </w:rPr>
    </w:lvl>
    <w:lvl w:ilvl="3" w:tplc="12CA5306">
      <w:start w:val="1"/>
      <w:numFmt w:val="bullet"/>
      <w:lvlText w:val="•"/>
      <w:lvlJc w:val="left"/>
      <w:pPr>
        <w:ind w:left="3354" w:hanging="567"/>
      </w:pPr>
      <w:rPr>
        <w:rFonts w:hint="default"/>
      </w:rPr>
    </w:lvl>
    <w:lvl w:ilvl="4" w:tplc="95F2CAF0">
      <w:start w:val="1"/>
      <w:numFmt w:val="bullet"/>
      <w:lvlText w:val="•"/>
      <w:lvlJc w:val="left"/>
      <w:pPr>
        <w:ind w:left="4246" w:hanging="567"/>
      </w:pPr>
      <w:rPr>
        <w:rFonts w:hint="default"/>
      </w:rPr>
    </w:lvl>
    <w:lvl w:ilvl="5" w:tplc="F15AA1BA">
      <w:start w:val="1"/>
      <w:numFmt w:val="bullet"/>
      <w:lvlText w:val="•"/>
      <w:lvlJc w:val="left"/>
      <w:pPr>
        <w:ind w:left="5138" w:hanging="567"/>
      </w:pPr>
      <w:rPr>
        <w:rFonts w:hint="default"/>
      </w:rPr>
    </w:lvl>
    <w:lvl w:ilvl="6" w:tplc="DCD20B0C">
      <w:start w:val="1"/>
      <w:numFmt w:val="bullet"/>
      <w:lvlText w:val="•"/>
      <w:lvlJc w:val="left"/>
      <w:pPr>
        <w:ind w:left="6031" w:hanging="567"/>
      </w:pPr>
      <w:rPr>
        <w:rFonts w:hint="default"/>
      </w:rPr>
    </w:lvl>
    <w:lvl w:ilvl="7" w:tplc="33DE1516">
      <w:start w:val="1"/>
      <w:numFmt w:val="bullet"/>
      <w:lvlText w:val="•"/>
      <w:lvlJc w:val="left"/>
      <w:pPr>
        <w:ind w:left="6923" w:hanging="567"/>
      </w:pPr>
      <w:rPr>
        <w:rFonts w:hint="default"/>
      </w:rPr>
    </w:lvl>
    <w:lvl w:ilvl="8" w:tplc="4DC03CF4">
      <w:start w:val="1"/>
      <w:numFmt w:val="bullet"/>
      <w:lvlText w:val="•"/>
      <w:lvlJc w:val="left"/>
      <w:pPr>
        <w:ind w:left="7815" w:hanging="567"/>
      </w:pPr>
      <w:rPr>
        <w:rFonts w:hint="default"/>
      </w:rPr>
    </w:lvl>
  </w:abstractNum>
  <w:abstractNum w:abstractNumId="43" w15:restartNumberingAfterBreak="0">
    <w:nsid w:val="1BAB1337"/>
    <w:multiLevelType w:val="multilevel"/>
    <w:tmpl w:val="6DEC6FE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0" w:hanging="56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44" w15:restartNumberingAfterBreak="0">
    <w:nsid w:val="1C854A1A"/>
    <w:multiLevelType w:val="hybridMultilevel"/>
    <w:tmpl w:val="03CC2B4C"/>
    <w:lvl w:ilvl="0" w:tplc="E15AB9F4">
      <w:start w:val="1"/>
      <w:numFmt w:val="bullet"/>
      <w:lvlText w:val=""/>
      <w:lvlJc w:val="left"/>
      <w:pPr>
        <w:ind w:left="1698" w:hanging="360"/>
      </w:pPr>
      <w:rPr>
        <w:rFonts w:ascii="Symbol" w:eastAsia="Symbol" w:hAnsi="Symbol" w:hint="default"/>
        <w:sz w:val="22"/>
        <w:szCs w:val="22"/>
      </w:rPr>
    </w:lvl>
    <w:lvl w:ilvl="1" w:tplc="7B0CFC5E">
      <w:start w:val="1"/>
      <w:numFmt w:val="bullet"/>
      <w:lvlText w:val="•"/>
      <w:lvlJc w:val="left"/>
      <w:pPr>
        <w:ind w:left="2169" w:hanging="360"/>
      </w:pPr>
      <w:rPr>
        <w:rFonts w:hint="default"/>
      </w:rPr>
    </w:lvl>
    <w:lvl w:ilvl="2" w:tplc="3E98B0C4">
      <w:start w:val="1"/>
      <w:numFmt w:val="bullet"/>
      <w:lvlText w:val="•"/>
      <w:lvlJc w:val="left"/>
      <w:pPr>
        <w:ind w:left="2640" w:hanging="360"/>
      </w:pPr>
      <w:rPr>
        <w:rFonts w:hint="default"/>
      </w:rPr>
    </w:lvl>
    <w:lvl w:ilvl="3" w:tplc="E932A60E">
      <w:start w:val="1"/>
      <w:numFmt w:val="bullet"/>
      <w:lvlText w:val="•"/>
      <w:lvlJc w:val="left"/>
      <w:pPr>
        <w:ind w:left="3111" w:hanging="360"/>
      </w:pPr>
      <w:rPr>
        <w:rFonts w:hint="default"/>
      </w:rPr>
    </w:lvl>
    <w:lvl w:ilvl="4" w:tplc="D1AE8C90">
      <w:start w:val="1"/>
      <w:numFmt w:val="bullet"/>
      <w:lvlText w:val="•"/>
      <w:lvlJc w:val="left"/>
      <w:pPr>
        <w:ind w:left="3582" w:hanging="360"/>
      </w:pPr>
      <w:rPr>
        <w:rFonts w:hint="default"/>
      </w:rPr>
    </w:lvl>
    <w:lvl w:ilvl="5" w:tplc="DCE24EC6">
      <w:start w:val="1"/>
      <w:numFmt w:val="bullet"/>
      <w:lvlText w:val="•"/>
      <w:lvlJc w:val="left"/>
      <w:pPr>
        <w:ind w:left="4053" w:hanging="360"/>
      </w:pPr>
      <w:rPr>
        <w:rFonts w:hint="default"/>
      </w:rPr>
    </w:lvl>
    <w:lvl w:ilvl="6" w:tplc="815E7636">
      <w:start w:val="1"/>
      <w:numFmt w:val="bullet"/>
      <w:lvlText w:val="•"/>
      <w:lvlJc w:val="left"/>
      <w:pPr>
        <w:ind w:left="4524" w:hanging="360"/>
      </w:pPr>
      <w:rPr>
        <w:rFonts w:hint="default"/>
      </w:rPr>
    </w:lvl>
    <w:lvl w:ilvl="7" w:tplc="4F46BF60">
      <w:start w:val="1"/>
      <w:numFmt w:val="bullet"/>
      <w:lvlText w:val="•"/>
      <w:lvlJc w:val="left"/>
      <w:pPr>
        <w:ind w:left="4995" w:hanging="360"/>
      </w:pPr>
      <w:rPr>
        <w:rFonts w:hint="default"/>
      </w:rPr>
    </w:lvl>
    <w:lvl w:ilvl="8" w:tplc="3DEABBBA">
      <w:start w:val="1"/>
      <w:numFmt w:val="bullet"/>
      <w:lvlText w:val="•"/>
      <w:lvlJc w:val="left"/>
      <w:pPr>
        <w:ind w:left="5466" w:hanging="360"/>
      </w:pPr>
      <w:rPr>
        <w:rFonts w:hint="default"/>
      </w:rPr>
    </w:lvl>
  </w:abstractNum>
  <w:abstractNum w:abstractNumId="45" w15:restartNumberingAfterBreak="0">
    <w:nsid w:val="1ED632E6"/>
    <w:multiLevelType w:val="hybridMultilevel"/>
    <w:tmpl w:val="AEA80FA6"/>
    <w:lvl w:ilvl="0" w:tplc="F7809B7A">
      <w:start w:val="1"/>
      <w:numFmt w:val="decimal"/>
      <w:lvlText w:val="%1."/>
      <w:lvlJc w:val="left"/>
      <w:pPr>
        <w:ind w:left="660" w:hanging="550"/>
      </w:pPr>
      <w:rPr>
        <w:rFonts w:ascii="Times New Roman" w:eastAsia="Times New Roman" w:hAnsi="Times New Roman" w:hint="default"/>
        <w:sz w:val="22"/>
        <w:szCs w:val="22"/>
      </w:rPr>
    </w:lvl>
    <w:lvl w:ilvl="1" w:tplc="1E24AAAC">
      <w:start w:val="1"/>
      <w:numFmt w:val="decimal"/>
      <w:lvlText w:val="(%2)"/>
      <w:lvlJc w:val="left"/>
      <w:pPr>
        <w:ind w:left="660" w:hanging="312"/>
      </w:pPr>
      <w:rPr>
        <w:rFonts w:ascii="Times New Roman" w:eastAsia="Times New Roman" w:hAnsi="Times New Roman" w:hint="default"/>
        <w:spacing w:val="-1"/>
        <w:sz w:val="22"/>
        <w:szCs w:val="22"/>
      </w:rPr>
    </w:lvl>
    <w:lvl w:ilvl="2" w:tplc="F3F6BC5A">
      <w:start w:val="1"/>
      <w:numFmt w:val="bullet"/>
      <w:lvlText w:val="•"/>
      <w:lvlJc w:val="left"/>
      <w:pPr>
        <w:ind w:left="2436" w:hanging="312"/>
      </w:pPr>
      <w:rPr>
        <w:rFonts w:hint="default"/>
      </w:rPr>
    </w:lvl>
    <w:lvl w:ilvl="3" w:tplc="57DAC82E">
      <w:start w:val="1"/>
      <w:numFmt w:val="bullet"/>
      <w:lvlText w:val="•"/>
      <w:lvlJc w:val="left"/>
      <w:pPr>
        <w:ind w:left="3324" w:hanging="312"/>
      </w:pPr>
      <w:rPr>
        <w:rFonts w:hint="default"/>
      </w:rPr>
    </w:lvl>
    <w:lvl w:ilvl="4" w:tplc="FF0AE216">
      <w:start w:val="1"/>
      <w:numFmt w:val="bullet"/>
      <w:lvlText w:val="•"/>
      <w:lvlJc w:val="left"/>
      <w:pPr>
        <w:ind w:left="4212" w:hanging="312"/>
      </w:pPr>
      <w:rPr>
        <w:rFonts w:hint="default"/>
      </w:rPr>
    </w:lvl>
    <w:lvl w:ilvl="5" w:tplc="EE90D2DA">
      <w:start w:val="1"/>
      <w:numFmt w:val="bullet"/>
      <w:lvlText w:val="•"/>
      <w:lvlJc w:val="left"/>
      <w:pPr>
        <w:ind w:left="5100" w:hanging="312"/>
      </w:pPr>
      <w:rPr>
        <w:rFonts w:hint="default"/>
      </w:rPr>
    </w:lvl>
    <w:lvl w:ilvl="6" w:tplc="AEA8EDA8">
      <w:start w:val="1"/>
      <w:numFmt w:val="bullet"/>
      <w:lvlText w:val="•"/>
      <w:lvlJc w:val="left"/>
      <w:pPr>
        <w:ind w:left="5988" w:hanging="312"/>
      </w:pPr>
      <w:rPr>
        <w:rFonts w:hint="default"/>
      </w:rPr>
    </w:lvl>
    <w:lvl w:ilvl="7" w:tplc="083AF8D2">
      <w:start w:val="1"/>
      <w:numFmt w:val="bullet"/>
      <w:lvlText w:val="•"/>
      <w:lvlJc w:val="left"/>
      <w:pPr>
        <w:ind w:left="6876" w:hanging="312"/>
      </w:pPr>
      <w:rPr>
        <w:rFonts w:hint="default"/>
      </w:rPr>
    </w:lvl>
    <w:lvl w:ilvl="8" w:tplc="567AD68A">
      <w:start w:val="1"/>
      <w:numFmt w:val="bullet"/>
      <w:lvlText w:val="•"/>
      <w:lvlJc w:val="left"/>
      <w:pPr>
        <w:ind w:left="7764" w:hanging="312"/>
      </w:pPr>
      <w:rPr>
        <w:rFonts w:hint="default"/>
      </w:rPr>
    </w:lvl>
  </w:abstractNum>
  <w:abstractNum w:abstractNumId="46" w15:restartNumberingAfterBreak="0">
    <w:nsid w:val="1FC915FD"/>
    <w:multiLevelType w:val="hybridMultilevel"/>
    <w:tmpl w:val="6E5E6F6C"/>
    <w:lvl w:ilvl="0" w:tplc="45A66F5A">
      <w:start w:val="1"/>
      <w:numFmt w:val="lowerLetter"/>
      <w:lvlText w:val="%1."/>
      <w:lvlJc w:val="left"/>
      <w:pPr>
        <w:ind w:left="462" w:hanging="332"/>
      </w:pPr>
      <w:rPr>
        <w:rFonts w:ascii="Times New Roman" w:eastAsia="Times New Roman" w:hAnsi="Times New Roman" w:hint="default"/>
        <w:sz w:val="22"/>
        <w:szCs w:val="22"/>
      </w:rPr>
    </w:lvl>
    <w:lvl w:ilvl="1" w:tplc="447E064E">
      <w:start w:val="1"/>
      <w:numFmt w:val="bullet"/>
      <w:lvlText w:val="•"/>
      <w:lvlJc w:val="left"/>
      <w:pPr>
        <w:ind w:left="1338" w:hanging="332"/>
      </w:pPr>
      <w:rPr>
        <w:rFonts w:hint="default"/>
      </w:rPr>
    </w:lvl>
    <w:lvl w:ilvl="2" w:tplc="191E067E">
      <w:start w:val="1"/>
      <w:numFmt w:val="bullet"/>
      <w:lvlText w:val="•"/>
      <w:lvlJc w:val="left"/>
      <w:pPr>
        <w:ind w:left="2214" w:hanging="332"/>
      </w:pPr>
      <w:rPr>
        <w:rFonts w:hint="default"/>
      </w:rPr>
    </w:lvl>
    <w:lvl w:ilvl="3" w:tplc="93083670">
      <w:start w:val="1"/>
      <w:numFmt w:val="bullet"/>
      <w:lvlText w:val="•"/>
      <w:lvlJc w:val="left"/>
      <w:pPr>
        <w:ind w:left="3091" w:hanging="332"/>
      </w:pPr>
      <w:rPr>
        <w:rFonts w:hint="default"/>
      </w:rPr>
    </w:lvl>
    <w:lvl w:ilvl="4" w:tplc="EAFEC4CE">
      <w:start w:val="1"/>
      <w:numFmt w:val="bullet"/>
      <w:lvlText w:val="•"/>
      <w:lvlJc w:val="left"/>
      <w:pPr>
        <w:ind w:left="3967" w:hanging="332"/>
      </w:pPr>
      <w:rPr>
        <w:rFonts w:hint="default"/>
      </w:rPr>
    </w:lvl>
    <w:lvl w:ilvl="5" w:tplc="9D5E9B30">
      <w:start w:val="1"/>
      <w:numFmt w:val="bullet"/>
      <w:lvlText w:val="•"/>
      <w:lvlJc w:val="left"/>
      <w:pPr>
        <w:ind w:left="4844" w:hanging="332"/>
      </w:pPr>
      <w:rPr>
        <w:rFonts w:hint="default"/>
      </w:rPr>
    </w:lvl>
    <w:lvl w:ilvl="6" w:tplc="1338D172">
      <w:start w:val="1"/>
      <w:numFmt w:val="bullet"/>
      <w:lvlText w:val="•"/>
      <w:lvlJc w:val="left"/>
      <w:pPr>
        <w:ind w:left="5720" w:hanging="332"/>
      </w:pPr>
      <w:rPr>
        <w:rFonts w:hint="default"/>
      </w:rPr>
    </w:lvl>
    <w:lvl w:ilvl="7" w:tplc="8B6C2BBE">
      <w:start w:val="1"/>
      <w:numFmt w:val="bullet"/>
      <w:lvlText w:val="•"/>
      <w:lvlJc w:val="left"/>
      <w:pPr>
        <w:ind w:left="6596" w:hanging="332"/>
      </w:pPr>
      <w:rPr>
        <w:rFonts w:hint="default"/>
      </w:rPr>
    </w:lvl>
    <w:lvl w:ilvl="8" w:tplc="60DC4532">
      <w:start w:val="1"/>
      <w:numFmt w:val="bullet"/>
      <w:lvlText w:val="•"/>
      <w:lvlJc w:val="left"/>
      <w:pPr>
        <w:ind w:left="7473" w:hanging="332"/>
      </w:pPr>
      <w:rPr>
        <w:rFonts w:hint="default"/>
      </w:rPr>
    </w:lvl>
  </w:abstractNum>
  <w:abstractNum w:abstractNumId="47" w15:restartNumberingAfterBreak="0">
    <w:nsid w:val="21422B38"/>
    <w:multiLevelType w:val="hybridMultilevel"/>
    <w:tmpl w:val="7708F4CC"/>
    <w:lvl w:ilvl="0" w:tplc="8272C1D4">
      <w:start w:val="1"/>
      <w:numFmt w:val="bullet"/>
      <w:lvlText w:val=""/>
      <w:lvlJc w:val="left"/>
      <w:pPr>
        <w:ind w:left="315" w:hanging="176"/>
      </w:pPr>
      <w:rPr>
        <w:rFonts w:ascii="Symbol" w:eastAsia="Symbol" w:hAnsi="Symbol" w:hint="default"/>
        <w:sz w:val="22"/>
        <w:szCs w:val="22"/>
      </w:rPr>
    </w:lvl>
    <w:lvl w:ilvl="1" w:tplc="641ACD1C">
      <w:start w:val="1"/>
      <w:numFmt w:val="bullet"/>
      <w:lvlText w:val="•"/>
      <w:lvlJc w:val="left"/>
      <w:pPr>
        <w:ind w:left="968" w:hanging="176"/>
      </w:pPr>
      <w:rPr>
        <w:rFonts w:hint="default"/>
      </w:rPr>
    </w:lvl>
    <w:lvl w:ilvl="2" w:tplc="35DCB724">
      <w:start w:val="1"/>
      <w:numFmt w:val="bullet"/>
      <w:lvlText w:val="•"/>
      <w:lvlJc w:val="left"/>
      <w:pPr>
        <w:ind w:left="1620" w:hanging="176"/>
      </w:pPr>
      <w:rPr>
        <w:rFonts w:hint="default"/>
      </w:rPr>
    </w:lvl>
    <w:lvl w:ilvl="3" w:tplc="63FC2656">
      <w:start w:val="1"/>
      <w:numFmt w:val="bullet"/>
      <w:lvlText w:val="•"/>
      <w:lvlJc w:val="left"/>
      <w:pPr>
        <w:ind w:left="2272" w:hanging="176"/>
      </w:pPr>
      <w:rPr>
        <w:rFonts w:hint="default"/>
      </w:rPr>
    </w:lvl>
    <w:lvl w:ilvl="4" w:tplc="01A43870">
      <w:start w:val="1"/>
      <w:numFmt w:val="bullet"/>
      <w:lvlText w:val="•"/>
      <w:lvlJc w:val="left"/>
      <w:pPr>
        <w:ind w:left="2924" w:hanging="176"/>
      </w:pPr>
      <w:rPr>
        <w:rFonts w:hint="default"/>
      </w:rPr>
    </w:lvl>
    <w:lvl w:ilvl="5" w:tplc="74902864">
      <w:start w:val="1"/>
      <w:numFmt w:val="bullet"/>
      <w:lvlText w:val="•"/>
      <w:lvlJc w:val="left"/>
      <w:pPr>
        <w:ind w:left="3576" w:hanging="176"/>
      </w:pPr>
      <w:rPr>
        <w:rFonts w:hint="default"/>
      </w:rPr>
    </w:lvl>
    <w:lvl w:ilvl="6" w:tplc="CA90AEEC">
      <w:start w:val="1"/>
      <w:numFmt w:val="bullet"/>
      <w:lvlText w:val="•"/>
      <w:lvlJc w:val="left"/>
      <w:pPr>
        <w:ind w:left="4229" w:hanging="176"/>
      </w:pPr>
      <w:rPr>
        <w:rFonts w:hint="default"/>
      </w:rPr>
    </w:lvl>
    <w:lvl w:ilvl="7" w:tplc="331048CE">
      <w:start w:val="1"/>
      <w:numFmt w:val="bullet"/>
      <w:lvlText w:val="•"/>
      <w:lvlJc w:val="left"/>
      <w:pPr>
        <w:ind w:left="4881" w:hanging="176"/>
      </w:pPr>
      <w:rPr>
        <w:rFonts w:hint="default"/>
      </w:rPr>
    </w:lvl>
    <w:lvl w:ilvl="8" w:tplc="862A6052">
      <w:start w:val="1"/>
      <w:numFmt w:val="bullet"/>
      <w:lvlText w:val="•"/>
      <w:lvlJc w:val="left"/>
      <w:pPr>
        <w:ind w:left="5533" w:hanging="176"/>
      </w:pPr>
      <w:rPr>
        <w:rFonts w:hint="default"/>
      </w:rPr>
    </w:lvl>
  </w:abstractNum>
  <w:abstractNum w:abstractNumId="48" w15:restartNumberingAfterBreak="0">
    <w:nsid w:val="215B5A7A"/>
    <w:multiLevelType w:val="hybridMultilevel"/>
    <w:tmpl w:val="0868C70C"/>
    <w:lvl w:ilvl="0" w:tplc="B95C7CF2">
      <w:start w:val="1"/>
      <w:numFmt w:val="lowerLetter"/>
      <w:lvlText w:val="%1"/>
      <w:lvlJc w:val="left"/>
      <w:pPr>
        <w:ind w:hanging="360"/>
      </w:pPr>
      <w:rPr>
        <w:rFonts w:ascii="Times New Roman" w:eastAsia="Times New Roman" w:hAnsi="Times New Roman" w:hint="default"/>
        <w:position w:val="6"/>
        <w:sz w:val="22"/>
        <w:szCs w:val="10"/>
        <w:vertAlign w:val="superscript"/>
      </w:rPr>
    </w:lvl>
    <w:lvl w:ilvl="1" w:tplc="2B5015DE">
      <w:start w:val="1"/>
      <w:numFmt w:val="bullet"/>
      <w:lvlText w:val="•"/>
      <w:lvlJc w:val="left"/>
      <w:rPr>
        <w:rFonts w:hint="default"/>
      </w:rPr>
    </w:lvl>
    <w:lvl w:ilvl="2" w:tplc="280239C0">
      <w:start w:val="1"/>
      <w:numFmt w:val="bullet"/>
      <w:lvlText w:val="•"/>
      <w:lvlJc w:val="left"/>
      <w:rPr>
        <w:rFonts w:hint="default"/>
      </w:rPr>
    </w:lvl>
    <w:lvl w:ilvl="3" w:tplc="F1B8BBA4">
      <w:start w:val="1"/>
      <w:numFmt w:val="bullet"/>
      <w:lvlText w:val="•"/>
      <w:lvlJc w:val="left"/>
      <w:rPr>
        <w:rFonts w:hint="default"/>
      </w:rPr>
    </w:lvl>
    <w:lvl w:ilvl="4" w:tplc="2C984414">
      <w:start w:val="1"/>
      <w:numFmt w:val="bullet"/>
      <w:lvlText w:val="•"/>
      <w:lvlJc w:val="left"/>
      <w:rPr>
        <w:rFonts w:hint="default"/>
      </w:rPr>
    </w:lvl>
    <w:lvl w:ilvl="5" w:tplc="3CE0E4CC">
      <w:start w:val="1"/>
      <w:numFmt w:val="bullet"/>
      <w:lvlText w:val="•"/>
      <w:lvlJc w:val="left"/>
      <w:rPr>
        <w:rFonts w:hint="default"/>
      </w:rPr>
    </w:lvl>
    <w:lvl w:ilvl="6" w:tplc="F216FF70">
      <w:start w:val="1"/>
      <w:numFmt w:val="bullet"/>
      <w:lvlText w:val="•"/>
      <w:lvlJc w:val="left"/>
      <w:rPr>
        <w:rFonts w:hint="default"/>
      </w:rPr>
    </w:lvl>
    <w:lvl w:ilvl="7" w:tplc="0DCE00B2">
      <w:start w:val="1"/>
      <w:numFmt w:val="bullet"/>
      <w:lvlText w:val="•"/>
      <w:lvlJc w:val="left"/>
      <w:rPr>
        <w:rFonts w:hint="default"/>
      </w:rPr>
    </w:lvl>
    <w:lvl w:ilvl="8" w:tplc="EB34C9F6">
      <w:start w:val="1"/>
      <w:numFmt w:val="bullet"/>
      <w:lvlText w:val="•"/>
      <w:lvlJc w:val="left"/>
      <w:rPr>
        <w:rFonts w:hint="default"/>
      </w:rPr>
    </w:lvl>
  </w:abstractNum>
  <w:abstractNum w:abstractNumId="49" w15:restartNumberingAfterBreak="0">
    <w:nsid w:val="21B4350E"/>
    <w:multiLevelType w:val="hybridMultilevel"/>
    <w:tmpl w:val="24261B7C"/>
    <w:lvl w:ilvl="0" w:tplc="1C008C7A">
      <w:start w:val="1"/>
      <w:numFmt w:val="decimal"/>
      <w:lvlText w:val="%1."/>
      <w:lvlJc w:val="left"/>
      <w:pPr>
        <w:ind w:left="677" w:hanging="567"/>
      </w:pPr>
      <w:rPr>
        <w:rFonts w:ascii="Times New Roman" w:eastAsia="Times New Roman" w:hAnsi="Times New Roman" w:hint="default"/>
        <w:sz w:val="22"/>
        <w:szCs w:val="22"/>
      </w:rPr>
    </w:lvl>
    <w:lvl w:ilvl="1" w:tplc="84DEB0AC">
      <w:start w:val="1"/>
      <w:numFmt w:val="bullet"/>
      <w:lvlText w:val="•"/>
      <w:lvlJc w:val="left"/>
      <w:pPr>
        <w:ind w:left="1569" w:hanging="567"/>
      </w:pPr>
      <w:rPr>
        <w:rFonts w:hint="default"/>
      </w:rPr>
    </w:lvl>
    <w:lvl w:ilvl="2" w:tplc="59B28166">
      <w:start w:val="1"/>
      <w:numFmt w:val="bullet"/>
      <w:lvlText w:val="•"/>
      <w:lvlJc w:val="left"/>
      <w:pPr>
        <w:ind w:left="2462" w:hanging="567"/>
      </w:pPr>
      <w:rPr>
        <w:rFonts w:hint="default"/>
      </w:rPr>
    </w:lvl>
    <w:lvl w:ilvl="3" w:tplc="AF12B48A">
      <w:start w:val="1"/>
      <w:numFmt w:val="bullet"/>
      <w:lvlText w:val="•"/>
      <w:lvlJc w:val="left"/>
      <w:pPr>
        <w:ind w:left="3354" w:hanging="567"/>
      </w:pPr>
      <w:rPr>
        <w:rFonts w:hint="default"/>
      </w:rPr>
    </w:lvl>
    <w:lvl w:ilvl="4" w:tplc="B8F87D76">
      <w:start w:val="1"/>
      <w:numFmt w:val="bullet"/>
      <w:lvlText w:val="•"/>
      <w:lvlJc w:val="left"/>
      <w:pPr>
        <w:ind w:left="4246" w:hanging="567"/>
      </w:pPr>
      <w:rPr>
        <w:rFonts w:hint="default"/>
      </w:rPr>
    </w:lvl>
    <w:lvl w:ilvl="5" w:tplc="8CA8B45C">
      <w:start w:val="1"/>
      <w:numFmt w:val="bullet"/>
      <w:lvlText w:val="•"/>
      <w:lvlJc w:val="left"/>
      <w:pPr>
        <w:ind w:left="5138" w:hanging="567"/>
      </w:pPr>
      <w:rPr>
        <w:rFonts w:hint="default"/>
      </w:rPr>
    </w:lvl>
    <w:lvl w:ilvl="6" w:tplc="C0AC3F96">
      <w:start w:val="1"/>
      <w:numFmt w:val="bullet"/>
      <w:lvlText w:val="•"/>
      <w:lvlJc w:val="left"/>
      <w:pPr>
        <w:ind w:left="6031" w:hanging="567"/>
      </w:pPr>
      <w:rPr>
        <w:rFonts w:hint="default"/>
      </w:rPr>
    </w:lvl>
    <w:lvl w:ilvl="7" w:tplc="E036F2BE">
      <w:start w:val="1"/>
      <w:numFmt w:val="bullet"/>
      <w:lvlText w:val="•"/>
      <w:lvlJc w:val="left"/>
      <w:pPr>
        <w:ind w:left="6923" w:hanging="567"/>
      </w:pPr>
      <w:rPr>
        <w:rFonts w:hint="default"/>
      </w:rPr>
    </w:lvl>
    <w:lvl w:ilvl="8" w:tplc="009EFF9A">
      <w:start w:val="1"/>
      <w:numFmt w:val="bullet"/>
      <w:lvlText w:val="•"/>
      <w:lvlJc w:val="left"/>
      <w:pPr>
        <w:ind w:left="7815" w:hanging="567"/>
      </w:pPr>
      <w:rPr>
        <w:rFonts w:hint="default"/>
      </w:rPr>
    </w:lvl>
  </w:abstractNum>
  <w:abstractNum w:abstractNumId="50" w15:restartNumberingAfterBreak="0">
    <w:nsid w:val="22723AF5"/>
    <w:multiLevelType w:val="hybridMultilevel"/>
    <w:tmpl w:val="F8D48708"/>
    <w:lvl w:ilvl="0" w:tplc="2FCABCC0">
      <w:start w:val="1"/>
      <w:numFmt w:val="bullet"/>
      <w:lvlText w:val="•"/>
      <w:lvlJc w:val="left"/>
      <w:pPr>
        <w:ind w:left="1384" w:hanging="400"/>
      </w:pPr>
      <w:rPr>
        <w:rFonts w:ascii="Times New Roman" w:eastAsia="Times New Roman" w:hAnsi="Times New Roman" w:hint="default"/>
        <w:sz w:val="22"/>
        <w:szCs w:val="22"/>
      </w:rPr>
    </w:lvl>
    <w:lvl w:ilvl="1" w:tplc="BFB4F7F0" w:tentative="1">
      <w:start w:val="1"/>
      <w:numFmt w:val="bullet"/>
      <w:lvlText w:val=""/>
      <w:lvlJc w:val="left"/>
      <w:pPr>
        <w:ind w:left="1784" w:hanging="400"/>
      </w:pPr>
      <w:rPr>
        <w:rFonts w:ascii="Wingdings" w:hAnsi="Wingdings" w:hint="default"/>
      </w:rPr>
    </w:lvl>
    <w:lvl w:ilvl="2" w:tplc="453C8F86" w:tentative="1">
      <w:start w:val="1"/>
      <w:numFmt w:val="bullet"/>
      <w:lvlText w:val=""/>
      <w:lvlJc w:val="left"/>
      <w:pPr>
        <w:ind w:left="2184" w:hanging="400"/>
      </w:pPr>
      <w:rPr>
        <w:rFonts w:ascii="Wingdings" w:hAnsi="Wingdings" w:hint="default"/>
      </w:rPr>
    </w:lvl>
    <w:lvl w:ilvl="3" w:tplc="8250D5CA" w:tentative="1">
      <w:start w:val="1"/>
      <w:numFmt w:val="bullet"/>
      <w:lvlText w:val=""/>
      <w:lvlJc w:val="left"/>
      <w:pPr>
        <w:ind w:left="2584" w:hanging="400"/>
      </w:pPr>
      <w:rPr>
        <w:rFonts w:ascii="Wingdings" w:hAnsi="Wingdings" w:hint="default"/>
      </w:rPr>
    </w:lvl>
    <w:lvl w:ilvl="4" w:tplc="4BFA04E4" w:tentative="1">
      <w:start w:val="1"/>
      <w:numFmt w:val="bullet"/>
      <w:lvlText w:val=""/>
      <w:lvlJc w:val="left"/>
      <w:pPr>
        <w:ind w:left="2984" w:hanging="400"/>
      </w:pPr>
      <w:rPr>
        <w:rFonts w:ascii="Wingdings" w:hAnsi="Wingdings" w:hint="default"/>
      </w:rPr>
    </w:lvl>
    <w:lvl w:ilvl="5" w:tplc="0E3C7388" w:tentative="1">
      <w:start w:val="1"/>
      <w:numFmt w:val="bullet"/>
      <w:lvlText w:val=""/>
      <w:lvlJc w:val="left"/>
      <w:pPr>
        <w:ind w:left="3384" w:hanging="400"/>
      </w:pPr>
      <w:rPr>
        <w:rFonts w:ascii="Wingdings" w:hAnsi="Wingdings" w:hint="default"/>
      </w:rPr>
    </w:lvl>
    <w:lvl w:ilvl="6" w:tplc="8E804AB0" w:tentative="1">
      <w:start w:val="1"/>
      <w:numFmt w:val="bullet"/>
      <w:lvlText w:val=""/>
      <w:lvlJc w:val="left"/>
      <w:pPr>
        <w:ind w:left="3784" w:hanging="400"/>
      </w:pPr>
      <w:rPr>
        <w:rFonts w:ascii="Wingdings" w:hAnsi="Wingdings" w:hint="default"/>
      </w:rPr>
    </w:lvl>
    <w:lvl w:ilvl="7" w:tplc="D138D846" w:tentative="1">
      <w:start w:val="1"/>
      <w:numFmt w:val="bullet"/>
      <w:lvlText w:val=""/>
      <w:lvlJc w:val="left"/>
      <w:pPr>
        <w:ind w:left="4184" w:hanging="400"/>
      </w:pPr>
      <w:rPr>
        <w:rFonts w:ascii="Wingdings" w:hAnsi="Wingdings" w:hint="default"/>
      </w:rPr>
    </w:lvl>
    <w:lvl w:ilvl="8" w:tplc="8FE0E732" w:tentative="1">
      <w:start w:val="1"/>
      <w:numFmt w:val="bullet"/>
      <w:lvlText w:val=""/>
      <w:lvlJc w:val="left"/>
      <w:pPr>
        <w:ind w:left="4584" w:hanging="400"/>
      </w:pPr>
      <w:rPr>
        <w:rFonts w:ascii="Wingdings" w:hAnsi="Wingdings" w:hint="default"/>
      </w:rPr>
    </w:lvl>
  </w:abstractNum>
  <w:abstractNum w:abstractNumId="51" w15:restartNumberingAfterBreak="0">
    <w:nsid w:val="22B12880"/>
    <w:multiLevelType w:val="hybridMultilevel"/>
    <w:tmpl w:val="339C2F6A"/>
    <w:lvl w:ilvl="0" w:tplc="FBAC8620">
      <w:start w:val="1"/>
      <w:numFmt w:val="decimal"/>
      <w:lvlText w:val="%1."/>
      <w:lvlJc w:val="left"/>
      <w:pPr>
        <w:ind w:hanging="562"/>
      </w:pPr>
      <w:rPr>
        <w:rFonts w:ascii="Times New Roman" w:eastAsia="Times New Roman" w:hAnsi="Times New Roman" w:hint="default"/>
        <w:b/>
        <w:bCs/>
        <w:sz w:val="22"/>
        <w:szCs w:val="22"/>
      </w:rPr>
    </w:lvl>
    <w:lvl w:ilvl="1" w:tplc="EE200976">
      <w:start w:val="1"/>
      <w:numFmt w:val="bullet"/>
      <w:lvlText w:val="•"/>
      <w:lvlJc w:val="left"/>
      <w:rPr>
        <w:rFonts w:hint="default"/>
      </w:rPr>
    </w:lvl>
    <w:lvl w:ilvl="2" w:tplc="54EA2F3A">
      <w:start w:val="1"/>
      <w:numFmt w:val="bullet"/>
      <w:lvlText w:val="•"/>
      <w:lvlJc w:val="left"/>
      <w:rPr>
        <w:rFonts w:hint="default"/>
      </w:rPr>
    </w:lvl>
    <w:lvl w:ilvl="3" w:tplc="4BD24EE6">
      <w:start w:val="1"/>
      <w:numFmt w:val="bullet"/>
      <w:lvlText w:val="•"/>
      <w:lvlJc w:val="left"/>
      <w:rPr>
        <w:rFonts w:hint="default"/>
      </w:rPr>
    </w:lvl>
    <w:lvl w:ilvl="4" w:tplc="66CADEA6">
      <w:start w:val="1"/>
      <w:numFmt w:val="bullet"/>
      <w:lvlText w:val="•"/>
      <w:lvlJc w:val="left"/>
      <w:rPr>
        <w:rFonts w:hint="default"/>
      </w:rPr>
    </w:lvl>
    <w:lvl w:ilvl="5" w:tplc="32BCB2D4">
      <w:start w:val="1"/>
      <w:numFmt w:val="bullet"/>
      <w:lvlText w:val="•"/>
      <w:lvlJc w:val="left"/>
      <w:rPr>
        <w:rFonts w:hint="default"/>
      </w:rPr>
    </w:lvl>
    <w:lvl w:ilvl="6" w:tplc="1DD4CF04">
      <w:start w:val="1"/>
      <w:numFmt w:val="bullet"/>
      <w:lvlText w:val="•"/>
      <w:lvlJc w:val="left"/>
      <w:rPr>
        <w:rFonts w:hint="default"/>
      </w:rPr>
    </w:lvl>
    <w:lvl w:ilvl="7" w:tplc="71BCBBB4">
      <w:start w:val="1"/>
      <w:numFmt w:val="bullet"/>
      <w:lvlText w:val="•"/>
      <w:lvlJc w:val="left"/>
      <w:rPr>
        <w:rFonts w:hint="default"/>
      </w:rPr>
    </w:lvl>
    <w:lvl w:ilvl="8" w:tplc="6226D20A">
      <w:start w:val="1"/>
      <w:numFmt w:val="bullet"/>
      <w:lvlText w:val="•"/>
      <w:lvlJc w:val="left"/>
      <w:rPr>
        <w:rFonts w:hint="default"/>
      </w:rPr>
    </w:lvl>
  </w:abstractNum>
  <w:abstractNum w:abstractNumId="52" w15:restartNumberingAfterBreak="0">
    <w:nsid w:val="24674764"/>
    <w:multiLevelType w:val="hybridMultilevel"/>
    <w:tmpl w:val="1C9844F0"/>
    <w:lvl w:ilvl="0" w:tplc="B220F120">
      <w:start w:val="1"/>
      <w:numFmt w:val="decimal"/>
      <w:lvlText w:val="%1."/>
      <w:lvlJc w:val="left"/>
      <w:pPr>
        <w:ind w:left="677" w:hanging="567"/>
      </w:pPr>
      <w:rPr>
        <w:rFonts w:ascii="Times New Roman" w:eastAsia="Times New Roman" w:hAnsi="Times New Roman" w:hint="default"/>
        <w:sz w:val="22"/>
        <w:szCs w:val="22"/>
      </w:rPr>
    </w:lvl>
    <w:lvl w:ilvl="1" w:tplc="0D4805F0">
      <w:start w:val="1"/>
      <w:numFmt w:val="bullet"/>
      <w:lvlText w:val="•"/>
      <w:lvlJc w:val="left"/>
      <w:pPr>
        <w:ind w:left="1569" w:hanging="567"/>
      </w:pPr>
      <w:rPr>
        <w:rFonts w:hint="default"/>
      </w:rPr>
    </w:lvl>
    <w:lvl w:ilvl="2" w:tplc="1A463F8E">
      <w:start w:val="1"/>
      <w:numFmt w:val="bullet"/>
      <w:lvlText w:val="•"/>
      <w:lvlJc w:val="left"/>
      <w:pPr>
        <w:ind w:left="2462" w:hanging="567"/>
      </w:pPr>
      <w:rPr>
        <w:rFonts w:hint="default"/>
      </w:rPr>
    </w:lvl>
    <w:lvl w:ilvl="3" w:tplc="B7EC6AE2">
      <w:start w:val="1"/>
      <w:numFmt w:val="bullet"/>
      <w:lvlText w:val="•"/>
      <w:lvlJc w:val="left"/>
      <w:pPr>
        <w:ind w:left="3354" w:hanging="567"/>
      </w:pPr>
      <w:rPr>
        <w:rFonts w:hint="default"/>
      </w:rPr>
    </w:lvl>
    <w:lvl w:ilvl="4" w:tplc="CD5E25BC">
      <w:start w:val="1"/>
      <w:numFmt w:val="bullet"/>
      <w:lvlText w:val="•"/>
      <w:lvlJc w:val="left"/>
      <w:pPr>
        <w:ind w:left="4246" w:hanging="567"/>
      </w:pPr>
      <w:rPr>
        <w:rFonts w:hint="default"/>
      </w:rPr>
    </w:lvl>
    <w:lvl w:ilvl="5" w:tplc="FEB27CE4">
      <w:start w:val="1"/>
      <w:numFmt w:val="bullet"/>
      <w:lvlText w:val="•"/>
      <w:lvlJc w:val="left"/>
      <w:pPr>
        <w:ind w:left="5138" w:hanging="567"/>
      </w:pPr>
      <w:rPr>
        <w:rFonts w:hint="default"/>
      </w:rPr>
    </w:lvl>
    <w:lvl w:ilvl="6" w:tplc="D6BEB72C">
      <w:start w:val="1"/>
      <w:numFmt w:val="bullet"/>
      <w:lvlText w:val="•"/>
      <w:lvlJc w:val="left"/>
      <w:pPr>
        <w:ind w:left="6031" w:hanging="567"/>
      </w:pPr>
      <w:rPr>
        <w:rFonts w:hint="default"/>
      </w:rPr>
    </w:lvl>
    <w:lvl w:ilvl="7" w:tplc="87BA4E52">
      <w:start w:val="1"/>
      <w:numFmt w:val="bullet"/>
      <w:lvlText w:val="•"/>
      <w:lvlJc w:val="left"/>
      <w:pPr>
        <w:ind w:left="6923" w:hanging="567"/>
      </w:pPr>
      <w:rPr>
        <w:rFonts w:hint="default"/>
      </w:rPr>
    </w:lvl>
    <w:lvl w:ilvl="8" w:tplc="26DC430A">
      <w:start w:val="1"/>
      <w:numFmt w:val="bullet"/>
      <w:lvlText w:val="•"/>
      <w:lvlJc w:val="left"/>
      <w:pPr>
        <w:ind w:left="7815" w:hanging="567"/>
      </w:pPr>
      <w:rPr>
        <w:rFonts w:hint="default"/>
      </w:rPr>
    </w:lvl>
  </w:abstractNum>
  <w:abstractNum w:abstractNumId="53" w15:restartNumberingAfterBreak="0">
    <w:nsid w:val="27065451"/>
    <w:multiLevelType w:val="hybridMultilevel"/>
    <w:tmpl w:val="3E3022CA"/>
    <w:lvl w:ilvl="0" w:tplc="2C8C6C3A">
      <w:start w:val="1"/>
      <w:numFmt w:val="decimal"/>
      <w:lvlText w:val="%1."/>
      <w:lvlJc w:val="left"/>
      <w:pPr>
        <w:ind w:left="471" w:hanging="360"/>
      </w:pPr>
      <w:rPr>
        <w:rFonts w:hint="default"/>
        <w:b/>
      </w:rPr>
    </w:lvl>
    <w:lvl w:ilvl="1" w:tplc="480A2E2A" w:tentative="1">
      <w:start w:val="1"/>
      <w:numFmt w:val="upperLetter"/>
      <w:lvlText w:val="%2."/>
      <w:lvlJc w:val="left"/>
      <w:pPr>
        <w:ind w:left="911" w:hanging="400"/>
      </w:pPr>
    </w:lvl>
    <w:lvl w:ilvl="2" w:tplc="50CC284A" w:tentative="1">
      <w:start w:val="1"/>
      <w:numFmt w:val="lowerRoman"/>
      <w:lvlText w:val="%3."/>
      <w:lvlJc w:val="right"/>
      <w:pPr>
        <w:ind w:left="1311" w:hanging="400"/>
      </w:pPr>
    </w:lvl>
    <w:lvl w:ilvl="3" w:tplc="E5E8AA5A" w:tentative="1">
      <w:start w:val="1"/>
      <w:numFmt w:val="decimal"/>
      <w:lvlText w:val="%4."/>
      <w:lvlJc w:val="left"/>
      <w:pPr>
        <w:ind w:left="1711" w:hanging="400"/>
      </w:pPr>
    </w:lvl>
    <w:lvl w:ilvl="4" w:tplc="D4BE0F82" w:tentative="1">
      <w:start w:val="1"/>
      <w:numFmt w:val="upperLetter"/>
      <w:lvlText w:val="%5."/>
      <w:lvlJc w:val="left"/>
      <w:pPr>
        <w:ind w:left="2111" w:hanging="400"/>
      </w:pPr>
    </w:lvl>
    <w:lvl w:ilvl="5" w:tplc="2AF0A490" w:tentative="1">
      <w:start w:val="1"/>
      <w:numFmt w:val="lowerRoman"/>
      <w:lvlText w:val="%6."/>
      <w:lvlJc w:val="right"/>
      <w:pPr>
        <w:ind w:left="2511" w:hanging="400"/>
      </w:pPr>
    </w:lvl>
    <w:lvl w:ilvl="6" w:tplc="CF5C9CC4" w:tentative="1">
      <w:start w:val="1"/>
      <w:numFmt w:val="decimal"/>
      <w:lvlText w:val="%7."/>
      <w:lvlJc w:val="left"/>
      <w:pPr>
        <w:ind w:left="2911" w:hanging="400"/>
      </w:pPr>
    </w:lvl>
    <w:lvl w:ilvl="7" w:tplc="B508693C" w:tentative="1">
      <w:start w:val="1"/>
      <w:numFmt w:val="upperLetter"/>
      <w:lvlText w:val="%8."/>
      <w:lvlJc w:val="left"/>
      <w:pPr>
        <w:ind w:left="3311" w:hanging="400"/>
      </w:pPr>
    </w:lvl>
    <w:lvl w:ilvl="8" w:tplc="941C8678" w:tentative="1">
      <w:start w:val="1"/>
      <w:numFmt w:val="lowerRoman"/>
      <w:lvlText w:val="%9."/>
      <w:lvlJc w:val="right"/>
      <w:pPr>
        <w:ind w:left="3711" w:hanging="400"/>
      </w:pPr>
    </w:lvl>
  </w:abstractNum>
  <w:abstractNum w:abstractNumId="54" w15:restartNumberingAfterBreak="0">
    <w:nsid w:val="283362CE"/>
    <w:multiLevelType w:val="hybridMultilevel"/>
    <w:tmpl w:val="7346B24E"/>
    <w:lvl w:ilvl="0" w:tplc="450C6070">
      <w:start w:val="1"/>
      <w:numFmt w:val="decimal"/>
      <w:lvlText w:val="%1."/>
      <w:lvlJc w:val="left"/>
      <w:pPr>
        <w:ind w:left="111" w:hanging="562"/>
      </w:pPr>
      <w:rPr>
        <w:rFonts w:ascii="Times New Roman" w:eastAsia="Times New Roman" w:hAnsi="Times New Roman" w:hint="default"/>
        <w:b/>
        <w:bCs/>
        <w:sz w:val="22"/>
        <w:szCs w:val="22"/>
      </w:rPr>
    </w:lvl>
    <w:lvl w:ilvl="1" w:tplc="088637EE">
      <w:start w:val="1"/>
      <w:numFmt w:val="bullet"/>
      <w:lvlText w:val=""/>
      <w:lvlJc w:val="left"/>
      <w:pPr>
        <w:ind w:left="831" w:hanging="360"/>
      </w:pPr>
      <w:rPr>
        <w:rFonts w:ascii="Symbol" w:eastAsia="Symbol" w:hAnsi="Symbol" w:hint="default"/>
        <w:sz w:val="22"/>
        <w:szCs w:val="22"/>
      </w:rPr>
    </w:lvl>
    <w:lvl w:ilvl="2" w:tplc="26BEBF88">
      <w:start w:val="1"/>
      <w:numFmt w:val="bullet"/>
      <w:lvlText w:val=""/>
      <w:lvlJc w:val="left"/>
      <w:pPr>
        <w:ind w:left="1551" w:hanging="360"/>
      </w:pPr>
      <w:rPr>
        <w:rFonts w:ascii="Symbol" w:eastAsia="Symbol" w:hAnsi="Symbol" w:hint="default"/>
        <w:sz w:val="22"/>
        <w:szCs w:val="22"/>
      </w:rPr>
    </w:lvl>
    <w:lvl w:ilvl="3" w:tplc="634EFDAA">
      <w:start w:val="1"/>
      <w:numFmt w:val="bullet"/>
      <w:lvlText w:val="•"/>
      <w:lvlJc w:val="left"/>
      <w:pPr>
        <w:ind w:left="1551" w:hanging="360"/>
      </w:pPr>
      <w:rPr>
        <w:rFonts w:hint="default"/>
      </w:rPr>
    </w:lvl>
    <w:lvl w:ilvl="4" w:tplc="166A5E2A">
      <w:start w:val="1"/>
      <w:numFmt w:val="bullet"/>
      <w:lvlText w:val="•"/>
      <w:lvlJc w:val="left"/>
      <w:pPr>
        <w:ind w:left="2695" w:hanging="360"/>
      </w:pPr>
      <w:rPr>
        <w:rFonts w:hint="default"/>
      </w:rPr>
    </w:lvl>
    <w:lvl w:ilvl="5" w:tplc="D038B4B8">
      <w:start w:val="1"/>
      <w:numFmt w:val="bullet"/>
      <w:lvlText w:val="•"/>
      <w:lvlJc w:val="left"/>
      <w:pPr>
        <w:ind w:left="3839" w:hanging="360"/>
      </w:pPr>
      <w:rPr>
        <w:rFonts w:hint="default"/>
      </w:rPr>
    </w:lvl>
    <w:lvl w:ilvl="6" w:tplc="AD30BA44">
      <w:start w:val="1"/>
      <w:numFmt w:val="bullet"/>
      <w:lvlText w:val="•"/>
      <w:lvlJc w:val="left"/>
      <w:pPr>
        <w:ind w:left="4983" w:hanging="360"/>
      </w:pPr>
      <w:rPr>
        <w:rFonts w:hint="default"/>
      </w:rPr>
    </w:lvl>
    <w:lvl w:ilvl="7" w:tplc="6EAA041A">
      <w:start w:val="1"/>
      <w:numFmt w:val="bullet"/>
      <w:lvlText w:val="•"/>
      <w:lvlJc w:val="left"/>
      <w:pPr>
        <w:ind w:left="6127" w:hanging="360"/>
      </w:pPr>
      <w:rPr>
        <w:rFonts w:hint="default"/>
      </w:rPr>
    </w:lvl>
    <w:lvl w:ilvl="8" w:tplc="C944D5E4">
      <w:start w:val="1"/>
      <w:numFmt w:val="bullet"/>
      <w:lvlText w:val="•"/>
      <w:lvlJc w:val="left"/>
      <w:pPr>
        <w:ind w:left="7271" w:hanging="360"/>
      </w:pPr>
      <w:rPr>
        <w:rFonts w:hint="default"/>
      </w:rPr>
    </w:lvl>
  </w:abstractNum>
  <w:abstractNum w:abstractNumId="55" w15:restartNumberingAfterBreak="0">
    <w:nsid w:val="29F72400"/>
    <w:multiLevelType w:val="hybridMultilevel"/>
    <w:tmpl w:val="123E19DC"/>
    <w:lvl w:ilvl="0" w:tplc="58E48D18">
      <w:start w:val="1"/>
      <w:numFmt w:val="lowerLetter"/>
      <w:lvlText w:val="%1"/>
      <w:lvlJc w:val="left"/>
      <w:pPr>
        <w:ind w:hanging="360"/>
      </w:pPr>
      <w:rPr>
        <w:rFonts w:ascii="Times New Roman" w:eastAsia="Times New Roman" w:hAnsi="Times New Roman" w:hint="default"/>
        <w:position w:val="6"/>
        <w:sz w:val="22"/>
        <w:szCs w:val="22"/>
        <w:vertAlign w:val="superscript"/>
      </w:rPr>
    </w:lvl>
    <w:lvl w:ilvl="1" w:tplc="C4EACFDE">
      <w:start w:val="1"/>
      <w:numFmt w:val="bullet"/>
      <w:lvlText w:val="•"/>
      <w:lvlJc w:val="left"/>
      <w:rPr>
        <w:rFonts w:hint="default"/>
      </w:rPr>
    </w:lvl>
    <w:lvl w:ilvl="2" w:tplc="FFBEADCE">
      <w:start w:val="1"/>
      <w:numFmt w:val="bullet"/>
      <w:lvlText w:val="•"/>
      <w:lvlJc w:val="left"/>
      <w:rPr>
        <w:rFonts w:hint="default"/>
      </w:rPr>
    </w:lvl>
    <w:lvl w:ilvl="3" w:tplc="6908CA88">
      <w:start w:val="1"/>
      <w:numFmt w:val="bullet"/>
      <w:lvlText w:val="•"/>
      <w:lvlJc w:val="left"/>
      <w:rPr>
        <w:rFonts w:hint="default"/>
      </w:rPr>
    </w:lvl>
    <w:lvl w:ilvl="4" w:tplc="6A36EFB0">
      <w:start w:val="1"/>
      <w:numFmt w:val="bullet"/>
      <w:lvlText w:val="•"/>
      <w:lvlJc w:val="left"/>
      <w:rPr>
        <w:rFonts w:hint="default"/>
      </w:rPr>
    </w:lvl>
    <w:lvl w:ilvl="5" w:tplc="D722EECE">
      <w:start w:val="1"/>
      <w:numFmt w:val="bullet"/>
      <w:lvlText w:val="•"/>
      <w:lvlJc w:val="left"/>
      <w:rPr>
        <w:rFonts w:hint="default"/>
      </w:rPr>
    </w:lvl>
    <w:lvl w:ilvl="6" w:tplc="F55C5CF8">
      <w:start w:val="1"/>
      <w:numFmt w:val="bullet"/>
      <w:lvlText w:val="•"/>
      <w:lvlJc w:val="left"/>
      <w:rPr>
        <w:rFonts w:hint="default"/>
      </w:rPr>
    </w:lvl>
    <w:lvl w:ilvl="7" w:tplc="F47E08E6">
      <w:start w:val="1"/>
      <w:numFmt w:val="bullet"/>
      <w:lvlText w:val="•"/>
      <w:lvlJc w:val="left"/>
      <w:rPr>
        <w:rFonts w:hint="default"/>
      </w:rPr>
    </w:lvl>
    <w:lvl w:ilvl="8" w:tplc="CB12F070">
      <w:start w:val="1"/>
      <w:numFmt w:val="bullet"/>
      <w:lvlText w:val="•"/>
      <w:lvlJc w:val="left"/>
      <w:rPr>
        <w:rFonts w:hint="default"/>
      </w:rPr>
    </w:lvl>
  </w:abstractNum>
  <w:abstractNum w:abstractNumId="56" w15:restartNumberingAfterBreak="0">
    <w:nsid w:val="2B0E05AD"/>
    <w:multiLevelType w:val="hybridMultilevel"/>
    <w:tmpl w:val="CE5C424C"/>
    <w:lvl w:ilvl="0" w:tplc="9934C5CE">
      <w:start w:val="1"/>
      <w:numFmt w:val="upperLetter"/>
      <w:lvlText w:val="%1."/>
      <w:lvlJc w:val="left"/>
      <w:pPr>
        <w:ind w:hanging="550"/>
      </w:pPr>
      <w:rPr>
        <w:rFonts w:ascii="Times New Roman" w:eastAsia="Times New Roman" w:hAnsi="Times New Roman" w:hint="default"/>
        <w:b/>
        <w:bCs/>
        <w:spacing w:val="-2"/>
        <w:sz w:val="22"/>
        <w:szCs w:val="22"/>
      </w:rPr>
    </w:lvl>
    <w:lvl w:ilvl="1" w:tplc="063EC9DC">
      <w:start w:val="1"/>
      <w:numFmt w:val="bullet"/>
      <w:lvlText w:val=""/>
      <w:lvlJc w:val="left"/>
      <w:pPr>
        <w:ind w:hanging="360"/>
      </w:pPr>
      <w:rPr>
        <w:rFonts w:ascii="Symbol" w:eastAsia="Symbol" w:hAnsi="Symbol" w:hint="default"/>
        <w:sz w:val="22"/>
        <w:szCs w:val="22"/>
      </w:rPr>
    </w:lvl>
    <w:lvl w:ilvl="2" w:tplc="95488780">
      <w:start w:val="1"/>
      <w:numFmt w:val="bullet"/>
      <w:lvlText w:val="•"/>
      <w:lvlJc w:val="left"/>
      <w:rPr>
        <w:rFonts w:hint="default"/>
      </w:rPr>
    </w:lvl>
    <w:lvl w:ilvl="3" w:tplc="B74C634A">
      <w:start w:val="1"/>
      <w:numFmt w:val="bullet"/>
      <w:lvlText w:val="•"/>
      <w:lvlJc w:val="left"/>
      <w:rPr>
        <w:rFonts w:hint="default"/>
      </w:rPr>
    </w:lvl>
    <w:lvl w:ilvl="4" w:tplc="74C8B8BA">
      <w:start w:val="1"/>
      <w:numFmt w:val="bullet"/>
      <w:lvlText w:val="•"/>
      <w:lvlJc w:val="left"/>
      <w:rPr>
        <w:rFonts w:hint="default"/>
      </w:rPr>
    </w:lvl>
    <w:lvl w:ilvl="5" w:tplc="276223C8">
      <w:start w:val="1"/>
      <w:numFmt w:val="bullet"/>
      <w:lvlText w:val="•"/>
      <w:lvlJc w:val="left"/>
      <w:rPr>
        <w:rFonts w:hint="default"/>
      </w:rPr>
    </w:lvl>
    <w:lvl w:ilvl="6" w:tplc="32F40D2E">
      <w:start w:val="1"/>
      <w:numFmt w:val="bullet"/>
      <w:lvlText w:val="•"/>
      <w:lvlJc w:val="left"/>
      <w:rPr>
        <w:rFonts w:hint="default"/>
      </w:rPr>
    </w:lvl>
    <w:lvl w:ilvl="7" w:tplc="19E25286">
      <w:start w:val="1"/>
      <w:numFmt w:val="bullet"/>
      <w:lvlText w:val="•"/>
      <w:lvlJc w:val="left"/>
      <w:rPr>
        <w:rFonts w:hint="default"/>
      </w:rPr>
    </w:lvl>
    <w:lvl w:ilvl="8" w:tplc="39B42714">
      <w:start w:val="1"/>
      <w:numFmt w:val="bullet"/>
      <w:lvlText w:val="•"/>
      <w:lvlJc w:val="left"/>
      <w:rPr>
        <w:rFonts w:hint="default"/>
      </w:rPr>
    </w:lvl>
  </w:abstractNum>
  <w:abstractNum w:abstractNumId="57" w15:restartNumberingAfterBreak="0">
    <w:nsid w:val="2C1721E4"/>
    <w:multiLevelType w:val="hybridMultilevel"/>
    <w:tmpl w:val="DF36A22E"/>
    <w:lvl w:ilvl="0" w:tplc="786ADE88">
      <w:start w:val="1"/>
      <w:numFmt w:val="bullet"/>
      <w:lvlText w:val=""/>
      <w:lvlJc w:val="left"/>
      <w:pPr>
        <w:ind w:left="942" w:hanging="360"/>
      </w:pPr>
      <w:rPr>
        <w:rFonts w:ascii="Symbol" w:eastAsia="Symbol" w:hAnsi="Symbol" w:hint="default"/>
        <w:sz w:val="22"/>
        <w:szCs w:val="22"/>
      </w:rPr>
    </w:lvl>
    <w:lvl w:ilvl="1" w:tplc="C63C82AE">
      <w:start w:val="1"/>
      <w:numFmt w:val="bullet"/>
      <w:lvlText w:val="•"/>
      <w:lvlJc w:val="left"/>
      <w:pPr>
        <w:ind w:left="1488" w:hanging="360"/>
      </w:pPr>
      <w:rPr>
        <w:rFonts w:hint="default"/>
      </w:rPr>
    </w:lvl>
    <w:lvl w:ilvl="2" w:tplc="D33E6F56">
      <w:start w:val="1"/>
      <w:numFmt w:val="bullet"/>
      <w:lvlText w:val="•"/>
      <w:lvlJc w:val="left"/>
      <w:pPr>
        <w:ind w:left="2035" w:hanging="360"/>
      </w:pPr>
      <w:rPr>
        <w:rFonts w:hint="default"/>
      </w:rPr>
    </w:lvl>
    <w:lvl w:ilvl="3" w:tplc="A350B436">
      <w:start w:val="1"/>
      <w:numFmt w:val="bullet"/>
      <w:lvlText w:val="•"/>
      <w:lvlJc w:val="left"/>
      <w:pPr>
        <w:ind w:left="2582" w:hanging="360"/>
      </w:pPr>
      <w:rPr>
        <w:rFonts w:hint="default"/>
      </w:rPr>
    </w:lvl>
    <w:lvl w:ilvl="4" w:tplc="FC0E37C8">
      <w:start w:val="1"/>
      <w:numFmt w:val="bullet"/>
      <w:lvlText w:val="•"/>
      <w:lvlJc w:val="left"/>
      <w:pPr>
        <w:ind w:left="3128" w:hanging="360"/>
      </w:pPr>
      <w:rPr>
        <w:rFonts w:hint="default"/>
      </w:rPr>
    </w:lvl>
    <w:lvl w:ilvl="5" w:tplc="54ACD8E6">
      <w:start w:val="1"/>
      <w:numFmt w:val="bullet"/>
      <w:lvlText w:val="•"/>
      <w:lvlJc w:val="left"/>
      <w:pPr>
        <w:ind w:left="3675" w:hanging="360"/>
      </w:pPr>
      <w:rPr>
        <w:rFonts w:hint="default"/>
      </w:rPr>
    </w:lvl>
    <w:lvl w:ilvl="6" w:tplc="8450709C">
      <w:start w:val="1"/>
      <w:numFmt w:val="bullet"/>
      <w:lvlText w:val="•"/>
      <w:lvlJc w:val="left"/>
      <w:pPr>
        <w:ind w:left="4221" w:hanging="360"/>
      </w:pPr>
      <w:rPr>
        <w:rFonts w:hint="default"/>
      </w:rPr>
    </w:lvl>
    <w:lvl w:ilvl="7" w:tplc="977296FC">
      <w:start w:val="1"/>
      <w:numFmt w:val="bullet"/>
      <w:lvlText w:val="•"/>
      <w:lvlJc w:val="left"/>
      <w:pPr>
        <w:ind w:left="4768" w:hanging="360"/>
      </w:pPr>
      <w:rPr>
        <w:rFonts w:hint="default"/>
      </w:rPr>
    </w:lvl>
    <w:lvl w:ilvl="8" w:tplc="B754A7A4">
      <w:start w:val="1"/>
      <w:numFmt w:val="bullet"/>
      <w:lvlText w:val="•"/>
      <w:lvlJc w:val="left"/>
      <w:pPr>
        <w:ind w:left="5315" w:hanging="360"/>
      </w:pPr>
      <w:rPr>
        <w:rFonts w:hint="default"/>
      </w:rPr>
    </w:lvl>
  </w:abstractNum>
  <w:abstractNum w:abstractNumId="58" w15:restartNumberingAfterBreak="0">
    <w:nsid w:val="2C600D1C"/>
    <w:multiLevelType w:val="hybridMultilevel"/>
    <w:tmpl w:val="123E19DC"/>
    <w:lvl w:ilvl="0" w:tplc="58E48D18">
      <w:start w:val="1"/>
      <w:numFmt w:val="lowerLetter"/>
      <w:lvlText w:val="%1"/>
      <w:lvlJc w:val="left"/>
      <w:pPr>
        <w:ind w:hanging="360"/>
      </w:pPr>
      <w:rPr>
        <w:rFonts w:ascii="Times New Roman" w:eastAsia="Times New Roman" w:hAnsi="Times New Roman" w:hint="default"/>
        <w:position w:val="6"/>
        <w:sz w:val="22"/>
        <w:szCs w:val="22"/>
        <w:vertAlign w:val="superscript"/>
      </w:rPr>
    </w:lvl>
    <w:lvl w:ilvl="1" w:tplc="C4EACFDE">
      <w:start w:val="1"/>
      <w:numFmt w:val="bullet"/>
      <w:lvlText w:val="•"/>
      <w:lvlJc w:val="left"/>
      <w:rPr>
        <w:rFonts w:hint="default"/>
      </w:rPr>
    </w:lvl>
    <w:lvl w:ilvl="2" w:tplc="FFBEADCE">
      <w:start w:val="1"/>
      <w:numFmt w:val="bullet"/>
      <w:lvlText w:val="•"/>
      <w:lvlJc w:val="left"/>
      <w:rPr>
        <w:rFonts w:hint="default"/>
      </w:rPr>
    </w:lvl>
    <w:lvl w:ilvl="3" w:tplc="6908CA88">
      <w:start w:val="1"/>
      <w:numFmt w:val="bullet"/>
      <w:lvlText w:val="•"/>
      <w:lvlJc w:val="left"/>
      <w:rPr>
        <w:rFonts w:hint="default"/>
      </w:rPr>
    </w:lvl>
    <w:lvl w:ilvl="4" w:tplc="6A36EFB0">
      <w:start w:val="1"/>
      <w:numFmt w:val="bullet"/>
      <w:lvlText w:val="•"/>
      <w:lvlJc w:val="left"/>
      <w:rPr>
        <w:rFonts w:hint="default"/>
      </w:rPr>
    </w:lvl>
    <w:lvl w:ilvl="5" w:tplc="D722EECE">
      <w:start w:val="1"/>
      <w:numFmt w:val="bullet"/>
      <w:lvlText w:val="•"/>
      <w:lvlJc w:val="left"/>
      <w:rPr>
        <w:rFonts w:hint="default"/>
      </w:rPr>
    </w:lvl>
    <w:lvl w:ilvl="6" w:tplc="F55C5CF8">
      <w:start w:val="1"/>
      <w:numFmt w:val="bullet"/>
      <w:lvlText w:val="•"/>
      <w:lvlJc w:val="left"/>
      <w:rPr>
        <w:rFonts w:hint="default"/>
      </w:rPr>
    </w:lvl>
    <w:lvl w:ilvl="7" w:tplc="F47E08E6">
      <w:start w:val="1"/>
      <w:numFmt w:val="bullet"/>
      <w:lvlText w:val="•"/>
      <w:lvlJc w:val="left"/>
      <w:rPr>
        <w:rFonts w:hint="default"/>
      </w:rPr>
    </w:lvl>
    <w:lvl w:ilvl="8" w:tplc="CB12F070">
      <w:start w:val="1"/>
      <w:numFmt w:val="bullet"/>
      <w:lvlText w:val="•"/>
      <w:lvlJc w:val="left"/>
      <w:rPr>
        <w:rFonts w:hint="default"/>
      </w:rPr>
    </w:lvl>
  </w:abstractNum>
  <w:abstractNum w:abstractNumId="59" w15:restartNumberingAfterBreak="0">
    <w:nsid w:val="2DD63976"/>
    <w:multiLevelType w:val="hybridMultilevel"/>
    <w:tmpl w:val="6ABE77EC"/>
    <w:lvl w:ilvl="0" w:tplc="4BF0BF0E">
      <w:start w:val="1"/>
      <w:numFmt w:val="bullet"/>
      <w:lvlText w:val=""/>
      <w:lvlJc w:val="left"/>
      <w:pPr>
        <w:ind w:left="677" w:hanging="540"/>
      </w:pPr>
      <w:rPr>
        <w:rFonts w:ascii="Symbol" w:eastAsia="Symbol" w:hAnsi="Symbol" w:hint="default"/>
        <w:sz w:val="22"/>
        <w:szCs w:val="22"/>
      </w:rPr>
    </w:lvl>
    <w:lvl w:ilvl="1" w:tplc="F836CCC2">
      <w:start w:val="1"/>
      <w:numFmt w:val="bullet"/>
      <w:lvlText w:val=""/>
      <w:lvlJc w:val="left"/>
      <w:pPr>
        <w:ind w:left="111" w:hanging="360"/>
      </w:pPr>
      <w:rPr>
        <w:rFonts w:ascii="Symbol" w:eastAsia="Symbol" w:hAnsi="Symbol" w:hint="default"/>
        <w:sz w:val="22"/>
        <w:szCs w:val="22"/>
      </w:rPr>
    </w:lvl>
    <w:lvl w:ilvl="2" w:tplc="CA221DE0">
      <w:start w:val="1"/>
      <w:numFmt w:val="bullet"/>
      <w:lvlText w:val=""/>
      <w:lvlJc w:val="left"/>
      <w:pPr>
        <w:ind w:left="803" w:hanging="540"/>
      </w:pPr>
      <w:rPr>
        <w:rFonts w:ascii="Symbol" w:eastAsia="Symbol" w:hAnsi="Symbol" w:hint="default"/>
        <w:sz w:val="22"/>
        <w:szCs w:val="22"/>
      </w:rPr>
    </w:lvl>
    <w:lvl w:ilvl="3" w:tplc="85442BA2">
      <w:start w:val="1"/>
      <w:numFmt w:val="bullet"/>
      <w:lvlText w:val="•"/>
      <w:lvlJc w:val="left"/>
      <w:pPr>
        <w:ind w:left="743" w:hanging="540"/>
      </w:pPr>
      <w:rPr>
        <w:rFonts w:hint="default"/>
      </w:rPr>
    </w:lvl>
    <w:lvl w:ilvl="4" w:tplc="655CD556">
      <w:start w:val="1"/>
      <w:numFmt w:val="bullet"/>
      <w:lvlText w:val="•"/>
      <w:lvlJc w:val="left"/>
      <w:pPr>
        <w:ind w:left="803" w:hanging="540"/>
      </w:pPr>
      <w:rPr>
        <w:rFonts w:hint="default"/>
      </w:rPr>
    </w:lvl>
    <w:lvl w:ilvl="5" w:tplc="F3C0D20E">
      <w:start w:val="1"/>
      <w:numFmt w:val="bullet"/>
      <w:lvlText w:val="•"/>
      <w:lvlJc w:val="left"/>
      <w:pPr>
        <w:ind w:left="831" w:hanging="540"/>
      </w:pPr>
      <w:rPr>
        <w:rFonts w:hint="default"/>
      </w:rPr>
    </w:lvl>
    <w:lvl w:ilvl="6" w:tplc="06728F7E">
      <w:start w:val="1"/>
      <w:numFmt w:val="bullet"/>
      <w:lvlText w:val="•"/>
      <w:lvlJc w:val="left"/>
      <w:pPr>
        <w:ind w:left="2564" w:hanging="540"/>
      </w:pPr>
      <w:rPr>
        <w:rFonts w:hint="default"/>
      </w:rPr>
    </w:lvl>
    <w:lvl w:ilvl="7" w:tplc="36E8C076">
      <w:start w:val="1"/>
      <w:numFmt w:val="bullet"/>
      <w:lvlText w:val="•"/>
      <w:lvlJc w:val="left"/>
      <w:pPr>
        <w:ind w:left="4298" w:hanging="540"/>
      </w:pPr>
      <w:rPr>
        <w:rFonts w:hint="default"/>
      </w:rPr>
    </w:lvl>
    <w:lvl w:ilvl="8" w:tplc="0BE23518">
      <w:start w:val="1"/>
      <w:numFmt w:val="bullet"/>
      <w:lvlText w:val="•"/>
      <w:lvlJc w:val="left"/>
      <w:pPr>
        <w:ind w:left="6032" w:hanging="540"/>
      </w:pPr>
      <w:rPr>
        <w:rFonts w:hint="default"/>
      </w:rPr>
    </w:lvl>
  </w:abstractNum>
  <w:abstractNum w:abstractNumId="60" w15:restartNumberingAfterBreak="0">
    <w:nsid w:val="2DEB42C4"/>
    <w:multiLevelType w:val="hybridMultilevel"/>
    <w:tmpl w:val="3D1E2D84"/>
    <w:lvl w:ilvl="0" w:tplc="B67075A0">
      <w:start w:val="1"/>
      <w:numFmt w:val="bullet"/>
      <w:lvlText w:val=""/>
      <w:lvlJc w:val="left"/>
      <w:pPr>
        <w:ind w:left="313" w:hanging="180"/>
      </w:pPr>
      <w:rPr>
        <w:rFonts w:ascii="Symbol" w:eastAsia="Symbol" w:hAnsi="Symbol" w:hint="default"/>
        <w:sz w:val="22"/>
        <w:szCs w:val="22"/>
      </w:rPr>
    </w:lvl>
    <w:lvl w:ilvl="1" w:tplc="01380C36">
      <w:start w:val="1"/>
      <w:numFmt w:val="bullet"/>
      <w:lvlText w:val="•"/>
      <w:lvlJc w:val="left"/>
      <w:pPr>
        <w:ind w:left="965" w:hanging="180"/>
      </w:pPr>
      <w:rPr>
        <w:rFonts w:hint="default"/>
      </w:rPr>
    </w:lvl>
    <w:lvl w:ilvl="2" w:tplc="ADE838E2">
      <w:start w:val="1"/>
      <w:numFmt w:val="bullet"/>
      <w:lvlText w:val="•"/>
      <w:lvlJc w:val="left"/>
      <w:pPr>
        <w:ind w:left="1617" w:hanging="180"/>
      </w:pPr>
      <w:rPr>
        <w:rFonts w:hint="default"/>
      </w:rPr>
    </w:lvl>
    <w:lvl w:ilvl="3" w:tplc="88467A20">
      <w:start w:val="1"/>
      <w:numFmt w:val="bullet"/>
      <w:lvlText w:val="•"/>
      <w:lvlJc w:val="left"/>
      <w:pPr>
        <w:ind w:left="2270" w:hanging="180"/>
      </w:pPr>
      <w:rPr>
        <w:rFonts w:hint="default"/>
      </w:rPr>
    </w:lvl>
    <w:lvl w:ilvl="4" w:tplc="A8C664A6">
      <w:start w:val="1"/>
      <w:numFmt w:val="bullet"/>
      <w:lvlText w:val="•"/>
      <w:lvlJc w:val="left"/>
      <w:pPr>
        <w:ind w:left="2922" w:hanging="180"/>
      </w:pPr>
      <w:rPr>
        <w:rFonts w:hint="default"/>
      </w:rPr>
    </w:lvl>
    <w:lvl w:ilvl="5" w:tplc="942CEC5C">
      <w:start w:val="1"/>
      <w:numFmt w:val="bullet"/>
      <w:lvlText w:val="•"/>
      <w:lvlJc w:val="left"/>
      <w:pPr>
        <w:ind w:left="3574" w:hanging="180"/>
      </w:pPr>
      <w:rPr>
        <w:rFonts w:hint="default"/>
      </w:rPr>
    </w:lvl>
    <w:lvl w:ilvl="6" w:tplc="0B02B770">
      <w:start w:val="1"/>
      <w:numFmt w:val="bullet"/>
      <w:lvlText w:val="•"/>
      <w:lvlJc w:val="left"/>
      <w:pPr>
        <w:ind w:left="4226" w:hanging="180"/>
      </w:pPr>
      <w:rPr>
        <w:rFonts w:hint="default"/>
      </w:rPr>
    </w:lvl>
    <w:lvl w:ilvl="7" w:tplc="ED4651A2">
      <w:start w:val="1"/>
      <w:numFmt w:val="bullet"/>
      <w:lvlText w:val="•"/>
      <w:lvlJc w:val="left"/>
      <w:pPr>
        <w:ind w:left="4878" w:hanging="180"/>
      </w:pPr>
      <w:rPr>
        <w:rFonts w:hint="default"/>
      </w:rPr>
    </w:lvl>
    <w:lvl w:ilvl="8" w:tplc="3CDEA402">
      <w:start w:val="1"/>
      <w:numFmt w:val="bullet"/>
      <w:lvlText w:val="•"/>
      <w:lvlJc w:val="left"/>
      <w:pPr>
        <w:ind w:left="5531" w:hanging="180"/>
      </w:pPr>
      <w:rPr>
        <w:rFonts w:hint="default"/>
      </w:rPr>
    </w:lvl>
  </w:abstractNum>
  <w:abstractNum w:abstractNumId="61" w15:restartNumberingAfterBreak="0">
    <w:nsid w:val="30D639B5"/>
    <w:multiLevelType w:val="hybridMultilevel"/>
    <w:tmpl w:val="05F6FC12"/>
    <w:lvl w:ilvl="0" w:tplc="3A9A87AA">
      <w:start w:val="1"/>
      <w:numFmt w:val="decimal"/>
      <w:lvlText w:val="%1."/>
      <w:lvlJc w:val="left"/>
      <w:pPr>
        <w:ind w:left="111" w:hanging="562"/>
      </w:pPr>
      <w:rPr>
        <w:rFonts w:ascii="Times New Roman" w:eastAsia="Times New Roman" w:hAnsi="Times New Roman" w:hint="default"/>
        <w:b/>
        <w:bCs/>
        <w:sz w:val="22"/>
        <w:szCs w:val="22"/>
      </w:rPr>
    </w:lvl>
    <w:lvl w:ilvl="1" w:tplc="22103D98">
      <w:start w:val="1"/>
      <w:numFmt w:val="bullet"/>
      <w:lvlText w:val=""/>
      <w:lvlJc w:val="left"/>
      <w:pPr>
        <w:ind w:left="831" w:hanging="360"/>
      </w:pPr>
      <w:rPr>
        <w:rFonts w:ascii="Symbol" w:eastAsia="Symbol" w:hAnsi="Symbol" w:hint="default"/>
        <w:sz w:val="22"/>
        <w:szCs w:val="22"/>
      </w:rPr>
    </w:lvl>
    <w:lvl w:ilvl="2" w:tplc="5484DD76">
      <w:start w:val="1"/>
      <w:numFmt w:val="bullet"/>
      <w:lvlText w:val=""/>
      <w:lvlJc w:val="left"/>
      <w:pPr>
        <w:ind w:left="1551" w:hanging="360"/>
      </w:pPr>
      <w:rPr>
        <w:rFonts w:ascii="Symbol" w:eastAsia="Symbol" w:hAnsi="Symbol" w:hint="default"/>
        <w:sz w:val="22"/>
        <w:szCs w:val="22"/>
      </w:rPr>
    </w:lvl>
    <w:lvl w:ilvl="3" w:tplc="A0C07C8E">
      <w:start w:val="1"/>
      <w:numFmt w:val="bullet"/>
      <w:lvlText w:val="•"/>
      <w:lvlJc w:val="left"/>
      <w:pPr>
        <w:ind w:left="1551" w:hanging="360"/>
      </w:pPr>
      <w:rPr>
        <w:rFonts w:hint="default"/>
      </w:rPr>
    </w:lvl>
    <w:lvl w:ilvl="4" w:tplc="B8D42DD2">
      <w:start w:val="1"/>
      <w:numFmt w:val="bullet"/>
      <w:lvlText w:val="•"/>
      <w:lvlJc w:val="left"/>
      <w:pPr>
        <w:ind w:left="2692" w:hanging="360"/>
      </w:pPr>
      <w:rPr>
        <w:rFonts w:hint="default"/>
      </w:rPr>
    </w:lvl>
    <w:lvl w:ilvl="5" w:tplc="30F219C4">
      <w:start w:val="1"/>
      <w:numFmt w:val="bullet"/>
      <w:lvlText w:val="•"/>
      <w:lvlJc w:val="left"/>
      <w:pPr>
        <w:ind w:left="3833" w:hanging="360"/>
      </w:pPr>
      <w:rPr>
        <w:rFonts w:hint="default"/>
      </w:rPr>
    </w:lvl>
    <w:lvl w:ilvl="6" w:tplc="C4BCF520">
      <w:start w:val="1"/>
      <w:numFmt w:val="bullet"/>
      <w:lvlText w:val="•"/>
      <w:lvlJc w:val="left"/>
      <w:pPr>
        <w:ind w:left="4974" w:hanging="360"/>
      </w:pPr>
      <w:rPr>
        <w:rFonts w:hint="default"/>
      </w:rPr>
    </w:lvl>
    <w:lvl w:ilvl="7" w:tplc="7AC20B4E">
      <w:start w:val="1"/>
      <w:numFmt w:val="bullet"/>
      <w:lvlText w:val="•"/>
      <w:lvlJc w:val="left"/>
      <w:pPr>
        <w:ind w:left="6116" w:hanging="360"/>
      </w:pPr>
      <w:rPr>
        <w:rFonts w:hint="default"/>
      </w:rPr>
    </w:lvl>
    <w:lvl w:ilvl="8" w:tplc="1FBCEB96">
      <w:start w:val="1"/>
      <w:numFmt w:val="bullet"/>
      <w:lvlText w:val="•"/>
      <w:lvlJc w:val="left"/>
      <w:pPr>
        <w:ind w:left="7257" w:hanging="360"/>
      </w:pPr>
      <w:rPr>
        <w:rFonts w:hint="default"/>
      </w:rPr>
    </w:lvl>
  </w:abstractNum>
  <w:abstractNum w:abstractNumId="62" w15:restartNumberingAfterBreak="0">
    <w:nsid w:val="3207788F"/>
    <w:multiLevelType w:val="multilevel"/>
    <w:tmpl w:val="FBB62B10"/>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63" w15:restartNumberingAfterBreak="0">
    <w:nsid w:val="337B2914"/>
    <w:multiLevelType w:val="hybridMultilevel"/>
    <w:tmpl w:val="5F4A02AC"/>
    <w:lvl w:ilvl="0" w:tplc="E7BCC7DA">
      <w:start w:val="1"/>
      <w:numFmt w:val="bullet"/>
      <w:lvlText w:val=""/>
      <w:lvlJc w:val="left"/>
      <w:pPr>
        <w:ind w:hanging="180"/>
      </w:pPr>
      <w:rPr>
        <w:rFonts w:ascii="Symbol" w:eastAsia="Symbol" w:hAnsi="Symbol" w:hint="default"/>
        <w:sz w:val="22"/>
        <w:szCs w:val="22"/>
      </w:rPr>
    </w:lvl>
    <w:lvl w:ilvl="1" w:tplc="7CFAE2EC">
      <w:start w:val="1"/>
      <w:numFmt w:val="bullet"/>
      <w:lvlText w:val="•"/>
      <w:lvlJc w:val="left"/>
      <w:rPr>
        <w:rFonts w:hint="default"/>
      </w:rPr>
    </w:lvl>
    <w:lvl w:ilvl="2" w:tplc="3906039A">
      <w:start w:val="1"/>
      <w:numFmt w:val="bullet"/>
      <w:lvlText w:val="•"/>
      <w:lvlJc w:val="left"/>
      <w:rPr>
        <w:rFonts w:hint="default"/>
      </w:rPr>
    </w:lvl>
    <w:lvl w:ilvl="3" w:tplc="7FA07C96">
      <w:start w:val="1"/>
      <w:numFmt w:val="bullet"/>
      <w:lvlText w:val="•"/>
      <w:lvlJc w:val="left"/>
      <w:rPr>
        <w:rFonts w:hint="default"/>
      </w:rPr>
    </w:lvl>
    <w:lvl w:ilvl="4" w:tplc="E3DA9D5E">
      <w:start w:val="1"/>
      <w:numFmt w:val="bullet"/>
      <w:lvlText w:val="•"/>
      <w:lvlJc w:val="left"/>
      <w:rPr>
        <w:rFonts w:hint="default"/>
      </w:rPr>
    </w:lvl>
    <w:lvl w:ilvl="5" w:tplc="899CBE60">
      <w:start w:val="1"/>
      <w:numFmt w:val="bullet"/>
      <w:lvlText w:val="•"/>
      <w:lvlJc w:val="left"/>
      <w:rPr>
        <w:rFonts w:hint="default"/>
      </w:rPr>
    </w:lvl>
    <w:lvl w:ilvl="6" w:tplc="00B802A6">
      <w:start w:val="1"/>
      <w:numFmt w:val="bullet"/>
      <w:lvlText w:val="•"/>
      <w:lvlJc w:val="left"/>
      <w:rPr>
        <w:rFonts w:hint="default"/>
      </w:rPr>
    </w:lvl>
    <w:lvl w:ilvl="7" w:tplc="014E51BE">
      <w:start w:val="1"/>
      <w:numFmt w:val="bullet"/>
      <w:lvlText w:val="•"/>
      <w:lvlJc w:val="left"/>
      <w:rPr>
        <w:rFonts w:hint="default"/>
      </w:rPr>
    </w:lvl>
    <w:lvl w:ilvl="8" w:tplc="36665EC4">
      <w:start w:val="1"/>
      <w:numFmt w:val="bullet"/>
      <w:lvlText w:val="•"/>
      <w:lvlJc w:val="left"/>
      <w:rPr>
        <w:rFonts w:hint="default"/>
      </w:rPr>
    </w:lvl>
  </w:abstractNum>
  <w:abstractNum w:abstractNumId="64" w15:restartNumberingAfterBreak="0">
    <w:nsid w:val="34653D49"/>
    <w:multiLevelType w:val="hybridMultilevel"/>
    <w:tmpl w:val="82F21D2C"/>
    <w:lvl w:ilvl="0" w:tplc="D152CD02">
      <w:start w:val="1"/>
      <w:numFmt w:val="bullet"/>
      <w:lvlText w:val="•"/>
      <w:lvlJc w:val="left"/>
      <w:pPr>
        <w:ind w:left="911" w:hanging="400"/>
      </w:pPr>
      <w:rPr>
        <w:rFonts w:ascii="Times New Roman" w:eastAsia="Times New Roman" w:hAnsi="Times New Roman" w:hint="default"/>
        <w:sz w:val="22"/>
        <w:szCs w:val="22"/>
      </w:rPr>
    </w:lvl>
    <w:lvl w:ilvl="1" w:tplc="7B6AFD1A" w:tentative="1">
      <w:start w:val="1"/>
      <w:numFmt w:val="bullet"/>
      <w:lvlText w:val=""/>
      <w:lvlJc w:val="left"/>
      <w:pPr>
        <w:ind w:left="1311" w:hanging="400"/>
      </w:pPr>
      <w:rPr>
        <w:rFonts w:ascii="Wingdings" w:hAnsi="Wingdings" w:hint="default"/>
      </w:rPr>
    </w:lvl>
    <w:lvl w:ilvl="2" w:tplc="5F10838A" w:tentative="1">
      <w:start w:val="1"/>
      <w:numFmt w:val="bullet"/>
      <w:lvlText w:val=""/>
      <w:lvlJc w:val="left"/>
      <w:pPr>
        <w:ind w:left="1711" w:hanging="400"/>
      </w:pPr>
      <w:rPr>
        <w:rFonts w:ascii="Wingdings" w:hAnsi="Wingdings" w:hint="default"/>
      </w:rPr>
    </w:lvl>
    <w:lvl w:ilvl="3" w:tplc="B24C816C" w:tentative="1">
      <w:start w:val="1"/>
      <w:numFmt w:val="bullet"/>
      <w:lvlText w:val=""/>
      <w:lvlJc w:val="left"/>
      <w:pPr>
        <w:ind w:left="2111" w:hanging="400"/>
      </w:pPr>
      <w:rPr>
        <w:rFonts w:ascii="Wingdings" w:hAnsi="Wingdings" w:hint="default"/>
      </w:rPr>
    </w:lvl>
    <w:lvl w:ilvl="4" w:tplc="A4E2E26C" w:tentative="1">
      <w:start w:val="1"/>
      <w:numFmt w:val="bullet"/>
      <w:lvlText w:val=""/>
      <w:lvlJc w:val="left"/>
      <w:pPr>
        <w:ind w:left="2511" w:hanging="400"/>
      </w:pPr>
      <w:rPr>
        <w:rFonts w:ascii="Wingdings" w:hAnsi="Wingdings" w:hint="default"/>
      </w:rPr>
    </w:lvl>
    <w:lvl w:ilvl="5" w:tplc="DD2C6E24" w:tentative="1">
      <w:start w:val="1"/>
      <w:numFmt w:val="bullet"/>
      <w:lvlText w:val=""/>
      <w:lvlJc w:val="left"/>
      <w:pPr>
        <w:ind w:left="2911" w:hanging="400"/>
      </w:pPr>
      <w:rPr>
        <w:rFonts w:ascii="Wingdings" w:hAnsi="Wingdings" w:hint="default"/>
      </w:rPr>
    </w:lvl>
    <w:lvl w:ilvl="6" w:tplc="E58A8470" w:tentative="1">
      <w:start w:val="1"/>
      <w:numFmt w:val="bullet"/>
      <w:lvlText w:val=""/>
      <w:lvlJc w:val="left"/>
      <w:pPr>
        <w:ind w:left="3311" w:hanging="400"/>
      </w:pPr>
      <w:rPr>
        <w:rFonts w:ascii="Wingdings" w:hAnsi="Wingdings" w:hint="default"/>
      </w:rPr>
    </w:lvl>
    <w:lvl w:ilvl="7" w:tplc="3138B570" w:tentative="1">
      <w:start w:val="1"/>
      <w:numFmt w:val="bullet"/>
      <w:lvlText w:val=""/>
      <w:lvlJc w:val="left"/>
      <w:pPr>
        <w:ind w:left="3711" w:hanging="400"/>
      </w:pPr>
      <w:rPr>
        <w:rFonts w:ascii="Wingdings" w:hAnsi="Wingdings" w:hint="default"/>
      </w:rPr>
    </w:lvl>
    <w:lvl w:ilvl="8" w:tplc="071E680C" w:tentative="1">
      <w:start w:val="1"/>
      <w:numFmt w:val="bullet"/>
      <w:lvlText w:val=""/>
      <w:lvlJc w:val="left"/>
      <w:pPr>
        <w:ind w:left="4111" w:hanging="400"/>
      </w:pPr>
      <w:rPr>
        <w:rFonts w:ascii="Wingdings" w:hAnsi="Wingdings" w:hint="default"/>
      </w:rPr>
    </w:lvl>
  </w:abstractNum>
  <w:abstractNum w:abstractNumId="65" w15:restartNumberingAfterBreak="0">
    <w:nsid w:val="35507A7B"/>
    <w:multiLevelType w:val="hybridMultilevel"/>
    <w:tmpl w:val="339C2F6A"/>
    <w:lvl w:ilvl="0" w:tplc="FBAC8620">
      <w:start w:val="1"/>
      <w:numFmt w:val="decimal"/>
      <w:lvlText w:val="%1."/>
      <w:lvlJc w:val="left"/>
      <w:pPr>
        <w:ind w:hanging="562"/>
      </w:pPr>
      <w:rPr>
        <w:rFonts w:ascii="Times New Roman" w:eastAsia="Times New Roman" w:hAnsi="Times New Roman" w:hint="default"/>
        <w:b/>
        <w:bCs/>
        <w:sz w:val="22"/>
        <w:szCs w:val="22"/>
      </w:rPr>
    </w:lvl>
    <w:lvl w:ilvl="1" w:tplc="EE200976">
      <w:start w:val="1"/>
      <w:numFmt w:val="bullet"/>
      <w:lvlText w:val="•"/>
      <w:lvlJc w:val="left"/>
      <w:rPr>
        <w:rFonts w:hint="default"/>
      </w:rPr>
    </w:lvl>
    <w:lvl w:ilvl="2" w:tplc="54EA2F3A">
      <w:start w:val="1"/>
      <w:numFmt w:val="bullet"/>
      <w:lvlText w:val="•"/>
      <w:lvlJc w:val="left"/>
      <w:rPr>
        <w:rFonts w:hint="default"/>
      </w:rPr>
    </w:lvl>
    <w:lvl w:ilvl="3" w:tplc="4BD24EE6">
      <w:start w:val="1"/>
      <w:numFmt w:val="bullet"/>
      <w:lvlText w:val="•"/>
      <w:lvlJc w:val="left"/>
      <w:rPr>
        <w:rFonts w:hint="default"/>
      </w:rPr>
    </w:lvl>
    <w:lvl w:ilvl="4" w:tplc="66CADEA6">
      <w:start w:val="1"/>
      <w:numFmt w:val="bullet"/>
      <w:lvlText w:val="•"/>
      <w:lvlJc w:val="left"/>
      <w:rPr>
        <w:rFonts w:hint="default"/>
      </w:rPr>
    </w:lvl>
    <w:lvl w:ilvl="5" w:tplc="32BCB2D4">
      <w:start w:val="1"/>
      <w:numFmt w:val="bullet"/>
      <w:lvlText w:val="•"/>
      <w:lvlJc w:val="left"/>
      <w:rPr>
        <w:rFonts w:hint="default"/>
      </w:rPr>
    </w:lvl>
    <w:lvl w:ilvl="6" w:tplc="1DD4CF04">
      <w:start w:val="1"/>
      <w:numFmt w:val="bullet"/>
      <w:lvlText w:val="•"/>
      <w:lvlJc w:val="left"/>
      <w:rPr>
        <w:rFonts w:hint="default"/>
      </w:rPr>
    </w:lvl>
    <w:lvl w:ilvl="7" w:tplc="71BCBBB4">
      <w:start w:val="1"/>
      <w:numFmt w:val="bullet"/>
      <w:lvlText w:val="•"/>
      <w:lvlJc w:val="left"/>
      <w:rPr>
        <w:rFonts w:hint="default"/>
      </w:rPr>
    </w:lvl>
    <w:lvl w:ilvl="8" w:tplc="6226D20A">
      <w:start w:val="1"/>
      <w:numFmt w:val="bullet"/>
      <w:lvlText w:val="•"/>
      <w:lvlJc w:val="left"/>
      <w:rPr>
        <w:rFonts w:hint="default"/>
      </w:rPr>
    </w:lvl>
  </w:abstractNum>
  <w:abstractNum w:abstractNumId="66" w15:restartNumberingAfterBreak="0">
    <w:nsid w:val="35A236F9"/>
    <w:multiLevelType w:val="hybridMultilevel"/>
    <w:tmpl w:val="EF7C0E1A"/>
    <w:lvl w:ilvl="0" w:tplc="ADDEA342">
      <w:start w:val="1"/>
      <w:numFmt w:val="upperLetter"/>
      <w:lvlText w:val="%1."/>
      <w:lvlJc w:val="left"/>
      <w:pPr>
        <w:ind w:left="760" w:hanging="360"/>
      </w:pPr>
      <w:rPr>
        <w:rFonts w:hint="default"/>
      </w:rPr>
    </w:lvl>
    <w:lvl w:ilvl="1" w:tplc="AA448E36" w:tentative="1">
      <w:start w:val="1"/>
      <w:numFmt w:val="upperLetter"/>
      <w:lvlText w:val="%2."/>
      <w:lvlJc w:val="left"/>
      <w:pPr>
        <w:ind w:left="1200" w:hanging="400"/>
      </w:pPr>
    </w:lvl>
    <w:lvl w:ilvl="2" w:tplc="565699B8" w:tentative="1">
      <w:start w:val="1"/>
      <w:numFmt w:val="lowerRoman"/>
      <w:lvlText w:val="%3."/>
      <w:lvlJc w:val="right"/>
      <w:pPr>
        <w:ind w:left="1600" w:hanging="400"/>
      </w:pPr>
    </w:lvl>
    <w:lvl w:ilvl="3" w:tplc="A4525E92" w:tentative="1">
      <w:start w:val="1"/>
      <w:numFmt w:val="decimal"/>
      <w:lvlText w:val="%4."/>
      <w:lvlJc w:val="left"/>
      <w:pPr>
        <w:ind w:left="2000" w:hanging="400"/>
      </w:pPr>
    </w:lvl>
    <w:lvl w:ilvl="4" w:tplc="79E6FF3A" w:tentative="1">
      <w:start w:val="1"/>
      <w:numFmt w:val="upperLetter"/>
      <w:lvlText w:val="%5."/>
      <w:lvlJc w:val="left"/>
      <w:pPr>
        <w:ind w:left="2400" w:hanging="400"/>
      </w:pPr>
    </w:lvl>
    <w:lvl w:ilvl="5" w:tplc="1750BDAC" w:tentative="1">
      <w:start w:val="1"/>
      <w:numFmt w:val="lowerRoman"/>
      <w:lvlText w:val="%6."/>
      <w:lvlJc w:val="right"/>
      <w:pPr>
        <w:ind w:left="2800" w:hanging="400"/>
      </w:pPr>
    </w:lvl>
    <w:lvl w:ilvl="6" w:tplc="E5E4FC76" w:tentative="1">
      <w:start w:val="1"/>
      <w:numFmt w:val="decimal"/>
      <w:lvlText w:val="%7."/>
      <w:lvlJc w:val="left"/>
      <w:pPr>
        <w:ind w:left="3200" w:hanging="400"/>
      </w:pPr>
    </w:lvl>
    <w:lvl w:ilvl="7" w:tplc="CB040E50" w:tentative="1">
      <w:start w:val="1"/>
      <w:numFmt w:val="upperLetter"/>
      <w:lvlText w:val="%8."/>
      <w:lvlJc w:val="left"/>
      <w:pPr>
        <w:ind w:left="3600" w:hanging="400"/>
      </w:pPr>
    </w:lvl>
    <w:lvl w:ilvl="8" w:tplc="55FC1DA0" w:tentative="1">
      <w:start w:val="1"/>
      <w:numFmt w:val="lowerRoman"/>
      <w:lvlText w:val="%9."/>
      <w:lvlJc w:val="right"/>
      <w:pPr>
        <w:ind w:left="4000" w:hanging="400"/>
      </w:pPr>
    </w:lvl>
  </w:abstractNum>
  <w:abstractNum w:abstractNumId="67" w15:restartNumberingAfterBreak="0">
    <w:nsid w:val="368965E5"/>
    <w:multiLevelType w:val="hybridMultilevel"/>
    <w:tmpl w:val="C392431A"/>
    <w:lvl w:ilvl="0" w:tplc="9ED0222C">
      <w:start w:val="1"/>
      <w:numFmt w:val="bullet"/>
      <w:lvlText w:val=""/>
      <w:lvlJc w:val="left"/>
      <w:pPr>
        <w:ind w:left="315" w:hanging="180"/>
      </w:pPr>
      <w:rPr>
        <w:rFonts w:ascii="Symbol" w:eastAsia="Symbol" w:hAnsi="Symbol" w:hint="default"/>
        <w:sz w:val="22"/>
        <w:szCs w:val="22"/>
      </w:rPr>
    </w:lvl>
    <w:lvl w:ilvl="1" w:tplc="37B458F6">
      <w:start w:val="1"/>
      <w:numFmt w:val="bullet"/>
      <w:lvlText w:val="•"/>
      <w:lvlJc w:val="left"/>
      <w:pPr>
        <w:ind w:left="968" w:hanging="180"/>
      </w:pPr>
      <w:rPr>
        <w:rFonts w:hint="default"/>
      </w:rPr>
    </w:lvl>
    <w:lvl w:ilvl="2" w:tplc="52A609F2">
      <w:start w:val="1"/>
      <w:numFmt w:val="bullet"/>
      <w:lvlText w:val="•"/>
      <w:lvlJc w:val="left"/>
      <w:pPr>
        <w:ind w:left="1620" w:hanging="180"/>
      </w:pPr>
      <w:rPr>
        <w:rFonts w:hint="default"/>
      </w:rPr>
    </w:lvl>
    <w:lvl w:ilvl="3" w:tplc="E6247EC2">
      <w:start w:val="1"/>
      <w:numFmt w:val="bullet"/>
      <w:lvlText w:val="•"/>
      <w:lvlJc w:val="left"/>
      <w:pPr>
        <w:ind w:left="2272" w:hanging="180"/>
      </w:pPr>
      <w:rPr>
        <w:rFonts w:hint="default"/>
      </w:rPr>
    </w:lvl>
    <w:lvl w:ilvl="4" w:tplc="5D748A5E">
      <w:start w:val="1"/>
      <w:numFmt w:val="bullet"/>
      <w:lvlText w:val="•"/>
      <w:lvlJc w:val="left"/>
      <w:pPr>
        <w:ind w:left="2924" w:hanging="180"/>
      </w:pPr>
      <w:rPr>
        <w:rFonts w:hint="default"/>
      </w:rPr>
    </w:lvl>
    <w:lvl w:ilvl="5" w:tplc="AAC6EFBE">
      <w:start w:val="1"/>
      <w:numFmt w:val="bullet"/>
      <w:lvlText w:val="•"/>
      <w:lvlJc w:val="left"/>
      <w:pPr>
        <w:ind w:left="3576" w:hanging="180"/>
      </w:pPr>
      <w:rPr>
        <w:rFonts w:hint="default"/>
      </w:rPr>
    </w:lvl>
    <w:lvl w:ilvl="6" w:tplc="D858386A">
      <w:start w:val="1"/>
      <w:numFmt w:val="bullet"/>
      <w:lvlText w:val="•"/>
      <w:lvlJc w:val="left"/>
      <w:pPr>
        <w:ind w:left="4229" w:hanging="180"/>
      </w:pPr>
      <w:rPr>
        <w:rFonts w:hint="default"/>
      </w:rPr>
    </w:lvl>
    <w:lvl w:ilvl="7" w:tplc="A9E05F7E">
      <w:start w:val="1"/>
      <w:numFmt w:val="bullet"/>
      <w:lvlText w:val="•"/>
      <w:lvlJc w:val="left"/>
      <w:pPr>
        <w:ind w:left="4881" w:hanging="180"/>
      </w:pPr>
      <w:rPr>
        <w:rFonts w:hint="default"/>
      </w:rPr>
    </w:lvl>
    <w:lvl w:ilvl="8" w:tplc="F496D890">
      <w:start w:val="1"/>
      <w:numFmt w:val="bullet"/>
      <w:lvlText w:val="•"/>
      <w:lvlJc w:val="left"/>
      <w:pPr>
        <w:ind w:left="5533" w:hanging="180"/>
      </w:pPr>
      <w:rPr>
        <w:rFonts w:hint="default"/>
      </w:rPr>
    </w:lvl>
  </w:abstractNum>
  <w:abstractNum w:abstractNumId="68" w15:restartNumberingAfterBreak="0">
    <w:nsid w:val="374F132D"/>
    <w:multiLevelType w:val="hybridMultilevel"/>
    <w:tmpl w:val="D3526B34"/>
    <w:lvl w:ilvl="0" w:tplc="07B89B24">
      <w:start w:val="1"/>
      <w:numFmt w:val="decimal"/>
      <w:lvlText w:val="%1."/>
      <w:lvlJc w:val="left"/>
      <w:pPr>
        <w:ind w:left="111" w:hanging="562"/>
      </w:pPr>
      <w:rPr>
        <w:rFonts w:ascii="Times New Roman" w:eastAsia="Times New Roman" w:hAnsi="Times New Roman" w:hint="default"/>
        <w:b/>
        <w:bCs/>
        <w:sz w:val="22"/>
        <w:szCs w:val="22"/>
      </w:rPr>
    </w:lvl>
    <w:lvl w:ilvl="1" w:tplc="586EEE22">
      <w:start w:val="1"/>
      <w:numFmt w:val="bullet"/>
      <w:lvlText w:val=""/>
      <w:lvlJc w:val="left"/>
      <w:pPr>
        <w:ind w:left="831" w:hanging="360"/>
      </w:pPr>
      <w:rPr>
        <w:rFonts w:ascii="Symbol" w:eastAsia="Symbol" w:hAnsi="Symbol" w:hint="default"/>
        <w:sz w:val="22"/>
        <w:szCs w:val="22"/>
      </w:rPr>
    </w:lvl>
    <w:lvl w:ilvl="2" w:tplc="2154EA52">
      <w:start w:val="1"/>
      <w:numFmt w:val="bullet"/>
      <w:lvlText w:val=""/>
      <w:lvlJc w:val="left"/>
      <w:pPr>
        <w:ind w:left="1551" w:hanging="360"/>
      </w:pPr>
      <w:rPr>
        <w:rFonts w:ascii="Symbol" w:eastAsia="Symbol" w:hAnsi="Symbol" w:hint="default"/>
        <w:sz w:val="22"/>
        <w:szCs w:val="22"/>
      </w:rPr>
    </w:lvl>
    <w:lvl w:ilvl="3" w:tplc="EB048D08">
      <w:start w:val="1"/>
      <w:numFmt w:val="bullet"/>
      <w:lvlText w:val="•"/>
      <w:lvlJc w:val="left"/>
      <w:pPr>
        <w:ind w:left="1551" w:hanging="360"/>
      </w:pPr>
      <w:rPr>
        <w:rFonts w:hint="default"/>
      </w:rPr>
    </w:lvl>
    <w:lvl w:ilvl="4" w:tplc="F7EE1F6E">
      <w:start w:val="1"/>
      <w:numFmt w:val="bullet"/>
      <w:lvlText w:val="•"/>
      <w:lvlJc w:val="left"/>
      <w:pPr>
        <w:ind w:left="2695" w:hanging="360"/>
      </w:pPr>
      <w:rPr>
        <w:rFonts w:hint="default"/>
      </w:rPr>
    </w:lvl>
    <w:lvl w:ilvl="5" w:tplc="00900FD2">
      <w:start w:val="1"/>
      <w:numFmt w:val="bullet"/>
      <w:lvlText w:val="•"/>
      <w:lvlJc w:val="left"/>
      <w:pPr>
        <w:ind w:left="3839" w:hanging="360"/>
      </w:pPr>
      <w:rPr>
        <w:rFonts w:hint="default"/>
      </w:rPr>
    </w:lvl>
    <w:lvl w:ilvl="6" w:tplc="6564072A">
      <w:start w:val="1"/>
      <w:numFmt w:val="bullet"/>
      <w:lvlText w:val="•"/>
      <w:lvlJc w:val="left"/>
      <w:pPr>
        <w:ind w:left="4983" w:hanging="360"/>
      </w:pPr>
      <w:rPr>
        <w:rFonts w:hint="default"/>
      </w:rPr>
    </w:lvl>
    <w:lvl w:ilvl="7" w:tplc="10584FDE">
      <w:start w:val="1"/>
      <w:numFmt w:val="bullet"/>
      <w:lvlText w:val="•"/>
      <w:lvlJc w:val="left"/>
      <w:pPr>
        <w:ind w:left="6127" w:hanging="360"/>
      </w:pPr>
      <w:rPr>
        <w:rFonts w:hint="default"/>
      </w:rPr>
    </w:lvl>
    <w:lvl w:ilvl="8" w:tplc="64661CC2">
      <w:start w:val="1"/>
      <w:numFmt w:val="bullet"/>
      <w:lvlText w:val="•"/>
      <w:lvlJc w:val="left"/>
      <w:pPr>
        <w:ind w:left="7271" w:hanging="360"/>
      </w:pPr>
      <w:rPr>
        <w:rFonts w:hint="default"/>
      </w:rPr>
    </w:lvl>
  </w:abstractNum>
  <w:abstractNum w:abstractNumId="69" w15:restartNumberingAfterBreak="0">
    <w:nsid w:val="37963DBC"/>
    <w:multiLevelType w:val="hybridMultilevel"/>
    <w:tmpl w:val="4392C26E"/>
    <w:lvl w:ilvl="0" w:tplc="2E248586">
      <w:start w:val="1"/>
      <w:numFmt w:val="decimal"/>
      <w:lvlText w:val="%1."/>
      <w:lvlJc w:val="left"/>
      <w:pPr>
        <w:ind w:left="660" w:hanging="550"/>
      </w:pPr>
      <w:rPr>
        <w:rFonts w:ascii="Times New Roman" w:eastAsia="Times New Roman" w:hAnsi="Times New Roman" w:hint="default"/>
        <w:sz w:val="22"/>
        <w:szCs w:val="22"/>
      </w:rPr>
    </w:lvl>
    <w:lvl w:ilvl="1" w:tplc="EDF8F394">
      <w:start w:val="1"/>
      <w:numFmt w:val="bullet"/>
      <w:lvlText w:val="•"/>
      <w:lvlJc w:val="left"/>
      <w:pPr>
        <w:ind w:left="1548" w:hanging="550"/>
      </w:pPr>
      <w:rPr>
        <w:rFonts w:hint="default"/>
      </w:rPr>
    </w:lvl>
    <w:lvl w:ilvl="2" w:tplc="F8A6BFE8">
      <w:start w:val="1"/>
      <w:numFmt w:val="bullet"/>
      <w:lvlText w:val="•"/>
      <w:lvlJc w:val="left"/>
      <w:pPr>
        <w:ind w:left="2436" w:hanging="550"/>
      </w:pPr>
      <w:rPr>
        <w:rFonts w:hint="default"/>
      </w:rPr>
    </w:lvl>
    <w:lvl w:ilvl="3" w:tplc="D6A2BD44">
      <w:start w:val="1"/>
      <w:numFmt w:val="bullet"/>
      <w:lvlText w:val="•"/>
      <w:lvlJc w:val="left"/>
      <w:pPr>
        <w:ind w:left="3324" w:hanging="550"/>
      </w:pPr>
      <w:rPr>
        <w:rFonts w:hint="default"/>
      </w:rPr>
    </w:lvl>
    <w:lvl w:ilvl="4" w:tplc="81A6590C">
      <w:start w:val="1"/>
      <w:numFmt w:val="bullet"/>
      <w:lvlText w:val="•"/>
      <w:lvlJc w:val="left"/>
      <w:pPr>
        <w:ind w:left="4212" w:hanging="550"/>
      </w:pPr>
      <w:rPr>
        <w:rFonts w:hint="default"/>
      </w:rPr>
    </w:lvl>
    <w:lvl w:ilvl="5" w:tplc="AD94915E">
      <w:start w:val="1"/>
      <w:numFmt w:val="bullet"/>
      <w:lvlText w:val="•"/>
      <w:lvlJc w:val="left"/>
      <w:pPr>
        <w:ind w:left="5100" w:hanging="550"/>
      </w:pPr>
      <w:rPr>
        <w:rFonts w:hint="default"/>
      </w:rPr>
    </w:lvl>
    <w:lvl w:ilvl="6" w:tplc="37D0B9E0">
      <w:start w:val="1"/>
      <w:numFmt w:val="bullet"/>
      <w:lvlText w:val="•"/>
      <w:lvlJc w:val="left"/>
      <w:pPr>
        <w:ind w:left="5988" w:hanging="550"/>
      </w:pPr>
      <w:rPr>
        <w:rFonts w:hint="default"/>
      </w:rPr>
    </w:lvl>
    <w:lvl w:ilvl="7" w:tplc="5C06C0EA">
      <w:start w:val="1"/>
      <w:numFmt w:val="bullet"/>
      <w:lvlText w:val="•"/>
      <w:lvlJc w:val="left"/>
      <w:pPr>
        <w:ind w:left="6876" w:hanging="550"/>
      </w:pPr>
      <w:rPr>
        <w:rFonts w:hint="default"/>
      </w:rPr>
    </w:lvl>
    <w:lvl w:ilvl="8" w:tplc="86EC84C6">
      <w:start w:val="1"/>
      <w:numFmt w:val="bullet"/>
      <w:lvlText w:val="•"/>
      <w:lvlJc w:val="left"/>
      <w:pPr>
        <w:ind w:left="7764" w:hanging="550"/>
      </w:pPr>
      <w:rPr>
        <w:rFonts w:hint="default"/>
      </w:rPr>
    </w:lvl>
  </w:abstractNum>
  <w:abstractNum w:abstractNumId="70" w15:restartNumberingAfterBreak="0">
    <w:nsid w:val="3B2A06DE"/>
    <w:multiLevelType w:val="hybridMultilevel"/>
    <w:tmpl w:val="123E19DC"/>
    <w:lvl w:ilvl="0" w:tplc="58E48D18">
      <w:start w:val="1"/>
      <w:numFmt w:val="lowerLetter"/>
      <w:lvlText w:val="%1"/>
      <w:lvlJc w:val="left"/>
      <w:pPr>
        <w:ind w:hanging="360"/>
      </w:pPr>
      <w:rPr>
        <w:rFonts w:ascii="Times New Roman" w:eastAsia="Times New Roman" w:hAnsi="Times New Roman" w:hint="default"/>
        <w:position w:val="6"/>
        <w:sz w:val="22"/>
        <w:szCs w:val="22"/>
        <w:vertAlign w:val="superscript"/>
      </w:rPr>
    </w:lvl>
    <w:lvl w:ilvl="1" w:tplc="C4EACFDE">
      <w:start w:val="1"/>
      <w:numFmt w:val="bullet"/>
      <w:lvlText w:val="•"/>
      <w:lvlJc w:val="left"/>
      <w:rPr>
        <w:rFonts w:hint="default"/>
      </w:rPr>
    </w:lvl>
    <w:lvl w:ilvl="2" w:tplc="FFBEADCE">
      <w:start w:val="1"/>
      <w:numFmt w:val="bullet"/>
      <w:lvlText w:val="•"/>
      <w:lvlJc w:val="left"/>
      <w:rPr>
        <w:rFonts w:hint="default"/>
      </w:rPr>
    </w:lvl>
    <w:lvl w:ilvl="3" w:tplc="6908CA88">
      <w:start w:val="1"/>
      <w:numFmt w:val="bullet"/>
      <w:lvlText w:val="•"/>
      <w:lvlJc w:val="left"/>
      <w:rPr>
        <w:rFonts w:hint="default"/>
      </w:rPr>
    </w:lvl>
    <w:lvl w:ilvl="4" w:tplc="6A36EFB0">
      <w:start w:val="1"/>
      <w:numFmt w:val="bullet"/>
      <w:lvlText w:val="•"/>
      <w:lvlJc w:val="left"/>
      <w:rPr>
        <w:rFonts w:hint="default"/>
      </w:rPr>
    </w:lvl>
    <w:lvl w:ilvl="5" w:tplc="D722EECE">
      <w:start w:val="1"/>
      <w:numFmt w:val="bullet"/>
      <w:lvlText w:val="•"/>
      <w:lvlJc w:val="left"/>
      <w:rPr>
        <w:rFonts w:hint="default"/>
      </w:rPr>
    </w:lvl>
    <w:lvl w:ilvl="6" w:tplc="F55C5CF8">
      <w:start w:val="1"/>
      <w:numFmt w:val="bullet"/>
      <w:lvlText w:val="•"/>
      <w:lvlJc w:val="left"/>
      <w:rPr>
        <w:rFonts w:hint="default"/>
      </w:rPr>
    </w:lvl>
    <w:lvl w:ilvl="7" w:tplc="F47E08E6">
      <w:start w:val="1"/>
      <w:numFmt w:val="bullet"/>
      <w:lvlText w:val="•"/>
      <w:lvlJc w:val="left"/>
      <w:rPr>
        <w:rFonts w:hint="default"/>
      </w:rPr>
    </w:lvl>
    <w:lvl w:ilvl="8" w:tplc="CB12F070">
      <w:start w:val="1"/>
      <w:numFmt w:val="bullet"/>
      <w:lvlText w:val="•"/>
      <w:lvlJc w:val="left"/>
      <w:rPr>
        <w:rFonts w:hint="default"/>
      </w:rPr>
    </w:lvl>
  </w:abstractNum>
  <w:abstractNum w:abstractNumId="71" w15:restartNumberingAfterBreak="0">
    <w:nsid w:val="3B7E0A6A"/>
    <w:multiLevelType w:val="hybridMultilevel"/>
    <w:tmpl w:val="520C0D62"/>
    <w:lvl w:ilvl="0" w:tplc="A7340A90">
      <w:start w:val="1"/>
      <w:numFmt w:val="bullet"/>
      <w:lvlText w:val=""/>
      <w:lvlJc w:val="left"/>
      <w:pPr>
        <w:ind w:hanging="550"/>
      </w:pPr>
      <w:rPr>
        <w:rFonts w:ascii="Symbol" w:eastAsia="Symbol" w:hAnsi="Symbol" w:hint="default"/>
        <w:sz w:val="22"/>
        <w:szCs w:val="22"/>
      </w:rPr>
    </w:lvl>
    <w:lvl w:ilvl="1" w:tplc="97D8E95A">
      <w:start w:val="1"/>
      <w:numFmt w:val="bullet"/>
      <w:lvlText w:val="•"/>
      <w:lvlJc w:val="left"/>
      <w:rPr>
        <w:rFonts w:hint="default"/>
      </w:rPr>
    </w:lvl>
    <w:lvl w:ilvl="2" w:tplc="BCB29A66">
      <w:start w:val="1"/>
      <w:numFmt w:val="bullet"/>
      <w:lvlText w:val="•"/>
      <w:lvlJc w:val="left"/>
      <w:rPr>
        <w:rFonts w:hint="default"/>
      </w:rPr>
    </w:lvl>
    <w:lvl w:ilvl="3" w:tplc="BAFAAB72">
      <w:start w:val="1"/>
      <w:numFmt w:val="bullet"/>
      <w:lvlText w:val="•"/>
      <w:lvlJc w:val="left"/>
      <w:rPr>
        <w:rFonts w:hint="default"/>
      </w:rPr>
    </w:lvl>
    <w:lvl w:ilvl="4" w:tplc="D35C2932">
      <w:start w:val="1"/>
      <w:numFmt w:val="bullet"/>
      <w:lvlText w:val="•"/>
      <w:lvlJc w:val="left"/>
      <w:rPr>
        <w:rFonts w:hint="default"/>
      </w:rPr>
    </w:lvl>
    <w:lvl w:ilvl="5" w:tplc="CE484362">
      <w:start w:val="1"/>
      <w:numFmt w:val="bullet"/>
      <w:lvlText w:val="•"/>
      <w:lvlJc w:val="left"/>
      <w:rPr>
        <w:rFonts w:hint="default"/>
      </w:rPr>
    </w:lvl>
    <w:lvl w:ilvl="6" w:tplc="9722597A">
      <w:start w:val="1"/>
      <w:numFmt w:val="bullet"/>
      <w:lvlText w:val="•"/>
      <w:lvlJc w:val="left"/>
      <w:rPr>
        <w:rFonts w:hint="default"/>
      </w:rPr>
    </w:lvl>
    <w:lvl w:ilvl="7" w:tplc="FAAC4478">
      <w:start w:val="1"/>
      <w:numFmt w:val="bullet"/>
      <w:lvlText w:val="•"/>
      <w:lvlJc w:val="left"/>
      <w:rPr>
        <w:rFonts w:hint="default"/>
      </w:rPr>
    </w:lvl>
    <w:lvl w:ilvl="8" w:tplc="1A4AC976">
      <w:start w:val="1"/>
      <w:numFmt w:val="bullet"/>
      <w:lvlText w:val="•"/>
      <w:lvlJc w:val="left"/>
      <w:rPr>
        <w:rFonts w:hint="default"/>
      </w:rPr>
    </w:lvl>
  </w:abstractNum>
  <w:abstractNum w:abstractNumId="72" w15:restartNumberingAfterBreak="0">
    <w:nsid w:val="3BD6390F"/>
    <w:multiLevelType w:val="hybridMultilevel"/>
    <w:tmpl w:val="FF08613C"/>
    <w:lvl w:ilvl="0" w:tplc="082CFB74">
      <w:start w:val="1"/>
      <w:numFmt w:val="decimal"/>
      <w:lvlText w:val="%1."/>
      <w:lvlJc w:val="left"/>
      <w:pPr>
        <w:ind w:left="360" w:hanging="360"/>
      </w:pPr>
      <w:rPr>
        <w:rFonts w:ascii="Times New Roman" w:hAnsi="Times New Roman" w:cs="Times New Roman" w:hint="default"/>
        <w:b/>
      </w:rPr>
    </w:lvl>
    <w:lvl w:ilvl="1" w:tplc="2D5A4B58" w:tentative="1">
      <w:start w:val="1"/>
      <w:numFmt w:val="upperLetter"/>
      <w:lvlText w:val="%2."/>
      <w:lvlJc w:val="left"/>
      <w:pPr>
        <w:ind w:left="800" w:hanging="400"/>
      </w:pPr>
    </w:lvl>
    <w:lvl w:ilvl="2" w:tplc="FF30847C" w:tentative="1">
      <w:start w:val="1"/>
      <w:numFmt w:val="lowerRoman"/>
      <w:lvlText w:val="%3."/>
      <w:lvlJc w:val="right"/>
      <w:pPr>
        <w:ind w:left="1200" w:hanging="400"/>
      </w:pPr>
    </w:lvl>
    <w:lvl w:ilvl="3" w:tplc="29AC3A42" w:tentative="1">
      <w:start w:val="1"/>
      <w:numFmt w:val="decimal"/>
      <w:lvlText w:val="%4."/>
      <w:lvlJc w:val="left"/>
      <w:pPr>
        <w:ind w:left="1600" w:hanging="400"/>
      </w:pPr>
    </w:lvl>
    <w:lvl w:ilvl="4" w:tplc="85FC7DEE" w:tentative="1">
      <w:start w:val="1"/>
      <w:numFmt w:val="upperLetter"/>
      <w:lvlText w:val="%5."/>
      <w:lvlJc w:val="left"/>
      <w:pPr>
        <w:ind w:left="2000" w:hanging="400"/>
      </w:pPr>
    </w:lvl>
    <w:lvl w:ilvl="5" w:tplc="92D47102" w:tentative="1">
      <w:start w:val="1"/>
      <w:numFmt w:val="lowerRoman"/>
      <w:lvlText w:val="%6."/>
      <w:lvlJc w:val="right"/>
      <w:pPr>
        <w:ind w:left="2400" w:hanging="400"/>
      </w:pPr>
    </w:lvl>
    <w:lvl w:ilvl="6" w:tplc="CD548784" w:tentative="1">
      <w:start w:val="1"/>
      <w:numFmt w:val="decimal"/>
      <w:lvlText w:val="%7."/>
      <w:lvlJc w:val="left"/>
      <w:pPr>
        <w:ind w:left="2800" w:hanging="400"/>
      </w:pPr>
    </w:lvl>
    <w:lvl w:ilvl="7" w:tplc="49E66CDA" w:tentative="1">
      <w:start w:val="1"/>
      <w:numFmt w:val="upperLetter"/>
      <w:lvlText w:val="%8."/>
      <w:lvlJc w:val="left"/>
      <w:pPr>
        <w:ind w:left="3200" w:hanging="400"/>
      </w:pPr>
    </w:lvl>
    <w:lvl w:ilvl="8" w:tplc="6D469936" w:tentative="1">
      <w:start w:val="1"/>
      <w:numFmt w:val="lowerRoman"/>
      <w:lvlText w:val="%9."/>
      <w:lvlJc w:val="right"/>
      <w:pPr>
        <w:ind w:left="3600" w:hanging="400"/>
      </w:pPr>
    </w:lvl>
  </w:abstractNum>
  <w:abstractNum w:abstractNumId="73" w15:restartNumberingAfterBreak="0">
    <w:nsid w:val="3CB241E4"/>
    <w:multiLevelType w:val="hybridMultilevel"/>
    <w:tmpl w:val="5CAC928C"/>
    <w:lvl w:ilvl="0" w:tplc="2F00A19C">
      <w:start w:val="1"/>
      <w:numFmt w:val="lowerLetter"/>
      <w:lvlText w:val="%1."/>
      <w:lvlJc w:val="left"/>
      <w:pPr>
        <w:ind w:left="4318" w:hanging="360"/>
      </w:pPr>
      <w:rPr>
        <w:rFonts w:hint="default"/>
        <w:b/>
      </w:rPr>
    </w:lvl>
    <w:lvl w:ilvl="1" w:tplc="04090019" w:tentative="1">
      <w:start w:val="1"/>
      <w:numFmt w:val="upperLetter"/>
      <w:lvlText w:val="%2."/>
      <w:lvlJc w:val="left"/>
      <w:pPr>
        <w:ind w:left="4758" w:hanging="400"/>
      </w:pPr>
    </w:lvl>
    <w:lvl w:ilvl="2" w:tplc="0409001B" w:tentative="1">
      <w:start w:val="1"/>
      <w:numFmt w:val="lowerRoman"/>
      <w:lvlText w:val="%3."/>
      <w:lvlJc w:val="right"/>
      <w:pPr>
        <w:ind w:left="5158" w:hanging="400"/>
      </w:pPr>
    </w:lvl>
    <w:lvl w:ilvl="3" w:tplc="0409000F" w:tentative="1">
      <w:start w:val="1"/>
      <w:numFmt w:val="decimal"/>
      <w:lvlText w:val="%4."/>
      <w:lvlJc w:val="left"/>
      <w:pPr>
        <w:ind w:left="5558" w:hanging="400"/>
      </w:pPr>
    </w:lvl>
    <w:lvl w:ilvl="4" w:tplc="04090019" w:tentative="1">
      <w:start w:val="1"/>
      <w:numFmt w:val="upperLetter"/>
      <w:lvlText w:val="%5."/>
      <w:lvlJc w:val="left"/>
      <w:pPr>
        <w:ind w:left="5958" w:hanging="400"/>
      </w:pPr>
    </w:lvl>
    <w:lvl w:ilvl="5" w:tplc="0409001B" w:tentative="1">
      <w:start w:val="1"/>
      <w:numFmt w:val="lowerRoman"/>
      <w:lvlText w:val="%6."/>
      <w:lvlJc w:val="right"/>
      <w:pPr>
        <w:ind w:left="6358" w:hanging="400"/>
      </w:pPr>
    </w:lvl>
    <w:lvl w:ilvl="6" w:tplc="0409000F" w:tentative="1">
      <w:start w:val="1"/>
      <w:numFmt w:val="decimal"/>
      <w:lvlText w:val="%7."/>
      <w:lvlJc w:val="left"/>
      <w:pPr>
        <w:ind w:left="6758" w:hanging="400"/>
      </w:pPr>
    </w:lvl>
    <w:lvl w:ilvl="7" w:tplc="04090019" w:tentative="1">
      <w:start w:val="1"/>
      <w:numFmt w:val="upperLetter"/>
      <w:lvlText w:val="%8."/>
      <w:lvlJc w:val="left"/>
      <w:pPr>
        <w:ind w:left="7158" w:hanging="400"/>
      </w:pPr>
    </w:lvl>
    <w:lvl w:ilvl="8" w:tplc="0409001B" w:tentative="1">
      <w:start w:val="1"/>
      <w:numFmt w:val="lowerRoman"/>
      <w:lvlText w:val="%9."/>
      <w:lvlJc w:val="right"/>
      <w:pPr>
        <w:ind w:left="7558" w:hanging="400"/>
      </w:pPr>
    </w:lvl>
  </w:abstractNum>
  <w:abstractNum w:abstractNumId="74" w15:restartNumberingAfterBreak="0">
    <w:nsid w:val="3E3B277C"/>
    <w:multiLevelType w:val="hybridMultilevel"/>
    <w:tmpl w:val="AA284A0C"/>
    <w:lvl w:ilvl="0" w:tplc="4DC043B4">
      <w:start w:val="1"/>
      <w:numFmt w:val="decimal"/>
      <w:lvlText w:val="%1."/>
      <w:lvlJc w:val="left"/>
      <w:pPr>
        <w:ind w:hanging="562"/>
      </w:pPr>
      <w:rPr>
        <w:rFonts w:ascii="Times New Roman" w:eastAsia="Times New Roman" w:hAnsi="Times New Roman" w:hint="default"/>
        <w:b/>
        <w:bCs/>
        <w:sz w:val="22"/>
        <w:szCs w:val="22"/>
      </w:rPr>
    </w:lvl>
    <w:lvl w:ilvl="1" w:tplc="CD747E3C">
      <w:start w:val="1"/>
      <w:numFmt w:val="bullet"/>
      <w:lvlText w:val=""/>
      <w:lvlJc w:val="left"/>
      <w:pPr>
        <w:ind w:hanging="360"/>
      </w:pPr>
      <w:rPr>
        <w:rFonts w:ascii="Symbol" w:eastAsia="Symbol" w:hAnsi="Symbol" w:hint="default"/>
        <w:sz w:val="22"/>
        <w:szCs w:val="22"/>
      </w:rPr>
    </w:lvl>
    <w:lvl w:ilvl="2" w:tplc="426E0B9E">
      <w:start w:val="1"/>
      <w:numFmt w:val="bullet"/>
      <w:lvlText w:val=""/>
      <w:lvlJc w:val="left"/>
      <w:pPr>
        <w:ind w:hanging="360"/>
      </w:pPr>
      <w:rPr>
        <w:rFonts w:ascii="Symbol" w:eastAsia="Symbol" w:hAnsi="Symbol" w:hint="default"/>
        <w:sz w:val="22"/>
        <w:szCs w:val="22"/>
      </w:rPr>
    </w:lvl>
    <w:lvl w:ilvl="3" w:tplc="E814DA76">
      <w:start w:val="1"/>
      <w:numFmt w:val="bullet"/>
      <w:lvlText w:val=""/>
      <w:lvlJc w:val="left"/>
      <w:pPr>
        <w:ind w:hanging="360"/>
      </w:pPr>
      <w:rPr>
        <w:rFonts w:ascii="Symbol" w:eastAsia="Symbol" w:hAnsi="Symbol" w:hint="default"/>
        <w:sz w:val="22"/>
        <w:szCs w:val="22"/>
      </w:rPr>
    </w:lvl>
    <w:lvl w:ilvl="4" w:tplc="9628F8FA">
      <w:start w:val="1"/>
      <w:numFmt w:val="bullet"/>
      <w:lvlText w:val=""/>
      <w:lvlJc w:val="left"/>
      <w:pPr>
        <w:ind w:hanging="360"/>
      </w:pPr>
      <w:rPr>
        <w:rFonts w:ascii="Symbol" w:eastAsia="Symbol" w:hAnsi="Symbol" w:hint="default"/>
        <w:sz w:val="22"/>
        <w:szCs w:val="22"/>
      </w:rPr>
    </w:lvl>
    <w:lvl w:ilvl="5" w:tplc="5112A9E4">
      <w:start w:val="1"/>
      <w:numFmt w:val="bullet"/>
      <w:lvlText w:val="•"/>
      <w:lvlJc w:val="left"/>
      <w:rPr>
        <w:rFonts w:hint="default"/>
      </w:rPr>
    </w:lvl>
    <w:lvl w:ilvl="6" w:tplc="23000AB0">
      <w:start w:val="1"/>
      <w:numFmt w:val="bullet"/>
      <w:lvlText w:val="•"/>
      <w:lvlJc w:val="left"/>
      <w:rPr>
        <w:rFonts w:hint="default"/>
      </w:rPr>
    </w:lvl>
    <w:lvl w:ilvl="7" w:tplc="74A66CAA">
      <w:start w:val="1"/>
      <w:numFmt w:val="bullet"/>
      <w:lvlText w:val="•"/>
      <w:lvlJc w:val="left"/>
      <w:rPr>
        <w:rFonts w:hint="default"/>
      </w:rPr>
    </w:lvl>
    <w:lvl w:ilvl="8" w:tplc="18C8222A">
      <w:start w:val="1"/>
      <w:numFmt w:val="bullet"/>
      <w:lvlText w:val="•"/>
      <w:lvlJc w:val="left"/>
      <w:rPr>
        <w:rFonts w:hint="default"/>
      </w:rPr>
    </w:lvl>
  </w:abstractNum>
  <w:abstractNum w:abstractNumId="75" w15:restartNumberingAfterBreak="0">
    <w:nsid w:val="3F805E75"/>
    <w:multiLevelType w:val="hybridMultilevel"/>
    <w:tmpl w:val="DD60684E"/>
    <w:lvl w:ilvl="0" w:tplc="3112EDFE">
      <w:start w:val="1"/>
      <w:numFmt w:val="decimal"/>
      <w:lvlText w:val="%1"/>
      <w:lvlJc w:val="left"/>
      <w:pPr>
        <w:ind w:left="396" w:hanging="166"/>
      </w:pPr>
      <w:rPr>
        <w:rFonts w:ascii="Times New Roman" w:eastAsia="Times New Roman" w:hAnsi="Times New Roman" w:hint="default"/>
        <w:sz w:val="22"/>
        <w:szCs w:val="22"/>
      </w:rPr>
    </w:lvl>
    <w:lvl w:ilvl="1" w:tplc="D18C6618">
      <w:start w:val="1"/>
      <w:numFmt w:val="bullet"/>
      <w:lvlText w:val="•"/>
      <w:lvlJc w:val="left"/>
      <w:pPr>
        <w:ind w:left="1344" w:hanging="166"/>
      </w:pPr>
      <w:rPr>
        <w:rFonts w:hint="default"/>
      </w:rPr>
    </w:lvl>
    <w:lvl w:ilvl="2" w:tplc="FD0C737A">
      <w:start w:val="1"/>
      <w:numFmt w:val="bullet"/>
      <w:lvlText w:val="•"/>
      <w:lvlJc w:val="left"/>
      <w:pPr>
        <w:ind w:left="2293" w:hanging="166"/>
      </w:pPr>
      <w:rPr>
        <w:rFonts w:hint="default"/>
      </w:rPr>
    </w:lvl>
    <w:lvl w:ilvl="3" w:tplc="B4745EF8">
      <w:start w:val="1"/>
      <w:numFmt w:val="bullet"/>
      <w:lvlText w:val="•"/>
      <w:lvlJc w:val="left"/>
      <w:pPr>
        <w:ind w:left="3241" w:hanging="166"/>
      </w:pPr>
      <w:rPr>
        <w:rFonts w:hint="default"/>
      </w:rPr>
    </w:lvl>
    <w:lvl w:ilvl="4" w:tplc="C34AA736">
      <w:start w:val="1"/>
      <w:numFmt w:val="bullet"/>
      <w:lvlText w:val="•"/>
      <w:lvlJc w:val="left"/>
      <w:pPr>
        <w:ind w:left="4190" w:hanging="166"/>
      </w:pPr>
      <w:rPr>
        <w:rFonts w:hint="default"/>
      </w:rPr>
    </w:lvl>
    <w:lvl w:ilvl="5" w:tplc="6262E4C6">
      <w:start w:val="1"/>
      <w:numFmt w:val="bullet"/>
      <w:lvlText w:val="•"/>
      <w:lvlJc w:val="left"/>
      <w:pPr>
        <w:ind w:left="5138" w:hanging="166"/>
      </w:pPr>
      <w:rPr>
        <w:rFonts w:hint="default"/>
      </w:rPr>
    </w:lvl>
    <w:lvl w:ilvl="6" w:tplc="02F23854">
      <w:start w:val="1"/>
      <w:numFmt w:val="bullet"/>
      <w:lvlText w:val="•"/>
      <w:lvlJc w:val="left"/>
      <w:pPr>
        <w:ind w:left="6086" w:hanging="166"/>
      </w:pPr>
      <w:rPr>
        <w:rFonts w:hint="default"/>
      </w:rPr>
    </w:lvl>
    <w:lvl w:ilvl="7" w:tplc="520C0D04">
      <w:start w:val="1"/>
      <w:numFmt w:val="bullet"/>
      <w:lvlText w:val="•"/>
      <w:lvlJc w:val="left"/>
      <w:pPr>
        <w:ind w:left="7035" w:hanging="166"/>
      </w:pPr>
      <w:rPr>
        <w:rFonts w:hint="default"/>
      </w:rPr>
    </w:lvl>
    <w:lvl w:ilvl="8" w:tplc="956CF85E">
      <w:start w:val="1"/>
      <w:numFmt w:val="bullet"/>
      <w:lvlText w:val="•"/>
      <w:lvlJc w:val="left"/>
      <w:pPr>
        <w:ind w:left="7983" w:hanging="166"/>
      </w:pPr>
      <w:rPr>
        <w:rFonts w:hint="default"/>
      </w:rPr>
    </w:lvl>
  </w:abstractNum>
  <w:abstractNum w:abstractNumId="76" w15:restartNumberingAfterBreak="0">
    <w:nsid w:val="401E7351"/>
    <w:multiLevelType w:val="hybridMultilevel"/>
    <w:tmpl w:val="67FCB3C6"/>
    <w:lvl w:ilvl="0" w:tplc="1CAAFA16">
      <w:start w:val="1"/>
      <w:numFmt w:val="bullet"/>
      <w:lvlText w:val=""/>
      <w:lvlJc w:val="left"/>
      <w:pPr>
        <w:ind w:left="315" w:hanging="176"/>
      </w:pPr>
      <w:rPr>
        <w:rFonts w:ascii="Symbol" w:eastAsia="Symbol" w:hAnsi="Symbol" w:hint="default"/>
        <w:sz w:val="22"/>
        <w:szCs w:val="22"/>
      </w:rPr>
    </w:lvl>
    <w:lvl w:ilvl="1" w:tplc="C4E88A60">
      <w:start w:val="1"/>
      <w:numFmt w:val="bullet"/>
      <w:lvlText w:val="•"/>
      <w:lvlJc w:val="left"/>
      <w:pPr>
        <w:ind w:left="968" w:hanging="176"/>
      </w:pPr>
      <w:rPr>
        <w:rFonts w:hint="default"/>
      </w:rPr>
    </w:lvl>
    <w:lvl w:ilvl="2" w:tplc="F816F1CC">
      <w:start w:val="1"/>
      <w:numFmt w:val="bullet"/>
      <w:lvlText w:val="•"/>
      <w:lvlJc w:val="left"/>
      <w:pPr>
        <w:ind w:left="1620" w:hanging="176"/>
      </w:pPr>
      <w:rPr>
        <w:rFonts w:hint="default"/>
      </w:rPr>
    </w:lvl>
    <w:lvl w:ilvl="3" w:tplc="A4304D18">
      <w:start w:val="1"/>
      <w:numFmt w:val="bullet"/>
      <w:lvlText w:val="•"/>
      <w:lvlJc w:val="left"/>
      <w:pPr>
        <w:ind w:left="2272" w:hanging="176"/>
      </w:pPr>
      <w:rPr>
        <w:rFonts w:hint="default"/>
      </w:rPr>
    </w:lvl>
    <w:lvl w:ilvl="4" w:tplc="E9B68F54">
      <w:start w:val="1"/>
      <w:numFmt w:val="bullet"/>
      <w:lvlText w:val="•"/>
      <w:lvlJc w:val="left"/>
      <w:pPr>
        <w:ind w:left="2924" w:hanging="176"/>
      </w:pPr>
      <w:rPr>
        <w:rFonts w:hint="default"/>
      </w:rPr>
    </w:lvl>
    <w:lvl w:ilvl="5" w:tplc="F0F45C68">
      <w:start w:val="1"/>
      <w:numFmt w:val="bullet"/>
      <w:lvlText w:val="•"/>
      <w:lvlJc w:val="left"/>
      <w:pPr>
        <w:ind w:left="3576" w:hanging="176"/>
      </w:pPr>
      <w:rPr>
        <w:rFonts w:hint="default"/>
      </w:rPr>
    </w:lvl>
    <w:lvl w:ilvl="6" w:tplc="914814D8">
      <w:start w:val="1"/>
      <w:numFmt w:val="bullet"/>
      <w:lvlText w:val="•"/>
      <w:lvlJc w:val="left"/>
      <w:pPr>
        <w:ind w:left="4229" w:hanging="176"/>
      </w:pPr>
      <w:rPr>
        <w:rFonts w:hint="default"/>
      </w:rPr>
    </w:lvl>
    <w:lvl w:ilvl="7" w:tplc="0FAA719C">
      <w:start w:val="1"/>
      <w:numFmt w:val="bullet"/>
      <w:lvlText w:val="•"/>
      <w:lvlJc w:val="left"/>
      <w:pPr>
        <w:ind w:left="4881" w:hanging="176"/>
      </w:pPr>
      <w:rPr>
        <w:rFonts w:hint="default"/>
      </w:rPr>
    </w:lvl>
    <w:lvl w:ilvl="8" w:tplc="E6B09340">
      <w:start w:val="1"/>
      <w:numFmt w:val="bullet"/>
      <w:lvlText w:val="•"/>
      <w:lvlJc w:val="left"/>
      <w:pPr>
        <w:ind w:left="5533" w:hanging="176"/>
      </w:pPr>
      <w:rPr>
        <w:rFonts w:hint="default"/>
      </w:rPr>
    </w:lvl>
  </w:abstractNum>
  <w:abstractNum w:abstractNumId="77" w15:restartNumberingAfterBreak="0">
    <w:nsid w:val="41B6180E"/>
    <w:multiLevelType w:val="hybridMultilevel"/>
    <w:tmpl w:val="339C2F6A"/>
    <w:lvl w:ilvl="0" w:tplc="9E3AC8B0">
      <w:start w:val="1"/>
      <w:numFmt w:val="decimal"/>
      <w:lvlText w:val="%1."/>
      <w:lvlJc w:val="left"/>
      <w:pPr>
        <w:ind w:hanging="562"/>
      </w:pPr>
      <w:rPr>
        <w:rFonts w:ascii="Times New Roman" w:eastAsia="Times New Roman" w:hAnsi="Times New Roman" w:hint="default"/>
        <w:b/>
        <w:bCs/>
        <w:sz w:val="22"/>
        <w:szCs w:val="22"/>
      </w:rPr>
    </w:lvl>
    <w:lvl w:ilvl="1" w:tplc="B1E4FC3A">
      <w:start w:val="1"/>
      <w:numFmt w:val="bullet"/>
      <w:lvlText w:val="•"/>
      <w:lvlJc w:val="left"/>
      <w:rPr>
        <w:rFonts w:hint="default"/>
      </w:rPr>
    </w:lvl>
    <w:lvl w:ilvl="2" w:tplc="F4F62BEE">
      <w:start w:val="1"/>
      <w:numFmt w:val="bullet"/>
      <w:lvlText w:val="•"/>
      <w:lvlJc w:val="left"/>
      <w:rPr>
        <w:rFonts w:hint="default"/>
      </w:rPr>
    </w:lvl>
    <w:lvl w:ilvl="3" w:tplc="9ED84712">
      <w:start w:val="1"/>
      <w:numFmt w:val="bullet"/>
      <w:lvlText w:val="•"/>
      <w:lvlJc w:val="left"/>
      <w:rPr>
        <w:rFonts w:hint="default"/>
      </w:rPr>
    </w:lvl>
    <w:lvl w:ilvl="4" w:tplc="00DEA548">
      <w:start w:val="1"/>
      <w:numFmt w:val="bullet"/>
      <w:lvlText w:val="•"/>
      <w:lvlJc w:val="left"/>
      <w:rPr>
        <w:rFonts w:hint="default"/>
      </w:rPr>
    </w:lvl>
    <w:lvl w:ilvl="5" w:tplc="398C35FC">
      <w:start w:val="1"/>
      <w:numFmt w:val="bullet"/>
      <w:lvlText w:val="•"/>
      <w:lvlJc w:val="left"/>
      <w:rPr>
        <w:rFonts w:hint="default"/>
      </w:rPr>
    </w:lvl>
    <w:lvl w:ilvl="6" w:tplc="72188530">
      <w:start w:val="1"/>
      <w:numFmt w:val="bullet"/>
      <w:lvlText w:val="•"/>
      <w:lvlJc w:val="left"/>
      <w:rPr>
        <w:rFonts w:hint="default"/>
      </w:rPr>
    </w:lvl>
    <w:lvl w:ilvl="7" w:tplc="0F50E40A">
      <w:start w:val="1"/>
      <w:numFmt w:val="bullet"/>
      <w:lvlText w:val="•"/>
      <w:lvlJc w:val="left"/>
      <w:rPr>
        <w:rFonts w:hint="default"/>
      </w:rPr>
    </w:lvl>
    <w:lvl w:ilvl="8" w:tplc="D3D41A08">
      <w:start w:val="1"/>
      <w:numFmt w:val="bullet"/>
      <w:lvlText w:val="•"/>
      <w:lvlJc w:val="left"/>
      <w:rPr>
        <w:rFonts w:hint="default"/>
      </w:rPr>
    </w:lvl>
  </w:abstractNum>
  <w:abstractNum w:abstractNumId="78" w15:restartNumberingAfterBreak="0">
    <w:nsid w:val="42991E7C"/>
    <w:multiLevelType w:val="hybridMultilevel"/>
    <w:tmpl w:val="60063D84"/>
    <w:lvl w:ilvl="0" w:tplc="448AD036">
      <w:start w:val="1"/>
      <w:numFmt w:val="decimal"/>
      <w:lvlText w:val="%1."/>
      <w:lvlJc w:val="left"/>
      <w:pPr>
        <w:ind w:left="677" w:hanging="567"/>
      </w:pPr>
      <w:rPr>
        <w:rFonts w:ascii="Times New Roman" w:eastAsia="Times New Roman" w:hAnsi="Times New Roman" w:hint="default"/>
        <w:sz w:val="22"/>
        <w:szCs w:val="22"/>
      </w:rPr>
    </w:lvl>
    <w:lvl w:ilvl="1" w:tplc="47668BAC">
      <w:start w:val="1"/>
      <w:numFmt w:val="bullet"/>
      <w:lvlText w:val="•"/>
      <w:lvlJc w:val="left"/>
      <w:pPr>
        <w:ind w:left="1569" w:hanging="567"/>
      </w:pPr>
      <w:rPr>
        <w:rFonts w:hint="default"/>
      </w:rPr>
    </w:lvl>
    <w:lvl w:ilvl="2" w:tplc="CFFEF75C">
      <w:start w:val="1"/>
      <w:numFmt w:val="bullet"/>
      <w:lvlText w:val="•"/>
      <w:lvlJc w:val="left"/>
      <w:pPr>
        <w:ind w:left="2462" w:hanging="567"/>
      </w:pPr>
      <w:rPr>
        <w:rFonts w:hint="default"/>
      </w:rPr>
    </w:lvl>
    <w:lvl w:ilvl="3" w:tplc="2408B3C6">
      <w:start w:val="1"/>
      <w:numFmt w:val="bullet"/>
      <w:lvlText w:val="•"/>
      <w:lvlJc w:val="left"/>
      <w:pPr>
        <w:ind w:left="3354" w:hanging="567"/>
      </w:pPr>
      <w:rPr>
        <w:rFonts w:hint="default"/>
      </w:rPr>
    </w:lvl>
    <w:lvl w:ilvl="4" w:tplc="2782012C">
      <w:start w:val="1"/>
      <w:numFmt w:val="bullet"/>
      <w:lvlText w:val="•"/>
      <w:lvlJc w:val="left"/>
      <w:pPr>
        <w:ind w:left="4246" w:hanging="567"/>
      </w:pPr>
      <w:rPr>
        <w:rFonts w:hint="default"/>
      </w:rPr>
    </w:lvl>
    <w:lvl w:ilvl="5" w:tplc="34A2A27A">
      <w:start w:val="1"/>
      <w:numFmt w:val="bullet"/>
      <w:lvlText w:val="•"/>
      <w:lvlJc w:val="left"/>
      <w:pPr>
        <w:ind w:left="5138" w:hanging="567"/>
      </w:pPr>
      <w:rPr>
        <w:rFonts w:hint="default"/>
      </w:rPr>
    </w:lvl>
    <w:lvl w:ilvl="6" w:tplc="9970F566">
      <w:start w:val="1"/>
      <w:numFmt w:val="bullet"/>
      <w:lvlText w:val="•"/>
      <w:lvlJc w:val="left"/>
      <w:pPr>
        <w:ind w:left="6031" w:hanging="567"/>
      </w:pPr>
      <w:rPr>
        <w:rFonts w:hint="default"/>
      </w:rPr>
    </w:lvl>
    <w:lvl w:ilvl="7" w:tplc="FC889E96">
      <w:start w:val="1"/>
      <w:numFmt w:val="bullet"/>
      <w:lvlText w:val="•"/>
      <w:lvlJc w:val="left"/>
      <w:pPr>
        <w:ind w:left="6923" w:hanging="567"/>
      </w:pPr>
      <w:rPr>
        <w:rFonts w:hint="default"/>
      </w:rPr>
    </w:lvl>
    <w:lvl w:ilvl="8" w:tplc="8996AAFE">
      <w:start w:val="1"/>
      <w:numFmt w:val="bullet"/>
      <w:lvlText w:val="•"/>
      <w:lvlJc w:val="left"/>
      <w:pPr>
        <w:ind w:left="7815" w:hanging="567"/>
      </w:pPr>
      <w:rPr>
        <w:rFonts w:hint="default"/>
      </w:rPr>
    </w:lvl>
  </w:abstractNum>
  <w:abstractNum w:abstractNumId="79" w15:restartNumberingAfterBreak="0">
    <w:nsid w:val="449C5C33"/>
    <w:multiLevelType w:val="hybridMultilevel"/>
    <w:tmpl w:val="9C52655E"/>
    <w:lvl w:ilvl="0" w:tplc="8A9AC6CC">
      <w:start w:val="1"/>
      <w:numFmt w:val="decimal"/>
      <w:lvlText w:val="%1."/>
      <w:lvlJc w:val="left"/>
      <w:pPr>
        <w:ind w:hanging="562"/>
      </w:pPr>
      <w:rPr>
        <w:rFonts w:ascii="Times New Roman" w:eastAsia="Times New Roman" w:hAnsi="Times New Roman" w:hint="default"/>
        <w:b/>
        <w:bCs/>
        <w:sz w:val="22"/>
        <w:szCs w:val="22"/>
      </w:rPr>
    </w:lvl>
    <w:lvl w:ilvl="1" w:tplc="FDB4891A">
      <w:start w:val="1"/>
      <w:numFmt w:val="bullet"/>
      <w:lvlText w:val=""/>
      <w:lvlJc w:val="left"/>
      <w:pPr>
        <w:ind w:hanging="360"/>
      </w:pPr>
      <w:rPr>
        <w:rFonts w:ascii="Symbol" w:eastAsia="Symbol" w:hAnsi="Symbol" w:hint="default"/>
        <w:sz w:val="22"/>
        <w:szCs w:val="22"/>
      </w:rPr>
    </w:lvl>
    <w:lvl w:ilvl="2" w:tplc="402C2830">
      <w:start w:val="1"/>
      <w:numFmt w:val="bullet"/>
      <w:lvlText w:val=""/>
      <w:lvlJc w:val="left"/>
      <w:pPr>
        <w:ind w:hanging="360"/>
      </w:pPr>
      <w:rPr>
        <w:rFonts w:ascii="Symbol" w:eastAsia="Symbol" w:hAnsi="Symbol" w:hint="default"/>
        <w:sz w:val="22"/>
        <w:szCs w:val="22"/>
      </w:rPr>
    </w:lvl>
    <w:lvl w:ilvl="3" w:tplc="09DA53FC">
      <w:start w:val="1"/>
      <w:numFmt w:val="bullet"/>
      <w:lvlText w:val="•"/>
      <w:lvlJc w:val="left"/>
      <w:rPr>
        <w:rFonts w:hint="default"/>
      </w:rPr>
    </w:lvl>
    <w:lvl w:ilvl="4" w:tplc="55087EDA">
      <w:start w:val="1"/>
      <w:numFmt w:val="bullet"/>
      <w:lvlText w:val="•"/>
      <w:lvlJc w:val="left"/>
      <w:rPr>
        <w:rFonts w:hint="default"/>
      </w:rPr>
    </w:lvl>
    <w:lvl w:ilvl="5" w:tplc="D746439E">
      <w:start w:val="1"/>
      <w:numFmt w:val="bullet"/>
      <w:lvlText w:val="•"/>
      <w:lvlJc w:val="left"/>
      <w:rPr>
        <w:rFonts w:hint="default"/>
      </w:rPr>
    </w:lvl>
    <w:lvl w:ilvl="6" w:tplc="588C67E0">
      <w:start w:val="1"/>
      <w:numFmt w:val="bullet"/>
      <w:lvlText w:val="•"/>
      <w:lvlJc w:val="left"/>
      <w:rPr>
        <w:rFonts w:hint="default"/>
      </w:rPr>
    </w:lvl>
    <w:lvl w:ilvl="7" w:tplc="5A56EA18">
      <w:start w:val="1"/>
      <w:numFmt w:val="bullet"/>
      <w:lvlText w:val="•"/>
      <w:lvlJc w:val="left"/>
      <w:rPr>
        <w:rFonts w:hint="default"/>
      </w:rPr>
    </w:lvl>
    <w:lvl w:ilvl="8" w:tplc="28803926">
      <w:start w:val="1"/>
      <w:numFmt w:val="bullet"/>
      <w:lvlText w:val="•"/>
      <w:lvlJc w:val="left"/>
      <w:rPr>
        <w:rFonts w:hint="default"/>
      </w:rPr>
    </w:lvl>
  </w:abstractNum>
  <w:abstractNum w:abstractNumId="80" w15:restartNumberingAfterBreak="0">
    <w:nsid w:val="44E7096E"/>
    <w:multiLevelType w:val="multilevel"/>
    <w:tmpl w:val="696E340C"/>
    <w:lvl w:ilvl="0">
      <w:start w:val="1"/>
      <w:numFmt w:val="decimal"/>
      <w:lvlText w:val="%1"/>
      <w:lvlJc w:val="left"/>
      <w:pPr>
        <w:ind w:left="170" w:firstLine="170"/>
      </w:pPr>
      <w:rPr>
        <w:rFonts w:ascii="Times New Roman" w:eastAsia="Times New Roman" w:hAnsi="Times New Roman" w:cs="Times New Roman"/>
        <w:w w:val="99"/>
        <w:position w:val="8"/>
        <w:sz w:val="22"/>
        <w:szCs w:val="22"/>
        <w:vertAlign w:val="superscript"/>
      </w:rPr>
    </w:lvl>
    <w:lvl w:ilvl="1">
      <w:start w:val="1"/>
      <w:numFmt w:val="bullet"/>
      <w:lvlText w:val="•"/>
      <w:lvlJc w:val="left"/>
      <w:pPr>
        <w:ind w:left="170" w:firstLine="0"/>
      </w:pPr>
      <w:rPr>
        <w:rFonts w:hint="default"/>
      </w:rPr>
    </w:lvl>
    <w:lvl w:ilvl="2">
      <w:start w:val="1"/>
      <w:numFmt w:val="bullet"/>
      <w:lvlText w:val="•"/>
      <w:lvlJc w:val="left"/>
      <w:pPr>
        <w:ind w:left="170" w:firstLine="0"/>
      </w:pPr>
      <w:rPr>
        <w:rFonts w:hint="default"/>
      </w:rPr>
    </w:lvl>
    <w:lvl w:ilvl="3">
      <w:start w:val="1"/>
      <w:numFmt w:val="bullet"/>
      <w:lvlText w:val="•"/>
      <w:lvlJc w:val="left"/>
      <w:pPr>
        <w:ind w:left="170" w:firstLine="0"/>
      </w:pPr>
      <w:rPr>
        <w:rFonts w:hint="default"/>
      </w:rPr>
    </w:lvl>
    <w:lvl w:ilvl="4">
      <w:start w:val="1"/>
      <w:numFmt w:val="bullet"/>
      <w:lvlText w:val="•"/>
      <w:lvlJc w:val="left"/>
      <w:pPr>
        <w:ind w:left="170" w:firstLine="0"/>
      </w:pPr>
      <w:rPr>
        <w:rFonts w:hint="default"/>
      </w:rPr>
    </w:lvl>
    <w:lvl w:ilvl="5">
      <w:start w:val="1"/>
      <w:numFmt w:val="bullet"/>
      <w:lvlText w:val="•"/>
      <w:lvlJc w:val="left"/>
      <w:pPr>
        <w:ind w:left="170" w:firstLine="0"/>
      </w:pPr>
      <w:rPr>
        <w:rFonts w:hint="default"/>
      </w:rPr>
    </w:lvl>
    <w:lvl w:ilvl="6">
      <w:start w:val="1"/>
      <w:numFmt w:val="bullet"/>
      <w:lvlText w:val="•"/>
      <w:lvlJc w:val="left"/>
      <w:pPr>
        <w:ind w:left="170" w:firstLine="0"/>
      </w:pPr>
      <w:rPr>
        <w:rFonts w:hint="default"/>
      </w:rPr>
    </w:lvl>
    <w:lvl w:ilvl="7">
      <w:start w:val="1"/>
      <w:numFmt w:val="bullet"/>
      <w:lvlText w:val="•"/>
      <w:lvlJc w:val="left"/>
      <w:pPr>
        <w:ind w:left="170" w:firstLine="0"/>
      </w:pPr>
      <w:rPr>
        <w:rFonts w:hint="default"/>
      </w:rPr>
    </w:lvl>
    <w:lvl w:ilvl="8">
      <w:start w:val="1"/>
      <w:numFmt w:val="bullet"/>
      <w:lvlText w:val="•"/>
      <w:lvlJc w:val="left"/>
      <w:pPr>
        <w:ind w:left="170" w:firstLine="0"/>
      </w:pPr>
      <w:rPr>
        <w:rFonts w:hint="default"/>
      </w:rPr>
    </w:lvl>
  </w:abstractNum>
  <w:abstractNum w:abstractNumId="81" w15:restartNumberingAfterBreak="0">
    <w:nsid w:val="46416920"/>
    <w:multiLevelType w:val="hybridMultilevel"/>
    <w:tmpl w:val="339C2F6A"/>
    <w:lvl w:ilvl="0" w:tplc="9E3AC8B0">
      <w:start w:val="1"/>
      <w:numFmt w:val="decimal"/>
      <w:lvlText w:val="%1."/>
      <w:lvlJc w:val="left"/>
      <w:pPr>
        <w:ind w:hanging="562"/>
      </w:pPr>
      <w:rPr>
        <w:rFonts w:ascii="Times New Roman" w:eastAsia="Times New Roman" w:hAnsi="Times New Roman" w:hint="default"/>
        <w:b/>
        <w:bCs/>
        <w:sz w:val="22"/>
        <w:szCs w:val="22"/>
      </w:rPr>
    </w:lvl>
    <w:lvl w:ilvl="1" w:tplc="B1E4FC3A">
      <w:start w:val="1"/>
      <w:numFmt w:val="bullet"/>
      <w:lvlText w:val="•"/>
      <w:lvlJc w:val="left"/>
      <w:rPr>
        <w:rFonts w:hint="default"/>
      </w:rPr>
    </w:lvl>
    <w:lvl w:ilvl="2" w:tplc="F4F62BEE">
      <w:start w:val="1"/>
      <w:numFmt w:val="bullet"/>
      <w:lvlText w:val="•"/>
      <w:lvlJc w:val="left"/>
      <w:rPr>
        <w:rFonts w:hint="default"/>
      </w:rPr>
    </w:lvl>
    <w:lvl w:ilvl="3" w:tplc="9ED84712">
      <w:start w:val="1"/>
      <w:numFmt w:val="bullet"/>
      <w:lvlText w:val="•"/>
      <w:lvlJc w:val="left"/>
      <w:rPr>
        <w:rFonts w:hint="default"/>
      </w:rPr>
    </w:lvl>
    <w:lvl w:ilvl="4" w:tplc="00DEA548">
      <w:start w:val="1"/>
      <w:numFmt w:val="bullet"/>
      <w:lvlText w:val="•"/>
      <w:lvlJc w:val="left"/>
      <w:rPr>
        <w:rFonts w:hint="default"/>
      </w:rPr>
    </w:lvl>
    <w:lvl w:ilvl="5" w:tplc="398C35FC">
      <w:start w:val="1"/>
      <w:numFmt w:val="bullet"/>
      <w:lvlText w:val="•"/>
      <w:lvlJc w:val="left"/>
      <w:rPr>
        <w:rFonts w:hint="default"/>
      </w:rPr>
    </w:lvl>
    <w:lvl w:ilvl="6" w:tplc="72188530">
      <w:start w:val="1"/>
      <w:numFmt w:val="bullet"/>
      <w:lvlText w:val="•"/>
      <w:lvlJc w:val="left"/>
      <w:rPr>
        <w:rFonts w:hint="default"/>
      </w:rPr>
    </w:lvl>
    <w:lvl w:ilvl="7" w:tplc="0F50E40A">
      <w:start w:val="1"/>
      <w:numFmt w:val="bullet"/>
      <w:lvlText w:val="•"/>
      <w:lvlJc w:val="left"/>
      <w:rPr>
        <w:rFonts w:hint="default"/>
      </w:rPr>
    </w:lvl>
    <w:lvl w:ilvl="8" w:tplc="D3D41A08">
      <w:start w:val="1"/>
      <w:numFmt w:val="bullet"/>
      <w:lvlText w:val="•"/>
      <w:lvlJc w:val="left"/>
      <w:rPr>
        <w:rFonts w:hint="default"/>
      </w:rPr>
    </w:lvl>
  </w:abstractNum>
  <w:abstractNum w:abstractNumId="82" w15:restartNumberingAfterBreak="0">
    <w:nsid w:val="469D2891"/>
    <w:multiLevelType w:val="hybridMultilevel"/>
    <w:tmpl w:val="1C72B088"/>
    <w:lvl w:ilvl="0" w:tplc="D70C7966">
      <w:start w:val="1"/>
      <w:numFmt w:val="bullet"/>
      <w:lvlText w:val=""/>
      <w:lvlJc w:val="left"/>
      <w:pPr>
        <w:ind w:left="1662" w:hanging="360"/>
      </w:pPr>
      <w:rPr>
        <w:rFonts w:ascii="Symbol" w:eastAsia="Symbol" w:hAnsi="Symbol" w:hint="default"/>
        <w:sz w:val="22"/>
        <w:szCs w:val="22"/>
      </w:rPr>
    </w:lvl>
    <w:lvl w:ilvl="1" w:tplc="B0AAF54C">
      <w:start w:val="1"/>
      <w:numFmt w:val="bullet"/>
      <w:lvlText w:val="•"/>
      <w:lvlJc w:val="left"/>
      <w:pPr>
        <w:ind w:left="2136" w:hanging="360"/>
      </w:pPr>
      <w:rPr>
        <w:rFonts w:hint="default"/>
      </w:rPr>
    </w:lvl>
    <w:lvl w:ilvl="2" w:tplc="02D2AE46">
      <w:start w:val="1"/>
      <w:numFmt w:val="bullet"/>
      <w:lvlText w:val="•"/>
      <w:lvlJc w:val="left"/>
      <w:pPr>
        <w:ind w:left="2611" w:hanging="360"/>
      </w:pPr>
      <w:rPr>
        <w:rFonts w:hint="default"/>
      </w:rPr>
    </w:lvl>
    <w:lvl w:ilvl="3" w:tplc="6A383E30">
      <w:start w:val="1"/>
      <w:numFmt w:val="bullet"/>
      <w:lvlText w:val="•"/>
      <w:lvlJc w:val="left"/>
      <w:pPr>
        <w:ind w:left="3086" w:hanging="360"/>
      </w:pPr>
      <w:rPr>
        <w:rFonts w:hint="default"/>
      </w:rPr>
    </w:lvl>
    <w:lvl w:ilvl="4" w:tplc="219CA664">
      <w:start w:val="1"/>
      <w:numFmt w:val="bullet"/>
      <w:lvlText w:val="•"/>
      <w:lvlJc w:val="left"/>
      <w:pPr>
        <w:ind w:left="3560" w:hanging="360"/>
      </w:pPr>
      <w:rPr>
        <w:rFonts w:hint="default"/>
      </w:rPr>
    </w:lvl>
    <w:lvl w:ilvl="5" w:tplc="C82CC8B6">
      <w:start w:val="1"/>
      <w:numFmt w:val="bullet"/>
      <w:lvlText w:val="•"/>
      <w:lvlJc w:val="left"/>
      <w:pPr>
        <w:ind w:left="4035" w:hanging="360"/>
      </w:pPr>
      <w:rPr>
        <w:rFonts w:hint="default"/>
      </w:rPr>
    </w:lvl>
    <w:lvl w:ilvl="6" w:tplc="7F70863C">
      <w:start w:val="1"/>
      <w:numFmt w:val="bullet"/>
      <w:lvlText w:val="•"/>
      <w:lvlJc w:val="left"/>
      <w:pPr>
        <w:ind w:left="4509" w:hanging="360"/>
      </w:pPr>
      <w:rPr>
        <w:rFonts w:hint="default"/>
      </w:rPr>
    </w:lvl>
    <w:lvl w:ilvl="7" w:tplc="126071A6">
      <w:start w:val="1"/>
      <w:numFmt w:val="bullet"/>
      <w:lvlText w:val="•"/>
      <w:lvlJc w:val="left"/>
      <w:pPr>
        <w:ind w:left="4984" w:hanging="360"/>
      </w:pPr>
      <w:rPr>
        <w:rFonts w:hint="default"/>
      </w:rPr>
    </w:lvl>
    <w:lvl w:ilvl="8" w:tplc="602CEF22">
      <w:start w:val="1"/>
      <w:numFmt w:val="bullet"/>
      <w:lvlText w:val="•"/>
      <w:lvlJc w:val="left"/>
      <w:pPr>
        <w:ind w:left="5459" w:hanging="360"/>
      </w:pPr>
      <w:rPr>
        <w:rFonts w:hint="default"/>
      </w:rPr>
    </w:lvl>
  </w:abstractNum>
  <w:abstractNum w:abstractNumId="83" w15:restartNumberingAfterBreak="0">
    <w:nsid w:val="47455DEF"/>
    <w:multiLevelType w:val="hybridMultilevel"/>
    <w:tmpl w:val="DAB4B6A8"/>
    <w:lvl w:ilvl="0" w:tplc="B48A834A">
      <w:start w:val="1"/>
      <w:numFmt w:val="bullet"/>
      <w:lvlText w:val=""/>
      <w:lvlJc w:val="left"/>
      <w:pPr>
        <w:ind w:left="1734" w:hanging="360"/>
      </w:pPr>
      <w:rPr>
        <w:rFonts w:ascii="Symbol" w:eastAsia="Symbol" w:hAnsi="Symbol" w:hint="default"/>
        <w:sz w:val="22"/>
        <w:szCs w:val="22"/>
      </w:rPr>
    </w:lvl>
    <w:lvl w:ilvl="1" w:tplc="4E42B6EC">
      <w:start w:val="1"/>
      <w:numFmt w:val="bullet"/>
      <w:lvlText w:val="•"/>
      <w:lvlJc w:val="left"/>
      <w:pPr>
        <w:ind w:left="2201" w:hanging="360"/>
      </w:pPr>
      <w:rPr>
        <w:rFonts w:hint="default"/>
      </w:rPr>
    </w:lvl>
    <w:lvl w:ilvl="2" w:tplc="1F86DFD8">
      <w:start w:val="1"/>
      <w:numFmt w:val="bullet"/>
      <w:lvlText w:val="•"/>
      <w:lvlJc w:val="left"/>
      <w:pPr>
        <w:ind w:left="2668" w:hanging="360"/>
      </w:pPr>
      <w:rPr>
        <w:rFonts w:hint="default"/>
      </w:rPr>
    </w:lvl>
    <w:lvl w:ilvl="3" w:tplc="177EB668">
      <w:start w:val="1"/>
      <w:numFmt w:val="bullet"/>
      <w:lvlText w:val="•"/>
      <w:lvlJc w:val="left"/>
      <w:pPr>
        <w:ind w:left="3136" w:hanging="360"/>
      </w:pPr>
      <w:rPr>
        <w:rFonts w:hint="default"/>
      </w:rPr>
    </w:lvl>
    <w:lvl w:ilvl="4" w:tplc="4B7643C0">
      <w:start w:val="1"/>
      <w:numFmt w:val="bullet"/>
      <w:lvlText w:val="•"/>
      <w:lvlJc w:val="left"/>
      <w:pPr>
        <w:ind w:left="3603" w:hanging="360"/>
      </w:pPr>
      <w:rPr>
        <w:rFonts w:hint="default"/>
      </w:rPr>
    </w:lvl>
    <w:lvl w:ilvl="5" w:tplc="6D0A95AC">
      <w:start w:val="1"/>
      <w:numFmt w:val="bullet"/>
      <w:lvlText w:val="•"/>
      <w:lvlJc w:val="left"/>
      <w:pPr>
        <w:ind w:left="4071" w:hanging="360"/>
      </w:pPr>
      <w:rPr>
        <w:rFonts w:hint="default"/>
      </w:rPr>
    </w:lvl>
    <w:lvl w:ilvl="6" w:tplc="85966066">
      <w:start w:val="1"/>
      <w:numFmt w:val="bullet"/>
      <w:lvlText w:val="•"/>
      <w:lvlJc w:val="left"/>
      <w:pPr>
        <w:ind w:left="4538" w:hanging="360"/>
      </w:pPr>
      <w:rPr>
        <w:rFonts w:hint="default"/>
      </w:rPr>
    </w:lvl>
    <w:lvl w:ilvl="7" w:tplc="91700DE0">
      <w:start w:val="1"/>
      <w:numFmt w:val="bullet"/>
      <w:lvlText w:val="•"/>
      <w:lvlJc w:val="left"/>
      <w:pPr>
        <w:ind w:left="5006" w:hanging="360"/>
      </w:pPr>
      <w:rPr>
        <w:rFonts w:hint="default"/>
      </w:rPr>
    </w:lvl>
    <w:lvl w:ilvl="8" w:tplc="959CF28C">
      <w:start w:val="1"/>
      <w:numFmt w:val="bullet"/>
      <w:lvlText w:val="•"/>
      <w:lvlJc w:val="left"/>
      <w:pPr>
        <w:ind w:left="5473" w:hanging="360"/>
      </w:pPr>
      <w:rPr>
        <w:rFonts w:hint="default"/>
      </w:rPr>
    </w:lvl>
  </w:abstractNum>
  <w:abstractNum w:abstractNumId="84" w15:restartNumberingAfterBreak="0">
    <w:nsid w:val="4753765F"/>
    <w:multiLevelType w:val="hybridMultilevel"/>
    <w:tmpl w:val="339C2F6A"/>
    <w:lvl w:ilvl="0" w:tplc="65E8E2F4">
      <w:start w:val="1"/>
      <w:numFmt w:val="decimal"/>
      <w:lvlText w:val="%1."/>
      <w:lvlJc w:val="left"/>
      <w:pPr>
        <w:ind w:hanging="562"/>
      </w:pPr>
      <w:rPr>
        <w:rFonts w:ascii="Times New Roman" w:eastAsia="Times New Roman" w:hAnsi="Times New Roman" w:hint="default"/>
        <w:b/>
        <w:bCs/>
        <w:sz w:val="22"/>
        <w:szCs w:val="22"/>
      </w:rPr>
    </w:lvl>
    <w:lvl w:ilvl="1" w:tplc="6F08019C">
      <w:start w:val="1"/>
      <w:numFmt w:val="bullet"/>
      <w:lvlText w:val="•"/>
      <w:lvlJc w:val="left"/>
      <w:rPr>
        <w:rFonts w:hint="default"/>
      </w:rPr>
    </w:lvl>
    <w:lvl w:ilvl="2" w:tplc="23560242">
      <w:start w:val="1"/>
      <w:numFmt w:val="bullet"/>
      <w:lvlText w:val="•"/>
      <w:lvlJc w:val="left"/>
      <w:rPr>
        <w:rFonts w:hint="default"/>
      </w:rPr>
    </w:lvl>
    <w:lvl w:ilvl="3" w:tplc="E7AC6104">
      <w:start w:val="1"/>
      <w:numFmt w:val="bullet"/>
      <w:lvlText w:val="•"/>
      <w:lvlJc w:val="left"/>
      <w:rPr>
        <w:rFonts w:hint="default"/>
      </w:rPr>
    </w:lvl>
    <w:lvl w:ilvl="4" w:tplc="47D06596">
      <w:start w:val="1"/>
      <w:numFmt w:val="bullet"/>
      <w:lvlText w:val="•"/>
      <w:lvlJc w:val="left"/>
      <w:rPr>
        <w:rFonts w:hint="default"/>
      </w:rPr>
    </w:lvl>
    <w:lvl w:ilvl="5" w:tplc="A73C441C">
      <w:start w:val="1"/>
      <w:numFmt w:val="bullet"/>
      <w:lvlText w:val="•"/>
      <w:lvlJc w:val="left"/>
      <w:rPr>
        <w:rFonts w:hint="default"/>
      </w:rPr>
    </w:lvl>
    <w:lvl w:ilvl="6" w:tplc="5AB40CC4">
      <w:start w:val="1"/>
      <w:numFmt w:val="bullet"/>
      <w:lvlText w:val="•"/>
      <w:lvlJc w:val="left"/>
      <w:rPr>
        <w:rFonts w:hint="default"/>
      </w:rPr>
    </w:lvl>
    <w:lvl w:ilvl="7" w:tplc="3B0241C0">
      <w:start w:val="1"/>
      <w:numFmt w:val="bullet"/>
      <w:lvlText w:val="•"/>
      <w:lvlJc w:val="left"/>
      <w:rPr>
        <w:rFonts w:hint="default"/>
      </w:rPr>
    </w:lvl>
    <w:lvl w:ilvl="8" w:tplc="ADF405DA">
      <w:start w:val="1"/>
      <w:numFmt w:val="bullet"/>
      <w:lvlText w:val="•"/>
      <w:lvlJc w:val="left"/>
      <w:rPr>
        <w:rFonts w:hint="default"/>
      </w:rPr>
    </w:lvl>
  </w:abstractNum>
  <w:abstractNum w:abstractNumId="85" w15:restartNumberingAfterBreak="0">
    <w:nsid w:val="477C2E90"/>
    <w:multiLevelType w:val="hybridMultilevel"/>
    <w:tmpl w:val="F8C68714"/>
    <w:lvl w:ilvl="0" w:tplc="A824E462">
      <w:start w:val="4"/>
      <w:numFmt w:val="decimal"/>
      <w:lvlText w:val="%1."/>
      <w:lvlJc w:val="left"/>
      <w:pPr>
        <w:ind w:left="111" w:hanging="562"/>
      </w:pPr>
      <w:rPr>
        <w:rFonts w:ascii="Times New Roman" w:eastAsia="Times New Roman" w:hAnsi="Times New Roman" w:hint="default"/>
        <w:b/>
        <w:bCs/>
        <w:sz w:val="22"/>
        <w:szCs w:val="22"/>
      </w:rPr>
    </w:lvl>
    <w:lvl w:ilvl="1" w:tplc="3EB07932">
      <w:start w:val="1"/>
      <w:numFmt w:val="bullet"/>
      <w:lvlText w:val="•"/>
      <w:lvlJc w:val="left"/>
      <w:pPr>
        <w:ind w:left="1062" w:hanging="562"/>
      </w:pPr>
      <w:rPr>
        <w:rFonts w:hint="default"/>
      </w:rPr>
    </w:lvl>
    <w:lvl w:ilvl="2" w:tplc="F5F8DD68">
      <w:start w:val="1"/>
      <w:numFmt w:val="bullet"/>
      <w:lvlText w:val="•"/>
      <w:lvlJc w:val="left"/>
      <w:pPr>
        <w:ind w:left="2012" w:hanging="562"/>
      </w:pPr>
      <w:rPr>
        <w:rFonts w:hint="default"/>
      </w:rPr>
    </w:lvl>
    <w:lvl w:ilvl="3" w:tplc="6AEC7BB8">
      <w:start w:val="1"/>
      <w:numFmt w:val="bullet"/>
      <w:lvlText w:val="•"/>
      <w:lvlJc w:val="left"/>
      <w:pPr>
        <w:ind w:left="2963" w:hanging="562"/>
      </w:pPr>
      <w:rPr>
        <w:rFonts w:hint="default"/>
      </w:rPr>
    </w:lvl>
    <w:lvl w:ilvl="4" w:tplc="AC7A454E">
      <w:start w:val="1"/>
      <w:numFmt w:val="bullet"/>
      <w:lvlText w:val="•"/>
      <w:lvlJc w:val="left"/>
      <w:pPr>
        <w:ind w:left="3914" w:hanging="562"/>
      </w:pPr>
      <w:rPr>
        <w:rFonts w:hint="default"/>
      </w:rPr>
    </w:lvl>
    <w:lvl w:ilvl="5" w:tplc="545245BC">
      <w:start w:val="1"/>
      <w:numFmt w:val="bullet"/>
      <w:lvlText w:val="•"/>
      <w:lvlJc w:val="left"/>
      <w:pPr>
        <w:ind w:left="4865" w:hanging="562"/>
      </w:pPr>
      <w:rPr>
        <w:rFonts w:hint="default"/>
      </w:rPr>
    </w:lvl>
    <w:lvl w:ilvl="6" w:tplc="91F4BF74">
      <w:start w:val="1"/>
      <w:numFmt w:val="bullet"/>
      <w:lvlText w:val="•"/>
      <w:lvlJc w:val="left"/>
      <w:pPr>
        <w:ind w:left="5816" w:hanging="562"/>
      </w:pPr>
      <w:rPr>
        <w:rFonts w:hint="default"/>
      </w:rPr>
    </w:lvl>
    <w:lvl w:ilvl="7" w:tplc="41969362">
      <w:start w:val="1"/>
      <w:numFmt w:val="bullet"/>
      <w:lvlText w:val="•"/>
      <w:lvlJc w:val="left"/>
      <w:pPr>
        <w:ind w:left="6767" w:hanging="562"/>
      </w:pPr>
      <w:rPr>
        <w:rFonts w:hint="default"/>
      </w:rPr>
    </w:lvl>
    <w:lvl w:ilvl="8" w:tplc="B0E4B41C">
      <w:start w:val="1"/>
      <w:numFmt w:val="bullet"/>
      <w:lvlText w:val="•"/>
      <w:lvlJc w:val="left"/>
      <w:pPr>
        <w:ind w:left="7718" w:hanging="562"/>
      </w:pPr>
      <w:rPr>
        <w:rFonts w:hint="default"/>
      </w:rPr>
    </w:lvl>
  </w:abstractNum>
  <w:abstractNum w:abstractNumId="86" w15:restartNumberingAfterBreak="0">
    <w:nsid w:val="47FE11B4"/>
    <w:multiLevelType w:val="hybridMultilevel"/>
    <w:tmpl w:val="8FECB26E"/>
    <w:lvl w:ilvl="0" w:tplc="8F7AD24C">
      <w:start w:val="1"/>
      <w:numFmt w:val="decimal"/>
      <w:lvlText w:val="%1."/>
      <w:lvlJc w:val="left"/>
      <w:pPr>
        <w:ind w:left="111" w:hanging="562"/>
      </w:pPr>
      <w:rPr>
        <w:rFonts w:ascii="Times New Roman" w:eastAsia="Times New Roman" w:hAnsi="Times New Roman" w:hint="default"/>
        <w:b/>
        <w:bCs/>
        <w:sz w:val="22"/>
        <w:szCs w:val="22"/>
      </w:rPr>
    </w:lvl>
    <w:lvl w:ilvl="1" w:tplc="2E225896">
      <w:start w:val="1"/>
      <w:numFmt w:val="bullet"/>
      <w:lvlText w:val=""/>
      <w:lvlJc w:val="left"/>
      <w:pPr>
        <w:ind w:left="831" w:hanging="360"/>
      </w:pPr>
      <w:rPr>
        <w:rFonts w:ascii="Symbol" w:eastAsia="Symbol" w:hAnsi="Symbol" w:hint="default"/>
        <w:sz w:val="22"/>
        <w:szCs w:val="22"/>
      </w:rPr>
    </w:lvl>
    <w:lvl w:ilvl="2" w:tplc="F65CECF6">
      <w:start w:val="1"/>
      <w:numFmt w:val="bullet"/>
      <w:lvlText w:val="•"/>
      <w:lvlJc w:val="left"/>
      <w:pPr>
        <w:ind w:left="1805" w:hanging="360"/>
      </w:pPr>
      <w:rPr>
        <w:rFonts w:hint="default"/>
      </w:rPr>
    </w:lvl>
    <w:lvl w:ilvl="3" w:tplc="522CB6AE">
      <w:start w:val="1"/>
      <w:numFmt w:val="bullet"/>
      <w:lvlText w:val="•"/>
      <w:lvlJc w:val="left"/>
      <w:pPr>
        <w:ind w:left="2779" w:hanging="360"/>
      </w:pPr>
      <w:rPr>
        <w:rFonts w:hint="default"/>
      </w:rPr>
    </w:lvl>
    <w:lvl w:ilvl="4" w:tplc="DC2AB90A">
      <w:start w:val="1"/>
      <w:numFmt w:val="bullet"/>
      <w:lvlText w:val="•"/>
      <w:lvlJc w:val="left"/>
      <w:pPr>
        <w:ind w:left="3754" w:hanging="360"/>
      </w:pPr>
      <w:rPr>
        <w:rFonts w:hint="default"/>
      </w:rPr>
    </w:lvl>
    <w:lvl w:ilvl="5" w:tplc="29E8F0AC">
      <w:start w:val="1"/>
      <w:numFmt w:val="bullet"/>
      <w:lvlText w:val="•"/>
      <w:lvlJc w:val="left"/>
      <w:pPr>
        <w:ind w:left="4728" w:hanging="360"/>
      </w:pPr>
      <w:rPr>
        <w:rFonts w:hint="default"/>
      </w:rPr>
    </w:lvl>
    <w:lvl w:ilvl="6" w:tplc="7F1CD846">
      <w:start w:val="1"/>
      <w:numFmt w:val="bullet"/>
      <w:lvlText w:val="•"/>
      <w:lvlJc w:val="left"/>
      <w:pPr>
        <w:ind w:left="5702" w:hanging="360"/>
      </w:pPr>
      <w:rPr>
        <w:rFonts w:hint="default"/>
      </w:rPr>
    </w:lvl>
    <w:lvl w:ilvl="7" w:tplc="8702BF52">
      <w:start w:val="1"/>
      <w:numFmt w:val="bullet"/>
      <w:lvlText w:val="•"/>
      <w:lvlJc w:val="left"/>
      <w:pPr>
        <w:ind w:left="6677" w:hanging="360"/>
      </w:pPr>
      <w:rPr>
        <w:rFonts w:hint="default"/>
      </w:rPr>
    </w:lvl>
    <w:lvl w:ilvl="8" w:tplc="2B7474A0">
      <w:start w:val="1"/>
      <w:numFmt w:val="bullet"/>
      <w:lvlText w:val="•"/>
      <w:lvlJc w:val="left"/>
      <w:pPr>
        <w:ind w:left="7651" w:hanging="360"/>
      </w:pPr>
      <w:rPr>
        <w:rFonts w:hint="default"/>
      </w:rPr>
    </w:lvl>
  </w:abstractNum>
  <w:abstractNum w:abstractNumId="87" w15:restartNumberingAfterBreak="0">
    <w:nsid w:val="4A875A53"/>
    <w:multiLevelType w:val="hybridMultilevel"/>
    <w:tmpl w:val="ED207B66"/>
    <w:lvl w:ilvl="0" w:tplc="E898AAEE">
      <w:start w:val="1"/>
      <w:numFmt w:val="bullet"/>
      <w:lvlText w:val=""/>
      <w:lvlJc w:val="left"/>
      <w:pPr>
        <w:ind w:left="315" w:hanging="180"/>
      </w:pPr>
      <w:rPr>
        <w:rFonts w:ascii="Symbol" w:eastAsia="Symbol" w:hAnsi="Symbol" w:hint="default"/>
        <w:sz w:val="22"/>
        <w:szCs w:val="22"/>
      </w:rPr>
    </w:lvl>
    <w:lvl w:ilvl="1" w:tplc="FFA04458">
      <w:start w:val="1"/>
      <w:numFmt w:val="bullet"/>
      <w:lvlText w:val="•"/>
      <w:lvlJc w:val="left"/>
      <w:pPr>
        <w:ind w:left="968" w:hanging="180"/>
      </w:pPr>
      <w:rPr>
        <w:rFonts w:hint="default"/>
      </w:rPr>
    </w:lvl>
    <w:lvl w:ilvl="2" w:tplc="54861A7A">
      <w:start w:val="1"/>
      <w:numFmt w:val="bullet"/>
      <w:lvlText w:val="•"/>
      <w:lvlJc w:val="left"/>
      <w:pPr>
        <w:ind w:left="1620" w:hanging="180"/>
      </w:pPr>
      <w:rPr>
        <w:rFonts w:hint="default"/>
      </w:rPr>
    </w:lvl>
    <w:lvl w:ilvl="3" w:tplc="17C8BE36">
      <w:start w:val="1"/>
      <w:numFmt w:val="bullet"/>
      <w:lvlText w:val="•"/>
      <w:lvlJc w:val="left"/>
      <w:pPr>
        <w:ind w:left="2272" w:hanging="180"/>
      </w:pPr>
      <w:rPr>
        <w:rFonts w:hint="default"/>
      </w:rPr>
    </w:lvl>
    <w:lvl w:ilvl="4" w:tplc="A984C10A">
      <w:start w:val="1"/>
      <w:numFmt w:val="bullet"/>
      <w:lvlText w:val="•"/>
      <w:lvlJc w:val="left"/>
      <w:pPr>
        <w:ind w:left="2924" w:hanging="180"/>
      </w:pPr>
      <w:rPr>
        <w:rFonts w:hint="default"/>
      </w:rPr>
    </w:lvl>
    <w:lvl w:ilvl="5" w:tplc="4EDCBB66">
      <w:start w:val="1"/>
      <w:numFmt w:val="bullet"/>
      <w:lvlText w:val="•"/>
      <w:lvlJc w:val="left"/>
      <w:pPr>
        <w:ind w:left="3576" w:hanging="180"/>
      </w:pPr>
      <w:rPr>
        <w:rFonts w:hint="default"/>
      </w:rPr>
    </w:lvl>
    <w:lvl w:ilvl="6" w:tplc="E17E4AE6">
      <w:start w:val="1"/>
      <w:numFmt w:val="bullet"/>
      <w:lvlText w:val="•"/>
      <w:lvlJc w:val="left"/>
      <w:pPr>
        <w:ind w:left="4229" w:hanging="180"/>
      </w:pPr>
      <w:rPr>
        <w:rFonts w:hint="default"/>
      </w:rPr>
    </w:lvl>
    <w:lvl w:ilvl="7" w:tplc="BCD6E90E">
      <w:start w:val="1"/>
      <w:numFmt w:val="bullet"/>
      <w:lvlText w:val="•"/>
      <w:lvlJc w:val="left"/>
      <w:pPr>
        <w:ind w:left="4881" w:hanging="180"/>
      </w:pPr>
      <w:rPr>
        <w:rFonts w:hint="default"/>
      </w:rPr>
    </w:lvl>
    <w:lvl w:ilvl="8" w:tplc="553C44C0">
      <w:start w:val="1"/>
      <w:numFmt w:val="bullet"/>
      <w:lvlText w:val="•"/>
      <w:lvlJc w:val="left"/>
      <w:pPr>
        <w:ind w:left="5533" w:hanging="180"/>
      </w:pPr>
      <w:rPr>
        <w:rFonts w:hint="default"/>
      </w:rPr>
    </w:lvl>
  </w:abstractNum>
  <w:abstractNum w:abstractNumId="88" w15:restartNumberingAfterBreak="0">
    <w:nsid w:val="4B682C81"/>
    <w:multiLevelType w:val="hybridMultilevel"/>
    <w:tmpl w:val="28ACA21E"/>
    <w:lvl w:ilvl="0" w:tplc="9D54205E">
      <w:start w:val="1"/>
      <w:numFmt w:val="lowerLetter"/>
      <w:lvlText w:val="%1."/>
      <w:lvlJc w:val="left"/>
      <w:pPr>
        <w:ind w:left="462" w:hanging="332"/>
      </w:pPr>
      <w:rPr>
        <w:rFonts w:ascii="Times New Roman" w:eastAsia="Times New Roman" w:hAnsi="Times New Roman" w:hint="default"/>
        <w:sz w:val="22"/>
        <w:szCs w:val="22"/>
      </w:rPr>
    </w:lvl>
    <w:lvl w:ilvl="1" w:tplc="16AE6A9C">
      <w:start w:val="1"/>
      <w:numFmt w:val="bullet"/>
      <w:lvlText w:val="•"/>
      <w:lvlJc w:val="left"/>
      <w:pPr>
        <w:ind w:left="1338" w:hanging="332"/>
      </w:pPr>
      <w:rPr>
        <w:rFonts w:hint="default"/>
      </w:rPr>
    </w:lvl>
    <w:lvl w:ilvl="2" w:tplc="73ECC582">
      <w:start w:val="1"/>
      <w:numFmt w:val="bullet"/>
      <w:lvlText w:val="•"/>
      <w:lvlJc w:val="left"/>
      <w:pPr>
        <w:ind w:left="2214" w:hanging="332"/>
      </w:pPr>
      <w:rPr>
        <w:rFonts w:hint="default"/>
      </w:rPr>
    </w:lvl>
    <w:lvl w:ilvl="3" w:tplc="91060118">
      <w:start w:val="1"/>
      <w:numFmt w:val="bullet"/>
      <w:lvlText w:val="•"/>
      <w:lvlJc w:val="left"/>
      <w:pPr>
        <w:ind w:left="3091" w:hanging="332"/>
      </w:pPr>
      <w:rPr>
        <w:rFonts w:hint="default"/>
      </w:rPr>
    </w:lvl>
    <w:lvl w:ilvl="4" w:tplc="37D20602">
      <w:start w:val="1"/>
      <w:numFmt w:val="bullet"/>
      <w:lvlText w:val="•"/>
      <w:lvlJc w:val="left"/>
      <w:pPr>
        <w:ind w:left="3967" w:hanging="332"/>
      </w:pPr>
      <w:rPr>
        <w:rFonts w:hint="default"/>
      </w:rPr>
    </w:lvl>
    <w:lvl w:ilvl="5" w:tplc="F5E8729E">
      <w:start w:val="1"/>
      <w:numFmt w:val="bullet"/>
      <w:lvlText w:val="•"/>
      <w:lvlJc w:val="left"/>
      <w:pPr>
        <w:ind w:left="4844" w:hanging="332"/>
      </w:pPr>
      <w:rPr>
        <w:rFonts w:hint="default"/>
      </w:rPr>
    </w:lvl>
    <w:lvl w:ilvl="6" w:tplc="ACD045B0">
      <w:start w:val="1"/>
      <w:numFmt w:val="bullet"/>
      <w:lvlText w:val="•"/>
      <w:lvlJc w:val="left"/>
      <w:pPr>
        <w:ind w:left="5720" w:hanging="332"/>
      </w:pPr>
      <w:rPr>
        <w:rFonts w:hint="default"/>
      </w:rPr>
    </w:lvl>
    <w:lvl w:ilvl="7" w:tplc="EA8826CE">
      <w:start w:val="1"/>
      <w:numFmt w:val="bullet"/>
      <w:lvlText w:val="•"/>
      <w:lvlJc w:val="left"/>
      <w:pPr>
        <w:ind w:left="6596" w:hanging="332"/>
      </w:pPr>
      <w:rPr>
        <w:rFonts w:hint="default"/>
      </w:rPr>
    </w:lvl>
    <w:lvl w:ilvl="8" w:tplc="345041DC">
      <w:start w:val="1"/>
      <w:numFmt w:val="bullet"/>
      <w:lvlText w:val="•"/>
      <w:lvlJc w:val="left"/>
      <w:pPr>
        <w:ind w:left="7473" w:hanging="332"/>
      </w:pPr>
      <w:rPr>
        <w:rFonts w:hint="default"/>
      </w:rPr>
    </w:lvl>
  </w:abstractNum>
  <w:abstractNum w:abstractNumId="89" w15:restartNumberingAfterBreak="0">
    <w:nsid w:val="4BAA0280"/>
    <w:multiLevelType w:val="hybridMultilevel"/>
    <w:tmpl w:val="3BC0AC8C"/>
    <w:lvl w:ilvl="0" w:tplc="5D40F2DA">
      <w:start w:val="1"/>
      <w:numFmt w:val="bullet"/>
      <w:lvlText w:val=""/>
      <w:lvlJc w:val="left"/>
      <w:pPr>
        <w:ind w:left="323" w:hanging="188"/>
      </w:pPr>
      <w:rPr>
        <w:rFonts w:ascii="Symbol" w:eastAsia="Symbol" w:hAnsi="Symbol" w:hint="default"/>
        <w:sz w:val="22"/>
        <w:szCs w:val="22"/>
      </w:rPr>
    </w:lvl>
    <w:lvl w:ilvl="1" w:tplc="4F76E328">
      <w:start w:val="1"/>
      <w:numFmt w:val="bullet"/>
      <w:lvlText w:val="•"/>
      <w:lvlJc w:val="left"/>
      <w:pPr>
        <w:ind w:left="974" w:hanging="188"/>
      </w:pPr>
      <w:rPr>
        <w:rFonts w:hint="default"/>
      </w:rPr>
    </w:lvl>
    <w:lvl w:ilvl="2" w:tplc="1F64B140">
      <w:start w:val="1"/>
      <w:numFmt w:val="bullet"/>
      <w:lvlText w:val="•"/>
      <w:lvlJc w:val="left"/>
      <w:pPr>
        <w:ind w:left="1626" w:hanging="188"/>
      </w:pPr>
      <w:rPr>
        <w:rFonts w:hint="default"/>
      </w:rPr>
    </w:lvl>
    <w:lvl w:ilvl="3" w:tplc="92C075B8">
      <w:start w:val="1"/>
      <w:numFmt w:val="bullet"/>
      <w:lvlText w:val="•"/>
      <w:lvlJc w:val="left"/>
      <w:pPr>
        <w:ind w:left="2277" w:hanging="188"/>
      </w:pPr>
      <w:rPr>
        <w:rFonts w:hint="default"/>
      </w:rPr>
    </w:lvl>
    <w:lvl w:ilvl="4" w:tplc="8F90F876">
      <w:start w:val="1"/>
      <w:numFmt w:val="bullet"/>
      <w:lvlText w:val="•"/>
      <w:lvlJc w:val="left"/>
      <w:pPr>
        <w:ind w:left="2929" w:hanging="188"/>
      </w:pPr>
      <w:rPr>
        <w:rFonts w:hint="default"/>
      </w:rPr>
    </w:lvl>
    <w:lvl w:ilvl="5" w:tplc="88386E70">
      <w:start w:val="1"/>
      <w:numFmt w:val="bullet"/>
      <w:lvlText w:val="•"/>
      <w:lvlJc w:val="left"/>
      <w:pPr>
        <w:ind w:left="3580" w:hanging="188"/>
      </w:pPr>
      <w:rPr>
        <w:rFonts w:hint="default"/>
      </w:rPr>
    </w:lvl>
    <w:lvl w:ilvl="6" w:tplc="2814E5B2">
      <w:start w:val="1"/>
      <w:numFmt w:val="bullet"/>
      <w:lvlText w:val="•"/>
      <w:lvlJc w:val="left"/>
      <w:pPr>
        <w:ind w:left="4232" w:hanging="188"/>
      </w:pPr>
      <w:rPr>
        <w:rFonts w:hint="default"/>
      </w:rPr>
    </w:lvl>
    <w:lvl w:ilvl="7" w:tplc="93FA7E9E">
      <w:start w:val="1"/>
      <w:numFmt w:val="bullet"/>
      <w:lvlText w:val="•"/>
      <w:lvlJc w:val="left"/>
      <w:pPr>
        <w:ind w:left="4883" w:hanging="188"/>
      </w:pPr>
      <w:rPr>
        <w:rFonts w:hint="default"/>
      </w:rPr>
    </w:lvl>
    <w:lvl w:ilvl="8" w:tplc="E538331E">
      <w:start w:val="1"/>
      <w:numFmt w:val="bullet"/>
      <w:lvlText w:val="•"/>
      <w:lvlJc w:val="left"/>
      <w:pPr>
        <w:ind w:left="5535" w:hanging="188"/>
      </w:pPr>
      <w:rPr>
        <w:rFonts w:hint="default"/>
      </w:rPr>
    </w:lvl>
  </w:abstractNum>
  <w:abstractNum w:abstractNumId="90" w15:restartNumberingAfterBreak="0">
    <w:nsid w:val="4BBD4572"/>
    <w:multiLevelType w:val="hybridMultilevel"/>
    <w:tmpl w:val="E948265E"/>
    <w:lvl w:ilvl="0" w:tplc="FDA2FB98">
      <w:start w:val="1"/>
      <w:numFmt w:val="decimal"/>
      <w:lvlText w:val="%1."/>
      <w:lvlJc w:val="left"/>
      <w:pPr>
        <w:ind w:left="677" w:hanging="567"/>
      </w:pPr>
      <w:rPr>
        <w:rFonts w:ascii="Times New Roman" w:eastAsia="Times New Roman" w:hAnsi="Times New Roman" w:hint="default"/>
        <w:sz w:val="22"/>
        <w:szCs w:val="22"/>
      </w:rPr>
    </w:lvl>
    <w:lvl w:ilvl="1" w:tplc="B2366F22">
      <w:start w:val="1"/>
      <w:numFmt w:val="bullet"/>
      <w:lvlText w:val="•"/>
      <w:lvlJc w:val="left"/>
      <w:pPr>
        <w:ind w:left="1569" w:hanging="567"/>
      </w:pPr>
      <w:rPr>
        <w:rFonts w:hint="default"/>
      </w:rPr>
    </w:lvl>
    <w:lvl w:ilvl="2" w:tplc="06A66A9C">
      <w:start w:val="1"/>
      <w:numFmt w:val="bullet"/>
      <w:lvlText w:val="•"/>
      <w:lvlJc w:val="left"/>
      <w:pPr>
        <w:ind w:left="2462" w:hanging="567"/>
      </w:pPr>
      <w:rPr>
        <w:rFonts w:hint="default"/>
      </w:rPr>
    </w:lvl>
    <w:lvl w:ilvl="3" w:tplc="43D21AAC">
      <w:start w:val="1"/>
      <w:numFmt w:val="bullet"/>
      <w:lvlText w:val="•"/>
      <w:lvlJc w:val="left"/>
      <w:pPr>
        <w:ind w:left="3354" w:hanging="567"/>
      </w:pPr>
      <w:rPr>
        <w:rFonts w:hint="default"/>
      </w:rPr>
    </w:lvl>
    <w:lvl w:ilvl="4" w:tplc="8A905F46">
      <w:start w:val="1"/>
      <w:numFmt w:val="bullet"/>
      <w:lvlText w:val="•"/>
      <w:lvlJc w:val="left"/>
      <w:pPr>
        <w:ind w:left="4246" w:hanging="567"/>
      </w:pPr>
      <w:rPr>
        <w:rFonts w:hint="default"/>
      </w:rPr>
    </w:lvl>
    <w:lvl w:ilvl="5" w:tplc="5C1AD8D2">
      <w:start w:val="1"/>
      <w:numFmt w:val="bullet"/>
      <w:lvlText w:val="•"/>
      <w:lvlJc w:val="left"/>
      <w:pPr>
        <w:ind w:left="5138" w:hanging="567"/>
      </w:pPr>
      <w:rPr>
        <w:rFonts w:hint="default"/>
      </w:rPr>
    </w:lvl>
    <w:lvl w:ilvl="6" w:tplc="976466EC">
      <w:start w:val="1"/>
      <w:numFmt w:val="bullet"/>
      <w:lvlText w:val="•"/>
      <w:lvlJc w:val="left"/>
      <w:pPr>
        <w:ind w:left="6031" w:hanging="567"/>
      </w:pPr>
      <w:rPr>
        <w:rFonts w:hint="default"/>
      </w:rPr>
    </w:lvl>
    <w:lvl w:ilvl="7" w:tplc="CC4E7F90">
      <w:start w:val="1"/>
      <w:numFmt w:val="bullet"/>
      <w:lvlText w:val="•"/>
      <w:lvlJc w:val="left"/>
      <w:pPr>
        <w:ind w:left="6923" w:hanging="567"/>
      </w:pPr>
      <w:rPr>
        <w:rFonts w:hint="default"/>
      </w:rPr>
    </w:lvl>
    <w:lvl w:ilvl="8" w:tplc="4698BD12">
      <w:start w:val="1"/>
      <w:numFmt w:val="bullet"/>
      <w:lvlText w:val="•"/>
      <w:lvlJc w:val="left"/>
      <w:pPr>
        <w:ind w:left="7815" w:hanging="567"/>
      </w:pPr>
      <w:rPr>
        <w:rFonts w:hint="default"/>
      </w:rPr>
    </w:lvl>
  </w:abstractNum>
  <w:abstractNum w:abstractNumId="91" w15:restartNumberingAfterBreak="0">
    <w:nsid w:val="4C2B4E9D"/>
    <w:multiLevelType w:val="hybridMultilevel"/>
    <w:tmpl w:val="28A00D86"/>
    <w:lvl w:ilvl="0" w:tplc="A190A2B4">
      <w:start w:val="1"/>
      <w:numFmt w:val="decimal"/>
      <w:lvlText w:val="%1."/>
      <w:lvlJc w:val="left"/>
      <w:pPr>
        <w:ind w:left="760" w:hanging="360"/>
      </w:pPr>
      <w:rPr>
        <w:rFonts w:hint="default"/>
      </w:rPr>
    </w:lvl>
    <w:lvl w:ilvl="1" w:tplc="817047E8" w:tentative="1">
      <w:start w:val="1"/>
      <w:numFmt w:val="upperLetter"/>
      <w:lvlText w:val="%2."/>
      <w:lvlJc w:val="left"/>
      <w:pPr>
        <w:ind w:left="1200" w:hanging="400"/>
      </w:pPr>
    </w:lvl>
    <w:lvl w:ilvl="2" w:tplc="E032844E" w:tentative="1">
      <w:start w:val="1"/>
      <w:numFmt w:val="lowerRoman"/>
      <w:lvlText w:val="%3."/>
      <w:lvlJc w:val="right"/>
      <w:pPr>
        <w:ind w:left="1600" w:hanging="400"/>
      </w:pPr>
    </w:lvl>
    <w:lvl w:ilvl="3" w:tplc="0896B19C" w:tentative="1">
      <w:start w:val="1"/>
      <w:numFmt w:val="decimal"/>
      <w:lvlText w:val="%4."/>
      <w:lvlJc w:val="left"/>
      <w:pPr>
        <w:ind w:left="2000" w:hanging="400"/>
      </w:pPr>
    </w:lvl>
    <w:lvl w:ilvl="4" w:tplc="4B0210BA" w:tentative="1">
      <w:start w:val="1"/>
      <w:numFmt w:val="upperLetter"/>
      <w:lvlText w:val="%5."/>
      <w:lvlJc w:val="left"/>
      <w:pPr>
        <w:ind w:left="2400" w:hanging="400"/>
      </w:pPr>
    </w:lvl>
    <w:lvl w:ilvl="5" w:tplc="3522E5A4" w:tentative="1">
      <w:start w:val="1"/>
      <w:numFmt w:val="lowerRoman"/>
      <w:lvlText w:val="%6."/>
      <w:lvlJc w:val="right"/>
      <w:pPr>
        <w:ind w:left="2800" w:hanging="400"/>
      </w:pPr>
    </w:lvl>
    <w:lvl w:ilvl="6" w:tplc="86BA1C70" w:tentative="1">
      <w:start w:val="1"/>
      <w:numFmt w:val="decimal"/>
      <w:lvlText w:val="%7."/>
      <w:lvlJc w:val="left"/>
      <w:pPr>
        <w:ind w:left="3200" w:hanging="400"/>
      </w:pPr>
    </w:lvl>
    <w:lvl w:ilvl="7" w:tplc="4B56880C" w:tentative="1">
      <w:start w:val="1"/>
      <w:numFmt w:val="upperLetter"/>
      <w:lvlText w:val="%8."/>
      <w:lvlJc w:val="left"/>
      <w:pPr>
        <w:ind w:left="3600" w:hanging="400"/>
      </w:pPr>
    </w:lvl>
    <w:lvl w:ilvl="8" w:tplc="C414AFE6" w:tentative="1">
      <w:start w:val="1"/>
      <w:numFmt w:val="lowerRoman"/>
      <w:lvlText w:val="%9."/>
      <w:lvlJc w:val="right"/>
      <w:pPr>
        <w:ind w:left="4000" w:hanging="400"/>
      </w:pPr>
    </w:lvl>
  </w:abstractNum>
  <w:abstractNum w:abstractNumId="92" w15:restartNumberingAfterBreak="0">
    <w:nsid w:val="4C7D2BF8"/>
    <w:multiLevelType w:val="hybridMultilevel"/>
    <w:tmpl w:val="013E1584"/>
    <w:lvl w:ilvl="0" w:tplc="9F529D42">
      <w:start w:val="1"/>
      <w:numFmt w:val="decimal"/>
      <w:lvlText w:val="%1."/>
      <w:lvlJc w:val="left"/>
      <w:pPr>
        <w:ind w:left="677" w:hanging="567"/>
      </w:pPr>
      <w:rPr>
        <w:rFonts w:ascii="Times New Roman" w:eastAsia="Times New Roman" w:hAnsi="Times New Roman" w:hint="default"/>
        <w:sz w:val="22"/>
        <w:szCs w:val="22"/>
      </w:rPr>
    </w:lvl>
    <w:lvl w:ilvl="1" w:tplc="6B0E7D44">
      <w:start w:val="1"/>
      <w:numFmt w:val="bullet"/>
      <w:lvlText w:val="•"/>
      <w:lvlJc w:val="left"/>
      <w:pPr>
        <w:ind w:left="1569" w:hanging="567"/>
      </w:pPr>
      <w:rPr>
        <w:rFonts w:hint="default"/>
      </w:rPr>
    </w:lvl>
    <w:lvl w:ilvl="2" w:tplc="1BAE5256">
      <w:start w:val="1"/>
      <w:numFmt w:val="bullet"/>
      <w:lvlText w:val="•"/>
      <w:lvlJc w:val="left"/>
      <w:pPr>
        <w:ind w:left="2462" w:hanging="567"/>
      </w:pPr>
      <w:rPr>
        <w:rFonts w:hint="default"/>
      </w:rPr>
    </w:lvl>
    <w:lvl w:ilvl="3" w:tplc="2B888E7A">
      <w:start w:val="1"/>
      <w:numFmt w:val="bullet"/>
      <w:lvlText w:val="•"/>
      <w:lvlJc w:val="left"/>
      <w:pPr>
        <w:ind w:left="3354" w:hanging="567"/>
      </w:pPr>
      <w:rPr>
        <w:rFonts w:hint="default"/>
      </w:rPr>
    </w:lvl>
    <w:lvl w:ilvl="4" w:tplc="49244DCC">
      <w:start w:val="1"/>
      <w:numFmt w:val="bullet"/>
      <w:lvlText w:val="•"/>
      <w:lvlJc w:val="left"/>
      <w:pPr>
        <w:ind w:left="4246" w:hanging="567"/>
      </w:pPr>
      <w:rPr>
        <w:rFonts w:hint="default"/>
      </w:rPr>
    </w:lvl>
    <w:lvl w:ilvl="5" w:tplc="ECF4DC46">
      <w:start w:val="1"/>
      <w:numFmt w:val="bullet"/>
      <w:lvlText w:val="•"/>
      <w:lvlJc w:val="left"/>
      <w:pPr>
        <w:ind w:left="5138" w:hanging="567"/>
      </w:pPr>
      <w:rPr>
        <w:rFonts w:hint="default"/>
      </w:rPr>
    </w:lvl>
    <w:lvl w:ilvl="6" w:tplc="12AEF8FC">
      <w:start w:val="1"/>
      <w:numFmt w:val="bullet"/>
      <w:lvlText w:val="•"/>
      <w:lvlJc w:val="left"/>
      <w:pPr>
        <w:ind w:left="6031" w:hanging="567"/>
      </w:pPr>
      <w:rPr>
        <w:rFonts w:hint="default"/>
      </w:rPr>
    </w:lvl>
    <w:lvl w:ilvl="7" w:tplc="9D52C03A">
      <w:start w:val="1"/>
      <w:numFmt w:val="bullet"/>
      <w:lvlText w:val="•"/>
      <w:lvlJc w:val="left"/>
      <w:pPr>
        <w:ind w:left="6923" w:hanging="567"/>
      </w:pPr>
      <w:rPr>
        <w:rFonts w:hint="default"/>
      </w:rPr>
    </w:lvl>
    <w:lvl w:ilvl="8" w:tplc="25B2A3AE">
      <w:start w:val="1"/>
      <w:numFmt w:val="bullet"/>
      <w:lvlText w:val="•"/>
      <w:lvlJc w:val="left"/>
      <w:pPr>
        <w:ind w:left="7815" w:hanging="567"/>
      </w:pPr>
      <w:rPr>
        <w:rFonts w:hint="default"/>
      </w:rPr>
    </w:lvl>
  </w:abstractNum>
  <w:abstractNum w:abstractNumId="93" w15:restartNumberingAfterBreak="0">
    <w:nsid w:val="4CC0175C"/>
    <w:multiLevelType w:val="hybridMultilevel"/>
    <w:tmpl w:val="BC547514"/>
    <w:lvl w:ilvl="0" w:tplc="539E6A9A">
      <w:start w:val="1"/>
      <w:numFmt w:val="bullet"/>
      <w:lvlText w:val=""/>
      <w:lvlJc w:val="left"/>
      <w:pPr>
        <w:ind w:left="720" w:hanging="360"/>
      </w:pPr>
      <w:rPr>
        <w:rFonts w:ascii="Symbol" w:hAnsi="Symbol" w:hint="default"/>
      </w:rPr>
    </w:lvl>
    <w:lvl w:ilvl="1" w:tplc="EFA073EC" w:tentative="1">
      <w:start w:val="1"/>
      <w:numFmt w:val="bullet"/>
      <w:lvlText w:val="o"/>
      <w:lvlJc w:val="left"/>
      <w:pPr>
        <w:ind w:left="1440" w:hanging="360"/>
      </w:pPr>
      <w:rPr>
        <w:rFonts w:ascii="Courier New" w:hAnsi="Courier New" w:cs="Courier New" w:hint="default"/>
      </w:rPr>
    </w:lvl>
    <w:lvl w:ilvl="2" w:tplc="B2ACF58E" w:tentative="1">
      <w:start w:val="1"/>
      <w:numFmt w:val="bullet"/>
      <w:lvlText w:val=""/>
      <w:lvlJc w:val="left"/>
      <w:pPr>
        <w:ind w:left="2160" w:hanging="360"/>
      </w:pPr>
      <w:rPr>
        <w:rFonts w:ascii="Wingdings" w:hAnsi="Wingdings" w:hint="default"/>
      </w:rPr>
    </w:lvl>
    <w:lvl w:ilvl="3" w:tplc="EF88D132" w:tentative="1">
      <w:start w:val="1"/>
      <w:numFmt w:val="bullet"/>
      <w:lvlText w:val=""/>
      <w:lvlJc w:val="left"/>
      <w:pPr>
        <w:ind w:left="2880" w:hanging="360"/>
      </w:pPr>
      <w:rPr>
        <w:rFonts w:ascii="Symbol" w:hAnsi="Symbol" w:hint="default"/>
      </w:rPr>
    </w:lvl>
    <w:lvl w:ilvl="4" w:tplc="29921444" w:tentative="1">
      <w:start w:val="1"/>
      <w:numFmt w:val="bullet"/>
      <w:lvlText w:val="o"/>
      <w:lvlJc w:val="left"/>
      <w:pPr>
        <w:ind w:left="3600" w:hanging="360"/>
      </w:pPr>
      <w:rPr>
        <w:rFonts w:ascii="Courier New" w:hAnsi="Courier New" w:cs="Courier New" w:hint="default"/>
      </w:rPr>
    </w:lvl>
    <w:lvl w:ilvl="5" w:tplc="C7F0E834" w:tentative="1">
      <w:start w:val="1"/>
      <w:numFmt w:val="bullet"/>
      <w:lvlText w:val=""/>
      <w:lvlJc w:val="left"/>
      <w:pPr>
        <w:ind w:left="4320" w:hanging="360"/>
      </w:pPr>
      <w:rPr>
        <w:rFonts w:ascii="Wingdings" w:hAnsi="Wingdings" w:hint="default"/>
      </w:rPr>
    </w:lvl>
    <w:lvl w:ilvl="6" w:tplc="B1385B4E" w:tentative="1">
      <w:start w:val="1"/>
      <w:numFmt w:val="bullet"/>
      <w:lvlText w:val=""/>
      <w:lvlJc w:val="left"/>
      <w:pPr>
        <w:ind w:left="5040" w:hanging="360"/>
      </w:pPr>
      <w:rPr>
        <w:rFonts w:ascii="Symbol" w:hAnsi="Symbol" w:hint="default"/>
      </w:rPr>
    </w:lvl>
    <w:lvl w:ilvl="7" w:tplc="2F3A248A" w:tentative="1">
      <w:start w:val="1"/>
      <w:numFmt w:val="bullet"/>
      <w:lvlText w:val="o"/>
      <w:lvlJc w:val="left"/>
      <w:pPr>
        <w:ind w:left="5760" w:hanging="360"/>
      </w:pPr>
      <w:rPr>
        <w:rFonts w:ascii="Courier New" w:hAnsi="Courier New" w:cs="Courier New" w:hint="default"/>
      </w:rPr>
    </w:lvl>
    <w:lvl w:ilvl="8" w:tplc="393E61F4" w:tentative="1">
      <w:start w:val="1"/>
      <w:numFmt w:val="bullet"/>
      <w:lvlText w:val=""/>
      <w:lvlJc w:val="left"/>
      <w:pPr>
        <w:ind w:left="6480" w:hanging="360"/>
      </w:pPr>
      <w:rPr>
        <w:rFonts w:ascii="Wingdings" w:hAnsi="Wingdings" w:hint="default"/>
      </w:rPr>
    </w:lvl>
  </w:abstractNum>
  <w:abstractNum w:abstractNumId="94" w15:restartNumberingAfterBreak="0">
    <w:nsid w:val="4D2A7B1C"/>
    <w:multiLevelType w:val="hybridMultilevel"/>
    <w:tmpl w:val="4B880366"/>
    <w:lvl w:ilvl="0" w:tplc="68BEDF48">
      <w:start w:val="1"/>
      <w:numFmt w:val="bullet"/>
      <w:lvlText w:val=""/>
      <w:lvlJc w:val="left"/>
      <w:pPr>
        <w:ind w:left="315" w:hanging="176"/>
      </w:pPr>
      <w:rPr>
        <w:rFonts w:ascii="Symbol" w:eastAsia="Symbol" w:hAnsi="Symbol" w:hint="default"/>
        <w:sz w:val="22"/>
        <w:szCs w:val="22"/>
      </w:rPr>
    </w:lvl>
    <w:lvl w:ilvl="1" w:tplc="511CF356">
      <w:start w:val="1"/>
      <w:numFmt w:val="bullet"/>
      <w:lvlText w:val="•"/>
      <w:lvlJc w:val="left"/>
      <w:pPr>
        <w:ind w:left="968" w:hanging="176"/>
      </w:pPr>
      <w:rPr>
        <w:rFonts w:hint="default"/>
      </w:rPr>
    </w:lvl>
    <w:lvl w:ilvl="2" w:tplc="D4DA4DC6">
      <w:start w:val="1"/>
      <w:numFmt w:val="bullet"/>
      <w:lvlText w:val="•"/>
      <w:lvlJc w:val="left"/>
      <w:pPr>
        <w:ind w:left="1621" w:hanging="176"/>
      </w:pPr>
      <w:rPr>
        <w:rFonts w:hint="default"/>
      </w:rPr>
    </w:lvl>
    <w:lvl w:ilvl="3" w:tplc="30F458DA">
      <w:start w:val="1"/>
      <w:numFmt w:val="bullet"/>
      <w:lvlText w:val="•"/>
      <w:lvlJc w:val="left"/>
      <w:pPr>
        <w:ind w:left="2273" w:hanging="176"/>
      </w:pPr>
      <w:rPr>
        <w:rFonts w:hint="default"/>
      </w:rPr>
    </w:lvl>
    <w:lvl w:ilvl="4" w:tplc="FDA8B3A4">
      <w:start w:val="1"/>
      <w:numFmt w:val="bullet"/>
      <w:lvlText w:val="•"/>
      <w:lvlJc w:val="left"/>
      <w:pPr>
        <w:ind w:left="2926" w:hanging="176"/>
      </w:pPr>
      <w:rPr>
        <w:rFonts w:hint="default"/>
      </w:rPr>
    </w:lvl>
    <w:lvl w:ilvl="5" w:tplc="3A5406DC">
      <w:start w:val="1"/>
      <w:numFmt w:val="bullet"/>
      <w:lvlText w:val="•"/>
      <w:lvlJc w:val="left"/>
      <w:pPr>
        <w:ind w:left="3579" w:hanging="176"/>
      </w:pPr>
      <w:rPr>
        <w:rFonts w:hint="default"/>
      </w:rPr>
    </w:lvl>
    <w:lvl w:ilvl="6" w:tplc="87F8C336">
      <w:start w:val="1"/>
      <w:numFmt w:val="bullet"/>
      <w:lvlText w:val="•"/>
      <w:lvlJc w:val="left"/>
      <w:pPr>
        <w:ind w:left="4232" w:hanging="176"/>
      </w:pPr>
      <w:rPr>
        <w:rFonts w:hint="default"/>
      </w:rPr>
    </w:lvl>
    <w:lvl w:ilvl="7" w:tplc="7DA49FF0">
      <w:start w:val="1"/>
      <w:numFmt w:val="bullet"/>
      <w:lvlText w:val="•"/>
      <w:lvlJc w:val="left"/>
      <w:pPr>
        <w:ind w:left="4884" w:hanging="176"/>
      </w:pPr>
      <w:rPr>
        <w:rFonts w:hint="default"/>
      </w:rPr>
    </w:lvl>
    <w:lvl w:ilvl="8" w:tplc="3384B94C">
      <w:start w:val="1"/>
      <w:numFmt w:val="bullet"/>
      <w:lvlText w:val="•"/>
      <w:lvlJc w:val="left"/>
      <w:pPr>
        <w:ind w:left="5537" w:hanging="176"/>
      </w:pPr>
      <w:rPr>
        <w:rFonts w:hint="default"/>
      </w:rPr>
    </w:lvl>
  </w:abstractNum>
  <w:abstractNum w:abstractNumId="95" w15:restartNumberingAfterBreak="0">
    <w:nsid w:val="4D6D1F59"/>
    <w:multiLevelType w:val="hybridMultilevel"/>
    <w:tmpl w:val="9F6EEB9A"/>
    <w:lvl w:ilvl="0" w:tplc="13AE3670">
      <w:start w:val="1"/>
      <w:numFmt w:val="bullet"/>
      <w:lvlText w:val="•"/>
      <w:lvlJc w:val="left"/>
      <w:pPr>
        <w:ind w:left="660" w:hanging="550"/>
      </w:pPr>
      <w:rPr>
        <w:rFonts w:ascii="Times New Roman" w:eastAsia="Times New Roman" w:hAnsi="Times New Roman" w:hint="default"/>
        <w:sz w:val="22"/>
        <w:szCs w:val="22"/>
      </w:rPr>
    </w:lvl>
    <w:lvl w:ilvl="1" w:tplc="EB386FD4">
      <w:start w:val="1"/>
      <w:numFmt w:val="bullet"/>
      <w:lvlText w:val="•"/>
      <w:lvlJc w:val="left"/>
      <w:pPr>
        <w:ind w:left="1550" w:hanging="550"/>
      </w:pPr>
      <w:rPr>
        <w:rFonts w:hint="default"/>
      </w:rPr>
    </w:lvl>
    <w:lvl w:ilvl="2" w:tplc="827EA2AA">
      <w:start w:val="1"/>
      <w:numFmt w:val="bullet"/>
      <w:lvlText w:val="•"/>
      <w:lvlJc w:val="left"/>
      <w:pPr>
        <w:ind w:left="2440" w:hanging="550"/>
      </w:pPr>
      <w:rPr>
        <w:rFonts w:hint="default"/>
      </w:rPr>
    </w:lvl>
    <w:lvl w:ilvl="3" w:tplc="E7AAF002">
      <w:start w:val="1"/>
      <w:numFmt w:val="bullet"/>
      <w:lvlText w:val="•"/>
      <w:lvlJc w:val="left"/>
      <w:pPr>
        <w:ind w:left="3330" w:hanging="550"/>
      </w:pPr>
      <w:rPr>
        <w:rFonts w:hint="default"/>
      </w:rPr>
    </w:lvl>
    <w:lvl w:ilvl="4" w:tplc="463E18B8">
      <w:start w:val="1"/>
      <w:numFmt w:val="bullet"/>
      <w:lvlText w:val="•"/>
      <w:lvlJc w:val="left"/>
      <w:pPr>
        <w:ind w:left="4220" w:hanging="550"/>
      </w:pPr>
      <w:rPr>
        <w:rFonts w:hint="default"/>
      </w:rPr>
    </w:lvl>
    <w:lvl w:ilvl="5" w:tplc="C2F6D77E">
      <w:start w:val="1"/>
      <w:numFmt w:val="bullet"/>
      <w:lvlText w:val="•"/>
      <w:lvlJc w:val="left"/>
      <w:pPr>
        <w:ind w:left="5110" w:hanging="550"/>
      </w:pPr>
      <w:rPr>
        <w:rFonts w:hint="default"/>
      </w:rPr>
    </w:lvl>
    <w:lvl w:ilvl="6" w:tplc="9F34404A">
      <w:start w:val="1"/>
      <w:numFmt w:val="bullet"/>
      <w:lvlText w:val="•"/>
      <w:lvlJc w:val="left"/>
      <w:pPr>
        <w:ind w:left="6000" w:hanging="550"/>
      </w:pPr>
      <w:rPr>
        <w:rFonts w:hint="default"/>
      </w:rPr>
    </w:lvl>
    <w:lvl w:ilvl="7" w:tplc="DCD0AC24">
      <w:start w:val="1"/>
      <w:numFmt w:val="bullet"/>
      <w:lvlText w:val="•"/>
      <w:lvlJc w:val="left"/>
      <w:pPr>
        <w:ind w:left="6890" w:hanging="550"/>
      </w:pPr>
      <w:rPr>
        <w:rFonts w:hint="default"/>
      </w:rPr>
    </w:lvl>
    <w:lvl w:ilvl="8" w:tplc="5BA4F46C">
      <w:start w:val="1"/>
      <w:numFmt w:val="bullet"/>
      <w:lvlText w:val="•"/>
      <w:lvlJc w:val="left"/>
      <w:pPr>
        <w:ind w:left="7780" w:hanging="550"/>
      </w:pPr>
      <w:rPr>
        <w:rFonts w:hint="default"/>
      </w:rPr>
    </w:lvl>
  </w:abstractNum>
  <w:abstractNum w:abstractNumId="96" w15:restartNumberingAfterBreak="0">
    <w:nsid w:val="50A34B89"/>
    <w:multiLevelType w:val="hybridMultilevel"/>
    <w:tmpl w:val="339C2F6A"/>
    <w:lvl w:ilvl="0" w:tplc="FBAC8620">
      <w:start w:val="1"/>
      <w:numFmt w:val="decimal"/>
      <w:lvlText w:val="%1."/>
      <w:lvlJc w:val="left"/>
      <w:pPr>
        <w:ind w:hanging="562"/>
      </w:pPr>
      <w:rPr>
        <w:rFonts w:ascii="Times New Roman" w:eastAsia="Times New Roman" w:hAnsi="Times New Roman" w:hint="default"/>
        <w:b/>
        <w:bCs/>
        <w:sz w:val="22"/>
        <w:szCs w:val="22"/>
      </w:rPr>
    </w:lvl>
    <w:lvl w:ilvl="1" w:tplc="EE200976">
      <w:start w:val="1"/>
      <w:numFmt w:val="bullet"/>
      <w:lvlText w:val="•"/>
      <w:lvlJc w:val="left"/>
      <w:rPr>
        <w:rFonts w:hint="default"/>
      </w:rPr>
    </w:lvl>
    <w:lvl w:ilvl="2" w:tplc="54EA2F3A">
      <w:start w:val="1"/>
      <w:numFmt w:val="bullet"/>
      <w:lvlText w:val="•"/>
      <w:lvlJc w:val="left"/>
      <w:rPr>
        <w:rFonts w:hint="default"/>
      </w:rPr>
    </w:lvl>
    <w:lvl w:ilvl="3" w:tplc="4BD24EE6">
      <w:start w:val="1"/>
      <w:numFmt w:val="bullet"/>
      <w:lvlText w:val="•"/>
      <w:lvlJc w:val="left"/>
      <w:rPr>
        <w:rFonts w:hint="default"/>
      </w:rPr>
    </w:lvl>
    <w:lvl w:ilvl="4" w:tplc="66CADEA6">
      <w:start w:val="1"/>
      <w:numFmt w:val="bullet"/>
      <w:lvlText w:val="•"/>
      <w:lvlJc w:val="left"/>
      <w:rPr>
        <w:rFonts w:hint="default"/>
      </w:rPr>
    </w:lvl>
    <w:lvl w:ilvl="5" w:tplc="32BCB2D4">
      <w:start w:val="1"/>
      <w:numFmt w:val="bullet"/>
      <w:lvlText w:val="•"/>
      <w:lvlJc w:val="left"/>
      <w:rPr>
        <w:rFonts w:hint="default"/>
      </w:rPr>
    </w:lvl>
    <w:lvl w:ilvl="6" w:tplc="1DD4CF04">
      <w:start w:val="1"/>
      <w:numFmt w:val="bullet"/>
      <w:lvlText w:val="•"/>
      <w:lvlJc w:val="left"/>
      <w:rPr>
        <w:rFonts w:hint="default"/>
      </w:rPr>
    </w:lvl>
    <w:lvl w:ilvl="7" w:tplc="71BCBBB4">
      <w:start w:val="1"/>
      <w:numFmt w:val="bullet"/>
      <w:lvlText w:val="•"/>
      <w:lvlJc w:val="left"/>
      <w:rPr>
        <w:rFonts w:hint="default"/>
      </w:rPr>
    </w:lvl>
    <w:lvl w:ilvl="8" w:tplc="6226D20A">
      <w:start w:val="1"/>
      <w:numFmt w:val="bullet"/>
      <w:lvlText w:val="•"/>
      <w:lvlJc w:val="left"/>
      <w:rPr>
        <w:rFonts w:hint="default"/>
      </w:rPr>
    </w:lvl>
  </w:abstractNum>
  <w:abstractNum w:abstractNumId="97" w15:restartNumberingAfterBreak="0">
    <w:nsid w:val="529019A1"/>
    <w:multiLevelType w:val="hybridMultilevel"/>
    <w:tmpl w:val="B11621AC"/>
    <w:lvl w:ilvl="0" w:tplc="170A32F4">
      <w:start w:val="1"/>
      <w:numFmt w:val="decimal"/>
      <w:lvlText w:val="%1."/>
      <w:lvlJc w:val="left"/>
      <w:pPr>
        <w:ind w:left="805" w:hanging="360"/>
      </w:pPr>
      <w:rPr>
        <w:rFonts w:ascii="Times New Roman" w:hAnsi="Times New Roman" w:cs="Times New Roman" w:hint="default"/>
        <w:b/>
      </w:rPr>
    </w:lvl>
    <w:lvl w:ilvl="1" w:tplc="1B6EBDE6" w:tentative="1">
      <w:start w:val="1"/>
      <w:numFmt w:val="upperLetter"/>
      <w:lvlText w:val="%2."/>
      <w:lvlJc w:val="left"/>
      <w:pPr>
        <w:ind w:left="1245" w:hanging="400"/>
      </w:pPr>
    </w:lvl>
    <w:lvl w:ilvl="2" w:tplc="A5BCB3EE" w:tentative="1">
      <w:start w:val="1"/>
      <w:numFmt w:val="lowerRoman"/>
      <w:lvlText w:val="%3."/>
      <w:lvlJc w:val="right"/>
      <w:pPr>
        <w:ind w:left="1645" w:hanging="400"/>
      </w:pPr>
    </w:lvl>
    <w:lvl w:ilvl="3" w:tplc="4AA86A60" w:tentative="1">
      <w:start w:val="1"/>
      <w:numFmt w:val="decimal"/>
      <w:lvlText w:val="%4."/>
      <w:lvlJc w:val="left"/>
      <w:pPr>
        <w:ind w:left="2045" w:hanging="400"/>
      </w:pPr>
    </w:lvl>
    <w:lvl w:ilvl="4" w:tplc="847E3F3C" w:tentative="1">
      <w:start w:val="1"/>
      <w:numFmt w:val="upperLetter"/>
      <w:lvlText w:val="%5."/>
      <w:lvlJc w:val="left"/>
      <w:pPr>
        <w:ind w:left="2445" w:hanging="400"/>
      </w:pPr>
    </w:lvl>
    <w:lvl w:ilvl="5" w:tplc="66A8C776" w:tentative="1">
      <w:start w:val="1"/>
      <w:numFmt w:val="lowerRoman"/>
      <w:lvlText w:val="%6."/>
      <w:lvlJc w:val="right"/>
      <w:pPr>
        <w:ind w:left="2845" w:hanging="400"/>
      </w:pPr>
    </w:lvl>
    <w:lvl w:ilvl="6" w:tplc="AB72D112" w:tentative="1">
      <w:start w:val="1"/>
      <w:numFmt w:val="decimal"/>
      <w:lvlText w:val="%7."/>
      <w:lvlJc w:val="left"/>
      <w:pPr>
        <w:ind w:left="3245" w:hanging="400"/>
      </w:pPr>
    </w:lvl>
    <w:lvl w:ilvl="7" w:tplc="3B465728" w:tentative="1">
      <w:start w:val="1"/>
      <w:numFmt w:val="upperLetter"/>
      <w:lvlText w:val="%8."/>
      <w:lvlJc w:val="left"/>
      <w:pPr>
        <w:ind w:left="3645" w:hanging="400"/>
      </w:pPr>
    </w:lvl>
    <w:lvl w:ilvl="8" w:tplc="228E0CDA" w:tentative="1">
      <w:start w:val="1"/>
      <w:numFmt w:val="lowerRoman"/>
      <w:lvlText w:val="%9."/>
      <w:lvlJc w:val="right"/>
      <w:pPr>
        <w:ind w:left="4045" w:hanging="400"/>
      </w:pPr>
    </w:lvl>
  </w:abstractNum>
  <w:abstractNum w:abstractNumId="98" w15:restartNumberingAfterBreak="0">
    <w:nsid w:val="52C8174D"/>
    <w:multiLevelType w:val="multilevel"/>
    <w:tmpl w:val="5AA28542"/>
    <w:lvl w:ilvl="0">
      <w:start w:val="1"/>
      <w:numFmt w:val="bullet"/>
      <w:lvlText w:val="•"/>
      <w:lvlJc w:val="left"/>
      <w:pPr>
        <w:ind w:left="720"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99" w15:restartNumberingAfterBreak="0">
    <w:nsid w:val="53702E7A"/>
    <w:multiLevelType w:val="hybridMultilevel"/>
    <w:tmpl w:val="6DC00094"/>
    <w:lvl w:ilvl="0" w:tplc="D31A2BB2">
      <w:start w:val="1"/>
      <w:numFmt w:val="bullet"/>
      <w:lvlText w:val=""/>
      <w:lvlJc w:val="left"/>
      <w:pPr>
        <w:ind w:left="1698" w:hanging="360"/>
      </w:pPr>
      <w:rPr>
        <w:rFonts w:ascii="Symbol" w:eastAsia="Symbol" w:hAnsi="Symbol" w:hint="default"/>
        <w:sz w:val="22"/>
        <w:szCs w:val="22"/>
      </w:rPr>
    </w:lvl>
    <w:lvl w:ilvl="1" w:tplc="98FEC4E6">
      <w:start w:val="1"/>
      <w:numFmt w:val="bullet"/>
      <w:lvlText w:val="•"/>
      <w:lvlJc w:val="left"/>
      <w:pPr>
        <w:ind w:left="2169" w:hanging="360"/>
      </w:pPr>
      <w:rPr>
        <w:rFonts w:hint="default"/>
      </w:rPr>
    </w:lvl>
    <w:lvl w:ilvl="2" w:tplc="42E0F0BC">
      <w:start w:val="1"/>
      <w:numFmt w:val="bullet"/>
      <w:lvlText w:val="•"/>
      <w:lvlJc w:val="left"/>
      <w:pPr>
        <w:ind w:left="2640" w:hanging="360"/>
      </w:pPr>
      <w:rPr>
        <w:rFonts w:hint="default"/>
      </w:rPr>
    </w:lvl>
    <w:lvl w:ilvl="3" w:tplc="1022571E">
      <w:start w:val="1"/>
      <w:numFmt w:val="bullet"/>
      <w:lvlText w:val="•"/>
      <w:lvlJc w:val="left"/>
      <w:pPr>
        <w:ind w:left="3111" w:hanging="360"/>
      </w:pPr>
      <w:rPr>
        <w:rFonts w:hint="default"/>
      </w:rPr>
    </w:lvl>
    <w:lvl w:ilvl="4" w:tplc="B35AF216">
      <w:start w:val="1"/>
      <w:numFmt w:val="bullet"/>
      <w:lvlText w:val="•"/>
      <w:lvlJc w:val="left"/>
      <w:pPr>
        <w:ind w:left="3582" w:hanging="360"/>
      </w:pPr>
      <w:rPr>
        <w:rFonts w:hint="default"/>
      </w:rPr>
    </w:lvl>
    <w:lvl w:ilvl="5" w:tplc="DE54BF16">
      <w:start w:val="1"/>
      <w:numFmt w:val="bullet"/>
      <w:lvlText w:val="•"/>
      <w:lvlJc w:val="left"/>
      <w:pPr>
        <w:ind w:left="4053" w:hanging="360"/>
      </w:pPr>
      <w:rPr>
        <w:rFonts w:hint="default"/>
      </w:rPr>
    </w:lvl>
    <w:lvl w:ilvl="6" w:tplc="1FB6F8EE">
      <w:start w:val="1"/>
      <w:numFmt w:val="bullet"/>
      <w:lvlText w:val="•"/>
      <w:lvlJc w:val="left"/>
      <w:pPr>
        <w:ind w:left="4524" w:hanging="360"/>
      </w:pPr>
      <w:rPr>
        <w:rFonts w:hint="default"/>
      </w:rPr>
    </w:lvl>
    <w:lvl w:ilvl="7" w:tplc="5272785C">
      <w:start w:val="1"/>
      <w:numFmt w:val="bullet"/>
      <w:lvlText w:val="•"/>
      <w:lvlJc w:val="left"/>
      <w:pPr>
        <w:ind w:left="4995" w:hanging="360"/>
      </w:pPr>
      <w:rPr>
        <w:rFonts w:hint="default"/>
      </w:rPr>
    </w:lvl>
    <w:lvl w:ilvl="8" w:tplc="C2BEA3B2">
      <w:start w:val="1"/>
      <w:numFmt w:val="bullet"/>
      <w:lvlText w:val="•"/>
      <w:lvlJc w:val="left"/>
      <w:pPr>
        <w:ind w:left="5466" w:hanging="360"/>
      </w:pPr>
      <w:rPr>
        <w:rFonts w:hint="default"/>
      </w:rPr>
    </w:lvl>
  </w:abstractNum>
  <w:abstractNum w:abstractNumId="100" w15:restartNumberingAfterBreak="0">
    <w:nsid w:val="53AF1F18"/>
    <w:multiLevelType w:val="hybridMultilevel"/>
    <w:tmpl w:val="18D2948C"/>
    <w:lvl w:ilvl="0" w:tplc="1480B14E">
      <w:start w:val="1"/>
      <w:numFmt w:val="bullet"/>
      <w:lvlText w:val=""/>
      <w:lvlJc w:val="left"/>
      <w:pPr>
        <w:ind w:left="315" w:hanging="180"/>
      </w:pPr>
      <w:rPr>
        <w:rFonts w:ascii="Symbol" w:eastAsia="Symbol" w:hAnsi="Symbol" w:hint="default"/>
        <w:sz w:val="22"/>
        <w:szCs w:val="22"/>
      </w:rPr>
    </w:lvl>
    <w:lvl w:ilvl="1" w:tplc="6F7A1E66">
      <w:start w:val="1"/>
      <w:numFmt w:val="bullet"/>
      <w:lvlText w:val="•"/>
      <w:lvlJc w:val="left"/>
      <w:pPr>
        <w:ind w:left="968" w:hanging="180"/>
      </w:pPr>
      <w:rPr>
        <w:rFonts w:hint="default"/>
      </w:rPr>
    </w:lvl>
    <w:lvl w:ilvl="2" w:tplc="9D52F1CC">
      <w:start w:val="1"/>
      <w:numFmt w:val="bullet"/>
      <w:lvlText w:val="•"/>
      <w:lvlJc w:val="left"/>
      <w:pPr>
        <w:ind w:left="1621" w:hanging="180"/>
      </w:pPr>
      <w:rPr>
        <w:rFonts w:hint="default"/>
      </w:rPr>
    </w:lvl>
    <w:lvl w:ilvl="3" w:tplc="9DE61B5A">
      <w:start w:val="1"/>
      <w:numFmt w:val="bullet"/>
      <w:lvlText w:val="•"/>
      <w:lvlJc w:val="left"/>
      <w:pPr>
        <w:ind w:left="2273" w:hanging="180"/>
      </w:pPr>
      <w:rPr>
        <w:rFonts w:hint="default"/>
      </w:rPr>
    </w:lvl>
    <w:lvl w:ilvl="4" w:tplc="99CA6E08">
      <w:start w:val="1"/>
      <w:numFmt w:val="bullet"/>
      <w:lvlText w:val="•"/>
      <w:lvlJc w:val="left"/>
      <w:pPr>
        <w:ind w:left="2926" w:hanging="180"/>
      </w:pPr>
      <w:rPr>
        <w:rFonts w:hint="default"/>
      </w:rPr>
    </w:lvl>
    <w:lvl w:ilvl="5" w:tplc="B388E30C">
      <w:start w:val="1"/>
      <w:numFmt w:val="bullet"/>
      <w:lvlText w:val="•"/>
      <w:lvlJc w:val="left"/>
      <w:pPr>
        <w:ind w:left="3579" w:hanging="180"/>
      </w:pPr>
      <w:rPr>
        <w:rFonts w:hint="default"/>
      </w:rPr>
    </w:lvl>
    <w:lvl w:ilvl="6" w:tplc="E5101C58">
      <w:start w:val="1"/>
      <w:numFmt w:val="bullet"/>
      <w:lvlText w:val="•"/>
      <w:lvlJc w:val="left"/>
      <w:pPr>
        <w:ind w:left="4232" w:hanging="180"/>
      </w:pPr>
      <w:rPr>
        <w:rFonts w:hint="default"/>
      </w:rPr>
    </w:lvl>
    <w:lvl w:ilvl="7" w:tplc="AA785CC8">
      <w:start w:val="1"/>
      <w:numFmt w:val="bullet"/>
      <w:lvlText w:val="•"/>
      <w:lvlJc w:val="left"/>
      <w:pPr>
        <w:ind w:left="4884" w:hanging="180"/>
      </w:pPr>
      <w:rPr>
        <w:rFonts w:hint="default"/>
      </w:rPr>
    </w:lvl>
    <w:lvl w:ilvl="8" w:tplc="E4D2DF1C">
      <w:start w:val="1"/>
      <w:numFmt w:val="bullet"/>
      <w:lvlText w:val="•"/>
      <w:lvlJc w:val="left"/>
      <w:pPr>
        <w:ind w:left="5537" w:hanging="180"/>
      </w:pPr>
      <w:rPr>
        <w:rFonts w:hint="default"/>
      </w:rPr>
    </w:lvl>
  </w:abstractNum>
  <w:abstractNum w:abstractNumId="101" w15:restartNumberingAfterBreak="0">
    <w:nsid w:val="53EF3F55"/>
    <w:multiLevelType w:val="multilevel"/>
    <w:tmpl w:val="6DEC6FE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0" w:hanging="56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102" w15:restartNumberingAfterBreak="0">
    <w:nsid w:val="56B22909"/>
    <w:multiLevelType w:val="hybridMultilevel"/>
    <w:tmpl w:val="E03A9E72"/>
    <w:lvl w:ilvl="0" w:tplc="EC48425E">
      <w:start w:val="1"/>
      <w:numFmt w:val="decimal"/>
      <w:lvlText w:val="%1."/>
      <w:lvlJc w:val="left"/>
      <w:pPr>
        <w:ind w:left="111" w:hanging="562"/>
      </w:pPr>
      <w:rPr>
        <w:rFonts w:ascii="Times New Roman" w:eastAsia="Times New Roman" w:hAnsi="Times New Roman" w:hint="default"/>
        <w:b/>
        <w:bCs/>
        <w:sz w:val="22"/>
        <w:szCs w:val="22"/>
      </w:rPr>
    </w:lvl>
    <w:lvl w:ilvl="1" w:tplc="7C80C3A2">
      <w:start w:val="1"/>
      <w:numFmt w:val="bullet"/>
      <w:lvlText w:val=""/>
      <w:lvlJc w:val="left"/>
      <w:pPr>
        <w:ind w:left="831" w:hanging="360"/>
      </w:pPr>
      <w:rPr>
        <w:rFonts w:ascii="Symbol" w:eastAsia="Symbol" w:hAnsi="Symbol" w:hint="default"/>
        <w:sz w:val="22"/>
        <w:szCs w:val="22"/>
      </w:rPr>
    </w:lvl>
    <w:lvl w:ilvl="2" w:tplc="C1ECF4C8">
      <w:start w:val="1"/>
      <w:numFmt w:val="bullet"/>
      <w:lvlText w:val=""/>
      <w:lvlJc w:val="left"/>
      <w:pPr>
        <w:ind w:left="1551" w:hanging="360"/>
      </w:pPr>
      <w:rPr>
        <w:rFonts w:ascii="Symbol" w:eastAsia="Symbol" w:hAnsi="Symbol" w:hint="default"/>
        <w:sz w:val="22"/>
        <w:szCs w:val="22"/>
      </w:rPr>
    </w:lvl>
    <w:lvl w:ilvl="3" w:tplc="5708531A">
      <w:start w:val="1"/>
      <w:numFmt w:val="bullet"/>
      <w:lvlText w:val="•"/>
      <w:lvlJc w:val="left"/>
      <w:pPr>
        <w:ind w:left="2557" w:hanging="360"/>
      </w:pPr>
      <w:rPr>
        <w:rFonts w:hint="default"/>
      </w:rPr>
    </w:lvl>
    <w:lvl w:ilvl="4" w:tplc="6974F79E">
      <w:start w:val="1"/>
      <w:numFmt w:val="bullet"/>
      <w:lvlText w:val="•"/>
      <w:lvlJc w:val="left"/>
      <w:pPr>
        <w:ind w:left="3563" w:hanging="360"/>
      </w:pPr>
      <w:rPr>
        <w:rFonts w:hint="default"/>
      </w:rPr>
    </w:lvl>
    <w:lvl w:ilvl="5" w:tplc="0F1E36C4">
      <w:start w:val="1"/>
      <w:numFmt w:val="bullet"/>
      <w:lvlText w:val="•"/>
      <w:lvlJc w:val="left"/>
      <w:pPr>
        <w:ind w:left="4569" w:hanging="360"/>
      </w:pPr>
      <w:rPr>
        <w:rFonts w:hint="default"/>
      </w:rPr>
    </w:lvl>
    <w:lvl w:ilvl="6" w:tplc="54887A30">
      <w:start w:val="1"/>
      <w:numFmt w:val="bullet"/>
      <w:lvlText w:val="•"/>
      <w:lvlJc w:val="left"/>
      <w:pPr>
        <w:ind w:left="5575" w:hanging="360"/>
      </w:pPr>
      <w:rPr>
        <w:rFonts w:hint="default"/>
      </w:rPr>
    </w:lvl>
    <w:lvl w:ilvl="7" w:tplc="0268C9E0">
      <w:start w:val="1"/>
      <w:numFmt w:val="bullet"/>
      <w:lvlText w:val="•"/>
      <w:lvlJc w:val="left"/>
      <w:pPr>
        <w:ind w:left="6581" w:hanging="360"/>
      </w:pPr>
      <w:rPr>
        <w:rFonts w:hint="default"/>
      </w:rPr>
    </w:lvl>
    <w:lvl w:ilvl="8" w:tplc="47388CE8">
      <w:start w:val="1"/>
      <w:numFmt w:val="bullet"/>
      <w:lvlText w:val="•"/>
      <w:lvlJc w:val="left"/>
      <w:pPr>
        <w:ind w:left="7587" w:hanging="360"/>
      </w:pPr>
      <w:rPr>
        <w:rFonts w:hint="default"/>
      </w:rPr>
    </w:lvl>
  </w:abstractNum>
  <w:abstractNum w:abstractNumId="103" w15:restartNumberingAfterBreak="0">
    <w:nsid w:val="57651109"/>
    <w:multiLevelType w:val="hybridMultilevel"/>
    <w:tmpl w:val="41C490C4"/>
    <w:lvl w:ilvl="0" w:tplc="DC182C60">
      <w:start w:val="1"/>
      <w:numFmt w:val="bullet"/>
      <w:lvlText w:val=""/>
      <w:lvlJc w:val="left"/>
      <w:pPr>
        <w:ind w:hanging="567"/>
      </w:pPr>
      <w:rPr>
        <w:rFonts w:ascii="Symbol" w:eastAsia="Symbol" w:hAnsi="Symbol" w:hint="default"/>
        <w:w w:val="100"/>
        <w:sz w:val="22"/>
        <w:szCs w:val="22"/>
      </w:rPr>
    </w:lvl>
    <w:lvl w:ilvl="1" w:tplc="C86EB91C">
      <w:start w:val="1"/>
      <w:numFmt w:val="bullet"/>
      <w:lvlText w:val="•"/>
      <w:lvlJc w:val="left"/>
      <w:rPr>
        <w:rFonts w:hint="default"/>
      </w:rPr>
    </w:lvl>
    <w:lvl w:ilvl="2" w:tplc="EF509A78">
      <w:start w:val="1"/>
      <w:numFmt w:val="bullet"/>
      <w:lvlText w:val="•"/>
      <w:lvlJc w:val="left"/>
      <w:rPr>
        <w:rFonts w:hint="default"/>
      </w:rPr>
    </w:lvl>
    <w:lvl w:ilvl="3" w:tplc="8B3E5332">
      <w:start w:val="1"/>
      <w:numFmt w:val="bullet"/>
      <w:lvlText w:val="•"/>
      <w:lvlJc w:val="left"/>
      <w:rPr>
        <w:rFonts w:hint="default"/>
      </w:rPr>
    </w:lvl>
    <w:lvl w:ilvl="4" w:tplc="1F9E3804">
      <w:start w:val="1"/>
      <w:numFmt w:val="bullet"/>
      <w:lvlText w:val="•"/>
      <w:lvlJc w:val="left"/>
      <w:rPr>
        <w:rFonts w:hint="default"/>
      </w:rPr>
    </w:lvl>
    <w:lvl w:ilvl="5" w:tplc="60003F44">
      <w:start w:val="1"/>
      <w:numFmt w:val="bullet"/>
      <w:lvlText w:val="•"/>
      <w:lvlJc w:val="left"/>
      <w:rPr>
        <w:rFonts w:hint="default"/>
      </w:rPr>
    </w:lvl>
    <w:lvl w:ilvl="6" w:tplc="663CA7D8">
      <w:start w:val="1"/>
      <w:numFmt w:val="bullet"/>
      <w:lvlText w:val="•"/>
      <w:lvlJc w:val="left"/>
      <w:rPr>
        <w:rFonts w:hint="default"/>
      </w:rPr>
    </w:lvl>
    <w:lvl w:ilvl="7" w:tplc="9984026A">
      <w:start w:val="1"/>
      <w:numFmt w:val="bullet"/>
      <w:lvlText w:val="•"/>
      <w:lvlJc w:val="left"/>
      <w:rPr>
        <w:rFonts w:hint="default"/>
      </w:rPr>
    </w:lvl>
    <w:lvl w:ilvl="8" w:tplc="E3C45A24">
      <w:start w:val="1"/>
      <w:numFmt w:val="bullet"/>
      <w:lvlText w:val="•"/>
      <w:lvlJc w:val="left"/>
      <w:rPr>
        <w:rFonts w:hint="default"/>
      </w:rPr>
    </w:lvl>
  </w:abstractNum>
  <w:abstractNum w:abstractNumId="104" w15:restartNumberingAfterBreak="0">
    <w:nsid w:val="5924735E"/>
    <w:multiLevelType w:val="hybridMultilevel"/>
    <w:tmpl w:val="5746A45C"/>
    <w:lvl w:ilvl="0" w:tplc="F4F647AA">
      <w:start w:val="1"/>
      <w:numFmt w:val="decimal"/>
      <w:lvlText w:val="%1"/>
      <w:lvlJc w:val="left"/>
      <w:pPr>
        <w:ind w:left="396" w:hanging="166"/>
      </w:pPr>
      <w:rPr>
        <w:rFonts w:ascii="Times New Roman" w:eastAsia="Times New Roman" w:hAnsi="Times New Roman" w:hint="default"/>
        <w:sz w:val="22"/>
        <w:szCs w:val="22"/>
      </w:rPr>
    </w:lvl>
    <w:lvl w:ilvl="1" w:tplc="9CA624D0">
      <w:start w:val="1"/>
      <w:numFmt w:val="bullet"/>
      <w:lvlText w:val="•"/>
      <w:lvlJc w:val="left"/>
      <w:pPr>
        <w:ind w:left="1345" w:hanging="166"/>
      </w:pPr>
      <w:rPr>
        <w:rFonts w:hint="default"/>
      </w:rPr>
    </w:lvl>
    <w:lvl w:ilvl="2" w:tplc="99ACCE40">
      <w:start w:val="1"/>
      <w:numFmt w:val="bullet"/>
      <w:lvlText w:val="•"/>
      <w:lvlJc w:val="left"/>
      <w:pPr>
        <w:ind w:left="2293" w:hanging="166"/>
      </w:pPr>
      <w:rPr>
        <w:rFonts w:hint="default"/>
      </w:rPr>
    </w:lvl>
    <w:lvl w:ilvl="3" w:tplc="E74CD988">
      <w:start w:val="1"/>
      <w:numFmt w:val="bullet"/>
      <w:lvlText w:val="•"/>
      <w:lvlJc w:val="left"/>
      <w:pPr>
        <w:ind w:left="3241" w:hanging="166"/>
      </w:pPr>
      <w:rPr>
        <w:rFonts w:hint="default"/>
      </w:rPr>
    </w:lvl>
    <w:lvl w:ilvl="4" w:tplc="CA5CD448">
      <w:start w:val="1"/>
      <w:numFmt w:val="bullet"/>
      <w:lvlText w:val="•"/>
      <w:lvlJc w:val="left"/>
      <w:pPr>
        <w:ind w:left="4190" w:hanging="166"/>
      </w:pPr>
      <w:rPr>
        <w:rFonts w:hint="default"/>
      </w:rPr>
    </w:lvl>
    <w:lvl w:ilvl="5" w:tplc="82D23E5A">
      <w:start w:val="1"/>
      <w:numFmt w:val="bullet"/>
      <w:lvlText w:val="•"/>
      <w:lvlJc w:val="left"/>
      <w:pPr>
        <w:ind w:left="5138" w:hanging="166"/>
      </w:pPr>
      <w:rPr>
        <w:rFonts w:hint="default"/>
      </w:rPr>
    </w:lvl>
    <w:lvl w:ilvl="6" w:tplc="6CF67AA6">
      <w:start w:val="1"/>
      <w:numFmt w:val="bullet"/>
      <w:lvlText w:val="•"/>
      <w:lvlJc w:val="left"/>
      <w:pPr>
        <w:ind w:left="6086" w:hanging="166"/>
      </w:pPr>
      <w:rPr>
        <w:rFonts w:hint="default"/>
      </w:rPr>
    </w:lvl>
    <w:lvl w:ilvl="7" w:tplc="B8A066C0">
      <w:start w:val="1"/>
      <w:numFmt w:val="bullet"/>
      <w:lvlText w:val="•"/>
      <w:lvlJc w:val="left"/>
      <w:pPr>
        <w:ind w:left="7035" w:hanging="166"/>
      </w:pPr>
      <w:rPr>
        <w:rFonts w:hint="default"/>
      </w:rPr>
    </w:lvl>
    <w:lvl w:ilvl="8" w:tplc="373C5724">
      <w:start w:val="1"/>
      <w:numFmt w:val="bullet"/>
      <w:lvlText w:val="•"/>
      <w:lvlJc w:val="left"/>
      <w:pPr>
        <w:ind w:left="7983" w:hanging="166"/>
      </w:pPr>
      <w:rPr>
        <w:rFonts w:hint="default"/>
      </w:rPr>
    </w:lvl>
  </w:abstractNum>
  <w:abstractNum w:abstractNumId="105" w15:restartNumberingAfterBreak="0">
    <w:nsid w:val="5B311F11"/>
    <w:multiLevelType w:val="hybridMultilevel"/>
    <w:tmpl w:val="1C02FE28"/>
    <w:lvl w:ilvl="0" w:tplc="2A380586">
      <w:start w:val="1"/>
      <w:numFmt w:val="decimal"/>
      <w:lvlText w:val="%1."/>
      <w:lvlJc w:val="left"/>
      <w:pPr>
        <w:ind w:left="677" w:hanging="567"/>
      </w:pPr>
      <w:rPr>
        <w:rFonts w:ascii="Times New Roman" w:eastAsia="Times New Roman" w:hAnsi="Times New Roman" w:hint="default"/>
        <w:sz w:val="22"/>
        <w:szCs w:val="22"/>
      </w:rPr>
    </w:lvl>
    <w:lvl w:ilvl="1" w:tplc="5FD26EAC">
      <w:start w:val="1"/>
      <w:numFmt w:val="bullet"/>
      <w:lvlText w:val="•"/>
      <w:lvlJc w:val="left"/>
      <w:pPr>
        <w:ind w:left="1569" w:hanging="567"/>
      </w:pPr>
      <w:rPr>
        <w:rFonts w:hint="default"/>
      </w:rPr>
    </w:lvl>
    <w:lvl w:ilvl="2" w:tplc="4C0A89FA">
      <w:start w:val="1"/>
      <w:numFmt w:val="bullet"/>
      <w:lvlText w:val="•"/>
      <w:lvlJc w:val="left"/>
      <w:pPr>
        <w:ind w:left="2462" w:hanging="567"/>
      </w:pPr>
      <w:rPr>
        <w:rFonts w:hint="default"/>
      </w:rPr>
    </w:lvl>
    <w:lvl w:ilvl="3" w:tplc="A7B6A100">
      <w:start w:val="1"/>
      <w:numFmt w:val="bullet"/>
      <w:lvlText w:val="•"/>
      <w:lvlJc w:val="left"/>
      <w:pPr>
        <w:ind w:left="3354" w:hanging="567"/>
      </w:pPr>
      <w:rPr>
        <w:rFonts w:hint="default"/>
      </w:rPr>
    </w:lvl>
    <w:lvl w:ilvl="4" w:tplc="0AFCAAAC">
      <w:start w:val="1"/>
      <w:numFmt w:val="bullet"/>
      <w:lvlText w:val="•"/>
      <w:lvlJc w:val="left"/>
      <w:pPr>
        <w:ind w:left="4246" w:hanging="567"/>
      </w:pPr>
      <w:rPr>
        <w:rFonts w:hint="default"/>
      </w:rPr>
    </w:lvl>
    <w:lvl w:ilvl="5" w:tplc="0F687E9C">
      <w:start w:val="1"/>
      <w:numFmt w:val="bullet"/>
      <w:lvlText w:val="•"/>
      <w:lvlJc w:val="left"/>
      <w:pPr>
        <w:ind w:left="5138" w:hanging="567"/>
      </w:pPr>
      <w:rPr>
        <w:rFonts w:hint="default"/>
      </w:rPr>
    </w:lvl>
    <w:lvl w:ilvl="6" w:tplc="AA143520">
      <w:start w:val="1"/>
      <w:numFmt w:val="bullet"/>
      <w:lvlText w:val="•"/>
      <w:lvlJc w:val="left"/>
      <w:pPr>
        <w:ind w:left="6031" w:hanging="567"/>
      </w:pPr>
      <w:rPr>
        <w:rFonts w:hint="default"/>
      </w:rPr>
    </w:lvl>
    <w:lvl w:ilvl="7" w:tplc="691277AE">
      <w:start w:val="1"/>
      <w:numFmt w:val="bullet"/>
      <w:lvlText w:val="•"/>
      <w:lvlJc w:val="left"/>
      <w:pPr>
        <w:ind w:left="6923" w:hanging="567"/>
      </w:pPr>
      <w:rPr>
        <w:rFonts w:hint="default"/>
      </w:rPr>
    </w:lvl>
    <w:lvl w:ilvl="8" w:tplc="C1186D2A">
      <w:start w:val="1"/>
      <w:numFmt w:val="bullet"/>
      <w:lvlText w:val="•"/>
      <w:lvlJc w:val="left"/>
      <w:pPr>
        <w:ind w:left="7815" w:hanging="567"/>
      </w:pPr>
      <w:rPr>
        <w:rFonts w:hint="default"/>
      </w:rPr>
    </w:lvl>
  </w:abstractNum>
  <w:abstractNum w:abstractNumId="106" w15:restartNumberingAfterBreak="0">
    <w:nsid w:val="5BB5657A"/>
    <w:multiLevelType w:val="hybridMultilevel"/>
    <w:tmpl w:val="94AE6260"/>
    <w:lvl w:ilvl="0" w:tplc="41A6FFD2">
      <w:start w:val="1"/>
      <w:numFmt w:val="bullet"/>
      <w:lvlText w:val=""/>
      <w:lvlJc w:val="left"/>
      <w:pPr>
        <w:ind w:left="1746" w:hanging="360"/>
      </w:pPr>
      <w:rPr>
        <w:rFonts w:ascii="Symbol" w:eastAsia="Symbol" w:hAnsi="Symbol" w:hint="default"/>
        <w:sz w:val="22"/>
        <w:szCs w:val="22"/>
      </w:rPr>
    </w:lvl>
    <w:lvl w:ilvl="1" w:tplc="A22C181E">
      <w:start w:val="1"/>
      <w:numFmt w:val="bullet"/>
      <w:lvlText w:val="•"/>
      <w:lvlJc w:val="left"/>
      <w:pPr>
        <w:ind w:left="2213" w:hanging="360"/>
      </w:pPr>
      <w:rPr>
        <w:rFonts w:hint="default"/>
      </w:rPr>
    </w:lvl>
    <w:lvl w:ilvl="2" w:tplc="BDA62146">
      <w:start w:val="1"/>
      <w:numFmt w:val="bullet"/>
      <w:lvlText w:val="•"/>
      <w:lvlJc w:val="left"/>
      <w:pPr>
        <w:ind w:left="2681" w:hanging="360"/>
      </w:pPr>
      <w:rPr>
        <w:rFonts w:hint="default"/>
      </w:rPr>
    </w:lvl>
    <w:lvl w:ilvl="3" w:tplc="F0B4DC38">
      <w:start w:val="1"/>
      <w:numFmt w:val="bullet"/>
      <w:lvlText w:val="•"/>
      <w:lvlJc w:val="left"/>
      <w:pPr>
        <w:ind w:left="3148" w:hanging="360"/>
      </w:pPr>
      <w:rPr>
        <w:rFonts w:hint="default"/>
      </w:rPr>
    </w:lvl>
    <w:lvl w:ilvl="4" w:tplc="DB54A39A">
      <w:start w:val="1"/>
      <w:numFmt w:val="bullet"/>
      <w:lvlText w:val="•"/>
      <w:lvlJc w:val="left"/>
      <w:pPr>
        <w:ind w:left="3616" w:hanging="360"/>
      </w:pPr>
      <w:rPr>
        <w:rFonts w:hint="default"/>
      </w:rPr>
    </w:lvl>
    <w:lvl w:ilvl="5" w:tplc="E520BC1E">
      <w:start w:val="1"/>
      <w:numFmt w:val="bullet"/>
      <w:lvlText w:val="•"/>
      <w:lvlJc w:val="left"/>
      <w:pPr>
        <w:ind w:left="4083" w:hanging="360"/>
      </w:pPr>
      <w:rPr>
        <w:rFonts w:hint="default"/>
      </w:rPr>
    </w:lvl>
    <w:lvl w:ilvl="6" w:tplc="3C3C3D66">
      <w:start w:val="1"/>
      <w:numFmt w:val="bullet"/>
      <w:lvlText w:val="•"/>
      <w:lvlJc w:val="left"/>
      <w:pPr>
        <w:ind w:left="4551" w:hanging="360"/>
      </w:pPr>
      <w:rPr>
        <w:rFonts w:hint="default"/>
      </w:rPr>
    </w:lvl>
    <w:lvl w:ilvl="7" w:tplc="E06040F0">
      <w:start w:val="1"/>
      <w:numFmt w:val="bullet"/>
      <w:lvlText w:val="•"/>
      <w:lvlJc w:val="left"/>
      <w:pPr>
        <w:ind w:left="5018" w:hanging="360"/>
      </w:pPr>
      <w:rPr>
        <w:rFonts w:hint="default"/>
      </w:rPr>
    </w:lvl>
    <w:lvl w:ilvl="8" w:tplc="923ED862">
      <w:start w:val="1"/>
      <w:numFmt w:val="bullet"/>
      <w:lvlText w:val="•"/>
      <w:lvlJc w:val="left"/>
      <w:pPr>
        <w:ind w:left="5485" w:hanging="360"/>
      </w:pPr>
      <w:rPr>
        <w:rFonts w:hint="default"/>
      </w:rPr>
    </w:lvl>
  </w:abstractNum>
  <w:abstractNum w:abstractNumId="107" w15:restartNumberingAfterBreak="0">
    <w:nsid w:val="5C114CD4"/>
    <w:multiLevelType w:val="hybridMultilevel"/>
    <w:tmpl w:val="B750072C"/>
    <w:lvl w:ilvl="0" w:tplc="7EA8974C">
      <w:start w:val="1"/>
      <w:numFmt w:val="upperLetter"/>
      <w:lvlText w:val="%1."/>
      <w:lvlJc w:val="left"/>
      <w:pPr>
        <w:ind w:left="1032" w:hanging="360"/>
      </w:pPr>
      <w:rPr>
        <w:rFonts w:hint="default"/>
      </w:rPr>
    </w:lvl>
    <w:lvl w:ilvl="1" w:tplc="C1B6EF30" w:tentative="1">
      <w:start w:val="1"/>
      <w:numFmt w:val="upperLetter"/>
      <w:lvlText w:val="%2."/>
      <w:lvlJc w:val="left"/>
      <w:pPr>
        <w:ind w:left="1472" w:hanging="400"/>
      </w:pPr>
    </w:lvl>
    <w:lvl w:ilvl="2" w:tplc="A57AEA86" w:tentative="1">
      <w:start w:val="1"/>
      <w:numFmt w:val="lowerRoman"/>
      <w:lvlText w:val="%3."/>
      <w:lvlJc w:val="right"/>
      <w:pPr>
        <w:ind w:left="1872" w:hanging="400"/>
      </w:pPr>
    </w:lvl>
    <w:lvl w:ilvl="3" w:tplc="B01A4E50" w:tentative="1">
      <w:start w:val="1"/>
      <w:numFmt w:val="decimal"/>
      <w:lvlText w:val="%4."/>
      <w:lvlJc w:val="left"/>
      <w:pPr>
        <w:ind w:left="2272" w:hanging="400"/>
      </w:pPr>
    </w:lvl>
    <w:lvl w:ilvl="4" w:tplc="E1FE8A48" w:tentative="1">
      <w:start w:val="1"/>
      <w:numFmt w:val="upperLetter"/>
      <w:lvlText w:val="%5."/>
      <w:lvlJc w:val="left"/>
      <w:pPr>
        <w:ind w:left="2672" w:hanging="400"/>
      </w:pPr>
    </w:lvl>
    <w:lvl w:ilvl="5" w:tplc="796CC6E6" w:tentative="1">
      <w:start w:val="1"/>
      <w:numFmt w:val="lowerRoman"/>
      <w:lvlText w:val="%6."/>
      <w:lvlJc w:val="right"/>
      <w:pPr>
        <w:ind w:left="3072" w:hanging="400"/>
      </w:pPr>
    </w:lvl>
    <w:lvl w:ilvl="6" w:tplc="E7AA288E" w:tentative="1">
      <w:start w:val="1"/>
      <w:numFmt w:val="decimal"/>
      <w:lvlText w:val="%7."/>
      <w:lvlJc w:val="left"/>
      <w:pPr>
        <w:ind w:left="3472" w:hanging="400"/>
      </w:pPr>
    </w:lvl>
    <w:lvl w:ilvl="7" w:tplc="3CAE6B8E" w:tentative="1">
      <w:start w:val="1"/>
      <w:numFmt w:val="upperLetter"/>
      <w:lvlText w:val="%8."/>
      <w:lvlJc w:val="left"/>
      <w:pPr>
        <w:ind w:left="3872" w:hanging="400"/>
      </w:pPr>
    </w:lvl>
    <w:lvl w:ilvl="8" w:tplc="C7720F42" w:tentative="1">
      <w:start w:val="1"/>
      <w:numFmt w:val="lowerRoman"/>
      <w:lvlText w:val="%9."/>
      <w:lvlJc w:val="right"/>
      <w:pPr>
        <w:ind w:left="4272" w:hanging="400"/>
      </w:pPr>
    </w:lvl>
  </w:abstractNum>
  <w:abstractNum w:abstractNumId="108" w15:restartNumberingAfterBreak="0">
    <w:nsid w:val="5C394D7B"/>
    <w:multiLevelType w:val="hybridMultilevel"/>
    <w:tmpl w:val="66A2C910"/>
    <w:lvl w:ilvl="0" w:tplc="5D0E55FE">
      <w:start w:val="1"/>
      <w:numFmt w:val="bullet"/>
      <w:lvlText w:val=""/>
      <w:lvlJc w:val="left"/>
      <w:pPr>
        <w:ind w:left="2215" w:hanging="360"/>
      </w:pPr>
      <w:rPr>
        <w:rFonts w:ascii="Symbol" w:eastAsia="Symbol" w:hAnsi="Symbol" w:hint="default"/>
        <w:sz w:val="22"/>
        <w:szCs w:val="22"/>
      </w:rPr>
    </w:lvl>
    <w:lvl w:ilvl="1" w:tplc="83ACE518">
      <w:start w:val="1"/>
      <w:numFmt w:val="bullet"/>
      <w:lvlText w:val="•"/>
      <w:lvlJc w:val="left"/>
      <w:pPr>
        <w:ind w:left="2689" w:hanging="360"/>
      </w:pPr>
      <w:rPr>
        <w:rFonts w:hint="default"/>
      </w:rPr>
    </w:lvl>
    <w:lvl w:ilvl="2" w:tplc="8F52A8A2">
      <w:start w:val="1"/>
      <w:numFmt w:val="bullet"/>
      <w:lvlText w:val="•"/>
      <w:lvlJc w:val="left"/>
      <w:pPr>
        <w:ind w:left="3164" w:hanging="360"/>
      </w:pPr>
      <w:rPr>
        <w:rFonts w:hint="default"/>
      </w:rPr>
    </w:lvl>
    <w:lvl w:ilvl="3" w:tplc="D7346054">
      <w:start w:val="1"/>
      <w:numFmt w:val="bullet"/>
      <w:lvlText w:val="•"/>
      <w:lvlJc w:val="left"/>
      <w:pPr>
        <w:ind w:left="3639" w:hanging="360"/>
      </w:pPr>
      <w:rPr>
        <w:rFonts w:hint="default"/>
      </w:rPr>
    </w:lvl>
    <w:lvl w:ilvl="4" w:tplc="E028EE96">
      <w:start w:val="1"/>
      <w:numFmt w:val="bullet"/>
      <w:lvlText w:val="•"/>
      <w:lvlJc w:val="left"/>
      <w:pPr>
        <w:ind w:left="4113" w:hanging="360"/>
      </w:pPr>
      <w:rPr>
        <w:rFonts w:hint="default"/>
      </w:rPr>
    </w:lvl>
    <w:lvl w:ilvl="5" w:tplc="A8DEB846">
      <w:start w:val="1"/>
      <w:numFmt w:val="bullet"/>
      <w:lvlText w:val="•"/>
      <w:lvlJc w:val="left"/>
      <w:pPr>
        <w:ind w:left="4588" w:hanging="360"/>
      </w:pPr>
      <w:rPr>
        <w:rFonts w:hint="default"/>
      </w:rPr>
    </w:lvl>
    <w:lvl w:ilvl="6" w:tplc="F9C6E41A">
      <w:start w:val="1"/>
      <w:numFmt w:val="bullet"/>
      <w:lvlText w:val="•"/>
      <w:lvlJc w:val="left"/>
      <w:pPr>
        <w:ind w:left="5062" w:hanging="360"/>
      </w:pPr>
      <w:rPr>
        <w:rFonts w:hint="default"/>
      </w:rPr>
    </w:lvl>
    <w:lvl w:ilvl="7" w:tplc="3FAC1A24">
      <w:start w:val="1"/>
      <w:numFmt w:val="bullet"/>
      <w:lvlText w:val="•"/>
      <w:lvlJc w:val="left"/>
      <w:pPr>
        <w:ind w:left="5537" w:hanging="360"/>
      </w:pPr>
      <w:rPr>
        <w:rFonts w:hint="default"/>
      </w:rPr>
    </w:lvl>
    <w:lvl w:ilvl="8" w:tplc="1F6E4AC8">
      <w:start w:val="1"/>
      <w:numFmt w:val="bullet"/>
      <w:lvlText w:val="•"/>
      <w:lvlJc w:val="left"/>
      <w:pPr>
        <w:ind w:left="6012" w:hanging="360"/>
      </w:pPr>
      <w:rPr>
        <w:rFonts w:hint="default"/>
      </w:rPr>
    </w:lvl>
  </w:abstractNum>
  <w:abstractNum w:abstractNumId="109" w15:restartNumberingAfterBreak="0">
    <w:nsid w:val="5C8644D5"/>
    <w:multiLevelType w:val="hybridMultilevel"/>
    <w:tmpl w:val="E7543384"/>
    <w:lvl w:ilvl="0" w:tplc="4D504686">
      <w:start w:val="1"/>
      <w:numFmt w:val="decimal"/>
      <w:lvlText w:val="%1."/>
      <w:lvlJc w:val="left"/>
      <w:pPr>
        <w:ind w:left="111" w:hanging="562"/>
      </w:pPr>
      <w:rPr>
        <w:rFonts w:ascii="Times New Roman" w:eastAsia="Times New Roman" w:hAnsi="Times New Roman" w:hint="default"/>
        <w:b/>
        <w:bCs/>
        <w:sz w:val="22"/>
        <w:szCs w:val="22"/>
      </w:rPr>
    </w:lvl>
    <w:lvl w:ilvl="1" w:tplc="DD5A847E">
      <w:start w:val="1"/>
      <w:numFmt w:val="bullet"/>
      <w:lvlText w:val=""/>
      <w:lvlJc w:val="left"/>
      <w:pPr>
        <w:ind w:left="831" w:hanging="360"/>
      </w:pPr>
      <w:rPr>
        <w:rFonts w:ascii="Symbol" w:eastAsia="Symbol" w:hAnsi="Symbol" w:hint="default"/>
        <w:sz w:val="22"/>
        <w:szCs w:val="22"/>
      </w:rPr>
    </w:lvl>
    <w:lvl w:ilvl="2" w:tplc="6DF83F7E">
      <w:start w:val="1"/>
      <w:numFmt w:val="bullet"/>
      <w:lvlText w:val=""/>
      <w:lvlJc w:val="left"/>
      <w:pPr>
        <w:ind w:left="1551" w:hanging="360"/>
      </w:pPr>
      <w:rPr>
        <w:rFonts w:ascii="Symbol" w:eastAsia="Symbol" w:hAnsi="Symbol" w:hint="default"/>
        <w:sz w:val="22"/>
        <w:szCs w:val="22"/>
      </w:rPr>
    </w:lvl>
    <w:lvl w:ilvl="3" w:tplc="55BA184A">
      <w:start w:val="1"/>
      <w:numFmt w:val="bullet"/>
      <w:lvlText w:val="•"/>
      <w:lvlJc w:val="left"/>
      <w:pPr>
        <w:ind w:left="2557" w:hanging="360"/>
      </w:pPr>
      <w:rPr>
        <w:rFonts w:hint="default"/>
      </w:rPr>
    </w:lvl>
    <w:lvl w:ilvl="4" w:tplc="3F10A33C">
      <w:start w:val="1"/>
      <w:numFmt w:val="bullet"/>
      <w:lvlText w:val="•"/>
      <w:lvlJc w:val="left"/>
      <w:pPr>
        <w:ind w:left="3563" w:hanging="360"/>
      </w:pPr>
      <w:rPr>
        <w:rFonts w:hint="default"/>
      </w:rPr>
    </w:lvl>
    <w:lvl w:ilvl="5" w:tplc="B7585D08">
      <w:start w:val="1"/>
      <w:numFmt w:val="bullet"/>
      <w:lvlText w:val="•"/>
      <w:lvlJc w:val="left"/>
      <w:pPr>
        <w:ind w:left="4569" w:hanging="360"/>
      </w:pPr>
      <w:rPr>
        <w:rFonts w:hint="default"/>
      </w:rPr>
    </w:lvl>
    <w:lvl w:ilvl="6" w:tplc="7BA86F36">
      <w:start w:val="1"/>
      <w:numFmt w:val="bullet"/>
      <w:lvlText w:val="•"/>
      <w:lvlJc w:val="left"/>
      <w:pPr>
        <w:ind w:left="5575" w:hanging="360"/>
      </w:pPr>
      <w:rPr>
        <w:rFonts w:hint="default"/>
      </w:rPr>
    </w:lvl>
    <w:lvl w:ilvl="7" w:tplc="054EC812">
      <w:start w:val="1"/>
      <w:numFmt w:val="bullet"/>
      <w:lvlText w:val="•"/>
      <w:lvlJc w:val="left"/>
      <w:pPr>
        <w:ind w:left="6581" w:hanging="360"/>
      </w:pPr>
      <w:rPr>
        <w:rFonts w:hint="default"/>
      </w:rPr>
    </w:lvl>
    <w:lvl w:ilvl="8" w:tplc="0778DCF6">
      <w:start w:val="1"/>
      <w:numFmt w:val="bullet"/>
      <w:lvlText w:val="•"/>
      <w:lvlJc w:val="left"/>
      <w:pPr>
        <w:ind w:left="7587" w:hanging="360"/>
      </w:pPr>
      <w:rPr>
        <w:rFonts w:hint="default"/>
      </w:rPr>
    </w:lvl>
  </w:abstractNum>
  <w:abstractNum w:abstractNumId="110" w15:restartNumberingAfterBreak="0">
    <w:nsid w:val="5D4A21ED"/>
    <w:multiLevelType w:val="hybridMultilevel"/>
    <w:tmpl w:val="28A00D86"/>
    <w:lvl w:ilvl="0" w:tplc="A190A2B4">
      <w:start w:val="1"/>
      <w:numFmt w:val="decimal"/>
      <w:lvlText w:val="%1."/>
      <w:lvlJc w:val="left"/>
      <w:pPr>
        <w:ind w:left="760" w:hanging="360"/>
      </w:pPr>
      <w:rPr>
        <w:rFonts w:hint="default"/>
      </w:rPr>
    </w:lvl>
    <w:lvl w:ilvl="1" w:tplc="817047E8" w:tentative="1">
      <w:start w:val="1"/>
      <w:numFmt w:val="upperLetter"/>
      <w:lvlText w:val="%2."/>
      <w:lvlJc w:val="left"/>
      <w:pPr>
        <w:ind w:left="1200" w:hanging="400"/>
      </w:pPr>
    </w:lvl>
    <w:lvl w:ilvl="2" w:tplc="E032844E" w:tentative="1">
      <w:start w:val="1"/>
      <w:numFmt w:val="lowerRoman"/>
      <w:lvlText w:val="%3."/>
      <w:lvlJc w:val="right"/>
      <w:pPr>
        <w:ind w:left="1600" w:hanging="400"/>
      </w:pPr>
    </w:lvl>
    <w:lvl w:ilvl="3" w:tplc="0896B19C" w:tentative="1">
      <w:start w:val="1"/>
      <w:numFmt w:val="decimal"/>
      <w:lvlText w:val="%4."/>
      <w:lvlJc w:val="left"/>
      <w:pPr>
        <w:ind w:left="2000" w:hanging="400"/>
      </w:pPr>
    </w:lvl>
    <w:lvl w:ilvl="4" w:tplc="4B0210BA" w:tentative="1">
      <w:start w:val="1"/>
      <w:numFmt w:val="upperLetter"/>
      <w:lvlText w:val="%5."/>
      <w:lvlJc w:val="left"/>
      <w:pPr>
        <w:ind w:left="2400" w:hanging="400"/>
      </w:pPr>
    </w:lvl>
    <w:lvl w:ilvl="5" w:tplc="3522E5A4" w:tentative="1">
      <w:start w:val="1"/>
      <w:numFmt w:val="lowerRoman"/>
      <w:lvlText w:val="%6."/>
      <w:lvlJc w:val="right"/>
      <w:pPr>
        <w:ind w:left="2800" w:hanging="400"/>
      </w:pPr>
    </w:lvl>
    <w:lvl w:ilvl="6" w:tplc="86BA1C70" w:tentative="1">
      <w:start w:val="1"/>
      <w:numFmt w:val="decimal"/>
      <w:lvlText w:val="%7."/>
      <w:lvlJc w:val="left"/>
      <w:pPr>
        <w:ind w:left="3200" w:hanging="400"/>
      </w:pPr>
    </w:lvl>
    <w:lvl w:ilvl="7" w:tplc="4B56880C" w:tentative="1">
      <w:start w:val="1"/>
      <w:numFmt w:val="upperLetter"/>
      <w:lvlText w:val="%8."/>
      <w:lvlJc w:val="left"/>
      <w:pPr>
        <w:ind w:left="3600" w:hanging="400"/>
      </w:pPr>
    </w:lvl>
    <w:lvl w:ilvl="8" w:tplc="C414AFE6" w:tentative="1">
      <w:start w:val="1"/>
      <w:numFmt w:val="lowerRoman"/>
      <w:lvlText w:val="%9."/>
      <w:lvlJc w:val="right"/>
      <w:pPr>
        <w:ind w:left="4000" w:hanging="400"/>
      </w:pPr>
    </w:lvl>
  </w:abstractNum>
  <w:abstractNum w:abstractNumId="111" w15:restartNumberingAfterBreak="0">
    <w:nsid w:val="5D4E3933"/>
    <w:multiLevelType w:val="multilevel"/>
    <w:tmpl w:val="55367D84"/>
    <w:lvl w:ilvl="0">
      <w:start w:val="1"/>
      <w:numFmt w:val="decimal"/>
      <w:lvlText w:val=""/>
      <w:lvlJc w:val="left"/>
      <w:pPr>
        <w:ind w:left="0" w:hanging="360"/>
      </w:pPr>
    </w:lvl>
    <w:lvl w:ilvl="1">
      <w:start w:val="1"/>
      <w:numFmt w:val="decimal"/>
      <w:lvlText w:val=""/>
      <w:lvlJc w:val="left"/>
      <w:pPr>
        <w:ind w:left="0" w:hanging="360"/>
      </w:pPr>
    </w:lvl>
    <w:lvl w:ilvl="2">
      <w:start w:val="1"/>
      <w:numFmt w:val="decimal"/>
      <w:lvlText w:val=""/>
      <w:lvlJc w:val="left"/>
      <w:pPr>
        <w:ind w:left="0" w:hanging="360"/>
      </w:pPr>
    </w:lvl>
    <w:lvl w:ilvl="3">
      <w:start w:val="1"/>
      <w:numFmt w:val="decimal"/>
      <w:lvlText w:val=""/>
      <w:lvlJc w:val="left"/>
      <w:pPr>
        <w:ind w:left="0" w:hanging="360"/>
      </w:pPr>
    </w:lvl>
    <w:lvl w:ilvl="4">
      <w:start w:val="1"/>
      <w:numFmt w:val="decimal"/>
      <w:lvlText w:val=""/>
      <w:lvlJc w:val="left"/>
      <w:pPr>
        <w:ind w:left="0" w:hanging="360"/>
      </w:pPr>
    </w:lvl>
    <w:lvl w:ilvl="5">
      <w:start w:val="1"/>
      <w:numFmt w:val="decimal"/>
      <w:lvlText w:val=""/>
      <w:lvlJc w:val="left"/>
      <w:pPr>
        <w:ind w:left="0" w:hanging="360"/>
      </w:pPr>
    </w:lvl>
    <w:lvl w:ilvl="6">
      <w:start w:val="1"/>
      <w:numFmt w:val="decimal"/>
      <w:lvlText w:val=""/>
      <w:lvlJc w:val="left"/>
      <w:pPr>
        <w:ind w:left="0" w:hanging="360"/>
      </w:pPr>
    </w:lvl>
    <w:lvl w:ilvl="7">
      <w:start w:val="1"/>
      <w:numFmt w:val="decimal"/>
      <w:lvlText w:val=""/>
      <w:lvlJc w:val="left"/>
      <w:pPr>
        <w:ind w:left="0" w:hanging="360"/>
      </w:pPr>
    </w:lvl>
    <w:lvl w:ilvl="8">
      <w:start w:val="1"/>
      <w:numFmt w:val="decimal"/>
      <w:lvlText w:val=""/>
      <w:lvlJc w:val="left"/>
      <w:pPr>
        <w:ind w:left="0" w:hanging="360"/>
      </w:pPr>
    </w:lvl>
  </w:abstractNum>
  <w:abstractNum w:abstractNumId="112" w15:restartNumberingAfterBreak="0">
    <w:nsid w:val="5E0E097E"/>
    <w:multiLevelType w:val="hybridMultilevel"/>
    <w:tmpl w:val="8A1A7EDC"/>
    <w:lvl w:ilvl="0" w:tplc="61DC9AA4">
      <w:start w:val="1"/>
      <w:numFmt w:val="bullet"/>
      <w:lvlText w:val=""/>
      <w:lvlJc w:val="left"/>
      <w:pPr>
        <w:ind w:left="2287" w:hanging="360"/>
      </w:pPr>
      <w:rPr>
        <w:rFonts w:ascii="Symbol" w:eastAsia="Symbol" w:hAnsi="Symbol" w:hint="default"/>
        <w:sz w:val="22"/>
        <w:szCs w:val="22"/>
      </w:rPr>
    </w:lvl>
    <w:lvl w:ilvl="1" w:tplc="10EA2A98">
      <w:start w:val="1"/>
      <w:numFmt w:val="bullet"/>
      <w:lvlText w:val="•"/>
      <w:lvlJc w:val="left"/>
      <w:pPr>
        <w:ind w:left="2754" w:hanging="360"/>
      </w:pPr>
      <w:rPr>
        <w:rFonts w:hint="default"/>
      </w:rPr>
    </w:lvl>
    <w:lvl w:ilvl="2" w:tplc="744C0D66">
      <w:start w:val="1"/>
      <w:numFmt w:val="bullet"/>
      <w:lvlText w:val="•"/>
      <w:lvlJc w:val="left"/>
      <w:pPr>
        <w:ind w:left="3222" w:hanging="360"/>
      </w:pPr>
      <w:rPr>
        <w:rFonts w:hint="default"/>
      </w:rPr>
    </w:lvl>
    <w:lvl w:ilvl="3" w:tplc="6F76954A">
      <w:start w:val="1"/>
      <w:numFmt w:val="bullet"/>
      <w:lvlText w:val="•"/>
      <w:lvlJc w:val="left"/>
      <w:pPr>
        <w:ind w:left="3689" w:hanging="360"/>
      </w:pPr>
      <w:rPr>
        <w:rFonts w:hint="default"/>
      </w:rPr>
    </w:lvl>
    <w:lvl w:ilvl="4" w:tplc="ACB64028">
      <w:start w:val="1"/>
      <w:numFmt w:val="bullet"/>
      <w:lvlText w:val="•"/>
      <w:lvlJc w:val="left"/>
      <w:pPr>
        <w:ind w:left="4156" w:hanging="360"/>
      </w:pPr>
      <w:rPr>
        <w:rFonts w:hint="default"/>
      </w:rPr>
    </w:lvl>
    <w:lvl w:ilvl="5" w:tplc="8FB831FA">
      <w:start w:val="1"/>
      <w:numFmt w:val="bullet"/>
      <w:lvlText w:val="•"/>
      <w:lvlJc w:val="left"/>
      <w:pPr>
        <w:ind w:left="4624" w:hanging="360"/>
      </w:pPr>
      <w:rPr>
        <w:rFonts w:hint="default"/>
      </w:rPr>
    </w:lvl>
    <w:lvl w:ilvl="6" w:tplc="CAFE2AEE">
      <w:start w:val="1"/>
      <w:numFmt w:val="bullet"/>
      <w:lvlText w:val="•"/>
      <w:lvlJc w:val="left"/>
      <w:pPr>
        <w:ind w:left="5091" w:hanging="360"/>
      </w:pPr>
      <w:rPr>
        <w:rFonts w:hint="default"/>
      </w:rPr>
    </w:lvl>
    <w:lvl w:ilvl="7" w:tplc="676ACCF6">
      <w:start w:val="1"/>
      <w:numFmt w:val="bullet"/>
      <w:lvlText w:val="•"/>
      <w:lvlJc w:val="left"/>
      <w:pPr>
        <w:ind w:left="5559" w:hanging="360"/>
      </w:pPr>
      <w:rPr>
        <w:rFonts w:hint="default"/>
      </w:rPr>
    </w:lvl>
    <w:lvl w:ilvl="8" w:tplc="9A2C3A40">
      <w:start w:val="1"/>
      <w:numFmt w:val="bullet"/>
      <w:lvlText w:val="•"/>
      <w:lvlJc w:val="left"/>
      <w:pPr>
        <w:ind w:left="6026" w:hanging="360"/>
      </w:pPr>
      <w:rPr>
        <w:rFonts w:hint="default"/>
      </w:rPr>
    </w:lvl>
  </w:abstractNum>
  <w:abstractNum w:abstractNumId="113" w15:restartNumberingAfterBreak="0">
    <w:nsid w:val="5E941651"/>
    <w:multiLevelType w:val="hybridMultilevel"/>
    <w:tmpl w:val="C7FEE378"/>
    <w:lvl w:ilvl="0" w:tplc="B94E9896">
      <w:start w:val="1"/>
      <w:numFmt w:val="decimal"/>
      <w:lvlText w:val="%1."/>
      <w:lvlJc w:val="left"/>
      <w:pPr>
        <w:ind w:left="111" w:hanging="562"/>
      </w:pPr>
      <w:rPr>
        <w:rFonts w:ascii="Times New Roman" w:eastAsia="Times New Roman" w:hAnsi="Times New Roman" w:hint="default"/>
        <w:b/>
        <w:bCs/>
        <w:sz w:val="22"/>
        <w:szCs w:val="22"/>
      </w:rPr>
    </w:lvl>
    <w:lvl w:ilvl="1" w:tplc="404C205C">
      <w:start w:val="1"/>
      <w:numFmt w:val="bullet"/>
      <w:lvlText w:val=""/>
      <w:lvlJc w:val="left"/>
      <w:pPr>
        <w:ind w:left="831" w:hanging="360"/>
      </w:pPr>
      <w:rPr>
        <w:rFonts w:ascii="Symbol" w:eastAsia="Symbol" w:hAnsi="Symbol" w:hint="default"/>
        <w:sz w:val="22"/>
        <w:szCs w:val="22"/>
      </w:rPr>
    </w:lvl>
    <w:lvl w:ilvl="2" w:tplc="CF7A0674">
      <w:start w:val="1"/>
      <w:numFmt w:val="bullet"/>
      <w:lvlText w:val="•"/>
      <w:lvlJc w:val="left"/>
      <w:pPr>
        <w:ind w:left="1803" w:hanging="360"/>
      </w:pPr>
      <w:rPr>
        <w:rFonts w:hint="default"/>
      </w:rPr>
    </w:lvl>
    <w:lvl w:ilvl="3" w:tplc="0C7EB134">
      <w:start w:val="1"/>
      <w:numFmt w:val="bullet"/>
      <w:lvlText w:val="•"/>
      <w:lvlJc w:val="left"/>
      <w:pPr>
        <w:ind w:left="2775" w:hanging="360"/>
      </w:pPr>
      <w:rPr>
        <w:rFonts w:hint="default"/>
      </w:rPr>
    </w:lvl>
    <w:lvl w:ilvl="4" w:tplc="AAB095BA">
      <w:start w:val="1"/>
      <w:numFmt w:val="bullet"/>
      <w:lvlText w:val="•"/>
      <w:lvlJc w:val="left"/>
      <w:pPr>
        <w:ind w:left="3747" w:hanging="360"/>
      </w:pPr>
      <w:rPr>
        <w:rFonts w:hint="default"/>
      </w:rPr>
    </w:lvl>
    <w:lvl w:ilvl="5" w:tplc="A476DD62">
      <w:start w:val="1"/>
      <w:numFmt w:val="bullet"/>
      <w:lvlText w:val="•"/>
      <w:lvlJc w:val="left"/>
      <w:pPr>
        <w:ind w:left="4719" w:hanging="360"/>
      </w:pPr>
      <w:rPr>
        <w:rFonts w:hint="default"/>
      </w:rPr>
    </w:lvl>
    <w:lvl w:ilvl="6" w:tplc="B07CFC64">
      <w:start w:val="1"/>
      <w:numFmt w:val="bullet"/>
      <w:lvlText w:val="•"/>
      <w:lvlJc w:val="left"/>
      <w:pPr>
        <w:ind w:left="5691" w:hanging="360"/>
      </w:pPr>
      <w:rPr>
        <w:rFonts w:hint="default"/>
      </w:rPr>
    </w:lvl>
    <w:lvl w:ilvl="7" w:tplc="2AB242B8">
      <w:start w:val="1"/>
      <w:numFmt w:val="bullet"/>
      <w:lvlText w:val="•"/>
      <w:lvlJc w:val="left"/>
      <w:pPr>
        <w:ind w:left="6663" w:hanging="360"/>
      </w:pPr>
      <w:rPr>
        <w:rFonts w:hint="default"/>
      </w:rPr>
    </w:lvl>
    <w:lvl w:ilvl="8" w:tplc="FA4A8A84">
      <w:start w:val="1"/>
      <w:numFmt w:val="bullet"/>
      <w:lvlText w:val="•"/>
      <w:lvlJc w:val="left"/>
      <w:pPr>
        <w:ind w:left="7635" w:hanging="360"/>
      </w:pPr>
      <w:rPr>
        <w:rFonts w:hint="default"/>
      </w:rPr>
    </w:lvl>
  </w:abstractNum>
  <w:abstractNum w:abstractNumId="114" w15:restartNumberingAfterBreak="0">
    <w:nsid w:val="5FB602BC"/>
    <w:multiLevelType w:val="hybridMultilevel"/>
    <w:tmpl w:val="26FAC844"/>
    <w:lvl w:ilvl="0" w:tplc="66A09730">
      <w:start w:val="1"/>
      <w:numFmt w:val="lowerLetter"/>
      <w:lvlText w:val="%1"/>
      <w:lvlJc w:val="left"/>
      <w:pPr>
        <w:ind w:hanging="243"/>
      </w:pPr>
      <w:rPr>
        <w:rFonts w:ascii="Times New Roman" w:eastAsia="Times New Roman" w:hAnsi="Times New Roman" w:hint="default"/>
        <w:w w:val="99"/>
        <w:position w:val="8"/>
        <w:sz w:val="14"/>
        <w:szCs w:val="14"/>
      </w:rPr>
    </w:lvl>
    <w:lvl w:ilvl="1" w:tplc="B5FE65E2">
      <w:start w:val="1"/>
      <w:numFmt w:val="bullet"/>
      <w:lvlText w:val="•"/>
      <w:lvlJc w:val="left"/>
      <w:rPr>
        <w:rFonts w:hint="default"/>
      </w:rPr>
    </w:lvl>
    <w:lvl w:ilvl="2" w:tplc="103C253E">
      <w:start w:val="1"/>
      <w:numFmt w:val="bullet"/>
      <w:lvlText w:val="•"/>
      <w:lvlJc w:val="left"/>
      <w:rPr>
        <w:rFonts w:hint="default"/>
      </w:rPr>
    </w:lvl>
    <w:lvl w:ilvl="3" w:tplc="10981982">
      <w:start w:val="1"/>
      <w:numFmt w:val="bullet"/>
      <w:lvlText w:val="•"/>
      <w:lvlJc w:val="left"/>
      <w:rPr>
        <w:rFonts w:hint="default"/>
      </w:rPr>
    </w:lvl>
    <w:lvl w:ilvl="4" w:tplc="03F8AC80">
      <w:start w:val="1"/>
      <w:numFmt w:val="bullet"/>
      <w:lvlText w:val="•"/>
      <w:lvlJc w:val="left"/>
      <w:rPr>
        <w:rFonts w:hint="default"/>
      </w:rPr>
    </w:lvl>
    <w:lvl w:ilvl="5" w:tplc="1ECAA470">
      <w:start w:val="1"/>
      <w:numFmt w:val="bullet"/>
      <w:lvlText w:val="•"/>
      <w:lvlJc w:val="left"/>
      <w:rPr>
        <w:rFonts w:hint="default"/>
      </w:rPr>
    </w:lvl>
    <w:lvl w:ilvl="6" w:tplc="07B056FE">
      <w:start w:val="1"/>
      <w:numFmt w:val="bullet"/>
      <w:lvlText w:val="•"/>
      <w:lvlJc w:val="left"/>
      <w:rPr>
        <w:rFonts w:hint="default"/>
      </w:rPr>
    </w:lvl>
    <w:lvl w:ilvl="7" w:tplc="A75E5EF8">
      <w:start w:val="1"/>
      <w:numFmt w:val="bullet"/>
      <w:lvlText w:val="•"/>
      <w:lvlJc w:val="left"/>
      <w:rPr>
        <w:rFonts w:hint="default"/>
      </w:rPr>
    </w:lvl>
    <w:lvl w:ilvl="8" w:tplc="A6885E12">
      <w:start w:val="1"/>
      <w:numFmt w:val="bullet"/>
      <w:lvlText w:val="•"/>
      <w:lvlJc w:val="left"/>
      <w:rPr>
        <w:rFonts w:hint="default"/>
      </w:rPr>
    </w:lvl>
  </w:abstractNum>
  <w:abstractNum w:abstractNumId="115" w15:restartNumberingAfterBreak="0">
    <w:nsid w:val="60FD1EA0"/>
    <w:multiLevelType w:val="hybridMultilevel"/>
    <w:tmpl w:val="3752BEA8"/>
    <w:lvl w:ilvl="0" w:tplc="15FA8EA0">
      <w:start w:val="1"/>
      <w:numFmt w:val="bullet"/>
      <w:lvlText w:val=""/>
      <w:lvlJc w:val="left"/>
      <w:pPr>
        <w:ind w:hanging="540"/>
      </w:pPr>
      <w:rPr>
        <w:rFonts w:ascii="Symbol" w:eastAsia="Symbol" w:hAnsi="Symbol" w:hint="default"/>
        <w:sz w:val="22"/>
        <w:szCs w:val="22"/>
      </w:rPr>
    </w:lvl>
    <w:lvl w:ilvl="1" w:tplc="2A36D652">
      <w:start w:val="1"/>
      <w:numFmt w:val="bullet"/>
      <w:lvlText w:val=""/>
      <w:lvlJc w:val="left"/>
      <w:pPr>
        <w:ind w:hanging="360"/>
      </w:pPr>
      <w:rPr>
        <w:rFonts w:ascii="Symbol" w:eastAsia="Symbol" w:hAnsi="Symbol" w:hint="default"/>
        <w:sz w:val="22"/>
        <w:szCs w:val="22"/>
      </w:rPr>
    </w:lvl>
    <w:lvl w:ilvl="2" w:tplc="B98480B2">
      <w:start w:val="1"/>
      <w:numFmt w:val="bullet"/>
      <w:lvlText w:val=""/>
      <w:lvlJc w:val="left"/>
      <w:pPr>
        <w:ind w:hanging="540"/>
      </w:pPr>
      <w:rPr>
        <w:rFonts w:ascii="Symbol" w:eastAsia="Symbol" w:hAnsi="Symbol" w:hint="default"/>
        <w:sz w:val="22"/>
        <w:szCs w:val="22"/>
      </w:rPr>
    </w:lvl>
    <w:lvl w:ilvl="3" w:tplc="C9B6C2DA">
      <w:start w:val="1"/>
      <w:numFmt w:val="bullet"/>
      <w:lvlText w:val="•"/>
      <w:lvlJc w:val="left"/>
      <w:rPr>
        <w:rFonts w:hint="default"/>
      </w:rPr>
    </w:lvl>
    <w:lvl w:ilvl="4" w:tplc="9A485A88">
      <w:start w:val="1"/>
      <w:numFmt w:val="bullet"/>
      <w:lvlText w:val="•"/>
      <w:lvlJc w:val="left"/>
      <w:rPr>
        <w:rFonts w:hint="default"/>
      </w:rPr>
    </w:lvl>
    <w:lvl w:ilvl="5" w:tplc="A31A8B26">
      <w:start w:val="1"/>
      <w:numFmt w:val="bullet"/>
      <w:lvlText w:val="•"/>
      <w:lvlJc w:val="left"/>
      <w:rPr>
        <w:rFonts w:hint="default"/>
      </w:rPr>
    </w:lvl>
    <w:lvl w:ilvl="6" w:tplc="C6D0B8B4">
      <w:start w:val="1"/>
      <w:numFmt w:val="bullet"/>
      <w:lvlText w:val="•"/>
      <w:lvlJc w:val="left"/>
      <w:rPr>
        <w:rFonts w:hint="default"/>
      </w:rPr>
    </w:lvl>
    <w:lvl w:ilvl="7" w:tplc="6BB69C86">
      <w:start w:val="1"/>
      <w:numFmt w:val="bullet"/>
      <w:lvlText w:val="•"/>
      <w:lvlJc w:val="left"/>
      <w:rPr>
        <w:rFonts w:hint="default"/>
      </w:rPr>
    </w:lvl>
    <w:lvl w:ilvl="8" w:tplc="52E6D362">
      <w:start w:val="1"/>
      <w:numFmt w:val="bullet"/>
      <w:lvlText w:val="•"/>
      <w:lvlJc w:val="left"/>
      <w:rPr>
        <w:rFonts w:hint="default"/>
      </w:rPr>
    </w:lvl>
  </w:abstractNum>
  <w:abstractNum w:abstractNumId="116" w15:restartNumberingAfterBreak="0">
    <w:nsid w:val="61F239C3"/>
    <w:multiLevelType w:val="hybridMultilevel"/>
    <w:tmpl w:val="EFF42462"/>
    <w:lvl w:ilvl="0" w:tplc="52D8A61A">
      <w:start w:val="1"/>
      <w:numFmt w:val="decimal"/>
      <w:lvlText w:val="%1."/>
      <w:lvlJc w:val="left"/>
      <w:pPr>
        <w:ind w:left="471" w:hanging="360"/>
      </w:pPr>
      <w:rPr>
        <w:rFonts w:hint="default"/>
        <w:b/>
      </w:rPr>
    </w:lvl>
    <w:lvl w:ilvl="1" w:tplc="D3CCF630" w:tentative="1">
      <w:start w:val="1"/>
      <w:numFmt w:val="upperLetter"/>
      <w:lvlText w:val="%2."/>
      <w:lvlJc w:val="left"/>
      <w:pPr>
        <w:ind w:left="911" w:hanging="400"/>
      </w:pPr>
    </w:lvl>
    <w:lvl w:ilvl="2" w:tplc="321A7760" w:tentative="1">
      <w:start w:val="1"/>
      <w:numFmt w:val="lowerRoman"/>
      <w:lvlText w:val="%3."/>
      <w:lvlJc w:val="right"/>
      <w:pPr>
        <w:ind w:left="1311" w:hanging="400"/>
      </w:pPr>
    </w:lvl>
    <w:lvl w:ilvl="3" w:tplc="2F00A2A2" w:tentative="1">
      <w:start w:val="1"/>
      <w:numFmt w:val="decimal"/>
      <w:lvlText w:val="%4."/>
      <w:lvlJc w:val="left"/>
      <w:pPr>
        <w:ind w:left="1711" w:hanging="400"/>
      </w:pPr>
    </w:lvl>
    <w:lvl w:ilvl="4" w:tplc="88FE1478" w:tentative="1">
      <w:start w:val="1"/>
      <w:numFmt w:val="upperLetter"/>
      <w:lvlText w:val="%5."/>
      <w:lvlJc w:val="left"/>
      <w:pPr>
        <w:ind w:left="2111" w:hanging="400"/>
      </w:pPr>
    </w:lvl>
    <w:lvl w:ilvl="5" w:tplc="AAB6B9FC" w:tentative="1">
      <w:start w:val="1"/>
      <w:numFmt w:val="lowerRoman"/>
      <w:lvlText w:val="%6."/>
      <w:lvlJc w:val="right"/>
      <w:pPr>
        <w:ind w:left="2511" w:hanging="400"/>
      </w:pPr>
    </w:lvl>
    <w:lvl w:ilvl="6" w:tplc="962A6458" w:tentative="1">
      <w:start w:val="1"/>
      <w:numFmt w:val="decimal"/>
      <w:lvlText w:val="%7."/>
      <w:lvlJc w:val="left"/>
      <w:pPr>
        <w:ind w:left="2911" w:hanging="400"/>
      </w:pPr>
    </w:lvl>
    <w:lvl w:ilvl="7" w:tplc="F5C4E732" w:tentative="1">
      <w:start w:val="1"/>
      <w:numFmt w:val="upperLetter"/>
      <w:lvlText w:val="%8."/>
      <w:lvlJc w:val="left"/>
      <w:pPr>
        <w:ind w:left="3311" w:hanging="400"/>
      </w:pPr>
    </w:lvl>
    <w:lvl w:ilvl="8" w:tplc="F2B82856" w:tentative="1">
      <w:start w:val="1"/>
      <w:numFmt w:val="lowerRoman"/>
      <w:lvlText w:val="%9."/>
      <w:lvlJc w:val="right"/>
      <w:pPr>
        <w:ind w:left="3711" w:hanging="400"/>
      </w:pPr>
    </w:lvl>
  </w:abstractNum>
  <w:abstractNum w:abstractNumId="117" w15:restartNumberingAfterBreak="0">
    <w:nsid w:val="65F9438E"/>
    <w:multiLevelType w:val="hybridMultilevel"/>
    <w:tmpl w:val="3E3022CA"/>
    <w:lvl w:ilvl="0" w:tplc="2C8C6C3A">
      <w:start w:val="1"/>
      <w:numFmt w:val="decimal"/>
      <w:lvlText w:val="%1."/>
      <w:lvlJc w:val="left"/>
      <w:pPr>
        <w:ind w:left="471" w:hanging="360"/>
      </w:pPr>
      <w:rPr>
        <w:rFonts w:hint="default"/>
        <w:b/>
      </w:rPr>
    </w:lvl>
    <w:lvl w:ilvl="1" w:tplc="480A2E2A" w:tentative="1">
      <w:start w:val="1"/>
      <w:numFmt w:val="upperLetter"/>
      <w:lvlText w:val="%2."/>
      <w:lvlJc w:val="left"/>
      <w:pPr>
        <w:ind w:left="911" w:hanging="400"/>
      </w:pPr>
    </w:lvl>
    <w:lvl w:ilvl="2" w:tplc="50CC284A" w:tentative="1">
      <w:start w:val="1"/>
      <w:numFmt w:val="lowerRoman"/>
      <w:lvlText w:val="%3."/>
      <w:lvlJc w:val="right"/>
      <w:pPr>
        <w:ind w:left="1311" w:hanging="400"/>
      </w:pPr>
    </w:lvl>
    <w:lvl w:ilvl="3" w:tplc="E5E8AA5A" w:tentative="1">
      <w:start w:val="1"/>
      <w:numFmt w:val="decimal"/>
      <w:lvlText w:val="%4."/>
      <w:lvlJc w:val="left"/>
      <w:pPr>
        <w:ind w:left="1711" w:hanging="400"/>
      </w:pPr>
    </w:lvl>
    <w:lvl w:ilvl="4" w:tplc="D4BE0F82" w:tentative="1">
      <w:start w:val="1"/>
      <w:numFmt w:val="upperLetter"/>
      <w:lvlText w:val="%5."/>
      <w:lvlJc w:val="left"/>
      <w:pPr>
        <w:ind w:left="2111" w:hanging="400"/>
      </w:pPr>
    </w:lvl>
    <w:lvl w:ilvl="5" w:tplc="2AF0A490" w:tentative="1">
      <w:start w:val="1"/>
      <w:numFmt w:val="lowerRoman"/>
      <w:lvlText w:val="%6."/>
      <w:lvlJc w:val="right"/>
      <w:pPr>
        <w:ind w:left="2511" w:hanging="400"/>
      </w:pPr>
    </w:lvl>
    <w:lvl w:ilvl="6" w:tplc="CF5C9CC4" w:tentative="1">
      <w:start w:val="1"/>
      <w:numFmt w:val="decimal"/>
      <w:lvlText w:val="%7."/>
      <w:lvlJc w:val="left"/>
      <w:pPr>
        <w:ind w:left="2911" w:hanging="400"/>
      </w:pPr>
    </w:lvl>
    <w:lvl w:ilvl="7" w:tplc="B508693C" w:tentative="1">
      <w:start w:val="1"/>
      <w:numFmt w:val="upperLetter"/>
      <w:lvlText w:val="%8."/>
      <w:lvlJc w:val="left"/>
      <w:pPr>
        <w:ind w:left="3311" w:hanging="400"/>
      </w:pPr>
    </w:lvl>
    <w:lvl w:ilvl="8" w:tplc="941C8678" w:tentative="1">
      <w:start w:val="1"/>
      <w:numFmt w:val="lowerRoman"/>
      <w:lvlText w:val="%9."/>
      <w:lvlJc w:val="right"/>
      <w:pPr>
        <w:ind w:left="3711" w:hanging="400"/>
      </w:pPr>
    </w:lvl>
  </w:abstractNum>
  <w:abstractNum w:abstractNumId="118" w15:restartNumberingAfterBreak="0">
    <w:nsid w:val="661469AD"/>
    <w:multiLevelType w:val="hybridMultilevel"/>
    <w:tmpl w:val="5CAC928C"/>
    <w:lvl w:ilvl="0" w:tplc="2F00A19C">
      <w:start w:val="1"/>
      <w:numFmt w:val="lowerLetter"/>
      <w:lvlText w:val="%1."/>
      <w:lvlJc w:val="left"/>
      <w:pPr>
        <w:ind w:left="4318" w:hanging="360"/>
      </w:pPr>
      <w:rPr>
        <w:rFonts w:hint="default"/>
        <w:b/>
      </w:rPr>
    </w:lvl>
    <w:lvl w:ilvl="1" w:tplc="04090019" w:tentative="1">
      <w:start w:val="1"/>
      <w:numFmt w:val="upperLetter"/>
      <w:lvlText w:val="%2."/>
      <w:lvlJc w:val="left"/>
      <w:pPr>
        <w:ind w:left="4758" w:hanging="400"/>
      </w:pPr>
    </w:lvl>
    <w:lvl w:ilvl="2" w:tplc="0409001B" w:tentative="1">
      <w:start w:val="1"/>
      <w:numFmt w:val="lowerRoman"/>
      <w:lvlText w:val="%3."/>
      <w:lvlJc w:val="right"/>
      <w:pPr>
        <w:ind w:left="5158" w:hanging="400"/>
      </w:pPr>
    </w:lvl>
    <w:lvl w:ilvl="3" w:tplc="0409000F" w:tentative="1">
      <w:start w:val="1"/>
      <w:numFmt w:val="decimal"/>
      <w:lvlText w:val="%4."/>
      <w:lvlJc w:val="left"/>
      <w:pPr>
        <w:ind w:left="5558" w:hanging="400"/>
      </w:pPr>
    </w:lvl>
    <w:lvl w:ilvl="4" w:tplc="04090019" w:tentative="1">
      <w:start w:val="1"/>
      <w:numFmt w:val="upperLetter"/>
      <w:lvlText w:val="%5."/>
      <w:lvlJc w:val="left"/>
      <w:pPr>
        <w:ind w:left="5958" w:hanging="400"/>
      </w:pPr>
    </w:lvl>
    <w:lvl w:ilvl="5" w:tplc="0409001B" w:tentative="1">
      <w:start w:val="1"/>
      <w:numFmt w:val="lowerRoman"/>
      <w:lvlText w:val="%6."/>
      <w:lvlJc w:val="right"/>
      <w:pPr>
        <w:ind w:left="6358" w:hanging="400"/>
      </w:pPr>
    </w:lvl>
    <w:lvl w:ilvl="6" w:tplc="0409000F" w:tentative="1">
      <w:start w:val="1"/>
      <w:numFmt w:val="decimal"/>
      <w:lvlText w:val="%7."/>
      <w:lvlJc w:val="left"/>
      <w:pPr>
        <w:ind w:left="6758" w:hanging="400"/>
      </w:pPr>
    </w:lvl>
    <w:lvl w:ilvl="7" w:tplc="04090019" w:tentative="1">
      <w:start w:val="1"/>
      <w:numFmt w:val="upperLetter"/>
      <w:lvlText w:val="%8."/>
      <w:lvlJc w:val="left"/>
      <w:pPr>
        <w:ind w:left="7158" w:hanging="400"/>
      </w:pPr>
    </w:lvl>
    <w:lvl w:ilvl="8" w:tplc="0409001B" w:tentative="1">
      <w:start w:val="1"/>
      <w:numFmt w:val="lowerRoman"/>
      <w:lvlText w:val="%9."/>
      <w:lvlJc w:val="right"/>
      <w:pPr>
        <w:ind w:left="7558" w:hanging="400"/>
      </w:pPr>
    </w:lvl>
  </w:abstractNum>
  <w:abstractNum w:abstractNumId="119" w15:restartNumberingAfterBreak="0">
    <w:nsid w:val="66854BFB"/>
    <w:multiLevelType w:val="hybridMultilevel"/>
    <w:tmpl w:val="339C2F6A"/>
    <w:lvl w:ilvl="0" w:tplc="42E22998">
      <w:start w:val="1"/>
      <w:numFmt w:val="decimal"/>
      <w:lvlText w:val="%1."/>
      <w:lvlJc w:val="left"/>
      <w:pPr>
        <w:ind w:hanging="562"/>
      </w:pPr>
      <w:rPr>
        <w:rFonts w:ascii="Times New Roman" w:eastAsia="Times New Roman" w:hAnsi="Times New Roman" w:hint="default"/>
        <w:b/>
        <w:bCs/>
        <w:sz w:val="22"/>
        <w:szCs w:val="22"/>
      </w:rPr>
    </w:lvl>
    <w:lvl w:ilvl="1" w:tplc="2D628852">
      <w:start w:val="1"/>
      <w:numFmt w:val="bullet"/>
      <w:lvlText w:val="•"/>
      <w:lvlJc w:val="left"/>
      <w:rPr>
        <w:rFonts w:hint="default"/>
      </w:rPr>
    </w:lvl>
    <w:lvl w:ilvl="2" w:tplc="3BCC744E">
      <w:start w:val="1"/>
      <w:numFmt w:val="bullet"/>
      <w:lvlText w:val="•"/>
      <w:lvlJc w:val="left"/>
      <w:rPr>
        <w:rFonts w:hint="default"/>
      </w:rPr>
    </w:lvl>
    <w:lvl w:ilvl="3" w:tplc="6E122888">
      <w:start w:val="1"/>
      <w:numFmt w:val="bullet"/>
      <w:lvlText w:val="•"/>
      <w:lvlJc w:val="left"/>
      <w:rPr>
        <w:rFonts w:hint="default"/>
      </w:rPr>
    </w:lvl>
    <w:lvl w:ilvl="4" w:tplc="39004736">
      <w:start w:val="1"/>
      <w:numFmt w:val="bullet"/>
      <w:lvlText w:val="•"/>
      <w:lvlJc w:val="left"/>
      <w:rPr>
        <w:rFonts w:hint="default"/>
      </w:rPr>
    </w:lvl>
    <w:lvl w:ilvl="5" w:tplc="34F4ED50">
      <w:start w:val="1"/>
      <w:numFmt w:val="bullet"/>
      <w:lvlText w:val="•"/>
      <w:lvlJc w:val="left"/>
      <w:rPr>
        <w:rFonts w:hint="default"/>
      </w:rPr>
    </w:lvl>
    <w:lvl w:ilvl="6" w:tplc="DB7A71C0">
      <w:start w:val="1"/>
      <w:numFmt w:val="bullet"/>
      <w:lvlText w:val="•"/>
      <w:lvlJc w:val="left"/>
      <w:rPr>
        <w:rFonts w:hint="default"/>
      </w:rPr>
    </w:lvl>
    <w:lvl w:ilvl="7" w:tplc="51964392">
      <w:start w:val="1"/>
      <w:numFmt w:val="bullet"/>
      <w:lvlText w:val="•"/>
      <w:lvlJc w:val="left"/>
      <w:rPr>
        <w:rFonts w:hint="default"/>
      </w:rPr>
    </w:lvl>
    <w:lvl w:ilvl="8" w:tplc="BA3E9602">
      <w:start w:val="1"/>
      <w:numFmt w:val="bullet"/>
      <w:lvlText w:val="•"/>
      <w:lvlJc w:val="left"/>
      <w:rPr>
        <w:rFonts w:hint="default"/>
      </w:rPr>
    </w:lvl>
  </w:abstractNum>
  <w:abstractNum w:abstractNumId="120" w15:restartNumberingAfterBreak="0">
    <w:nsid w:val="66C270BA"/>
    <w:multiLevelType w:val="hybridMultilevel"/>
    <w:tmpl w:val="3E3022CA"/>
    <w:lvl w:ilvl="0" w:tplc="2C8C6C3A">
      <w:start w:val="1"/>
      <w:numFmt w:val="decimal"/>
      <w:lvlText w:val="%1."/>
      <w:lvlJc w:val="left"/>
      <w:pPr>
        <w:ind w:left="471" w:hanging="360"/>
      </w:pPr>
      <w:rPr>
        <w:rFonts w:hint="default"/>
        <w:b/>
      </w:rPr>
    </w:lvl>
    <w:lvl w:ilvl="1" w:tplc="480A2E2A" w:tentative="1">
      <w:start w:val="1"/>
      <w:numFmt w:val="upperLetter"/>
      <w:lvlText w:val="%2."/>
      <w:lvlJc w:val="left"/>
      <w:pPr>
        <w:ind w:left="911" w:hanging="400"/>
      </w:pPr>
    </w:lvl>
    <w:lvl w:ilvl="2" w:tplc="50CC284A" w:tentative="1">
      <w:start w:val="1"/>
      <w:numFmt w:val="lowerRoman"/>
      <w:lvlText w:val="%3."/>
      <w:lvlJc w:val="right"/>
      <w:pPr>
        <w:ind w:left="1311" w:hanging="400"/>
      </w:pPr>
    </w:lvl>
    <w:lvl w:ilvl="3" w:tplc="E5E8AA5A" w:tentative="1">
      <w:start w:val="1"/>
      <w:numFmt w:val="decimal"/>
      <w:lvlText w:val="%4."/>
      <w:lvlJc w:val="left"/>
      <w:pPr>
        <w:ind w:left="1711" w:hanging="400"/>
      </w:pPr>
    </w:lvl>
    <w:lvl w:ilvl="4" w:tplc="D4BE0F82" w:tentative="1">
      <w:start w:val="1"/>
      <w:numFmt w:val="upperLetter"/>
      <w:lvlText w:val="%5."/>
      <w:lvlJc w:val="left"/>
      <w:pPr>
        <w:ind w:left="2111" w:hanging="400"/>
      </w:pPr>
    </w:lvl>
    <w:lvl w:ilvl="5" w:tplc="2AF0A490" w:tentative="1">
      <w:start w:val="1"/>
      <w:numFmt w:val="lowerRoman"/>
      <w:lvlText w:val="%6."/>
      <w:lvlJc w:val="right"/>
      <w:pPr>
        <w:ind w:left="2511" w:hanging="400"/>
      </w:pPr>
    </w:lvl>
    <w:lvl w:ilvl="6" w:tplc="CF5C9CC4" w:tentative="1">
      <w:start w:val="1"/>
      <w:numFmt w:val="decimal"/>
      <w:lvlText w:val="%7."/>
      <w:lvlJc w:val="left"/>
      <w:pPr>
        <w:ind w:left="2911" w:hanging="400"/>
      </w:pPr>
    </w:lvl>
    <w:lvl w:ilvl="7" w:tplc="B508693C" w:tentative="1">
      <w:start w:val="1"/>
      <w:numFmt w:val="upperLetter"/>
      <w:lvlText w:val="%8."/>
      <w:lvlJc w:val="left"/>
      <w:pPr>
        <w:ind w:left="3311" w:hanging="400"/>
      </w:pPr>
    </w:lvl>
    <w:lvl w:ilvl="8" w:tplc="941C8678" w:tentative="1">
      <w:start w:val="1"/>
      <w:numFmt w:val="lowerRoman"/>
      <w:lvlText w:val="%9."/>
      <w:lvlJc w:val="right"/>
      <w:pPr>
        <w:ind w:left="3711" w:hanging="400"/>
      </w:pPr>
    </w:lvl>
  </w:abstractNum>
  <w:abstractNum w:abstractNumId="121" w15:restartNumberingAfterBreak="0">
    <w:nsid w:val="66CE387E"/>
    <w:multiLevelType w:val="hybridMultilevel"/>
    <w:tmpl w:val="CBA03BC0"/>
    <w:lvl w:ilvl="0" w:tplc="04C44556">
      <w:start w:val="1"/>
      <w:numFmt w:val="decimal"/>
      <w:lvlText w:val="%1."/>
      <w:lvlJc w:val="left"/>
      <w:pPr>
        <w:ind w:left="471" w:hanging="360"/>
      </w:pPr>
      <w:rPr>
        <w:rFonts w:hint="default"/>
        <w:b/>
      </w:rPr>
    </w:lvl>
    <w:lvl w:ilvl="1" w:tplc="4718E9D6" w:tentative="1">
      <w:start w:val="1"/>
      <w:numFmt w:val="upperLetter"/>
      <w:lvlText w:val="%2."/>
      <w:lvlJc w:val="left"/>
      <w:pPr>
        <w:ind w:left="911" w:hanging="400"/>
      </w:pPr>
    </w:lvl>
    <w:lvl w:ilvl="2" w:tplc="38CAE774" w:tentative="1">
      <w:start w:val="1"/>
      <w:numFmt w:val="lowerRoman"/>
      <w:lvlText w:val="%3."/>
      <w:lvlJc w:val="right"/>
      <w:pPr>
        <w:ind w:left="1311" w:hanging="400"/>
      </w:pPr>
    </w:lvl>
    <w:lvl w:ilvl="3" w:tplc="EDC64D4A" w:tentative="1">
      <w:start w:val="1"/>
      <w:numFmt w:val="decimal"/>
      <w:lvlText w:val="%4."/>
      <w:lvlJc w:val="left"/>
      <w:pPr>
        <w:ind w:left="1711" w:hanging="400"/>
      </w:pPr>
    </w:lvl>
    <w:lvl w:ilvl="4" w:tplc="A3407838" w:tentative="1">
      <w:start w:val="1"/>
      <w:numFmt w:val="upperLetter"/>
      <w:lvlText w:val="%5."/>
      <w:lvlJc w:val="left"/>
      <w:pPr>
        <w:ind w:left="2111" w:hanging="400"/>
      </w:pPr>
    </w:lvl>
    <w:lvl w:ilvl="5" w:tplc="5E80B1BE" w:tentative="1">
      <w:start w:val="1"/>
      <w:numFmt w:val="lowerRoman"/>
      <w:lvlText w:val="%6."/>
      <w:lvlJc w:val="right"/>
      <w:pPr>
        <w:ind w:left="2511" w:hanging="400"/>
      </w:pPr>
    </w:lvl>
    <w:lvl w:ilvl="6" w:tplc="501C940A" w:tentative="1">
      <w:start w:val="1"/>
      <w:numFmt w:val="decimal"/>
      <w:lvlText w:val="%7."/>
      <w:lvlJc w:val="left"/>
      <w:pPr>
        <w:ind w:left="2911" w:hanging="400"/>
      </w:pPr>
    </w:lvl>
    <w:lvl w:ilvl="7" w:tplc="EFC286A0" w:tentative="1">
      <w:start w:val="1"/>
      <w:numFmt w:val="upperLetter"/>
      <w:lvlText w:val="%8."/>
      <w:lvlJc w:val="left"/>
      <w:pPr>
        <w:ind w:left="3311" w:hanging="400"/>
      </w:pPr>
    </w:lvl>
    <w:lvl w:ilvl="8" w:tplc="454AB0F4" w:tentative="1">
      <w:start w:val="1"/>
      <w:numFmt w:val="lowerRoman"/>
      <w:lvlText w:val="%9."/>
      <w:lvlJc w:val="right"/>
      <w:pPr>
        <w:ind w:left="3711" w:hanging="400"/>
      </w:pPr>
    </w:lvl>
  </w:abstractNum>
  <w:abstractNum w:abstractNumId="122" w15:restartNumberingAfterBreak="0">
    <w:nsid w:val="67AB54A4"/>
    <w:multiLevelType w:val="multilevel"/>
    <w:tmpl w:val="EF18197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123" w15:restartNumberingAfterBreak="0">
    <w:nsid w:val="67BB4DAB"/>
    <w:multiLevelType w:val="hybridMultilevel"/>
    <w:tmpl w:val="DD6C0418"/>
    <w:lvl w:ilvl="0" w:tplc="B1908610">
      <w:start w:val="1"/>
      <w:numFmt w:val="decimal"/>
      <w:lvlText w:val="%1)"/>
      <w:lvlJc w:val="left"/>
      <w:pPr>
        <w:ind w:left="672" w:hanging="562"/>
      </w:pPr>
      <w:rPr>
        <w:rFonts w:ascii="Times New Roman" w:eastAsia="Times New Roman" w:hAnsi="Times New Roman" w:hint="default"/>
        <w:b/>
        <w:bCs/>
        <w:sz w:val="22"/>
        <w:szCs w:val="22"/>
      </w:rPr>
    </w:lvl>
    <w:lvl w:ilvl="1" w:tplc="A4CA5634">
      <w:start w:val="1"/>
      <w:numFmt w:val="bullet"/>
      <w:lvlText w:val="•"/>
      <w:lvlJc w:val="left"/>
      <w:pPr>
        <w:ind w:left="1563" w:hanging="562"/>
      </w:pPr>
      <w:rPr>
        <w:rFonts w:hint="default"/>
      </w:rPr>
    </w:lvl>
    <w:lvl w:ilvl="2" w:tplc="8B48AA60">
      <w:start w:val="1"/>
      <w:numFmt w:val="bullet"/>
      <w:lvlText w:val="•"/>
      <w:lvlJc w:val="left"/>
      <w:pPr>
        <w:ind w:left="2454" w:hanging="562"/>
      </w:pPr>
      <w:rPr>
        <w:rFonts w:hint="default"/>
      </w:rPr>
    </w:lvl>
    <w:lvl w:ilvl="3" w:tplc="983CE5FE">
      <w:start w:val="1"/>
      <w:numFmt w:val="bullet"/>
      <w:lvlText w:val="•"/>
      <w:lvlJc w:val="left"/>
      <w:pPr>
        <w:ind w:left="3344" w:hanging="562"/>
      </w:pPr>
      <w:rPr>
        <w:rFonts w:hint="default"/>
      </w:rPr>
    </w:lvl>
    <w:lvl w:ilvl="4" w:tplc="F11C869C">
      <w:start w:val="1"/>
      <w:numFmt w:val="bullet"/>
      <w:lvlText w:val="•"/>
      <w:lvlJc w:val="left"/>
      <w:pPr>
        <w:ind w:left="4235" w:hanging="562"/>
      </w:pPr>
      <w:rPr>
        <w:rFonts w:hint="default"/>
      </w:rPr>
    </w:lvl>
    <w:lvl w:ilvl="5" w:tplc="88A47660">
      <w:start w:val="1"/>
      <w:numFmt w:val="bullet"/>
      <w:lvlText w:val="•"/>
      <w:lvlJc w:val="left"/>
      <w:pPr>
        <w:ind w:left="5126" w:hanging="562"/>
      </w:pPr>
      <w:rPr>
        <w:rFonts w:hint="default"/>
      </w:rPr>
    </w:lvl>
    <w:lvl w:ilvl="6" w:tplc="DE3E8598">
      <w:start w:val="1"/>
      <w:numFmt w:val="bullet"/>
      <w:lvlText w:val="•"/>
      <w:lvlJc w:val="left"/>
      <w:pPr>
        <w:ind w:left="6017" w:hanging="562"/>
      </w:pPr>
      <w:rPr>
        <w:rFonts w:hint="default"/>
      </w:rPr>
    </w:lvl>
    <w:lvl w:ilvl="7" w:tplc="9C98F82C">
      <w:start w:val="1"/>
      <w:numFmt w:val="bullet"/>
      <w:lvlText w:val="•"/>
      <w:lvlJc w:val="left"/>
      <w:pPr>
        <w:ind w:left="6907" w:hanging="562"/>
      </w:pPr>
      <w:rPr>
        <w:rFonts w:hint="default"/>
      </w:rPr>
    </w:lvl>
    <w:lvl w:ilvl="8" w:tplc="60365598">
      <w:start w:val="1"/>
      <w:numFmt w:val="bullet"/>
      <w:lvlText w:val="•"/>
      <w:lvlJc w:val="left"/>
      <w:pPr>
        <w:ind w:left="7798" w:hanging="562"/>
      </w:pPr>
      <w:rPr>
        <w:rFonts w:hint="default"/>
      </w:rPr>
    </w:lvl>
  </w:abstractNum>
  <w:abstractNum w:abstractNumId="124" w15:restartNumberingAfterBreak="0">
    <w:nsid w:val="693F5B2F"/>
    <w:multiLevelType w:val="hybridMultilevel"/>
    <w:tmpl w:val="E0EC6174"/>
    <w:lvl w:ilvl="0" w:tplc="9DB47CBC">
      <w:start w:val="1"/>
      <w:numFmt w:val="decimal"/>
      <w:lvlText w:val="%1."/>
      <w:lvlJc w:val="left"/>
      <w:pPr>
        <w:ind w:left="677" w:hanging="567"/>
      </w:pPr>
      <w:rPr>
        <w:rFonts w:ascii="Times New Roman" w:eastAsia="Times New Roman" w:hAnsi="Times New Roman" w:hint="default"/>
        <w:sz w:val="22"/>
        <w:szCs w:val="22"/>
      </w:rPr>
    </w:lvl>
    <w:lvl w:ilvl="1" w:tplc="D7C643DC">
      <w:start w:val="1"/>
      <w:numFmt w:val="bullet"/>
      <w:lvlText w:val="•"/>
      <w:lvlJc w:val="left"/>
      <w:pPr>
        <w:ind w:left="1569" w:hanging="567"/>
      </w:pPr>
      <w:rPr>
        <w:rFonts w:hint="default"/>
      </w:rPr>
    </w:lvl>
    <w:lvl w:ilvl="2" w:tplc="B86483F2">
      <w:start w:val="1"/>
      <w:numFmt w:val="bullet"/>
      <w:lvlText w:val="•"/>
      <w:lvlJc w:val="left"/>
      <w:pPr>
        <w:ind w:left="2462" w:hanging="567"/>
      </w:pPr>
      <w:rPr>
        <w:rFonts w:hint="default"/>
      </w:rPr>
    </w:lvl>
    <w:lvl w:ilvl="3" w:tplc="5AAAAABA">
      <w:start w:val="1"/>
      <w:numFmt w:val="bullet"/>
      <w:lvlText w:val="•"/>
      <w:lvlJc w:val="left"/>
      <w:pPr>
        <w:ind w:left="3354" w:hanging="567"/>
      </w:pPr>
      <w:rPr>
        <w:rFonts w:hint="default"/>
      </w:rPr>
    </w:lvl>
    <w:lvl w:ilvl="4" w:tplc="38C6828A">
      <w:start w:val="1"/>
      <w:numFmt w:val="bullet"/>
      <w:lvlText w:val="•"/>
      <w:lvlJc w:val="left"/>
      <w:pPr>
        <w:ind w:left="4246" w:hanging="567"/>
      </w:pPr>
      <w:rPr>
        <w:rFonts w:hint="default"/>
      </w:rPr>
    </w:lvl>
    <w:lvl w:ilvl="5" w:tplc="4B2EBACA">
      <w:start w:val="1"/>
      <w:numFmt w:val="bullet"/>
      <w:lvlText w:val="•"/>
      <w:lvlJc w:val="left"/>
      <w:pPr>
        <w:ind w:left="5138" w:hanging="567"/>
      </w:pPr>
      <w:rPr>
        <w:rFonts w:hint="default"/>
      </w:rPr>
    </w:lvl>
    <w:lvl w:ilvl="6" w:tplc="82E02CFE">
      <w:start w:val="1"/>
      <w:numFmt w:val="bullet"/>
      <w:lvlText w:val="•"/>
      <w:lvlJc w:val="left"/>
      <w:pPr>
        <w:ind w:left="6031" w:hanging="567"/>
      </w:pPr>
      <w:rPr>
        <w:rFonts w:hint="default"/>
      </w:rPr>
    </w:lvl>
    <w:lvl w:ilvl="7" w:tplc="5B90F65A">
      <w:start w:val="1"/>
      <w:numFmt w:val="bullet"/>
      <w:lvlText w:val="•"/>
      <w:lvlJc w:val="left"/>
      <w:pPr>
        <w:ind w:left="6923" w:hanging="567"/>
      </w:pPr>
      <w:rPr>
        <w:rFonts w:hint="default"/>
      </w:rPr>
    </w:lvl>
    <w:lvl w:ilvl="8" w:tplc="8BC44504">
      <w:start w:val="1"/>
      <w:numFmt w:val="bullet"/>
      <w:lvlText w:val="•"/>
      <w:lvlJc w:val="left"/>
      <w:pPr>
        <w:ind w:left="7815" w:hanging="567"/>
      </w:pPr>
      <w:rPr>
        <w:rFonts w:hint="default"/>
      </w:rPr>
    </w:lvl>
  </w:abstractNum>
  <w:abstractNum w:abstractNumId="125" w15:restartNumberingAfterBreak="0">
    <w:nsid w:val="69B92FDD"/>
    <w:multiLevelType w:val="hybridMultilevel"/>
    <w:tmpl w:val="B11621AC"/>
    <w:lvl w:ilvl="0" w:tplc="170A32F4">
      <w:start w:val="1"/>
      <w:numFmt w:val="decimal"/>
      <w:lvlText w:val="%1."/>
      <w:lvlJc w:val="left"/>
      <w:pPr>
        <w:ind w:left="360" w:hanging="360"/>
      </w:pPr>
      <w:rPr>
        <w:rFonts w:ascii="Times New Roman" w:hAnsi="Times New Roman" w:cs="Times New Roman" w:hint="default"/>
        <w:b/>
      </w:rPr>
    </w:lvl>
    <w:lvl w:ilvl="1" w:tplc="1B6EBDE6" w:tentative="1">
      <w:start w:val="1"/>
      <w:numFmt w:val="upperLetter"/>
      <w:lvlText w:val="%2."/>
      <w:lvlJc w:val="left"/>
      <w:pPr>
        <w:ind w:left="800" w:hanging="400"/>
      </w:pPr>
    </w:lvl>
    <w:lvl w:ilvl="2" w:tplc="A5BCB3EE" w:tentative="1">
      <w:start w:val="1"/>
      <w:numFmt w:val="lowerRoman"/>
      <w:lvlText w:val="%3."/>
      <w:lvlJc w:val="right"/>
      <w:pPr>
        <w:ind w:left="1200" w:hanging="400"/>
      </w:pPr>
    </w:lvl>
    <w:lvl w:ilvl="3" w:tplc="4AA86A60" w:tentative="1">
      <w:start w:val="1"/>
      <w:numFmt w:val="decimal"/>
      <w:lvlText w:val="%4."/>
      <w:lvlJc w:val="left"/>
      <w:pPr>
        <w:ind w:left="1600" w:hanging="400"/>
      </w:pPr>
    </w:lvl>
    <w:lvl w:ilvl="4" w:tplc="847E3F3C" w:tentative="1">
      <w:start w:val="1"/>
      <w:numFmt w:val="upperLetter"/>
      <w:lvlText w:val="%5."/>
      <w:lvlJc w:val="left"/>
      <w:pPr>
        <w:ind w:left="2000" w:hanging="400"/>
      </w:pPr>
    </w:lvl>
    <w:lvl w:ilvl="5" w:tplc="66A8C776" w:tentative="1">
      <w:start w:val="1"/>
      <w:numFmt w:val="lowerRoman"/>
      <w:lvlText w:val="%6."/>
      <w:lvlJc w:val="right"/>
      <w:pPr>
        <w:ind w:left="2400" w:hanging="400"/>
      </w:pPr>
    </w:lvl>
    <w:lvl w:ilvl="6" w:tplc="AB72D112" w:tentative="1">
      <w:start w:val="1"/>
      <w:numFmt w:val="decimal"/>
      <w:lvlText w:val="%7."/>
      <w:lvlJc w:val="left"/>
      <w:pPr>
        <w:ind w:left="2800" w:hanging="400"/>
      </w:pPr>
    </w:lvl>
    <w:lvl w:ilvl="7" w:tplc="3B465728" w:tentative="1">
      <w:start w:val="1"/>
      <w:numFmt w:val="upperLetter"/>
      <w:lvlText w:val="%8."/>
      <w:lvlJc w:val="left"/>
      <w:pPr>
        <w:ind w:left="3200" w:hanging="400"/>
      </w:pPr>
    </w:lvl>
    <w:lvl w:ilvl="8" w:tplc="228E0CDA" w:tentative="1">
      <w:start w:val="1"/>
      <w:numFmt w:val="lowerRoman"/>
      <w:lvlText w:val="%9."/>
      <w:lvlJc w:val="right"/>
      <w:pPr>
        <w:ind w:left="3600" w:hanging="400"/>
      </w:pPr>
    </w:lvl>
  </w:abstractNum>
  <w:abstractNum w:abstractNumId="126" w15:restartNumberingAfterBreak="0">
    <w:nsid w:val="69FB1CDB"/>
    <w:multiLevelType w:val="hybridMultilevel"/>
    <w:tmpl w:val="46B62622"/>
    <w:lvl w:ilvl="0" w:tplc="CE9813F2">
      <w:start w:val="1"/>
      <w:numFmt w:val="bullet"/>
      <w:lvlText w:val=""/>
      <w:lvlJc w:val="left"/>
      <w:pPr>
        <w:ind w:left="800" w:hanging="400"/>
      </w:pPr>
      <w:rPr>
        <w:rFonts w:ascii="Symbol" w:hAnsi="Symbol" w:cs="Symbol" w:hint="default"/>
      </w:rPr>
    </w:lvl>
    <w:lvl w:ilvl="1" w:tplc="86C6C620" w:tentative="1">
      <w:start w:val="1"/>
      <w:numFmt w:val="bullet"/>
      <w:lvlText w:val=""/>
      <w:lvlJc w:val="left"/>
      <w:pPr>
        <w:ind w:left="1200" w:hanging="400"/>
      </w:pPr>
      <w:rPr>
        <w:rFonts w:ascii="Wingdings" w:hAnsi="Wingdings" w:hint="default"/>
      </w:rPr>
    </w:lvl>
    <w:lvl w:ilvl="2" w:tplc="48C2B8F4" w:tentative="1">
      <w:start w:val="1"/>
      <w:numFmt w:val="bullet"/>
      <w:lvlText w:val=""/>
      <w:lvlJc w:val="left"/>
      <w:pPr>
        <w:ind w:left="1600" w:hanging="400"/>
      </w:pPr>
      <w:rPr>
        <w:rFonts w:ascii="Wingdings" w:hAnsi="Wingdings" w:hint="default"/>
      </w:rPr>
    </w:lvl>
    <w:lvl w:ilvl="3" w:tplc="DB8066B4" w:tentative="1">
      <w:start w:val="1"/>
      <w:numFmt w:val="bullet"/>
      <w:lvlText w:val=""/>
      <w:lvlJc w:val="left"/>
      <w:pPr>
        <w:ind w:left="2000" w:hanging="400"/>
      </w:pPr>
      <w:rPr>
        <w:rFonts w:ascii="Wingdings" w:hAnsi="Wingdings" w:hint="default"/>
      </w:rPr>
    </w:lvl>
    <w:lvl w:ilvl="4" w:tplc="86FACDB6" w:tentative="1">
      <w:start w:val="1"/>
      <w:numFmt w:val="bullet"/>
      <w:lvlText w:val=""/>
      <w:lvlJc w:val="left"/>
      <w:pPr>
        <w:ind w:left="2400" w:hanging="400"/>
      </w:pPr>
      <w:rPr>
        <w:rFonts w:ascii="Wingdings" w:hAnsi="Wingdings" w:hint="default"/>
      </w:rPr>
    </w:lvl>
    <w:lvl w:ilvl="5" w:tplc="34061572" w:tentative="1">
      <w:start w:val="1"/>
      <w:numFmt w:val="bullet"/>
      <w:lvlText w:val=""/>
      <w:lvlJc w:val="left"/>
      <w:pPr>
        <w:ind w:left="2800" w:hanging="400"/>
      </w:pPr>
      <w:rPr>
        <w:rFonts w:ascii="Wingdings" w:hAnsi="Wingdings" w:hint="default"/>
      </w:rPr>
    </w:lvl>
    <w:lvl w:ilvl="6" w:tplc="F4FAC9D4" w:tentative="1">
      <w:start w:val="1"/>
      <w:numFmt w:val="bullet"/>
      <w:lvlText w:val=""/>
      <w:lvlJc w:val="left"/>
      <w:pPr>
        <w:ind w:left="3200" w:hanging="400"/>
      </w:pPr>
      <w:rPr>
        <w:rFonts w:ascii="Wingdings" w:hAnsi="Wingdings" w:hint="default"/>
      </w:rPr>
    </w:lvl>
    <w:lvl w:ilvl="7" w:tplc="7DEE8EF6" w:tentative="1">
      <w:start w:val="1"/>
      <w:numFmt w:val="bullet"/>
      <w:lvlText w:val=""/>
      <w:lvlJc w:val="left"/>
      <w:pPr>
        <w:ind w:left="3600" w:hanging="400"/>
      </w:pPr>
      <w:rPr>
        <w:rFonts w:ascii="Wingdings" w:hAnsi="Wingdings" w:hint="default"/>
      </w:rPr>
    </w:lvl>
    <w:lvl w:ilvl="8" w:tplc="FF9E0F52" w:tentative="1">
      <w:start w:val="1"/>
      <w:numFmt w:val="bullet"/>
      <w:lvlText w:val=""/>
      <w:lvlJc w:val="left"/>
      <w:pPr>
        <w:ind w:left="4000" w:hanging="400"/>
      </w:pPr>
      <w:rPr>
        <w:rFonts w:ascii="Wingdings" w:hAnsi="Wingdings" w:hint="default"/>
      </w:rPr>
    </w:lvl>
  </w:abstractNum>
  <w:abstractNum w:abstractNumId="127" w15:restartNumberingAfterBreak="0">
    <w:nsid w:val="6AFA52BB"/>
    <w:multiLevelType w:val="hybridMultilevel"/>
    <w:tmpl w:val="238C36AC"/>
    <w:lvl w:ilvl="0" w:tplc="71CAD03E">
      <w:start w:val="1"/>
      <w:numFmt w:val="decimal"/>
      <w:lvlText w:val="%1."/>
      <w:lvlJc w:val="left"/>
      <w:pPr>
        <w:ind w:left="660" w:hanging="550"/>
      </w:pPr>
      <w:rPr>
        <w:rFonts w:ascii="Times New Roman" w:eastAsia="Times New Roman" w:hAnsi="Times New Roman" w:hint="default"/>
        <w:sz w:val="22"/>
        <w:szCs w:val="22"/>
      </w:rPr>
    </w:lvl>
    <w:lvl w:ilvl="1" w:tplc="79308D30">
      <w:start w:val="1"/>
      <w:numFmt w:val="bullet"/>
      <w:lvlText w:val="•"/>
      <w:lvlJc w:val="left"/>
      <w:pPr>
        <w:ind w:left="1548" w:hanging="550"/>
      </w:pPr>
      <w:rPr>
        <w:rFonts w:hint="default"/>
      </w:rPr>
    </w:lvl>
    <w:lvl w:ilvl="2" w:tplc="E7461182">
      <w:start w:val="1"/>
      <w:numFmt w:val="bullet"/>
      <w:lvlText w:val="•"/>
      <w:lvlJc w:val="left"/>
      <w:pPr>
        <w:ind w:left="2436" w:hanging="550"/>
      </w:pPr>
      <w:rPr>
        <w:rFonts w:hint="default"/>
      </w:rPr>
    </w:lvl>
    <w:lvl w:ilvl="3" w:tplc="1714D29A">
      <w:start w:val="1"/>
      <w:numFmt w:val="bullet"/>
      <w:lvlText w:val="•"/>
      <w:lvlJc w:val="left"/>
      <w:pPr>
        <w:ind w:left="3324" w:hanging="550"/>
      </w:pPr>
      <w:rPr>
        <w:rFonts w:hint="default"/>
      </w:rPr>
    </w:lvl>
    <w:lvl w:ilvl="4" w:tplc="E036FD34">
      <w:start w:val="1"/>
      <w:numFmt w:val="bullet"/>
      <w:lvlText w:val="•"/>
      <w:lvlJc w:val="left"/>
      <w:pPr>
        <w:ind w:left="4212" w:hanging="550"/>
      </w:pPr>
      <w:rPr>
        <w:rFonts w:hint="default"/>
      </w:rPr>
    </w:lvl>
    <w:lvl w:ilvl="5" w:tplc="5148B160">
      <w:start w:val="1"/>
      <w:numFmt w:val="bullet"/>
      <w:lvlText w:val="•"/>
      <w:lvlJc w:val="left"/>
      <w:pPr>
        <w:ind w:left="5100" w:hanging="550"/>
      </w:pPr>
      <w:rPr>
        <w:rFonts w:hint="default"/>
      </w:rPr>
    </w:lvl>
    <w:lvl w:ilvl="6" w:tplc="1B6C7DC8">
      <w:start w:val="1"/>
      <w:numFmt w:val="bullet"/>
      <w:lvlText w:val="•"/>
      <w:lvlJc w:val="left"/>
      <w:pPr>
        <w:ind w:left="5988" w:hanging="550"/>
      </w:pPr>
      <w:rPr>
        <w:rFonts w:hint="default"/>
      </w:rPr>
    </w:lvl>
    <w:lvl w:ilvl="7" w:tplc="C214EEF2">
      <w:start w:val="1"/>
      <w:numFmt w:val="bullet"/>
      <w:lvlText w:val="•"/>
      <w:lvlJc w:val="left"/>
      <w:pPr>
        <w:ind w:left="6876" w:hanging="550"/>
      </w:pPr>
      <w:rPr>
        <w:rFonts w:hint="default"/>
      </w:rPr>
    </w:lvl>
    <w:lvl w:ilvl="8" w:tplc="56E2AA56">
      <w:start w:val="1"/>
      <w:numFmt w:val="bullet"/>
      <w:lvlText w:val="•"/>
      <w:lvlJc w:val="left"/>
      <w:pPr>
        <w:ind w:left="7764" w:hanging="550"/>
      </w:pPr>
      <w:rPr>
        <w:rFonts w:hint="default"/>
      </w:rPr>
    </w:lvl>
  </w:abstractNum>
  <w:abstractNum w:abstractNumId="128" w15:restartNumberingAfterBreak="0">
    <w:nsid w:val="6C193934"/>
    <w:multiLevelType w:val="hybridMultilevel"/>
    <w:tmpl w:val="1116C46C"/>
    <w:lvl w:ilvl="0" w:tplc="666C9E8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15:restartNumberingAfterBreak="0">
    <w:nsid w:val="6C264763"/>
    <w:multiLevelType w:val="hybridMultilevel"/>
    <w:tmpl w:val="26FAC844"/>
    <w:lvl w:ilvl="0" w:tplc="66A09730">
      <w:start w:val="1"/>
      <w:numFmt w:val="lowerLetter"/>
      <w:lvlText w:val="%1"/>
      <w:lvlJc w:val="left"/>
      <w:pPr>
        <w:ind w:hanging="243"/>
      </w:pPr>
      <w:rPr>
        <w:rFonts w:ascii="Times New Roman" w:eastAsia="Times New Roman" w:hAnsi="Times New Roman" w:hint="default"/>
        <w:w w:val="99"/>
        <w:position w:val="8"/>
        <w:sz w:val="14"/>
        <w:szCs w:val="14"/>
      </w:rPr>
    </w:lvl>
    <w:lvl w:ilvl="1" w:tplc="B5FE65E2">
      <w:start w:val="1"/>
      <w:numFmt w:val="bullet"/>
      <w:lvlText w:val="•"/>
      <w:lvlJc w:val="left"/>
      <w:rPr>
        <w:rFonts w:hint="default"/>
      </w:rPr>
    </w:lvl>
    <w:lvl w:ilvl="2" w:tplc="103C253E">
      <w:start w:val="1"/>
      <w:numFmt w:val="bullet"/>
      <w:lvlText w:val="•"/>
      <w:lvlJc w:val="left"/>
      <w:rPr>
        <w:rFonts w:hint="default"/>
      </w:rPr>
    </w:lvl>
    <w:lvl w:ilvl="3" w:tplc="10981982">
      <w:start w:val="1"/>
      <w:numFmt w:val="bullet"/>
      <w:lvlText w:val="•"/>
      <w:lvlJc w:val="left"/>
      <w:rPr>
        <w:rFonts w:hint="default"/>
      </w:rPr>
    </w:lvl>
    <w:lvl w:ilvl="4" w:tplc="03F8AC80">
      <w:start w:val="1"/>
      <w:numFmt w:val="bullet"/>
      <w:lvlText w:val="•"/>
      <w:lvlJc w:val="left"/>
      <w:rPr>
        <w:rFonts w:hint="default"/>
      </w:rPr>
    </w:lvl>
    <w:lvl w:ilvl="5" w:tplc="1ECAA470">
      <w:start w:val="1"/>
      <w:numFmt w:val="bullet"/>
      <w:lvlText w:val="•"/>
      <w:lvlJc w:val="left"/>
      <w:rPr>
        <w:rFonts w:hint="default"/>
      </w:rPr>
    </w:lvl>
    <w:lvl w:ilvl="6" w:tplc="07B056FE">
      <w:start w:val="1"/>
      <w:numFmt w:val="bullet"/>
      <w:lvlText w:val="•"/>
      <w:lvlJc w:val="left"/>
      <w:rPr>
        <w:rFonts w:hint="default"/>
      </w:rPr>
    </w:lvl>
    <w:lvl w:ilvl="7" w:tplc="A75E5EF8">
      <w:start w:val="1"/>
      <w:numFmt w:val="bullet"/>
      <w:lvlText w:val="•"/>
      <w:lvlJc w:val="left"/>
      <w:rPr>
        <w:rFonts w:hint="default"/>
      </w:rPr>
    </w:lvl>
    <w:lvl w:ilvl="8" w:tplc="A6885E12">
      <w:start w:val="1"/>
      <w:numFmt w:val="bullet"/>
      <w:lvlText w:val="•"/>
      <w:lvlJc w:val="left"/>
      <w:rPr>
        <w:rFonts w:hint="default"/>
      </w:rPr>
    </w:lvl>
  </w:abstractNum>
  <w:abstractNum w:abstractNumId="130" w15:restartNumberingAfterBreak="0">
    <w:nsid w:val="6D785810"/>
    <w:multiLevelType w:val="hybridMultilevel"/>
    <w:tmpl w:val="72547790"/>
    <w:lvl w:ilvl="0" w:tplc="03EE1A7E">
      <w:start w:val="1"/>
      <w:numFmt w:val="bullet"/>
      <w:lvlText w:val=""/>
      <w:lvlJc w:val="left"/>
      <w:pPr>
        <w:ind w:left="775" w:hanging="360"/>
      </w:pPr>
      <w:rPr>
        <w:rFonts w:ascii="Symbol" w:hAnsi="Symbol" w:hint="default"/>
      </w:rPr>
    </w:lvl>
    <w:lvl w:ilvl="1" w:tplc="D5BC3508" w:tentative="1">
      <w:start w:val="1"/>
      <w:numFmt w:val="bullet"/>
      <w:lvlText w:val="o"/>
      <w:lvlJc w:val="left"/>
      <w:pPr>
        <w:ind w:left="1495" w:hanging="360"/>
      </w:pPr>
      <w:rPr>
        <w:rFonts w:ascii="Courier New" w:hAnsi="Courier New" w:cs="Courier New" w:hint="default"/>
      </w:rPr>
    </w:lvl>
    <w:lvl w:ilvl="2" w:tplc="EBBE5E8C" w:tentative="1">
      <w:start w:val="1"/>
      <w:numFmt w:val="bullet"/>
      <w:lvlText w:val=""/>
      <w:lvlJc w:val="left"/>
      <w:pPr>
        <w:ind w:left="2215" w:hanging="360"/>
      </w:pPr>
      <w:rPr>
        <w:rFonts w:ascii="Wingdings" w:hAnsi="Wingdings" w:hint="default"/>
      </w:rPr>
    </w:lvl>
    <w:lvl w:ilvl="3" w:tplc="7F8CAE68" w:tentative="1">
      <w:start w:val="1"/>
      <w:numFmt w:val="bullet"/>
      <w:lvlText w:val=""/>
      <w:lvlJc w:val="left"/>
      <w:pPr>
        <w:ind w:left="2935" w:hanging="360"/>
      </w:pPr>
      <w:rPr>
        <w:rFonts w:ascii="Symbol" w:hAnsi="Symbol" w:hint="default"/>
      </w:rPr>
    </w:lvl>
    <w:lvl w:ilvl="4" w:tplc="51186A7A" w:tentative="1">
      <w:start w:val="1"/>
      <w:numFmt w:val="bullet"/>
      <w:lvlText w:val="o"/>
      <w:lvlJc w:val="left"/>
      <w:pPr>
        <w:ind w:left="3655" w:hanging="360"/>
      </w:pPr>
      <w:rPr>
        <w:rFonts w:ascii="Courier New" w:hAnsi="Courier New" w:cs="Courier New" w:hint="default"/>
      </w:rPr>
    </w:lvl>
    <w:lvl w:ilvl="5" w:tplc="22B268B4" w:tentative="1">
      <w:start w:val="1"/>
      <w:numFmt w:val="bullet"/>
      <w:lvlText w:val=""/>
      <w:lvlJc w:val="left"/>
      <w:pPr>
        <w:ind w:left="4375" w:hanging="360"/>
      </w:pPr>
      <w:rPr>
        <w:rFonts w:ascii="Wingdings" w:hAnsi="Wingdings" w:hint="default"/>
      </w:rPr>
    </w:lvl>
    <w:lvl w:ilvl="6" w:tplc="523E8038" w:tentative="1">
      <w:start w:val="1"/>
      <w:numFmt w:val="bullet"/>
      <w:lvlText w:val=""/>
      <w:lvlJc w:val="left"/>
      <w:pPr>
        <w:ind w:left="5095" w:hanging="360"/>
      </w:pPr>
      <w:rPr>
        <w:rFonts w:ascii="Symbol" w:hAnsi="Symbol" w:hint="default"/>
      </w:rPr>
    </w:lvl>
    <w:lvl w:ilvl="7" w:tplc="8D2E803A" w:tentative="1">
      <w:start w:val="1"/>
      <w:numFmt w:val="bullet"/>
      <w:lvlText w:val="o"/>
      <w:lvlJc w:val="left"/>
      <w:pPr>
        <w:ind w:left="5815" w:hanging="360"/>
      </w:pPr>
      <w:rPr>
        <w:rFonts w:ascii="Courier New" w:hAnsi="Courier New" w:cs="Courier New" w:hint="default"/>
      </w:rPr>
    </w:lvl>
    <w:lvl w:ilvl="8" w:tplc="98C40DA8" w:tentative="1">
      <w:start w:val="1"/>
      <w:numFmt w:val="bullet"/>
      <w:lvlText w:val=""/>
      <w:lvlJc w:val="left"/>
      <w:pPr>
        <w:ind w:left="6535" w:hanging="360"/>
      </w:pPr>
      <w:rPr>
        <w:rFonts w:ascii="Wingdings" w:hAnsi="Wingdings" w:hint="default"/>
      </w:rPr>
    </w:lvl>
  </w:abstractNum>
  <w:abstractNum w:abstractNumId="131" w15:restartNumberingAfterBreak="0">
    <w:nsid w:val="6F46197F"/>
    <w:multiLevelType w:val="hybridMultilevel"/>
    <w:tmpl w:val="0868C70C"/>
    <w:lvl w:ilvl="0" w:tplc="B95C7CF2">
      <w:start w:val="1"/>
      <w:numFmt w:val="lowerLetter"/>
      <w:lvlText w:val="%1"/>
      <w:lvlJc w:val="left"/>
      <w:pPr>
        <w:ind w:hanging="360"/>
      </w:pPr>
      <w:rPr>
        <w:rFonts w:ascii="Times New Roman" w:eastAsia="Times New Roman" w:hAnsi="Times New Roman" w:hint="default"/>
        <w:position w:val="6"/>
        <w:sz w:val="22"/>
        <w:szCs w:val="10"/>
        <w:vertAlign w:val="superscript"/>
      </w:rPr>
    </w:lvl>
    <w:lvl w:ilvl="1" w:tplc="2B5015DE">
      <w:start w:val="1"/>
      <w:numFmt w:val="bullet"/>
      <w:lvlText w:val="•"/>
      <w:lvlJc w:val="left"/>
      <w:rPr>
        <w:rFonts w:hint="default"/>
      </w:rPr>
    </w:lvl>
    <w:lvl w:ilvl="2" w:tplc="280239C0">
      <w:start w:val="1"/>
      <w:numFmt w:val="bullet"/>
      <w:lvlText w:val="•"/>
      <w:lvlJc w:val="left"/>
      <w:rPr>
        <w:rFonts w:hint="default"/>
      </w:rPr>
    </w:lvl>
    <w:lvl w:ilvl="3" w:tplc="F1B8BBA4">
      <w:start w:val="1"/>
      <w:numFmt w:val="bullet"/>
      <w:lvlText w:val="•"/>
      <w:lvlJc w:val="left"/>
      <w:rPr>
        <w:rFonts w:hint="default"/>
      </w:rPr>
    </w:lvl>
    <w:lvl w:ilvl="4" w:tplc="2C984414">
      <w:start w:val="1"/>
      <w:numFmt w:val="bullet"/>
      <w:lvlText w:val="•"/>
      <w:lvlJc w:val="left"/>
      <w:rPr>
        <w:rFonts w:hint="default"/>
      </w:rPr>
    </w:lvl>
    <w:lvl w:ilvl="5" w:tplc="3CE0E4CC">
      <w:start w:val="1"/>
      <w:numFmt w:val="bullet"/>
      <w:lvlText w:val="•"/>
      <w:lvlJc w:val="left"/>
      <w:rPr>
        <w:rFonts w:hint="default"/>
      </w:rPr>
    </w:lvl>
    <w:lvl w:ilvl="6" w:tplc="F216FF70">
      <w:start w:val="1"/>
      <w:numFmt w:val="bullet"/>
      <w:lvlText w:val="•"/>
      <w:lvlJc w:val="left"/>
      <w:rPr>
        <w:rFonts w:hint="default"/>
      </w:rPr>
    </w:lvl>
    <w:lvl w:ilvl="7" w:tplc="0DCE00B2">
      <w:start w:val="1"/>
      <w:numFmt w:val="bullet"/>
      <w:lvlText w:val="•"/>
      <w:lvlJc w:val="left"/>
      <w:rPr>
        <w:rFonts w:hint="default"/>
      </w:rPr>
    </w:lvl>
    <w:lvl w:ilvl="8" w:tplc="EB34C9F6">
      <w:start w:val="1"/>
      <w:numFmt w:val="bullet"/>
      <w:lvlText w:val="•"/>
      <w:lvlJc w:val="left"/>
      <w:rPr>
        <w:rFonts w:hint="default"/>
      </w:rPr>
    </w:lvl>
  </w:abstractNum>
  <w:abstractNum w:abstractNumId="132" w15:restartNumberingAfterBreak="0">
    <w:nsid w:val="6F6A090F"/>
    <w:multiLevelType w:val="hybridMultilevel"/>
    <w:tmpl w:val="EFF42462"/>
    <w:lvl w:ilvl="0" w:tplc="52D8A61A">
      <w:start w:val="1"/>
      <w:numFmt w:val="decimal"/>
      <w:lvlText w:val="%1."/>
      <w:lvlJc w:val="left"/>
      <w:pPr>
        <w:ind w:left="471" w:hanging="360"/>
      </w:pPr>
      <w:rPr>
        <w:rFonts w:hint="default"/>
        <w:b/>
      </w:rPr>
    </w:lvl>
    <w:lvl w:ilvl="1" w:tplc="D3CCF630" w:tentative="1">
      <w:start w:val="1"/>
      <w:numFmt w:val="upperLetter"/>
      <w:lvlText w:val="%2."/>
      <w:lvlJc w:val="left"/>
      <w:pPr>
        <w:ind w:left="911" w:hanging="400"/>
      </w:pPr>
    </w:lvl>
    <w:lvl w:ilvl="2" w:tplc="321A7760" w:tentative="1">
      <w:start w:val="1"/>
      <w:numFmt w:val="lowerRoman"/>
      <w:lvlText w:val="%3."/>
      <w:lvlJc w:val="right"/>
      <w:pPr>
        <w:ind w:left="1311" w:hanging="400"/>
      </w:pPr>
    </w:lvl>
    <w:lvl w:ilvl="3" w:tplc="2F00A2A2" w:tentative="1">
      <w:start w:val="1"/>
      <w:numFmt w:val="decimal"/>
      <w:lvlText w:val="%4."/>
      <w:lvlJc w:val="left"/>
      <w:pPr>
        <w:ind w:left="1711" w:hanging="400"/>
      </w:pPr>
    </w:lvl>
    <w:lvl w:ilvl="4" w:tplc="88FE1478" w:tentative="1">
      <w:start w:val="1"/>
      <w:numFmt w:val="upperLetter"/>
      <w:lvlText w:val="%5."/>
      <w:lvlJc w:val="left"/>
      <w:pPr>
        <w:ind w:left="2111" w:hanging="400"/>
      </w:pPr>
    </w:lvl>
    <w:lvl w:ilvl="5" w:tplc="AAB6B9FC" w:tentative="1">
      <w:start w:val="1"/>
      <w:numFmt w:val="lowerRoman"/>
      <w:lvlText w:val="%6."/>
      <w:lvlJc w:val="right"/>
      <w:pPr>
        <w:ind w:left="2511" w:hanging="400"/>
      </w:pPr>
    </w:lvl>
    <w:lvl w:ilvl="6" w:tplc="962A6458" w:tentative="1">
      <w:start w:val="1"/>
      <w:numFmt w:val="decimal"/>
      <w:lvlText w:val="%7."/>
      <w:lvlJc w:val="left"/>
      <w:pPr>
        <w:ind w:left="2911" w:hanging="400"/>
      </w:pPr>
    </w:lvl>
    <w:lvl w:ilvl="7" w:tplc="F5C4E732" w:tentative="1">
      <w:start w:val="1"/>
      <w:numFmt w:val="upperLetter"/>
      <w:lvlText w:val="%8."/>
      <w:lvlJc w:val="left"/>
      <w:pPr>
        <w:ind w:left="3311" w:hanging="400"/>
      </w:pPr>
    </w:lvl>
    <w:lvl w:ilvl="8" w:tplc="F2B82856" w:tentative="1">
      <w:start w:val="1"/>
      <w:numFmt w:val="lowerRoman"/>
      <w:lvlText w:val="%9."/>
      <w:lvlJc w:val="right"/>
      <w:pPr>
        <w:ind w:left="3711" w:hanging="400"/>
      </w:pPr>
    </w:lvl>
  </w:abstractNum>
  <w:abstractNum w:abstractNumId="133" w15:restartNumberingAfterBreak="0">
    <w:nsid w:val="7014122D"/>
    <w:multiLevelType w:val="multilevel"/>
    <w:tmpl w:val="EF2AA090"/>
    <w:lvl w:ilvl="0">
      <w:start w:val="1"/>
      <w:numFmt w:val="decimal"/>
      <w:lvlText w:val="%1."/>
      <w:lvlJc w:val="left"/>
      <w:pPr>
        <w:ind w:left="111" w:hanging="562"/>
      </w:pPr>
      <w:rPr>
        <w:rFonts w:ascii="Times New Roman" w:eastAsia="Times New Roman" w:hAnsi="Times New Roman" w:hint="default"/>
        <w:b/>
        <w:bCs/>
        <w:sz w:val="22"/>
        <w:szCs w:val="22"/>
      </w:rPr>
    </w:lvl>
    <w:lvl w:ilvl="1">
      <w:start w:val="1"/>
      <w:numFmt w:val="decimal"/>
      <w:lvlText w:val="%1.%2"/>
      <w:lvlJc w:val="left"/>
      <w:pPr>
        <w:ind w:left="672" w:hanging="562"/>
      </w:pPr>
      <w:rPr>
        <w:rFonts w:ascii="Times New Roman" w:eastAsia="Times New Roman" w:hAnsi="Times New Roman" w:hint="default"/>
        <w:b/>
        <w:bCs/>
        <w:sz w:val="22"/>
        <w:szCs w:val="22"/>
      </w:rPr>
    </w:lvl>
    <w:lvl w:ilvl="2">
      <w:start w:val="1"/>
      <w:numFmt w:val="bullet"/>
      <w:lvlText w:val="•"/>
      <w:lvlJc w:val="left"/>
      <w:pPr>
        <w:ind w:left="1660" w:hanging="562"/>
      </w:pPr>
      <w:rPr>
        <w:rFonts w:hint="default"/>
      </w:rPr>
    </w:lvl>
    <w:lvl w:ilvl="3">
      <w:start w:val="1"/>
      <w:numFmt w:val="bullet"/>
      <w:lvlText w:val="•"/>
      <w:lvlJc w:val="left"/>
      <w:pPr>
        <w:ind w:left="2647" w:hanging="562"/>
      </w:pPr>
      <w:rPr>
        <w:rFonts w:hint="default"/>
      </w:rPr>
    </w:lvl>
    <w:lvl w:ilvl="4">
      <w:start w:val="1"/>
      <w:numFmt w:val="bullet"/>
      <w:lvlText w:val="•"/>
      <w:lvlJc w:val="left"/>
      <w:pPr>
        <w:ind w:left="3635" w:hanging="562"/>
      </w:pPr>
      <w:rPr>
        <w:rFonts w:hint="default"/>
      </w:rPr>
    </w:lvl>
    <w:lvl w:ilvl="5">
      <w:start w:val="1"/>
      <w:numFmt w:val="bullet"/>
      <w:lvlText w:val="•"/>
      <w:lvlJc w:val="left"/>
      <w:pPr>
        <w:ind w:left="4622" w:hanging="562"/>
      </w:pPr>
      <w:rPr>
        <w:rFonts w:hint="default"/>
      </w:rPr>
    </w:lvl>
    <w:lvl w:ilvl="6">
      <w:start w:val="1"/>
      <w:numFmt w:val="bullet"/>
      <w:lvlText w:val="•"/>
      <w:lvlJc w:val="left"/>
      <w:pPr>
        <w:ind w:left="5610" w:hanging="562"/>
      </w:pPr>
      <w:rPr>
        <w:rFonts w:hint="default"/>
      </w:rPr>
    </w:lvl>
    <w:lvl w:ilvl="7">
      <w:start w:val="1"/>
      <w:numFmt w:val="bullet"/>
      <w:lvlText w:val="•"/>
      <w:lvlJc w:val="left"/>
      <w:pPr>
        <w:ind w:left="6597" w:hanging="562"/>
      </w:pPr>
      <w:rPr>
        <w:rFonts w:hint="default"/>
      </w:rPr>
    </w:lvl>
    <w:lvl w:ilvl="8">
      <w:start w:val="1"/>
      <w:numFmt w:val="bullet"/>
      <w:lvlText w:val="•"/>
      <w:lvlJc w:val="left"/>
      <w:pPr>
        <w:ind w:left="7585" w:hanging="562"/>
      </w:pPr>
      <w:rPr>
        <w:rFonts w:hint="default"/>
      </w:rPr>
    </w:lvl>
  </w:abstractNum>
  <w:abstractNum w:abstractNumId="134" w15:restartNumberingAfterBreak="0">
    <w:nsid w:val="704015D3"/>
    <w:multiLevelType w:val="hybridMultilevel"/>
    <w:tmpl w:val="DA4C1AC0"/>
    <w:lvl w:ilvl="0" w:tplc="69AC4DD6">
      <w:start w:val="1"/>
      <w:numFmt w:val="decimal"/>
      <w:lvlText w:val="%1)"/>
      <w:lvlJc w:val="left"/>
      <w:pPr>
        <w:ind w:left="672" w:hanging="562"/>
      </w:pPr>
      <w:rPr>
        <w:rFonts w:ascii="Times New Roman" w:eastAsia="Times New Roman" w:hAnsi="Times New Roman" w:hint="default"/>
        <w:b/>
        <w:bCs/>
        <w:sz w:val="22"/>
        <w:szCs w:val="22"/>
      </w:rPr>
    </w:lvl>
    <w:lvl w:ilvl="1" w:tplc="774E45E4">
      <w:start w:val="1"/>
      <w:numFmt w:val="bullet"/>
      <w:lvlText w:val="o"/>
      <w:lvlJc w:val="left"/>
      <w:pPr>
        <w:ind w:left="1244" w:hanging="567"/>
      </w:pPr>
      <w:rPr>
        <w:rFonts w:ascii="Courier New" w:eastAsia="Courier New" w:hAnsi="Courier New" w:hint="default"/>
        <w:sz w:val="22"/>
        <w:szCs w:val="22"/>
      </w:rPr>
    </w:lvl>
    <w:lvl w:ilvl="2" w:tplc="C8920F48">
      <w:start w:val="1"/>
      <w:numFmt w:val="bullet"/>
      <w:lvlText w:val="•"/>
      <w:lvlJc w:val="left"/>
      <w:pPr>
        <w:ind w:left="2165" w:hanging="567"/>
      </w:pPr>
      <w:rPr>
        <w:rFonts w:hint="default"/>
      </w:rPr>
    </w:lvl>
    <w:lvl w:ilvl="3" w:tplc="9B4C3B58">
      <w:start w:val="1"/>
      <w:numFmt w:val="bullet"/>
      <w:lvlText w:val="•"/>
      <w:lvlJc w:val="left"/>
      <w:pPr>
        <w:ind w:left="3087" w:hanging="567"/>
      </w:pPr>
      <w:rPr>
        <w:rFonts w:hint="default"/>
      </w:rPr>
    </w:lvl>
    <w:lvl w:ilvl="4" w:tplc="10C008AC">
      <w:start w:val="1"/>
      <w:numFmt w:val="bullet"/>
      <w:lvlText w:val="•"/>
      <w:lvlJc w:val="left"/>
      <w:pPr>
        <w:ind w:left="4009" w:hanging="567"/>
      </w:pPr>
      <w:rPr>
        <w:rFonts w:hint="default"/>
      </w:rPr>
    </w:lvl>
    <w:lvl w:ilvl="5" w:tplc="270E967E">
      <w:start w:val="1"/>
      <w:numFmt w:val="bullet"/>
      <w:lvlText w:val="•"/>
      <w:lvlJc w:val="left"/>
      <w:pPr>
        <w:ind w:left="4931" w:hanging="567"/>
      </w:pPr>
      <w:rPr>
        <w:rFonts w:hint="default"/>
      </w:rPr>
    </w:lvl>
    <w:lvl w:ilvl="6" w:tplc="05B8CEF0">
      <w:start w:val="1"/>
      <w:numFmt w:val="bullet"/>
      <w:lvlText w:val="•"/>
      <w:lvlJc w:val="left"/>
      <w:pPr>
        <w:ind w:left="5852" w:hanging="567"/>
      </w:pPr>
      <w:rPr>
        <w:rFonts w:hint="default"/>
      </w:rPr>
    </w:lvl>
    <w:lvl w:ilvl="7" w:tplc="5582DC20">
      <w:start w:val="1"/>
      <w:numFmt w:val="bullet"/>
      <w:lvlText w:val="•"/>
      <w:lvlJc w:val="left"/>
      <w:pPr>
        <w:ind w:left="6774" w:hanging="567"/>
      </w:pPr>
      <w:rPr>
        <w:rFonts w:hint="default"/>
      </w:rPr>
    </w:lvl>
    <w:lvl w:ilvl="8" w:tplc="5A803660">
      <w:start w:val="1"/>
      <w:numFmt w:val="bullet"/>
      <w:lvlText w:val="•"/>
      <w:lvlJc w:val="left"/>
      <w:pPr>
        <w:ind w:left="7696" w:hanging="567"/>
      </w:pPr>
      <w:rPr>
        <w:rFonts w:hint="default"/>
      </w:rPr>
    </w:lvl>
  </w:abstractNum>
  <w:abstractNum w:abstractNumId="135" w15:restartNumberingAfterBreak="0">
    <w:nsid w:val="710E0477"/>
    <w:multiLevelType w:val="hybridMultilevel"/>
    <w:tmpl w:val="585AF41A"/>
    <w:lvl w:ilvl="0" w:tplc="04C44556">
      <w:start w:val="1"/>
      <w:numFmt w:val="decimal"/>
      <w:lvlText w:val="%1."/>
      <w:lvlJc w:val="left"/>
      <w:pPr>
        <w:ind w:left="471" w:hanging="360"/>
      </w:pPr>
      <w:rPr>
        <w:rFonts w:hint="default"/>
        <w:b/>
      </w:rPr>
    </w:lvl>
    <w:lvl w:ilvl="1" w:tplc="4718E9D6" w:tentative="1">
      <w:start w:val="1"/>
      <w:numFmt w:val="upperLetter"/>
      <w:lvlText w:val="%2."/>
      <w:lvlJc w:val="left"/>
      <w:pPr>
        <w:ind w:left="911" w:hanging="400"/>
      </w:pPr>
    </w:lvl>
    <w:lvl w:ilvl="2" w:tplc="38CAE774" w:tentative="1">
      <w:start w:val="1"/>
      <w:numFmt w:val="lowerRoman"/>
      <w:lvlText w:val="%3."/>
      <w:lvlJc w:val="right"/>
      <w:pPr>
        <w:ind w:left="1311" w:hanging="400"/>
      </w:pPr>
    </w:lvl>
    <w:lvl w:ilvl="3" w:tplc="EDC64D4A" w:tentative="1">
      <w:start w:val="1"/>
      <w:numFmt w:val="decimal"/>
      <w:lvlText w:val="%4."/>
      <w:lvlJc w:val="left"/>
      <w:pPr>
        <w:ind w:left="1711" w:hanging="400"/>
      </w:pPr>
    </w:lvl>
    <w:lvl w:ilvl="4" w:tplc="A3407838" w:tentative="1">
      <w:start w:val="1"/>
      <w:numFmt w:val="upperLetter"/>
      <w:lvlText w:val="%5."/>
      <w:lvlJc w:val="left"/>
      <w:pPr>
        <w:ind w:left="2111" w:hanging="400"/>
      </w:pPr>
    </w:lvl>
    <w:lvl w:ilvl="5" w:tplc="5E80B1BE" w:tentative="1">
      <w:start w:val="1"/>
      <w:numFmt w:val="lowerRoman"/>
      <w:lvlText w:val="%6."/>
      <w:lvlJc w:val="right"/>
      <w:pPr>
        <w:ind w:left="2511" w:hanging="400"/>
      </w:pPr>
    </w:lvl>
    <w:lvl w:ilvl="6" w:tplc="501C940A" w:tentative="1">
      <w:start w:val="1"/>
      <w:numFmt w:val="decimal"/>
      <w:lvlText w:val="%7."/>
      <w:lvlJc w:val="left"/>
      <w:pPr>
        <w:ind w:left="2911" w:hanging="400"/>
      </w:pPr>
    </w:lvl>
    <w:lvl w:ilvl="7" w:tplc="EFC286A0" w:tentative="1">
      <w:start w:val="1"/>
      <w:numFmt w:val="upperLetter"/>
      <w:lvlText w:val="%8."/>
      <w:lvlJc w:val="left"/>
      <w:pPr>
        <w:ind w:left="3311" w:hanging="400"/>
      </w:pPr>
    </w:lvl>
    <w:lvl w:ilvl="8" w:tplc="454AB0F4" w:tentative="1">
      <w:start w:val="1"/>
      <w:numFmt w:val="lowerRoman"/>
      <w:lvlText w:val="%9."/>
      <w:lvlJc w:val="right"/>
      <w:pPr>
        <w:ind w:left="3711" w:hanging="400"/>
      </w:pPr>
    </w:lvl>
  </w:abstractNum>
  <w:abstractNum w:abstractNumId="136" w15:restartNumberingAfterBreak="0">
    <w:nsid w:val="71B046EA"/>
    <w:multiLevelType w:val="hybridMultilevel"/>
    <w:tmpl w:val="A914FDF4"/>
    <w:lvl w:ilvl="0" w:tplc="F232290E">
      <w:start w:val="1"/>
      <w:numFmt w:val="decimal"/>
      <w:lvlText w:val="%1."/>
      <w:lvlJc w:val="left"/>
      <w:pPr>
        <w:ind w:left="677" w:hanging="567"/>
      </w:pPr>
      <w:rPr>
        <w:rFonts w:ascii="Times New Roman" w:eastAsia="Times New Roman" w:hAnsi="Times New Roman" w:hint="default"/>
        <w:sz w:val="22"/>
        <w:szCs w:val="22"/>
      </w:rPr>
    </w:lvl>
    <w:lvl w:ilvl="1" w:tplc="77C40C9C">
      <w:start w:val="1"/>
      <w:numFmt w:val="bullet"/>
      <w:lvlText w:val="•"/>
      <w:lvlJc w:val="left"/>
      <w:pPr>
        <w:ind w:left="1569" w:hanging="567"/>
      </w:pPr>
      <w:rPr>
        <w:rFonts w:hint="default"/>
      </w:rPr>
    </w:lvl>
    <w:lvl w:ilvl="2" w:tplc="379223F8">
      <w:start w:val="1"/>
      <w:numFmt w:val="bullet"/>
      <w:lvlText w:val="•"/>
      <w:lvlJc w:val="left"/>
      <w:pPr>
        <w:ind w:left="2462" w:hanging="567"/>
      </w:pPr>
      <w:rPr>
        <w:rFonts w:hint="default"/>
      </w:rPr>
    </w:lvl>
    <w:lvl w:ilvl="3" w:tplc="31D0883E">
      <w:start w:val="1"/>
      <w:numFmt w:val="bullet"/>
      <w:lvlText w:val="•"/>
      <w:lvlJc w:val="left"/>
      <w:pPr>
        <w:ind w:left="3354" w:hanging="567"/>
      </w:pPr>
      <w:rPr>
        <w:rFonts w:hint="default"/>
      </w:rPr>
    </w:lvl>
    <w:lvl w:ilvl="4" w:tplc="3F70303E">
      <w:start w:val="1"/>
      <w:numFmt w:val="bullet"/>
      <w:lvlText w:val="•"/>
      <w:lvlJc w:val="left"/>
      <w:pPr>
        <w:ind w:left="4246" w:hanging="567"/>
      </w:pPr>
      <w:rPr>
        <w:rFonts w:hint="default"/>
      </w:rPr>
    </w:lvl>
    <w:lvl w:ilvl="5" w:tplc="0A8E694C">
      <w:start w:val="1"/>
      <w:numFmt w:val="bullet"/>
      <w:lvlText w:val="•"/>
      <w:lvlJc w:val="left"/>
      <w:pPr>
        <w:ind w:left="5138" w:hanging="567"/>
      </w:pPr>
      <w:rPr>
        <w:rFonts w:hint="default"/>
      </w:rPr>
    </w:lvl>
    <w:lvl w:ilvl="6" w:tplc="021A1A20">
      <w:start w:val="1"/>
      <w:numFmt w:val="bullet"/>
      <w:lvlText w:val="•"/>
      <w:lvlJc w:val="left"/>
      <w:pPr>
        <w:ind w:left="6031" w:hanging="567"/>
      </w:pPr>
      <w:rPr>
        <w:rFonts w:hint="default"/>
      </w:rPr>
    </w:lvl>
    <w:lvl w:ilvl="7" w:tplc="B79438FA">
      <w:start w:val="1"/>
      <w:numFmt w:val="bullet"/>
      <w:lvlText w:val="•"/>
      <w:lvlJc w:val="left"/>
      <w:pPr>
        <w:ind w:left="6923" w:hanging="567"/>
      </w:pPr>
      <w:rPr>
        <w:rFonts w:hint="default"/>
      </w:rPr>
    </w:lvl>
    <w:lvl w:ilvl="8" w:tplc="20A6CD26">
      <w:start w:val="1"/>
      <w:numFmt w:val="bullet"/>
      <w:lvlText w:val="•"/>
      <w:lvlJc w:val="left"/>
      <w:pPr>
        <w:ind w:left="7815" w:hanging="567"/>
      </w:pPr>
      <w:rPr>
        <w:rFonts w:hint="default"/>
      </w:rPr>
    </w:lvl>
  </w:abstractNum>
  <w:abstractNum w:abstractNumId="137" w15:restartNumberingAfterBreak="0">
    <w:nsid w:val="73682C1A"/>
    <w:multiLevelType w:val="multilevel"/>
    <w:tmpl w:val="FBB62B10"/>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138" w15:restartNumberingAfterBreak="0">
    <w:nsid w:val="750462AE"/>
    <w:multiLevelType w:val="hybridMultilevel"/>
    <w:tmpl w:val="0868F95C"/>
    <w:lvl w:ilvl="0" w:tplc="F8CEAD00">
      <w:start w:val="1"/>
      <w:numFmt w:val="bullet"/>
      <w:lvlText w:val=""/>
      <w:lvlJc w:val="left"/>
      <w:pPr>
        <w:ind w:left="677" w:hanging="567"/>
      </w:pPr>
      <w:rPr>
        <w:rFonts w:ascii="Symbol" w:eastAsia="Symbol" w:hAnsi="Symbol" w:hint="default"/>
        <w:sz w:val="22"/>
        <w:szCs w:val="22"/>
      </w:rPr>
    </w:lvl>
    <w:lvl w:ilvl="1" w:tplc="7F9A988E">
      <w:start w:val="1"/>
      <w:numFmt w:val="bullet"/>
      <w:lvlText w:val="•"/>
      <w:lvlJc w:val="left"/>
      <w:pPr>
        <w:ind w:left="1567" w:hanging="567"/>
      </w:pPr>
      <w:rPr>
        <w:rFonts w:hint="default"/>
      </w:rPr>
    </w:lvl>
    <w:lvl w:ilvl="2" w:tplc="F32C77CC">
      <w:start w:val="1"/>
      <w:numFmt w:val="bullet"/>
      <w:lvlText w:val="•"/>
      <w:lvlJc w:val="left"/>
      <w:pPr>
        <w:ind w:left="2458" w:hanging="567"/>
      </w:pPr>
      <w:rPr>
        <w:rFonts w:hint="default"/>
      </w:rPr>
    </w:lvl>
    <w:lvl w:ilvl="3" w:tplc="54769F60">
      <w:start w:val="1"/>
      <w:numFmt w:val="bullet"/>
      <w:lvlText w:val="•"/>
      <w:lvlJc w:val="left"/>
      <w:pPr>
        <w:ind w:left="3348" w:hanging="567"/>
      </w:pPr>
      <w:rPr>
        <w:rFonts w:hint="default"/>
      </w:rPr>
    </w:lvl>
    <w:lvl w:ilvl="4" w:tplc="AB92B21A">
      <w:start w:val="1"/>
      <w:numFmt w:val="bullet"/>
      <w:lvlText w:val="•"/>
      <w:lvlJc w:val="left"/>
      <w:pPr>
        <w:ind w:left="4238" w:hanging="567"/>
      </w:pPr>
      <w:rPr>
        <w:rFonts w:hint="default"/>
      </w:rPr>
    </w:lvl>
    <w:lvl w:ilvl="5" w:tplc="1C8A431C">
      <w:start w:val="1"/>
      <w:numFmt w:val="bullet"/>
      <w:lvlText w:val="•"/>
      <w:lvlJc w:val="left"/>
      <w:pPr>
        <w:ind w:left="5128" w:hanging="567"/>
      </w:pPr>
      <w:rPr>
        <w:rFonts w:hint="default"/>
      </w:rPr>
    </w:lvl>
    <w:lvl w:ilvl="6" w:tplc="0CCC3C2E">
      <w:start w:val="1"/>
      <w:numFmt w:val="bullet"/>
      <w:lvlText w:val="•"/>
      <w:lvlJc w:val="left"/>
      <w:pPr>
        <w:ind w:left="6019" w:hanging="567"/>
      </w:pPr>
      <w:rPr>
        <w:rFonts w:hint="default"/>
      </w:rPr>
    </w:lvl>
    <w:lvl w:ilvl="7" w:tplc="FBAEF804">
      <w:start w:val="1"/>
      <w:numFmt w:val="bullet"/>
      <w:lvlText w:val="•"/>
      <w:lvlJc w:val="left"/>
      <w:pPr>
        <w:ind w:left="6909" w:hanging="567"/>
      </w:pPr>
      <w:rPr>
        <w:rFonts w:hint="default"/>
      </w:rPr>
    </w:lvl>
    <w:lvl w:ilvl="8" w:tplc="62CCC982">
      <w:start w:val="1"/>
      <w:numFmt w:val="bullet"/>
      <w:lvlText w:val="•"/>
      <w:lvlJc w:val="left"/>
      <w:pPr>
        <w:ind w:left="7799" w:hanging="567"/>
      </w:pPr>
      <w:rPr>
        <w:rFonts w:hint="default"/>
      </w:rPr>
    </w:lvl>
  </w:abstractNum>
  <w:abstractNum w:abstractNumId="139" w15:restartNumberingAfterBreak="0">
    <w:nsid w:val="753A059E"/>
    <w:multiLevelType w:val="hybridMultilevel"/>
    <w:tmpl w:val="339C2F6A"/>
    <w:lvl w:ilvl="0" w:tplc="65E8E2F4">
      <w:start w:val="1"/>
      <w:numFmt w:val="decimal"/>
      <w:lvlText w:val="%1."/>
      <w:lvlJc w:val="left"/>
      <w:pPr>
        <w:ind w:hanging="562"/>
      </w:pPr>
      <w:rPr>
        <w:rFonts w:ascii="Times New Roman" w:eastAsia="Times New Roman" w:hAnsi="Times New Roman" w:hint="default"/>
        <w:b/>
        <w:bCs/>
        <w:sz w:val="22"/>
        <w:szCs w:val="22"/>
      </w:rPr>
    </w:lvl>
    <w:lvl w:ilvl="1" w:tplc="6F08019C">
      <w:start w:val="1"/>
      <w:numFmt w:val="bullet"/>
      <w:lvlText w:val="•"/>
      <w:lvlJc w:val="left"/>
      <w:rPr>
        <w:rFonts w:hint="default"/>
      </w:rPr>
    </w:lvl>
    <w:lvl w:ilvl="2" w:tplc="23560242">
      <w:start w:val="1"/>
      <w:numFmt w:val="bullet"/>
      <w:lvlText w:val="•"/>
      <w:lvlJc w:val="left"/>
      <w:rPr>
        <w:rFonts w:hint="default"/>
      </w:rPr>
    </w:lvl>
    <w:lvl w:ilvl="3" w:tplc="E7AC6104">
      <w:start w:val="1"/>
      <w:numFmt w:val="bullet"/>
      <w:lvlText w:val="•"/>
      <w:lvlJc w:val="left"/>
      <w:rPr>
        <w:rFonts w:hint="default"/>
      </w:rPr>
    </w:lvl>
    <w:lvl w:ilvl="4" w:tplc="47D06596">
      <w:start w:val="1"/>
      <w:numFmt w:val="bullet"/>
      <w:lvlText w:val="•"/>
      <w:lvlJc w:val="left"/>
      <w:rPr>
        <w:rFonts w:hint="default"/>
      </w:rPr>
    </w:lvl>
    <w:lvl w:ilvl="5" w:tplc="A73C441C">
      <w:start w:val="1"/>
      <w:numFmt w:val="bullet"/>
      <w:lvlText w:val="•"/>
      <w:lvlJc w:val="left"/>
      <w:rPr>
        <w:rFonts w:hint="default"/>
      </w:rPr>
    </w:lvl>
    <w:lvl w:ilvl="6" w:tplc="5AB40CC4">
      <w:start w:val="1"/>
      <w:numFmt w:val="bullet"/>
      <w:lvlText w:val="•"/>
      <w:lvlJc w:val="left"/>
      <w:rPr>
        <w:rFonts w:hint="default"/>
      </w:rPr>
    </w:lvl>
    <w:lvl w:ilvl="7" w:tplc="3B0241C0">
      <w:start w:val="1"/>
      <w:numFmt w:val="bullet"/>
      <w:lvlText w:val="•"/>
      <w:lvlJc w:val="left"/>
      <w:rPr>
        <w:rFonts w:hint="default"/>
      </w:rPr>
    </w:lvl>
    <w:lvl w:ilvl="8" w:tplc="ADF405DA">
      <w:start w:val="1"/>
      <w:numFmt w:val="bullet"/>
      <w:lvlText w:val="•"/>
      <w:lvlJc w:val="left"/>
      <w:rPr>
        <w:rFonts w:hint="default"/>
      </w:rPr>
    </w:lvl>
  </w:abstractNum>
  <w:abstractNum w:abstractNumId="140" w15:restartNumberingAfterBreak="0">
    <w:nsid w:val="755C147A"/>
    <w:multiLevelType w:val="hybridMultilevel"/>
    <w:tmpl w:val="D034DC0E"/>
    <w:lvl w:ilvl="0" w:tplc="9C8421C2">
      <w:start w:val="1"/>
      <w:numFmt w:val="decimal"/>
      <w:lvlText w:val="%1"/>
      <w:lvlJc w:val="left"/>
      <w:pPr>
        <w:ind w:hanging="180"/>
      </w:pPr>
      <w:rPr>
        <w:rFonts w:ascii="Times New Roman" w:eastAsia="Times New Roman" w:hAnsi="Times New Roman" w:hint="default"/>
        <w:w w:val="99"/>
        <w:position w:val="8"/>
        <w:sz w:val="22"/>
        <w:szCs w:val="22"/>
        <w:vertAlign w:val="superscript"/>
      </w:rPr>
    </w:lvl>
    <w:lvl w:ilvl="1" w:tplc="D3725E24">
      <w:start w:val="1"/>
      <w:numFmt w:val="bullet"/>
      <w:lvlText w:val="•"/>
      <w:lvlJc w:val="left"/>
      <w:rPr>
        <w:rFonts w:hint="default"/>
      </w:rPr>
    </w:lvl>
    <w:lvl w:ilvl="2" w:tplc="0DC81DB4">
      <w:start w:val="1"/>
      <w:numFmt w:val="bullet"/>
      <w:lvlText w:val="•"/>
      <w:lvlJc w:val="left"/>
      <w:rPr>
        <w:rFonts w:hint="default"/>
      </w:rPr>
    </w:lvl>
    <w:lvl w:ilvl="3" w:tplc="CCD6B30C">
      <w:start w:val="1"/>
      <w:numFmt w:val="bullet"/>
      <w:lvlText w:val="•"/>
      <w:lvlJc w:val="left"/>
      <w:rPr>
        <w:rFonts w:hint="default"/>
      </w:rPr>
    </w:lvl>
    <w:lvl w:ilvl="4" w:tplc="7034ED4A">
      <w:start w:val="1"/>
      <w:numFmt w:val="bullet"/>
      <w:lvlText w:val="•"/>
      <w:lvlJc w:val="left"/>
      <w:rPr>
        <w:rFonts w:hint="default"/>
      </w:rPr>
    </w:lvl>
    <w:lvl w:ilvl="5" w:tplc="D49AAF48">
      <w:start w:val="1"/>
      <w:numFmt w:val="bullet"/>
      <w:lvlText w:val="•"/>
      <w:lvlJc w:val="left"/>
      <w:rPr>
        <w:rFonts w:hint="default"/>
      </w:rPr>
    </w:lvl>
    <w:lvl w:ilvl="6" w:tplc="0ACA2BC6">
      <w:start w:val="1"/>
      <w:numFmt w:val="bullet"/>
      <w:lvlText w:val="•"/>
      <w:lvlJc w:val="left"/>
      <w:rPr>
        <w:rFonts w:hint="default"/>
      </w:rPr>
    </w:lvl>
    <w:lvl w:ilvl="7" w:tplc="8F74E6C0">
      <w:start w:val="1"/>
      <w:numFmt w:val="bullet"/>
      <w:lvlText w:val="•"/>
      <w:lvlJc w:val="left"/>
      <w:rPr>
        <w:rFonts w:hint="default"/>
      </w:rPr>
    </w:lvl>
    <w:lvl w:ilvl="8" w:tplc="0F7C6650">
      <w:start w:val="1"/>
      <w:numFmt w:val="bullet"/>
      <w:lvlText w:val="•"/>
      <w:lvlJc w:val="left"/>
      <w:rPr>
        <w:rFonts w:hint="default"/>
      </w:rPr>
    </w:lvl>
  </w:abstractNum>
  <w:abstractNum w:abstractNumId="141" w15:restartNumberingAfterBreak="0">
    <w:nsid w:val="761A18F4"/>
    <w:multiLevelType w:val="hybridMultilevel"/>
    <w:tmpl w:val="EFF42462"/>
    <w:lvl w:ilvl="0" w:tplc="52D8A61A">
      <w:start w:val="1"/>
      <w:numFmt w:val="decimal"/>
      <w:lvlText w:val="%1."/>
      <w:lvlJc w:val="left"/>
      <w:pPr>
        <w:ind w:left="471" w:hanging="360"/>
      </w:pPr>
      <w:rPr>
        <w:rFonts w:hint="default"/>
        <w:b/>
      </w:rPr>
    </w:lvl>
    <w:lvl w:ilvl="1" w:tplc="D3CCF630" w:tentative="1">
      <w:start w:val="1"/>
      <w:numFmt w:val="upperLetter"/>
      <w:lvlText w:val="%2."/>
      <w:lvlJc w:val="left"/>
      <w:pPr>
        <w:ind w:left="911" w:hanging="400"/>
      </w:pPr>
    </w:lvl>
    <w:lvl w:ilvl="2" w:tplc="321A7760" w:tentative="1">
      <w:start w:val="1"/>
      <w:numFmt w:val="lowerRoman"/>
      <w:lvlText w:val="%3."/>
      <w:lvlJc w:val="right"/>
      <w:pPr>
        <w:ind w:left="1311" w:hanging="400"/>
      </w:pPr>
    </w:lvl>
    <w:lvl w:ilvl="3" w:tplc="2F00A2A2" w:tentative="1">
      <w:start w:val="1"/>
      <w:numFmt w:val="decimal"/>
      <w:lvlText w:val="%4."/>
      <w:lvlJc w:val="left"/>
      <w:pPr>
        <w:ind w:left="1711" w:hanging="400"/>
      </w:pPr>
    </w:lvl>
    <w:lvl w:ilvl="4" w:tplc="88FE1478" w:tentative="1">
      <w:start w:val="1"/>
      <w:numFmt w:val="upperLetter"/>
      <w:lvlText w:val="%5."/>
      <w:lvlJc w:val="left"/>
      <w:pPr>
        <w:ind w:left="2111" w:hanging="400"/>
      </w:pPr>
    </w:lvl>
    <w:lvl w:ilvl="5" w:tplc="AAB6B9FC" w:tentative="1">
      <w:start w:val="1"/>
      <w:numFmt w:val="lowerRoman"/>
      <w:lvlText w:val="%6."/>
      <w:lvlJc w:val="right"/>
      <w:pPr>
        <w:ind w:left="2511" w:hanging="400"/>
      </w:pPr>
    </w:lvl>
    <w:lvl w:ilvl="6" w:tplc="962A6458" w:tentative="1">
      <w:start w:val="1"/>
      <w:numFmt w:val="decimal"/>
      <w:lvlText w:val="%7."/>
      <w:lvlJc w:val="left"/>
      <w:pPr>
        <w:ind w:left="2911" w:hanging="400"/>
      </w:pPr>
    </w:lvl>
    <w:lvl w:ilvl="7" w:tplc="F5C4E732" w:tentative="1">
      <w:start w:val="1"/>
      <w:numFmt w:val="upperLetter"/>
      <w:lvlText w:val="%8."/>
      <w:lvlJc w:val="left"/>
      <w:pPr>
        <w:ind w:left="3311" w:hanging="400"/>
      </w:pPr>
    </w:lvl>
    <w:lvl w:ilvl="8" w:tplc="F2B82856" w:tentative="1">
      <w:start w:val="1"/>
      <w:numFmt w:val="lowerRoman"/>
      <w:lvlText w:val="%9."/>
      <w:lvlJc w:val="right"/>
      <w:pPr>
        <w:ind w:left="3711" w:hanging="400"/>
      </w:pPr>
    </w:lvl>
  </w:abstractNum>
  <w:abstractNum w:abstractNumId="142" w15:restartNumberingAfterBreak="0">
    <w:nsid w:val="76D11154"/>
    <w:multiLevelType w:val="multilevel"/>
    <w:tmpl w:val="6DEC6FE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0" w:hanging="56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143" w15:restartNumberingAfterBreak="0">
    <w:nsid w:val="774D0E51"/>
    <w:multiLevelType w:val="hybridMultilevel"/>
    <w:tmpl w:val="585AF41A"/>
    <w:lvl w:ilvl="0" w:tplc="04C44556">
      <w:start w:val="1"/>
      <w:numFmt w:val="decimal"/>
      <w:lvlText w:val="%1."/>
      <w:lvlJc w:val="left"/>
      <w:pPr>
        <w:ind w:left="471" w:hanging="360"/>
      </w:pPr>
      <w:rPr>
        <w:rFonts w:hint="default"/>
        <w:b/>
      </w:rPr>
    </w:lvl>
    <w:lvl w:ilvl="1" w:tplc="4718E9D6" w:tentative="1">
      <w:start w:val="1"/>
      <w:numFmt w:val="upperLetter"/>
      <w:lvlText w:val="%2."/>
      <w:lvlJc w:val="left"/>
      <w:pPr>
        <w:ind w:left="911" w:hanging="400"/>
      </w:pPr>
    </w:lvl>
    <w:lvl w:ilvl="2" w:tplc="38CAE774" w:tentative="1">
      <w:start w:val="1"/>
      <w:numFmt w:val="lowerRoman"/>
      <w:lvlText w:val="%3."/>
      <w:lvlJc w:val="right"/>
      <w:pPr>
        <w:ind w:left="1311" w:hanging="400"/>
      </w:pPr>
    </w:lvl>
    <w:lvl w:ilvl="3" w:tplc="EDC64D4A" w:tentative="1">
      <w:start w:val="1"/>
      <w:numFmt w:val="decimal"/>
      <w:lvlText w:val="%4."/>
      <w:lvlJc w:val="left"/>
      <w:pPr>
        <w:ind w:left="1711" w:hanging="400"/>
      </w:pPr>
    </w:lvl>
    <w:lvl w:ilvl="4" w:tplc="A3407838" w:tentative="1">
      <w:start w:val="1"/>
      <w:numFmt w:val="upperLetter"/>
      <w:lvlText w:val="%5."/>
      <w:lvlJc w:val="left"/>
      <w:pPr>
        <w:ind w:left="2111" w:hanging="400"/>
      </w:pPr>
    </w:lvl>
    <w:lvl w:ilvl="5" w:tplc="5E80B1BE" w:tentative="1">
      <w:start w:val="1"/>
      <w:numFmt w:val="lowerRoman"/>
      <w:lvlText w:val="%6."/>
      <w:lvlJc w:val="right"/>
      <w:pPr>
        <w:ind w:left="2511" w:hanging="400"/>
      </w:pPr>
    </w:lvl>
    <w:lvl w:ilvl="6" w:tplc="501C940A" w:tentative="1">
      <w:start w:val="1"/>
      <w:numFmt w:val="decimal"/>
      <w:lvlText w:val="%7."/>
      <w:lvlJc w:val="left"/>
      <w:pPr>
        <w:ind w:left="2911" w:hanging="400"/>
      </w:pPr>
    </w:lvl>
    <w:lvl w:ilvl="7" w:tplc="EFC286A0" w:tentative="1">
      <w:start w:val="1"/>
      <w:numFmt w:val="upperLetter"/>
      <w:lvlText w:val="%8."/>
      <w:lvlJc w:val="left"/>
      <w:pPr>
        <w:ind w:left="3311" w:hanging="400"/>
      </w:pPr>
    </w:lvl>
    <w:lvl w:ilvl="8" w:tplc="454AB0F4" w:tentative="1">
      <w:start w:val="1"/>
      <w:numFmt w:val="lowerRoman"/>
      <w:lvlText w:val="%9."/>
      <w:lvlJc w:val="right"/>
      <w:pPr>
        <w:ind w:left="3711" w:hanging="400"/>
      </w:pPr>
    </w:lvl>
  </w:abstractNum>
  <w:abstractNum w:abstractNumId="144" w15:restartNumberingAfterBreak="0">
    <w:nsid w:val="77A42A19"/>
    <w:multiLevelType w:val="hybridMultilevel"/>
    <w:tmpl w:val="28A00D86"/>
    <w:lvl w:ilvl="0" w:tplc="A190A2B4">
      <w:start w:val="1"/>
      <w:numFmt w:val="decimal"/>
      <w:lvlText w:val="%1."/>
      <w:lvlJc w:val="left"/>
      <w:pPr>
        <w:ind w:left="760" w:hanging="360"/>
      </w:pPr>
      <w:rPr>
        <w:rFonts w:hint="default"/>
      </w:rPr>
    </w:lvl>
    <w:lvl w:ilvl="1" w:tplc="817047E8" w:tentative="1">
      <w:start w:val="1"/>
      <w:numFmt w:val="upperLetter"/>
      <w:lvlText w:val="%2."/>
      <w:lvlJc w:val="left"/>
      <w:pPr>
        <w:ind w:left="1200" w:hanging="400"/>
      </w:pPr>
    </w:lvl>
    <w:lvl w:ilvl="2" w:tplc="E032844E" w:tentative="1">
      <w:start w:val="1"/>
      <w:numFmt w:val="lowerRoman"/>
      <w:lvlText w:val="%3."/>
      <w:lvlJc w:val="right"/>
      <w:pPr>
        <w:ind w:left="1600" w:hanging="400"/>
      </w:pPr>
    </w:lvl>
    <w:lvl w:ilvl="3" w:tplc="0896B19C" w:tentative="1">
      <w:start w:val="1"/>
      <w:numFmt w:val="decimal"/>
      <w:lvlText w:val="%4."/>
      <w:lvlJc w:val="left"/>
      <w:pPr>
        <w:ind w:left="2000" w:hanging="400"/>
      </w:pPr>
    </w:lvl>
    <w:lvl w:ilvl="4" w:tplc="4B0210BA" w:tentative="1">
      <w:start w:val="1"/>
      <w:numFmt w:val="upperLetter"/>
      <w:lvlText w:val="%5."/>
      <w:lvlJc w:val="left"/>
      <w:pPr>
        <w:ind w:left="2400" w:hanging="400"/>
      </w:pPr>
    </w:lvl>
    <w:lvl w:ilvl="5" w:tplc="3522E5A4" w:tentative="1">
      <w:start w:val="1"/>
      <w:numFmt w:val="lowerRoman"/>
      <w:lvlText w:val="%6."/>
      <w:lvlJc w:val="right"/>
      <w:pPr>
        <w:ind w:left="2800" w:hanging="400"/>
      </w:pPr>
    </w:lvl>
    <w:lvl w:ilvl="6" w:tplc="86BA1C70" w:tentative="1">
      <w:start w:val="1"/>
      <w:numFmt w:val="decimal"/>
      <w:lvlText w:val="%7."/>
      <w:lvlJc w:val="left"/>
      <w:pPr>
        <w:ind w:left="3200" w:hanging="400"/>
      </w:pPr>
    </w:lvl>
    <w:lvl w:ilvl="7" w:tplc="4B56880C" w:tentative="1">
      <w:start w:val="1"/>
      <w:numFmt w:val="upperLetter"/>
      <w:lvlText w:val="%8."/>
      <w:lvlJc w:val="left"/>
      <w:pPr>
        <w:ind w:left="3600" w:hanging="400"/>
      </w:pPr>
    </w:lvl>
    <w:lvl w:ilvl="8" w:tplc="C414AFE6" w:tentative="1">
      <w:start w:val="1"/>
      <w:numFmt w:val="lowerRoman"/>
      <w:lvlText w:val="%9."/>
      <w:lvlJc w:val="right"/>
      <w:pPr>
        <w:ind w:left="4000" w:hanging="400"/>
      </w:pPr>
    </w:lvl>
  </w:abstractNum>
  <w:abstractNum w:abstractNumId="145" w15:restartNumberingAfterBreak="0">
    <w:nsid w:val="77E8459F"/>
    <w:multiLevelType w:val="multilevel"/>
    <w:tmpl w:val="661E20C0"/>
    <w:lvl w:ilvl="0">
      <w:start w:val="1"/>
      <w:numFmt w:val="decimal"/>
      <w:lvlText w:val="%1."/>
      <w:lvlJc w:val="left"/>
      <w:pPr>
        <w:ind w:left="672" w:hanging="562"/>
      </w:pPr>
      <w:rPr>
        <w:rFonts w:ascii="Times New Roman" w:eastAsia="Times New Roman" w:hAnsi="Times New Roman" w:hint="default"/>
        <w:b/>
        <w:bCs/>
        <w:sz w:val="22"/>
        <w:szCs w:val="22"/>
      </w:rPr>
    </w:lvl>
    <w:lvl w:ilvl="1">
      <w:start w:val="1"/>
      <w:numFmt w:val="decimal"/>
      <w:lvlText w:val="%1.%2"/>
      <w:lvlJc w:val="left"/>
      <w:pPr>
        <w:ind w:left="672" w:hanging="562"/>
      </w:pPr>
      <w:rPr>
        <w:rFonts w:ascii="Times New Roman" w:eastAsia="Times New Roman" w:hAnsi="Times New Roman" w:hint="default"/>
        <w:b/>
        <w:bCs/>
        <w:sz w:val="22"/>
        <w:szCs w:val="22"/>
      </w:rPr>
    </w:lvl>
    <w:lvl w:ilvl="2">
      <w:start w:val="1"/>
      <w:numFmt w:val="bullet"/>
      <w:lvlText w:val="•"/>
      <w:lvlJc w:val="left"/>
      <w:pPr>
        <w:ind w:left="2438" w:hanging="562"/>
      </w:pPr>
      <w:rPr>
        <w:rFonts w:hint="default"/>
      </w:rPr>
    </w:lvl>
    <w:lvl w:ilvl="3">
      <w:start w:val="1"/>
      <w:numFmt w:val="bullet"/>
      <w:lvlText w:val="•"/>
      <w:lvlJc w:val="left"/>
      <w:pPr>
        <w:ind w:left="3320" w:hanging="562"/>
      </w:pPr>
      <w:rPr>
        <w:rFonts w:hint="default"/>
      </w:rPr>
    </w:lvl>
    <w:lvl w:ilvl="4">
      <w:start w:val="1"/>
      <w:numFmt w:val="bullet"/>
      <w:lvlText w:val="•"/>
      <w:lvlJc w:val="left"/>
      <w:pPr>
        <w:ind w:left="4203" w:hanging="562"/>
      </w:pPr>
      <w:rPr>
        <w:rFonts w:hint="default"/>
      </w:rPr>
    </w:lvl>
    <w:lvl w:ilvl="5">
      <w:start w:val="1"/>
      <w:numFmt w:val="bullet"/>
      <w:lvlText w:val="•"/>
      <w:lvlJc w:val="left"/>
      <w:pPr>
        <w:ind w:left="5086" w:hanging="562"/>
      </w:pPr>
      <w:rPr>
        <w:rFonts w:hint="default"/>
      </w:rPr>
    </w:lvl>
    <w:lvl w:ilvl="6">
      <w:start w:val="1"/>
      <w:numFmt w:val="bullet"/>
      <w:lvlText w:val="•"/>
      <w:lvlJc w:val="left"/>
      <w:pPr>
        <w:ind w:left="5969" w:hanging="562"/>
      </w:pPr>
      <w:rPr>
        <w:rFonts w:hint="default"/>
      </w:rPr>
    </w:lvl>
    <w:lvl w:ilvl="7">
      <w:start w:val="1"/>
      <w:numFmt w:val="bullet"/>
      <w:lvlText w:val="•"/>
      <w:lvlJc w:val="left"/>
      <w:pPr>
        <w:ind w:left="6851" w:hanging="562"/>
      </w:pPr>
      <w:rPr>
        <w:rFonts w:hint="default"/>
      </w:rPr>
    </w:lvl>
    <w:lvl w:ilvl="8">
      <w:start w:val="1"/>
      <w:numFmt w:val="bullet"/>
      <w:lvlText w:val="•"/>
      <w:lvlJc w:val="left"/>
      <w:pPr>
        <w:ind w:left="7734" w:hanging="562"/>
      </w:pPr>
      <w:rPr>
        <w:rFonts w:hint="default"/>
      </w:rPr>
    </w:lvl>
  </w:abstractNum>
  <w:abstractNum w:abstractNumId="146" w15:restartNumberingAfterBreak="0">
    <w:nsid w:val="78076C81"/>
    <w:multiLevelType w:val="hybridMultilevel"/>
    <w:tmpl w:val="CEA0735A"/>
    <w:lvl w:ilvl="0" w:tplc="94AC3420">
      <w:start w:val="1"/>
      <w:numFmt w:val="bullet"/>
      <w:lvlText w:val=""/>
      <w:lvlJc w:val="left"/>
      <w:pPr>
        <w:ind w:left="1734" w:hanging="360"/>
      </w:pPr>
      <w:rPr>
        <w:rFonts w:ascii="Symbol" w:eastAsia="Symbol" w:hAnsi="Symbol" w:hint="default"/>
        <w:sz w:val="22"/>
        <w:szCs w:val="22"/>
      </w:rPr>
    </w:lvl>
    <w:lvl w:ilvl="1" w:tplc="0BD66470">
      <w:start w:val="1"/>
      <w:numFmt w:val="bullet"/>
      <w:lvlText w:val="•"/>
      <w:lvlJc w:val="left"/>
      <w:pPr>
        <w:ind w:left="2201" w:hanging="360"/>
      </w:pPr>
      <w:rPr>
        <w:rFonts w:hint="default"/>
      </w:rPr>
    </w:lvl>
    <w:lvl w:ilvl="2" w:tplc="A2B8E5A4">
      <w:start w:val="1"/>
      <w:numFmt w:val="bullet"/>
      <w:lvlText w:val="•"/>
      <w:lvlJc w:val="left"/>
      <w:pPr>
        <w:ind w:left="2668" w:hanging="360"/>
      </w:pPr>
      <w:rPr>
        <w:rFonts w:hint="default"/>
      </w:rPr>
    </w:lvl>
    <w:lvl w:ilvl="3" w:tplc="7D6E52A4">
      <w:start w:val="1"/>
      <w:numFmt w:val="bullet"/>
      <w:lvlText w:val="•"/>
      <w:lvlJc w:val="left"/>
      <w:pPr>
        <w:ind w:left="3136" w:hanging="360"/>
      </w:pPr>
      <w:rPr>
        <w:rFonts w:hint="default"/>
      </w:rPr>
    </w:lvl>
    <w:lvl w:ilvl="4" w:tplc="E8769E1E">
      <w:start w:val="1"/>
      <w:numFmt w:val="bullet"/>
      <w:lvlText w:val="•"/>
      <w:lvlJc w:val="left"/>
      <w:pPr>
        <w:ind w:left="3603" w:hanging="360"/>
      </w:pPr>
      <w:rPr>
        <w:rFonts w:hint="default"/>
      </w:rPr>
    </w:lvl>
    <w:lvl w:ilvl="5" w:tplc="5008CBDA">
      <w:start w:val="1"/>
      <w:numFmt w:val="bullet"/>
      <w:lvlText w:val="•"/>
      <w:lvlJc w:val="left"/>
      <w:pPr>
        <w:ind w:left="4071" w:hanging="360"/>
      </w:pPr>
      <w:rPr>
        <w:rFonts w:hint="default"/>
      </w:rPr>
    </w:lvl>
    <w:lvl w:ilvl="6" w:tplc="0EFEAC6A">
      <w:start w:val="1"/>
      <w:numFmt w:val="bullet"/>
      <w:lvlText w:val="•"/>
      <w:lvlJc w:val="left"/>
      <w:pPr>
        <w:ind w:left="4538" w:hanging="360"/>
      </w:pPr>
      <w:rPr>
        <w:rFonts w:hint="default"/>
      </w:rPr>
    </w:lvl>
    <w:lvl w:ilvl="7" w:tplc="C9208BC8">
      <w:start w:val="1"/>
      <w:numFmt w:val="bullet"/>
      <w:lvlText w:val="•"/>
      <w:lvlJc w:val="left"/>
      <w:pPr>
        <w:ind w:left="5006" w:hanging="360"/>
      </w:pPr>
      <w:rPr>
        <w:rFonts w:hint="default"/>
      </w:rPr>
    </w:lvl>
    <w:lvl w:ilvl="8" w:tplc="E5B05162">
      <w:start w:val="1"/>
      <w:numFmt w:val="bullet"/>
      <w:lvlText w:val="•"/>
      <w:lvlJc w:val="left"/>
      <w:pPr>
        <w:ind w:left="5473" w:hanging="360"/>
      </w:pPr>
      <w:rPr>
        <w:rFonts w:hint="default"/>
      </w:rPr>
    </w:lvl>
  </w:abstractNum>
  <w:abstractNum w:abstractNumId="147" w15:restartNumberingAfterBreak="0">
    <w:nsid w:val="782E3E2E"/>
    <w:multiLevelType w:val="hybridMultilevel"/>
    <w:tmpl w:val="DD348CDC"/>
    <w:lvl w:ilvl="0" w:tplc="F56E46E8">
      <w:start w:val="1"/>
      <w:numFmt w:val="upperLetter"/>
      <w:lvlText w:val="%1."/>
      <w:lvlJc w:val="left"/>
      <w:pPr>
        <w:ind w:left="760" w:hanging="360"/>
      </w:pPr>
      <w:rPr>
        <w:rFonts w:hint="default"/>
      </w:rPr>
    </w:lvl>
    <w:lvl w:ilvl="1" w:tplc="AAE81CBC" w:tentative="1">
      <w:start w:val="1"/>
      <w:numFmt w:val="upperLetter"/>
      <w:lvlText w:val="%2."/>
      <w:lvlJc w:val="left"/>
      <w:pPr>
        <w:ind w:left="1200" w:hanging="400"/>
      </w:pPr>
    </w:lvl>
    <w:lvl w:ilvl="2" w:tplc="BC0E0F10" w:tentative="1">
      <w:start w:val="1"/>
      <w:numFmt w:val="lowerRoman"/>
      <w:lvlText w:val="%3."/>
      <w:lvlJc w:val="right"/>
      <w:pPr>
        <w:ind w:left="1600" w:hanging="400"/>
      </w:pPr>
    </w:lvl>
    <w:lvl w:ilvl="3" w:tplc="5EA8E798" w:tentative="1">
      <w:start w:val="1"/>
      <w:numFmt w:val="decimal"/>
      <w:lvlText w:val="%4."/>
      <w:lvlJc w:val="left"/>
      <w:pPr>
        <w:ind w:left="2000" w:hanging="400"/>
      </w:pPr>
    </w:lvl>
    <w:lvl w:ilvl="4" w:tplc="6EDA0D28" w:tentative="1">
      <w:start w:val="1"/>
      <w:numFmt w:val="upperLetter"/>
      <w:lvlText w:val="%5."/>
      <w:lvlJc w:val="left"/>
      <w:pPr>
        <w:ind w:left="2400" w:hanging="400"/>
      </w:pPr>
    </w:lvl>
    <w:lvl w:ilvl="5" w:tplc="3B489D9E" w:tentative="1">
      <w:start w:val="1"/>
      <w:numFmt w:val="lowerRoman"/>
      <w:lvlText w:val="%6."/>
      <w:lvlJc w:val="right"/>
      <w:pPr>
        <w:ind w:left="2800" w:hanging="400"/>
      </w:pPr>
    </w:lvl>
    <w:lvl w:ilvl="6" w:tplc="4E80FBF6" w:tentative="1">
      <w:start w:val="1"/>
      <w:numFmt w:val="decimal"/>
      <w:lvlText w:val="%7."/>
      <w:lvlJc w:val="left"/>
      <w:pPr>
        <w:ind w:left="3200" w:hanging="400"/>
      </w:pPr>
    </w:lvl>
    <w:lvl w:ilvl="7" w:tplc="AC826ABE" w:tentative="1">
      <w:start w:val="1"/>
      <w:numFmt w:val="upperLetter"/>
      <w:lvlText w:val="%8."/>
      <w:lvlJc w:val="left"/>
      <w:pPr>
        <w:ind w:left="3600" w:hanging="400"/>
      </w:pPr>
    </w:lvl>
    <w:lvl w:ilvl="8" w:tplc="8B04C4CE" w:tentative="1">
      <w:start w:val="1"/>
      <w:numFmt w:val="lowerRoman"/>
      <w:lvlText w:val="%9."/>
      <w:lvlJc w:val="right"/>
      <w:pPr>
        <w:ind w:left="4000" w:hanging="400"/>
      </w:pPr>
    </w:lvl>
  </w:abstractNum>
  <w:abstractNum w:abstractNumId="148" w15:restartNumberingAfterBreak="0">
    <w:nsid w:val="79383759"/>
    <w:multiLevelType w:val="hybridMultilevel"/>
    <w:tmpl w:val="FA8C6630"/>
    <w:lvl w:ilvl="0" w:tplc="5510CEFE">
      <w:start w:val="1"/>
      <w:numFmt w:val="decimal"/>
      <w:lvlText w:val="%1."/>
      <w:lvlJc w:val="left"/>
      <w:pPr>
        <w:ind w:left="660" w:hanging="550"/>
      </w:pPr>
      <w:rPr>
        <w:rFonts w:ascii="Times New Roman" w:eastAsia="Times New Roman" w:hAnsi="Times New Roman" w:hint="default"/>
        <w:sz w:val="22"/>
        <w:szCs w:val="22"/>
      </w:rPr>
    </w:lvl>
    <w:lvl w:ilvl="1" w:tplc="85C4413A">
      <w:start w:val="1"/>
      <w:numFmt w:val="bullet"/>
      <w:lvlText w:val="•"/>
      <w:lvlJc w:val="left"/>
      <w:pPr>
        <w:ind w:left="1558" w:hanging="550"/>
      </w:pPr>
      <w:rPr>
        <w:rFonts w:hint="default"/>
      </w:rPr>
    </w:lvl>
    <w:lvl w:ilvl="2" w:tplc="BEE85938">
      <w:start w:val="1"/>
      <w:numFmt w:val="bullet"/>
      <w:lvlText w:val="•"/>
      <w:lvlJc w:val="left"/>
      <w:pPr>
        <w:ind w:left="2456" w:hanging="550"/>
      </w:pPr>
      <w:rPr>
        <w:rFonts w:hint="default"/>
      </w:rPr>
    </w:lvl>
    <w:lvl w:ilvl="3" w:tplc="4C026A9C">
      <w:start w:val="1"/>
      <w:numFmt w:val="bullet"/>
      <w:lvlText w:val="•"/>
      <w:lvlJc w:val="left"/>
      <w:pPr>
        <w:ind w:left="3354" w:hanging="550"/>
      </w:pPr>
      <w:rPr>
        <w:rFonts w:hint="default"/>
      </w:rPr>
    </w:lvl>
    <w:lvl w:ilvl="4" w:tplc="4DC02FA8">
      <w:start w:val="1"/>
      <w:numFmt w:val="bullet"/>
      <w:lvlText w:val="•"/>
      <w:lvlJc w:val="left"/>
      <w:pPr>
        <w:ind w:left="4252" w:hanging="550"/>
      </w:pPr>
      <w:rPr>
        <w:rFonts w:hint="default"/>
      </w:rPr>
    </w:lvl>
    <w:lvl w:ilvl="5" w:tplc="97F07E16">
      <w:start w:val="1"/>
      <w:numFmt w:val="bullet"/>
      <w:lvlText w:val="•"/>
      <w:lvlJc w:val="left"/>
      <w:pPr>
        <w:ind w:left="5150" w:hanging="550"/>
      </w:pPr>
      <w:rPr>
        <w:rFonts w:hint="default"/>
      </w:rPr>
    </w:lvl>
    <w:lvl w:ilvl="6" w:tplc="B7CCB98C">
      <w:start w:val="1"/>
      <w:numFmt w:val="bullet"/>
      <w:lvlText w:val="•"/>
      <w:lvlJc w:val="left"/>
      <w:pPr>
        <w:ind w:left="6048" w:hanging="550"/>
      </w:pPr>
      <w:rPr>
        <w:rFonts w:hint="default"/>
      </w:rPr>
    </w:lvl>
    <w:lvl w:ilvl="7" w:tplc="C948769A">
      <w:start w:val="1"/>
      <w:numFmt w:val="bullet"/>
      <w:lvlText w:val="•"/>
      <w:lvlJc w:val="left"/>
      <w:pPr>
        <w:ind w:left="6946" w:hanging="550"/>
      </w:pPr>
      <w:rPr>
        <w:rFonts w:hint="default"/>
      </w:rPr>
    </w:lvl>
    <w:lvl w:ilvl="8" w:tplc="69FEAF98">
      <w:start w:val="1"/>
      <w:numFmt w:val="bullet"/>
      <w:lvlText w:val="•"/>
      <w:lvlJc w:val="left"/>
      <w:pPr>
        <w:ind w:left="7844" w:hanging="550"/>
      </w:pPr>
      <w:rPr>
        <w:rFonts w:hint="default"/>
      </w:rPr>
    </w:lvl>
  </w:abstractNum>
  <w:abstractNum w:abstractNumId="149" w15:restartNumberingAfterBreak="0">
    <w:nsid w:val="79CD7F37"/>
    <w:multiLevelType w:val="multilevel"/>
    <w:tmpl w:val="905201FA"/>
    <w:lvl w:ilvl="0">
      <w:start w:val="1"/>
      <w:numFmt w:val="bullet"/>
      <w:lvlText w:val="•"/>
      <w:lvlJc w:val="left"/>
      <w:pPr>
        <w:ind w:left="643"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150" w15:restartNumberingAfterBreak="0">
    <w:nsid w:val="7AA675AE"/>
    <w:multiLevelType w:val="hybridMultilevel"/>
    <w:tmpl w:val="AA284A0C"/>
    <w:lvl w:ilvl="0" w:tplc="0B3EB26C">
      <w:start w:val="1"/>
      <w:numFmt w:val="decimal"/>
      <w:lvlText w:val="%1."/>
      <w:lvlJc w:val="left"/>
      <w:pPr>
        <w:ind w:hanging="562"/>
      </w:pPr>
      <w:rPr>
        <w:rFonts w:ascii="Times New Roman" w:eastAsia="Times New Roman" w:hAnsi="Times New Roman" w:hint="default"/>
        <w:b/>
        <w:bCs/>
        <w:sz w:val="22"/>
        <w:szCs w:val="22"/>
      </w:rPr>
    </w:lvl>
    <w:lvl w:ilvl="1" w:tplc="46EAFD4A">
      <w:start w:val="1"/>
      <w:numFmt w:val="bullet"/>
      <w:lvlText w:val=""/>
      <w:lvlJc w:val="left"/>
      <w:pPr>
        <w:ind w:hanging="360"/>
      </w:pPr>
      <w:rPr>
        <w:rFonts w:ascii="Symbol" w:eastAsia="Symbol" w:hAnsi="Symbol" w:hint="default"/>
        <w:sz w:val="22"/>
        <w:szCs w:val="22"/>
      </w:rPr>
    </w:lvl>
    <w:lvl w:ilvl="2" w:tplc="C67650F0">
      <w:start w:val="1"/>
      <w:numFmt w:val="bullet"/>
      <w:lvlText w:val=""/>
      <w:lvlJc w:val="left"/>
      <w:pPr>
        <w:ind w:hanging="360"/>
      </w:pPr>
      <w:rPr>
        <w:rFonts w:ascii="Symbol" w:eastAsia="Symbol" w:hAnsi="Symbol" w:hint="default"/>
        <w:sz w:val="22"/>
        <w:szCs w:val="22"/>
      </w:rPr>
    </w:lvl>
    <w:lvl w:ilvl="3" w:tplc="560C6F0E">
      <w:start w:val="1"/>
      <w:numFmt w:val="bullet"/>
      <w:lvlText w:val=""/>
      <w:lvlJc w:val="left"/>
      <w:pPr>
        <w:ind w:hanging="360"/>
      </w:pPr>
      <w:rPr>
        <w:rFonts w:ascii="Symbol" w:eastAsia="Symbol" w:hAnsi="Symbol" w:hint="default"/>
        <w:sz w:val="22"/>
        <w:szCs w:val="22"/>
      </w:rPr>
    </w:lvl>
    <w:lvl w:ilvl="4" w:tplc="EFB464EA">
      <w:start w:val="1"/>
      <w:numFmt w:val="bullet"/>
      <w:lvlText w:val=""/>
      <w:lvlJc w:val="left"/>
      <w:pPr>
        <w:ind w:hanging="360"/>
      </w:pPr>
      <w:rPr>
        <w:rFonts w:ascii="Symbol" w:eastAsia="Symbol" w:hAnsi="Symbol" w:hint="default"/>
        <w:sz w:val="22"/>
        <w:szCs w:val="22"/>
      </w:rPr>
    </w:lvl>
    <w:lvl w:ilvl="5" w:tplc="E3D89C66">
      <w:start w:val="1"/>
      <w:numFmt w:val="bullet"/>
      <w:lvlText w:val="•"/>
      <w:lvlJc w:val="left"/>
      <w:rPr>
        <w:rFonts w:hint="default"/>
      </w:rPr>
    </w:lvl>
    <w:lvl w:ilvl="6" w:tplc="6B7A9A0C">
      <w:start w:val="1"/>
      <w:numFmt w:val="bullet"/>
      <w:lvlText w:val="•"/>
      <w:lvlJc w:val="left"/>
      <w:rPr>
        <w:rFonts w:hint="default"/>
      </w:rPr>
    </w:lvl>
    <w:lvl w:ilvl="7" w:tplc="4B1E1F54">
      <w:start w:val="1"/>
      <w:numFmt w:val="bullet"/>
      <w:lvlText w:val="•"/>
      <w:lvlJc w:val="left"/>
      <w:rPr>
        <w:rFonts w:hint="default"/>
      </w:rPr>
    </w:lvl>
    <w:lvl w:ilvl="8" w:tplc="4156DCA6">
      <w:start w:val="1"/>
      <w:numFmt w:val="bullet"/>
      <w:lvlText w:val="•"/>
      <w:lvlJc w:val="left"/>
      <w:rPr>
        <w:rFonts w:hint="default"/>
      </w:rPr>
    </w:lvl>
  </w:abstractNum>
  <w:abstractNum w:abstractNumId="151" w15:restartNumberingAfterBreak="0">
    <w:nsid w:val="7B763898"/>
    <w:multiLevelType w:val="hybridMultilevel"/>
    <w:tmpl w:val="FF08613C"/>
    <w:lvl w:ilvl="0" w:tplc="082CFB74">
      <w:start w:val="1"/>
      <w:numFmt w:val="decimal"/>
      <w:lvlText w:val="%1."/>
      <w:lvlJc w:val="left"/>
      <w:pPr>
        <w:ind w:left="360" w:hanging="360"/>
      </w:pPr>
      <w:rPr>
        <w:rFonts w:ascii="Times New Roman" w:hAnsi="Times New Roman" w:cs="Times New Roman" w:hint="default"/>
        <w:b/>
      </w:rPr>
    </w:lvl>
    <w:lvl w:ilvl="1" w:tplc="2D5A4B58" w:tentative="1">
      <w:start w:val="1"/>
      <w:numFmt w:val="upperLetter"/>
      <w:lvlText w:val="%2."/>
      <w:lvlJc w:val="left"/>
      <w:pPr>
        <w:ind w:left="800" w:hanging="400"/>
      </w:pPr>
    </w:lvl>
    <w:lvl w:ilvl="2" w:tplc="FF30847C" w:tentative="1">
      <w:start w:val="1"/>
      <w:numFmt w:val="lowerRoman"/>
      <w:lvlText w:val="%3."/>
      <w:lvlJc w:val="right"/>
      <w:pPr>
        <w:ind w:left="1200" w:hanging="400"/>
      </w:pPr>
    </w:lvl>
    <w:lvl w:ilvl="3" w:tplc="29AC3A42" w:tentative="1">
      <w:start w:val="1"/>
      <w:numFmt w:val="decimal"/>
      <w:lvlText w:val="%4."/>
      <w:lvlJc w:val="left"/>
      <w:pPr>
        <w:ind w:left="1600" w:hanging="400"/>
      </w:pPr>
    </w:lvl>
    <w:lvl w:ilvl="4" w:tplc="85FC7DEE" w:tentative="1">
      <w:start w:val="1"/>
      <w:numFmt w:val="upperLetter"/>
      <w:lvlText w:val="%5."/>
      <w:lvlJc w:val="left"/>
      <w:pPr>
        <w:ind w:left="2000" w:hanging="400"/>
      </w:pPr>
    </w:lvl>
    <w:lvl w:ilvl="5" w:tplc="92D47102" w:tentative="1">
      <w:start w:val="1"/>
      <w:numFmt w:val="lowerRoman"/>
      <w:lvlText w:val="%6."/>
      <w:lvlJc w:val="right"/>
      <w:pPr>
        <w:ind w:left="2400" w:hanging="400"/>
      </w:pPr>
    </w:lvl>
    <w:lvl w:ilvl="6" w:tplc="CD548784" w:tentative="1">
      <w:start w:val="1"/>
      <w:numFmt w:val="decimal"/>
      <w:lvlText w:val="%7."/>
      <w:lvlJc w:val="left"/>
      <w:pPr>
        <w:ind w:left="2800" w:hanging="400"/>
      </w:pPr>
    </w:lvl>
    <w:lvl w:ilvl="7" w:tplc="49E66CDA" w:tentative="1">
      <w:start w:val="1"/>
      <w:numFmt w:val="upperLetter"/>
      <w:lvlText w:val="%8."/>
      <w:lvlJc w:val="left"/>
      <w:pPr>
        <w:ind w:left="3200" w:hanging="400"/>
      </w:pPr>
    </w:lvl>
    <w:lvl w:ilvl="8" w:tplc="6D469936" w:tentative="1">
      <w:start w:val="1"/>
      <w:numFmt w:val="lowerRoman"/>
      <w:lvlText w:val="%9."/>
      <w:lvlJc w:val="right"/>
      <w:pPr>
        <w:ind w:left="3600" w:hanging="400"/>
      </w:pPr>
    </w:lvl>
  </w:abstractNum>
  <w:abstractNum w:abstractNumId="152" w15:restartNumberingAfterBreak="0">
    <w:nsid w:val="7BD60B73"/>
    <w:multiLevelType w:val="hybridMultilevel"/>
    <w:tmpl w:val="BA9CA61C"/>
    <w:lvl w:ilvl="0" w:tplc="CC60F848">
      <w:start w:val="6"/>
      <w:numFmt w:val="decimal"/>
      <w:lvlText w:val="%1."/>
      <w:lvlJc w:val="left"/>
      <w:pPr>
        <w:ind w:left="677" w:hanging="567"/>
      </w:pPr>
      <w:rPr>
        <w:rFonts w:ascii="Times New Roman" w:eastAsia="Times New Roman" w:hAnsi="Times New Roman" w:hint="default"/>
        <w:sz w:val="22"/>
        <w:szCs w:val="22"/>
      </w:rPr>
    </w:lvl>
    <w:lvl w:ilvl="1" w:tplc="7D746BA0">
      <w:start w:val="1"/>
      <w:numFmt w:val="bullet"/>
      <w:lvlText w:val="•"/>
      <w:lvlJc w:val="left"/>
      <w:pPr>
        <w:ind w:left="1569" w:hanging="567"/>
      </w:pPr>
      <w:rPr>
        <w:rFonts w:hint="default"/>
      </w:rPr>
    </w:lvl>
    <w:lvl w:ilvl="2" w:tplc="37BA4FD8">
      <w:start w:val="1"/>
      <w:numFmt w:val="bullet"/>
      <w:lvlText w:val="•"/>
      <w:lvlJc w:val="left"/>
      <w:pPr>
        <w:ind w:left="2462" w:hanging="567"/>
      </w:pPr>
      <w:rPr>
        <w:rFonts w:hint="default"/>
      </w:rPr>
    </w:lvl>
    <w:lvl w:ilvl="3" w:tplc="A8007B20">
      <w:start w:val="1"/>
      <w:numFmt w:val="bullet"/>
      <w:lvlText w:val="•"/>
      <w:lvlJc w:val="left"/>
      <w:pPr>
        <w:ind w:left="3354" w:hanging="567"/>
      </w:pPr>
      <w:rPr>
        <w:rFonts w:hint="default"/>
      </w:rPr>
    </w:lvl>
    <w:lvl w:ilvl="4" w:tplc="E2F68C14">
      <w:start w:val="1"/>
      <w:numFmt w:val="bullet"/>
      <w:lvlText w:val="•"/>
      <w:lvlJc w:val="left"/>
      <w:pPr>
        <w:ind w:left="4246" w:hanging="567"/>
      </w:pPr>
      <w:rPr>
        <w:rFonts w:hint="default"/>
      </w:rPr>
    </w:lvl>
    <w:lvl w:ilvl="5" w:tplc="81586C90">
      <w:start w:val="1"/>
      <w:numFmt w:val="bullet"/>
      <w:lvlText w:val="•"/>
      <w:lvlJc w:val="left"/>
      <w:pPr>
        <w:ind w:left="5138" w:hanging="567"/>
      </w:pPr>
      <w:rPr>
        <w:rFonts w:hint="default"/>
      </w:rPr>
    </w:lvl>
    <w:lvl w:ilvl="6" w:tplc="3F1214B0">
      <w:start w:val="1"/>
      <w:numFmt w:val="bullet"/>
      <w:lvlText w:val="•"/>
      <w:lvlJc w:val="left"/>
      <w:pPr>
        <w:ind w:left="6031" w:hanging="567"/>
      </w:pPr>
      <w:rPr>
        <w:rFonts w:hint="default"/>
      </w:rPr>
    </w:lvl>
    <w:lvl w:ilvl="7" w:tplc="045A5EC8">
      <w:start w:val="1"/>
      <w:numFmt w:val="bullet"/>
      <w:lvlText w:val="•"/>
      <w:lvlJc w:val="left"/>
      <w:pPr>
        <w:ind w:left="6923" w:hanging="567"/>
      </w:pPr>
      <w:rPr>
        <w:rFonts w:hint="default"/>
      </w:rPr>
    </w:lvl>
    <w:lvl w:ilvl="8" w:tplc="83C47506">
      <w:start w:val="1"/>
      <w:numFmt w:val="bullet"/>
      <w:lvlText w:val="•"/>
      <w:lvlJc w:val="left"/>
      <w:pPr>
        <w:ind w:left="7815" w:hanging="567"/>
      </w:pPr>
      <w:rPr>
        <w:rFonts w:hint="default"/>
      </w:rPr>
    </w:lvl>
  </w:abstractNum>
  <w:abstractNum w:abstractNumId="153" w15:restartNumberingAfterBreak="0">
    <w:nsid w:val="7CD82BDC"/>
    <w:multiLevelType w:val="hybridMultilevel"/>
    <w:tmpl w:val="959E5904"/>
    <w:lvl w:ilvl="0" w:tplc="8AB49FF6">
      <w:start w:val="1"/>
      <w:numFmt w:val="bullet"/>
      <w:lvlText w:val=""/>
      <w:lvlJc w:val="left"/>
      <w:pPr>
        <w:ind w:left="313" w:hanging="176"/>
      </w:pPr>
      <w:rPr>
        <w:rFonts w:ascii="Symbol" w:eastAsia="Symbol" w:hAnsi="Symbol" w:hint="default"/>
        <w:sz w:val="22"/>
        <w:szCs w:val="22"/>
      </w:rPr>
    </w:lvl>
    <w:lvl w:ilvl="1" w:tplc="45948F0E">
      <w:start w:val="1"/>
      <w:numFmt w:val="bullet"/>
      <w:lvlText w:val="•"/>
      <w:lvlJc w:val="left"/>
      <w:pPr>
        <w:ind w:left="965" w:hanging="176"/>
      </w:pPr>
      <w:rPr>
        <w:rFonts w:hint="default"/>
      </w:rPr>
    </w:lvl>
    <w:lvl w:ilvl="2" w:tplc="9BD0F86A">
      <w:start w:val="1"/>
      <w:numFmt w:val="bullet"/>
      <w:lvlText w:val="•"/>
      <w:lvlJc w:val="left"/>
      <w:pPr>
        <w:ind w:left="1617" w:hanging="176"/>
      </w:pPr>
      <w:rPr>
        <w:rFonts w:hint="default"/>
      </w:rPr>
    </w:lvl>
    <w:lvl w:ilvl="3" w:tplc="9A82082E">
      <w:start w:val="1"/>
      <w:numFmt w:val="bullet"/>
      <w:lvlText w:val="•"/>
      <w:lvlJc w:val="left"/>
      <w:pPr>
        <w:ind w:left="2270" w:hanging="176"/>
      </w:pPr>
      <w:rPr>
        <w:rFonts w:hint="default"/>
      </w:rPr>
    </w:lvl>
    <w:lvl w:ilvl="4" w:tplc="144C0B6E">
      <w:start w:val="1"/>
      <w:numFmt w:val="bullet"/>
      <w:lvlText w:val="•"/>
      <w:lvlJc w:val="left"/>
      <w:pPr>
        <w:ind w:left="2922" w:hanging="176"/>
      </w:pPr>
      <w:rPr>
        <w:rFonts w:hint="default"/>
      </w:rPr>
    </w:lvl>
    <w:lvl w:ilvl="5" w:tplc="E55EC32E">
      <w:start w:val="1"/>
      <w:numFmt w:val="bullet"/>
      <w:lvlText w:val="•"/>
      <w:lvlJc w:val="left"/>
      <w:pPr>
        <w:ind w:left="3574" w:hanging="176"/>
      </w:pPr>
      <w:rPr>
        <w:rFonts w:hint="default"/>
      </w:rPr>
    </w:lvl>
    <w:lvl w:ilvl="6" w:tplc="48322BBA">
      <w:start w:val="1"/>
      <w:numFmt w:val="bullet"/>
      <w:lvlText w:val="•"/>
      <w:lvlJc w:val="left"/>
      <w:pPr>
        <w:ind w:left="4226" w:hanging="176"/>
      </w:pPr>
      <w:rPr>
        <w:rFonts w:hint="default"/>
      </w:rPr>
    </w:lvl>
    <w:lvl w:ilvl="7" w:tplc="EDD468C8">
      <w:start w:val="1"/>
      <w:numFmt w:val="bullet"/>
      <w:lvlText w:val="•"/>
      <w:lvlJc w:val="left"/>
      <w:pPr>
        <w:ind w:left="4878" w:hanging="176"/>
      </w:pPr>
      <w:rPr>
        <w:rFonts w:hint="default"/>
      </w:rPr>
    </w:lvl>
    <w:lvl w:ilvl="8" w:tplc="5C84D0B2">
      <w:start w:val="1"/>
      <w:numFmt w:val="bullet"/>
      <w:lvlText w:val="•"/>
      <w:lvlJc w:val="left"/>
      <w:pPr>
        <w:ind w:left="5531" w:hanging="176"/>
      </w:pPr>
      <w:rPr>
        <w:rFonts w:hint="default"/>
      </w:rPr>
    </w:lvl>
  </w:abstractNum>
  <w:abstractNum w:abstractNumId="154" w15:restartNumberingAfterBreak="0">
    <w:nsid w:val="7DDA6D33"/>
    <w:multiLevelType w:val="hybridMultilevel"/>
    <w:tmpl w:val="07EE91F8"/>
    <w:lvl w:ilvl="0" w:tplc="A3465A08">
      <w:start w:val="1"/>
      <w:numFmt w:val="bullet"/>
      <w:lvlText w:val=""/>
      <w:lvlJc w:val="left"/>
      <w:pPr>
        <w:ind w:left="2287" w:hanging="360"/>
      </w:pPr>
      <w:rPr>
        <w:rFonts w:ascii="Symbol" w:eastAsia="Symbol" w:hAnsi="Symbol" w:hint="default"/>
        <w:sz w:val="22"/>
        <w:szCs w:val="22"/>
      </w:rPr>
    </w:lvl>
    <w:lvl w:ilvl="1" w:tplc="763667A2">
      <w:start w:val="1"/>
      <w:numFmt w:val="bullet"/>
      <w:lvlText w:val="•"/>
      <w:lvlJc w:val="left"/>
      <w:pPr>
        <w:ind w:left="2754" w:hanging="360"/>
      </w:pPr>
      <w:rPr>
        <w:rFonts w:hint="default"/>
      </w:rPr>
    </w:lvl>
    <w:lvl w:ilvl="2" w:tplc="212881A4">
      <w:start w:val="1"/>
      <w:numFmt w:val="bullet"/>
      <w:lvlText w:val="•"/>
      <w:lvlJc w:val="left"/>
      <w:pPr>
        <w:ind w:left="3222" w:hanging="360"/>
      </w:pPr>
      <w:rPr>
        <w:rFonts w:hint="default"/>
      </w:rPr>
    </w:lvl>
    <w:lvl w:ilvl="3" w:tplc="D2D0EB1A">
      <w:start w:val="1"/>
      <w:numFmt w:val="bullet"/>
      <w:lvlText w:val="•"/>
      <w:lvlJc w:val="left"/>
      <w:pPr>
        <w:ind w:left="3689" w:hanging="360"/>
      </w:pPr>
      <w:rPr>
        <w:rFonts w:hint="default"/>
      </w:rPr>
    </w:lvl>
    <w:lvl w:ilvl="4" w:tplc="DD5EEFFC">
      <w:start w:val="1"/>
      <w:numFmt w:val="bullet"/>
      <w:lvlText w:val="•"/>
      <w:lvlJc w:val="left"/>
      <w:pPr>
        <w:ind w:left="4156" w:hanging="360"/>
      </w:pPr>
      <w:rPr>
        <w:rFonts w:hint="default"/>
      </w:rPr>
    </w:lvl>
    <w:lvl w:ilvl="5" w:tplc="3C700EF8">
      <w:start w:val="1"/>
      <w:numFmt w:val="bullet"/>
      <w:lvlText w:val="•"/>
      <w:lvlJc w:val="left"/>
      <w:pPr>
        <w:ind w:left="4624" w:hanging="360"/>
      </w:pPr>
      <w:rPr>
        <w:rFonts w:hint="default"/>
      </w:rPr>
    </w:lvl>
    <w:lvl w:ilvl="6" w:tplc="B484AAEA">
      <w:start w:val="1"/>
      <w:numFmt w:val="bullet"/>
      <w:lvlText w:val="•"/>
      <w:lvlJc w:val="left"/>
      <w:pPr>
        <w:ind w:left="5091" w:hanging="360"/>
      </w:pPr>
      <w:rPr>
        <w:rFonts w:hint="default"/>
      </w:rPr>
    </w:lvl>
    <w:lvl w:ilvl="7" w:tplc="491ADD38">
      <w:start w:val="1"/>
      <w:numFmt w:val="bullet"/>
      <w:lvlText w:val="•"/>
      <w:lvlJc w:val="left"/>
      <w:pPr>
        <w:ind w:left="5559" w:hanging="360"/>
      </w:pPr>
      <w:rPr>
        <w:rFonts w:hint="default"/>
      </w:rPr>
    </w:lvl>
    <w:lvl w:ilvl="8" w:tplc="5628BBB8">
      <w:start w:val="1"/>
      <w:numFmt w:val="bullet"/>
      <w:lvlText w:val="•"/>
      <w:lvlJc w:val="left"/>
      <w:pPr>
        <w:ind w:left="6026" w:hanging="360"/>
      </w:pPr>
      <w:rPr>
        <w:rFonts w:hint="default"/>
      </w:rPr>
    </w:lvl>
  </w:abstractNum>
  <w:num w:numId="1" w16cid:durableId="1669089206">
    <w:abstractNumId w:val="23"/>
  </w:num>
  <w:num w:numId="2" w16cid:durableId="1854802289">
    <w:abstractNumId w:val="10"/>
  </w:num>
  <w:num w:numId="3" w16cid:durableId="1782453079">
    <w:abstractNumId w:val="150"/>
  </w:num>
  <w:num w:numId="4" w16cid:durableId="143552260">
    <w:abstractNumId w:val="79"/>
  </w:num>
  <w:num w:numId="5" w16cid:durableId="1061707018">
    <w:abstractNumId w:val="103"/>
  </w:num>
  <w:num w:numId="6" w16cid:durableId="698318148">
    <w:abstractNumId w:val="96"/>
  </w:num>
  <w:num w:numId="7" w16cid:durableId="124783877">
    <w:abstractNumId w:val="24"/>
  </w:num>
  <w:num w:numId="8" w16cid:durableId="1452213785">
    <w:abstractNumId w:val="56"/>
  </w:num>
  <w:num w:numId="9" w16cid:durableId="1250776143">
    <w:abstractNumId w:val="55"/>
  </w:num>
  <w:num w:numId="10" w16cid:durableId="858395186">
    <w:abstractNumId w:val="114"/>
  </w:num>
  <w:num w:numId="11" w16cid:durableId="1466504760">
    <w:abstractNumId w:val="131"/>
  </w:num>
  <w:num w:numId="12" w16cid:durableId="913929888">
    <w:abstractNumId w:val="40"/>
  </w:num>
  <w:num w:numId="13" w16cid:durableId="1495681892">
    <w:abstractNumId w:val="63"/>
  </w:num>
  <w:num w:numId="14" w16cid:durableId="948854449">
    <w:abstractNumId w:val="142"/>
  </w:num>
  <w:num w:numId="15" w16cid:durableId="967857595">
    <w:abstractNumId w:val="71"/>
  </w:num>
  <w:num w:numId="16" w16cid:durableId="932708739">
    <w:abstractNumId w:val="115"/>
  </w:num>
  <w:num w:numId="17" w16cid:durableId="3676042">
    <w:abstractNumId w:val="14"/>
  </w:num>
  <w:num w:numId="18" w16cid:durableId="1329168261">
    <w:abstractNumId w:val="64"/>
  </w:num>
  <w:num w:numId="19" w16cid:durableId="1647274440">
    <w:abstractNumId w:val="50"/>
  </w:num>
  <w:num w:numId="20" w16cid:durableId="95712323">
    <w:abstractNumId w:val="27"/>
  </w:num>
  <w:num w:numId="21" w16cid:durableId="1808429322">
    <w:abstractNumId w:val="0"/>
  </w:num>
  <w:num w:numId="22" w16cid:durableId="40835944">
    <w:abstractNumId w:val="143"/>
  </w:num>
  <w:num w:numId="23" w16cid:durableId="1997800329">
    <w:abstractNumId w:val="116"/>
  </w:num>
  <w:num w:numId="24" w16cid:durableId="761757208">
    <w:abstractNumId w:val="74"/>
  </w:num>
  <w:num w:numId="25" w16cid:durableId="597636996">
    <w:abstractNumId w:val="53"/>
  </w:num>
  <w:num w:numId="26" w16cid:durableId="1433478443">
    <w:abstractNumId w:val="36"/>
  </w:num>
  <w:num w:numId="27" w16cid:durableId="1972205944">
    <w:abstractNumId w:val="2"/>
  </w:num>
  <w:num w:numId="28" w16cid:durableId="1963725548">
    <w:abstractNumId w:val="139"/>
  </w:num>
  <w:num w:numId="29" w16cid:durableId="2109959215">
    <w:abstractNumId w:val="34"/>
  </w:num>
  <w:num w:numId="30" w16cid:durableId="1078091414">
    <w:abstractNumId w:val="62"/>
  </w:num>
  <w:num w:numId="31" w16cid:durableId="1824157642">
    <w:abstractNumId w:val="7"/>
  </w:num>
  <w:num w:numId="32" w16cid:durableId="922252903">
    <w:abstractNumId w:val="66"/>
  </w:num>
  <w:num w:numId="33" w16cid:durableId="1462112707">
    <w:abstractNumId w:val="21"/>
  </w:num>
  <w:num w:numId="34" w16cid:durableId="1980960212">
    <w:abstractNumId w:val="147"/>
  </w:num>
  <w:num w:numId="35" w16cid:durableId="1462922581">
    <w:abstractNumId w:val="107"/>
  </w:num>
  <w:num w:numId="36" w16cid:durableId="174417548">
    <w:abstractNumId w:val="110"/>
  </w:num>
  <w:num w:numId="37" w16cid:durableId="1603341312">
    <w:abstractNumId w:val="19"/>
  </w:num>
  <w:num w:numId="38" w16cid:durableId="259487442">
    <w:abstractNumId w:val="8"/>
  </w:num>
  <w:num w:numId="39" w16cid:durableId="99495386">
    <w:abstractNumId w:val="12"/>
  </w:num>
  <w:num w:numId="40" w16cid:durableId="1279801099">
    <w:abstractNumId w:val="93"/>
  </w:num>
  <w:num w:numId="41" w16cid:durableId="1152482209">
    <w:abstractNumId w:val="126"/>
  </w:num>
  <w:num w:numId="42" w16cid:durableId="1084957082">
    <w:abstractNumId w:val="109"/>
  </w:num>
  <w:num w:numId="43" w16cid:durableId="1165320368">
    <w:abstractNumId w:val="59"/>
  </w:num>
  <w:num w:numId="44" w16cid:durableId="727798678">
    <w:abstractNumId w:val="133"/>
  </w:num>
  <w:num w:numId="45" w16cid:durableId="2020232867">
    <w:abstractNumId w:val="47"/>
  </w:num>
  <w:num w:numId="46" w16cid:durableId="1467895170">
    <w:abstractNumId w:val="87"/>
  </w:num>
  <w:num w:numId="47" w16cid:durableId="1192454616">
    <w:abstractNumId w:val="13"/>
  </w:num>
  <w:num w:numId="48" w16cid:durableId="874151560">
    <w:abstractNumId w:val="9"/>
  </w:num>
  <w:num w:numId="49" w16cid:durableId="1983387949">
    <w:abstractNumId w:val="42"/>
  </w:num>
  <w:num w:numId="50" w16cid:durableId="2023893662">
    <w:abstractNumId w:val="124"/>
  </w:num>
  <w:num w:numId="51" w16cid:durableId="286475860">
    <w:abstractNumId w:val="25"/>
  </w:num>
  <w:num w:numId="52" w16cid:durableId="647169541">
    <w:abstractNumId w:val="154"/>
  </w:num>
  <w:num w:numId="53" w16cid:durableId="1871381845">
    <w:abstractNumId w:val="108"/>
  </w:num>
  <w:num w:numId="54" w16cid:durableId="1748644794">
    <w:abstractNumId w:val="18"/>
  </w:num>
  <w:num w:numId="55" w16cid:durableId="1854956660">
    <w:abstractNumId w:val="78"/>
  </w:num>
  <w:num w:numId="56" w16cid:durableId="431554586">
    <w:abstractNumId w:val="39"/>
  </w:num>
  <w:num w:numId="57" w16cid:durableId="1314482157">
    <w:abstractNumId w:val="112"/>
  </w:num>
  <w:num w:numId="58" w16cid:durableId="1588265800">
    <w:abstractNumId w:val="49"/>
  </w:num>
  <w:num w:numId="59" w16cid:durableId="1695841570">
    <w:abstractNumId w:val="54"/>
  </w:num>
  <w:num w:numId="60" w16cid:durableId="338892469">
    <w:abstractNumId w:val="152"/>
  </w:num>
  <w:num w:numId="61" w16cid:durableId="1232495989">
    <w:abstractNumId w:val="136"/>
  </w:num>
  <w:num w:numId="62" w16cid:durableId="1383403353">
    <w:abstractNumId w:val="82"/>
  </w:num>
  <w:num w:numId="63" w16cid:durableId="701632186">
    <w:abstractNumId w:val="99"/>
  </w:num>
  <w:num w:numId="64" w16cid:durableId="1800568744">
    <w:abstractNumId w:val="57"/>
  </w:num>
  <w:num w:numId="65" w16cid:durableId="1042365004">
    <w:abstractNumId w:val="68"/>
  </w:num>
  <w:num w:numId="66" w16cid:durableId="1753817892">
    <w:abstractNumId w:val="4"/>
  </w:num>
  <w:num w:numId="67" w16cid:durableId="743139522">
    <w:abstractNumId w:val="52"/>
  </w:num>
  <w:num w:numId="68" w16cid:durableId="1792285273">
    <w:abstractNumId w:val="11"/>
  </w:num>
  <w:num w:numId="69" w16cid:durableId="534343731">
    <w:abstractNumId w:val="106"/>
  </w:num>
  <w:num w:numId="70" w16cid:durableId="1432093859">
    <w:abstractNumId w:val="146"/>
  </w:num>
  <w:num w:numId="71" w16cid:durableId="308170194">
    <w:abstractNumId w:val="83"/>
  </w:num>
  <w:num w:numId="72" w16cid:durableId="105851173">
    <w:abstractNumId w:val="44"/>
  </w:num>
  <w:num w:numId="73" w16cid:durableId="266084850">
    <w:abstractNumId w:val="102"/>
  </w:num>
  <w:num w:numId="74" w16cid:durableId="973562433">
    <w:abstractNumId w:val="5"/>
  </w:num>
  <w:num w:numId="75" w16cid:durableId="596136708">
    <w:abstractNumId w:val="105"/>
  </w:num>
  <w:num w:numId="76" w16cid:durableId="281500915">
    <w:abstractNumId w:val="85"/>
  </w:num>
  <w:num w:numId="77" w16cid:durableId="1145395340">
    <w:abstractNumId w:val="148"/>
  </w:num>
  <w:num w:numId="78" w16cid:durableId="1245333670">
    <w:abstractNumId w:val="45"/>
  </w:num>
  <w:num w:numId="79" w16cid:durableId="1133209870">
    <w:abstractNumId w:val="127"/>
  </w:num>
  <w:num w:numId="80" w16cid:durableId="273876315">
    <w:abstractNumId w:val="69"/>
  </w:num>
  <w:num w:numId="81" w16cid:durableId="950673350">
    <w:abstractNumId w:val="86"/>
  </w:num>
  <w:num w:numId="82" w16cid:durableId="1149326760">
    <w:abstractNumId w:val="90"/>
  </w:num>
  <w:num w:numId="83" w16cid:durableId="1015426398">
    <w:abstractNumId w:val="26"/>
  </w:num>
  <w:num w:numId="84" w16cid:durableId="1059983878">
    <w:abstractNumId w:val="95"/>
  </w:num>
  <w:num w:numId="85" w16cid:durableId="270285887">
    <w:abstractNumId w:val="134"/>
  </w:num>
  <w:num w:numId="86" w16cid:durableId="1832797059">
    <w:abstractNumId w:val="16"/>
  </w:num>
  <w:num w:numId="87" w16cid:durableId="1307855296">
    <w:abstractNumId w:val="92"/>
  </w:num>
  <w:num w:numId="88" w16cid:durableId="625622345">
    <w:abstractNumId w:val="28"/>
  </w:num>
  <w:num w:numId="89" w16cid:durableId="1046293477">
    <w:abstractNumId w:val="123"/>
  </w:num>
  <w:num w:numId="90" w16cid:durableId="1447309896">
    <w:abstractNumId w:val="113"/>
  </w:num>
  <w:num w:numId="91" w16cid:durableId="1655597760">
    <w:abstractNumId w:val="61"/>
  </w:num>
  <w:num w:numId="92" w16cid:durableId="509832570">
    <w:abstractNumId w:val="31"/>
  </w:num>
  <w:num w:numId="93" w16cid:durableId="1126386919">
    <w:abstractNumId w:val="138"/>
  </w:num>
  <w:num w:numId="94" w16cid:durableId="1192845376">
    <w:abstractNumId w:val="75"/>
  </w:num>
  <w:num w:numId="95" w16cid:durableId="1069840345">
    <w:abstractNumId w:val="104"/>
  </w:num>
  <w:num w:numId="96" w16cid:durableId="1374815670">
    <w:abstractNumId w:val="46"/>
  </w:num>
  <w:num w:numId="97" w16cid:durableId="629943676">
    <w:abstractNumId w:val="94"/>
  </w:num>
  <w:num w:numId="98" w16cid:durableId="1511723902">
    <w:abstractNumId w:val="100"/>
  </w:num>
  <w:num w:numId="99" w16cid:durableId="64691384">
    <w:abstractNumId w:val="145"/>
  </w:num>
  <w:num w:numId="100" w16cid:durableId="1684210058">
    <w:abstractNumId w:val="88"/>
  </w:num>
  <w:num w:numId="101" w16cid:durableId="852575386">
    <w:abstractNumId w:val="89"/>
  </w:num>
  <w:num w:numId="102" w16cid:durableId="2092920874">
    <w:abstractNumId w:val="76"/>
  </w:num>
  <w:num w:numId="103" w16cid:durableId="273682685">
    <w:abstractNumId w:val="67"/>
  </w:num>
  <w:num w:numId="104" w16cid:durableId="1545022043">
    <w:abstractNumId w:val="3"/>
  </w:num>
  <w:num w:numId="105" w16cid:durableId="1964076919">
    <w:abstractNumId w:val="20"/>
  </w:num>
  <w:num w:numId="106" w16cid:durableId="1091659295">
    <w:abstractNumId w:val="153"/>
  </w:num>
  <w:num w:numId="107" w16cid:durableId="2046251370">
    <w:abstractNumId w:val="60"/>
  </w:num>
  <w:num w:numId="108" w16cid:durableId="1292133190">
    <w:abstractNumId w:val="15"/>
  </w:num>
  <w:num w:numId="109" w16cid:durableId="1061946332">
    <w:abstractNumId w:val="6"/>
  </w:num>
  <w:num w:numId="110" w16cid:durableId="1789005859">
    <w:abstractNumId w:val="32"/>
  </w:num>
  <w:num w:numId="111" w16cid:durableId="2103136859">
    <w:abstractNumId w:val="1"/>
    <w:lvlOverride w:ilvl="0">
      <w:lvl w:ilvl="0">
        <w:start w:val="1"/>
        <w:numFmt w:val="bullet"/>
        <w:lvlText w:val="-"/>
        <w:lvlJc w:val="left"/>
        <w:pPr>
          <w:ind w:left="360" w:hanging="360"/>
        </w:pPr>
      </w:lvl>
    </w:lvlOverride>
  </w:num>
  <w:num w:numId="112" w16cid:durableId="136798534">
    <w:abstractNumId w:val="128"/>
  </w:num>
  <w:num w:numId="113" w16cid:durableId="639385700">
    <w:abstractNumId w:val="98"/>
  </w:num>
  <w:num w:numId="114" w16cid:durableId="1802726309">
    <w:abstractNumId w:val="149"/>
  </w:num>
  <w:num w:numId="115" w16cid:durableId="1594895435">
    <w:abstractNumId w:val="111"/>
  </w:num>
  <w:num w:numId="116" w16cid:durableId="13925510">
    <w:abstractNumId w:val="130"/>
  </w:num>
  <w:num w:numId="117" w16cid:durableId="414327007">
    <w:abstractNumId w:val="125"/>
  </w:num>
  <w:num w:numId="118" w16cid:durableId="1414424881">
    <w:abstractNumId w:val="43"/>
  </w:num>
  <w:num w:numId="119" w16cid:durableId="674496994">
    <w:abstractNumId w:val="35"/>
  </w:num>
  <w:num w:numId="120" w16cid:durableId="1023475955">
    <w:abstractNumId w:val="33"/>
  </w:num>
  <w:num w:numId="121" w16cid:durableId="1987778189">
    <w:abstractNumId w:val="22"/>
  </w:num>
  <w:num w:numId="122" w16cid:durableId="1175537219">
    <w:abstractNumId w:val="65"/>
  </w:num>
  <w:num w:numId="123" w16cid:durableId="806437847">
    <w:abstractNumId w:val="81"/>
  </w:num>
  <w:num w:numId="124" w16cid:durableId="2080399888">
    <w:abstractNumId w:val="84"/>
  </w:num>
  <w:num w:numId="125" w16cid:durableId="855735074">
    <w:abstractNumId w:val="119"/>
  </w:num>
  <w:num w:numId="126" w16cid:durableId="31730495">
    <w:abstractNumId w:val="144"/>
  </w:num>
  <w:num w:numId="127" w16cid:durableId="787509016">
    <w:abstractNumId w:val="72"/>
  </w:num>
  <w:num w:numId="128" w16cid:durableId="22362885">
    <w:abstractNumId w:val="121"/>
  </w:num>
  <w:num w:numId="129" w16cid:durableId="706685889">
    <w:abstractNumId w:val="141"/>
  </w:num>
  <w:num w:numId="130" w16cid:durableId="129834476">
    <w:abstractNumId w:val="73"/>
  </w:num>
  <w:num w:numId="131" w16cid:durableId="1064066676">
    <w:abstractNumId w:val="17"/>
  </w:num>
  <w:num w:numId="132" w16cid:durableId="1109813853">
    <w:abstractNumId w:val="41"/>
  </w:num>
  <w:num w:numId="133" w16cid:durableId="1795710137">
    <w:abstractNumId w:val="30"/>
  </w:num>
  <w:num w:numId="134" w16cid:durableId="1757549822">
    <w:abstractNumId w:val="117"/>
  </w:num>
  <w:num w:numId="135" w16cid:durableId="889222469">
    <w:abstractNumId w:val="51"/>
  </w:num>
  <w:num w:numId="136" w16cid:durableId="872815021">
    <w:abstractNumId w:val="77"/>
  </w:num>
  <w:num w:numId="137" w16cid:durableId="56708941">
    <w:abstractNumId w:val="29"/>
  </w:num>
  <w:num w:numId="138" w16cid:durableId="1984969851">
    <w:abstractNumId w:val="38"/>
  </w:num>
  <w:num w:numId="139" w16cid:durableId="389043374">
    <w:abstractNumId w:val="37"/>
  </w:num>
  <w:num w:numId="140" w16cid:durableId="1095444480">
    <w:abstractNumId w:val="91"/>
  </w:num>
  <w:num w:numId="141" w16cid:durableId="436482915">
    <w:abstractNumId w:val="151"/>
  </w:num>
  <w:num w:numId="142" w16cid:durableId="1940674839">
    <w:abstractNumId w:val="135"/>
  </w:num>
  <w:num w:numId="143" w16cid:durableId="1481994695">
    <w:abstractNumId w:val="132"/>
  </w:num>
  <w:num w:numId="144" w16cid:durableId="303392867">
    <w:abstractNumId w:val="120"/>
  </w:num>
  <w:num w:numId="145" w16cid:durableId="1200968719">
    <w:abstractNumId w:val="97"/>
  </w:num>
  <w:num w:numId="146" w16cid:durableId="1199927904">
    <w:abstractNumId w:val="101"/>
  </w:num>
  <w:num w:numId="147" w16cid:durableId="1582256690">
    <w:abstractNumId w:val="137"/>
  </w:num>
  <w:num w:numId="148" w16cid:durableId="748238481">
    <w:abstractNumId w:val="70"/>
  </w:num>
  <w:num w:numId="149" w16cid:durableId="623775114">
    <w:abstractNumId w:val="140"/>
  </w:num>
  <w:num w:numId="150" w16cid:durableId="1077705502">
    <w:abstractNumId w:val="122"/>
  </w:num>
  <w:num w:numId="151" w16cid:durableId="826868039">
    <w:abstractNumId w:val="48"/>
  </w:num>
  <w:num w:numId="152" w16cid:durableId="233979029">
    <w:abstractNumId w:val="129"/>
  </w:num>
  <w:num w:numId="153" w16cid:durableId="473301653">
    <w:abstractNumId w:val="58"/>
  </w:num>
  <w:num w:numId="154" w16cid:durableId="1693802374">
    <w:abstractNumId w:val="80"/>
  </w:num>
  <w:num w:numId="155" w16cid:durableId="414790921">
    <w:abstractNumId w:val="118"/>
  </w:num>
  <w:numIdMacAtCleanup w:val="1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removePersonalInformation/>
  <w:removeDateAndTime/>
  <w:bordersDoNotSurroundHeader/>
  <w:bordersDoNotSurroundFooter/>
  <w:hideSpellingErrors/>
  <w:hideGrammaticalErrors/>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4C8A"/>
    <w:rsid w:val="000013E8"/>
    <w:rsid w:val="0002206D"/>
    <w:rsid w:val="00025C33"/>
    <w:rsid w:val="0002799B"/>
    <w:rsid w:val="00033309"/>
    <w:rsid w:val="000336CE"/>
    <w:rsid w:val="00047596"/>
    <w:rsid w:val="000518B8"/>
    <w:rsid w:val="0005314C"/>
    <w:rsid w:val="00056890"/>
    <w:rsid w:val="00057B21"/>
    <w:rsid w:val="00066581"/>
    <w:rsid w:val="00072717"/>
    <w:rsid w:val="000E0F22"/>
    <w:rsid w:val="000E386D"/>
    <w:rsid w:val="000E45DA"/>
    <w:rsid w:val="000E5E1D"/>
    <w:rsid w:val="000F107A"/>
    <w:rsid w:val="000F32C1"/>
    <w:rsid w:val="00101260"/>
    <w:rsid w:val="00103C56"/>
    <w:rsid w:val="00107D7D"/>
    <w:rsid w:val="0011416E"/>
    <w:rsid w:val="0011614D"/>
    <w:rsid w:val="001238AD"/>
    <w:rsid w:val="00124134"/>
    <w:rsid w:val="0013362E"/>
    <w:rsid w:val="00135E34"/>
    <w:rsid w:val="001407A2"/>
    <w:rsid w:val="00142E40"/>
    <w:rsid w:val="001452D7"/>
    <w:rsid w:val="00152B1B"/>
    <w:rsid w:val="00160FDE"/>
    <w:rsid w:val="0016356E"/>
    <w:rsid w:val="00164DDF"/>
    <w:rsid w:val="0016539A"/>
    <w:rsid w:val="00170C3B"/>
    <w:rsid w:val="00170C57"/>
    <w:rsid w:val="00180CD6"/>
    <w:rsid w:val="00181934"/>
    <w:rsid w:val="00183CD7"/>
    <w:rsid w:val="001977F3"/>
    <w:rsid w:val="001A1C11"/>
    <w:rsid w:val="001A75F7"/>
    <w:rsid w:val="001B02C1"/>
    <w:rsid w:val="001B1C67"/>
    <w:rsid w:val="001B5C66"/>
    <w:rsid w:val="001B6D73"/>
    <w:rsid w:val="001C2E77"/>
    <w:rsid w:val="001D5155"/>
    <w:rsid w:val="001D6B41"/>
    <w:rsid w:val="001E0A84"/>
    <w:rsid w:val="001E1230"/>
    <w:rsid w:val="001E1700"/>
    <w:rsid w:val="001E1A19"/>
    <w:rsid w:val="001E2AF0"/>
    <w:rsid w:val="001E2C0B"/>
    <w:rsid w:val="001E6361"/>
    <w:rsid w:val="001F4D56"/>
    <w:rsid w:val="002024B5"/>
    <w:rsid w:val="002062E3"/>
    <w:rsid w:val="002153A2"/>
    <w:rsid w:val="002206FE"/>
    <w:rsid w:val="002214CA"/>
    <w:rsid w:val="002327DE"/>
    <w:rsid w:val="0023314F"/>
    <w:rsid w:val="00250E67"/>
    <w:rsid w:val="00252440"/>
    <w:rsid w:val="00253DCD"/>
    <w:rsid w:val="00253F96"/>
    <w:rsid w:val="00260C78"/>
    <w:rsid w:val="0026401E"/>
    <w:rsid w:val="00265B39"/>
    <w:rsid w:val="00270C6B"/>
    <w:rsid w:val="002734DB"/>
    <w:rsid w:val="00276580"/>
    <w:rsid w:val="00276D7D"/>
    <w:rsid w:val="00281377"/>
    <w:rsid w:val="0028193B"/>
    <w:rsid w:val="002874E0"/>
    <w:rsid w:val="0029364E"/>
    <w:rsid w:val="0029566D"/>
    <w:rsid w:val="002B7ECD"/>
    <w:rsid w:val="002D1483"/>
    <w:rsid w:val="002D182A"/>
    <w:rsid w:val="002D36CB"/>
    <w:rsid w:val="002F4B1E"/>
    <w:rsid w:val="0030421B"/>
    <w:rsid w:val="00306881"/>
    <w:rsid w:val="003125F7"/>
    <w:rsid w:val="003138FB"/>
    <w:rsid w:val="003239D4"/>
    <w:rsid w:val="00323C29"/>
    <w:rsid w:val="00337BB0"/>
    <w:rsid w:val="003463B6"/>
    <w:rsid w:val="0035118A"/>
    <w:rsid w:val="003647C8"/>
    <w:rsid w:val="00365C5F"/>
    <w:rsid w:val="00366D10"/>
    <w:rsid w:val="00372ACD"/>
    <w:rsid w:val="00383D29"/>
    <w:rsid w:val="00385E1F"/>
    <w:rsid w:val="00385EFB"/>
    <w:rsid w:val="00387486"/>
    <w:rsid w:val="0039470C"/>
    <w:rsid w:val="0039686D"/>
    <w:rsid w:val="003B280A"/>
    <w:rsid w:val="003C3825"/>
    <w:rsid w:val="003C3A6F"/>
    <w:rsid w:val="003C6605"/>
    <w:rsid w:val="003C70F7"/>
    <w:rsid w:val="003D1516"/>
    <w:rsid w:val="003D20DA"/>
    <w:rsid w:val="003D425B"/>
    <w:rsid w:val="003E692A"/>
    <w:rsid w:val="003F27D3"/>
    <w:rsid w:val="003F3881"/>
    <w:rsid w:val="003F7956"/>
    <w:rsid w:val="00400BF9"/>
    <w:rsid w:val="00405835"/>
    <w:rsid w:val="00407F29"/>
    <w:rsid w:val="004131EA"/>
    <w:rsid w:val="004176E6"/>
    <w:rsid w:val="004207EE"/>
    <w:rsid w:val="00420FB6"/>
    <w:rsid w:val="00424905"/>
    <w:rsid w:val="0042542C"/>
    <w:rsid w:val="0042635D"/>
    <w:rsid w:val="00426EB2"/>
    <w:rsid w:val="00433A4B"/>
    <w:rsid w:val="0043693B"/>
    <w:rsid w:val="00437633"/>
    <w:rsid w:val="00437773"/>
    <w:rsid w:val="00442BB9"/>
    <w:rsid w:val="00450F83"/>
    <w:rsid w:val="00452552"/>
    <w:rsid w:val="00452FB1"/>
    <w:rsid w:val="0045520A"/>
    <w:rsid w:val="00465118"/>
    <w:rsid w:val="00467525"/>
    <w:rsid w:val="0047220F"/>
    <w:rsid w:val="00472D63"/>
    <w:rsid w:val="00474DFB"/>
    <w:rsid w:val="0047504A"/>
    <w:rsid w:val="00475A1E"/>
    <w:rsid w:val="00482E96"/>
    <w:rsid w:val="004A185B"/>
    <w:rsid w:val="004A1A0B"/>
    <w:rsid w:val="004A6F12"/>
    <w:rsid w:val="004B2244"/>
    <w:rsid w:val="004B485D"/>
    <w:rsid w:val="004B6888"/>
    <w:rsid w:val="004C4E3F"/>
    <w:rsid w:val="004D17C6"/>
    <w:rsid w:val="004D48D8"/>
    <w:rsid w:val="004D55EF"/>
    <w:rsid w:val="004D5EDF"/>
    <w:rsid w:val="004E161B"/>
    <w:rsid w:val="004E4431"/>
    <w:rsid w:val="004E72F7"/>
    <w:rsid w:val="004E73A9"/>
    <w:rsid w:val="004F0C37"/>
    <w:rsid w:val="004F5C88"/>
    <w:rsid w:val="005055A9"/>
    <w:rsid w:val="00516987"/>
    <w:rsid w:val="0053793A"/>
    <w:rsid w:val="00540EE4"/>
    <w:rsid w:val="0054373A"/>
    <w:rsid w:val="0054533C"/>
    <w:rsid w:val="0054704E"/>
    <w:rsid w:val="00550480"/>
    <w:rsid w:val="005539C0"/>
    <w:rsid w:val="00555372"/>
    <w:rsid w:val="005642C7"/>
    <w:rsid w:val="00566D4D"/>
    <w:rsid w:val="00567297"/>
    <w:rsid w:val="00570034"/>
    <w:rsid w:val="00574804"/>
    <w:rsid w:val="00580A9A"/>
    <w:rsid w:val="00581A5E"/>
    <w:rsid w:val="0059160E"/>
    <w:rsid w:val="00593071"/>
    <w:rsid w:val="005B10B9"/>
    <w:rsid w:val="005B207F"/>
    <w:rsid w:val="005B4115"/>
    <w:rsid w:val="005B73B2"/>
    <w:rsid w:val="005B7F60"/>
    <w:rsid w:val="005D1369"/>
    <w:rsid w:val="005D1A95"/>
    <w:rsid w:val="005D663E"/>
    <w:rsid w:val="005D729C"/>
    <w:rsid w:val="005E036D"/>
    <w:rsid w:val="005E7F23"/>
    <w:rsid w:val="00601584"/>
    <w:rsid w:val="006039B0"/>
    <w:rsid w:val="006146E0"/>
    <w:rsid w:val="00616315"/>
    <w:rsid w:val="00620A18"/>
    <w:rsid w:val="006224BF"/>
    <w:rsid w:val="006238AA"/>
    <w:rsid w:val="00623ED3"/>
    <w:rsid w:val="00626694"/>
    <w:rsid w:val="0062753A"/>
    <w:rsid w:val="006302C2"/>
    <w:rsid w:val="00631172"/>
    <w:rsid w:val="006354DB"/>
    <w:rsid w:val="00635C88"/>
    <w:rsid w:val="00641902"/>
    <w:rsid w:val="00641EA9"/>
    <w:rsid w:val="00645617"/>
    <w:rsid w:val="00646E14"/>
    <w:rsid w:val="00651AF8"/>
    <w:rsid w:val="00652F18"/>
    <w:rsid w:val="00653CB4"/>
    <w:rsid w:val="00657170"/>
    <w:rsid w:val="006577A8"/>
    <w:rsid w:val="00660341"/>
    <w:rsid w:val="00663E30"/>
    <w:rsid w:val="0066433D"/>
    <w:rsid w:val="0066522E"/>
    <w:rsid w:val="006723A2"/>
    <w:rsid w:val="0067658E"/>
    <w:rsid w:val="006826EA"/>
    <w:rsid w:val="0068336D"/>
    <w:rsid w:val="00683B79"/>
    <w:rsid w:val="006869A5"/>
    <w:rsid w:val="00686B5B"/>
    <w:rsid w:val="0069079F"/>
    <w:rsid w:val="006970CB"/>
    <w:rsid w:val="006A283E"/>
    <w:rsid w:val="006A2BD8"/>
    <w:rsid w:val="006A3140"/>
    <w:rsid w:val="006A5029"/>
    <w:rsid w:val="006A7666"/>
    <w:rsid w:val="006B39BF"/>
    <w:rsid w:val="006B47B6"/>
    <w:rsid w:val="006C2A1E"/>
    <w:rsid w:val="006C3C0F"/>
    <w:rsid w:val="006D20D1"/>
    <w:rsid w:val="006D67C9"/>
    <w:rsid w:val="006E0E0D"/>
    <w:rsid w:val="006E16B8"/>
    <w:rsid w:val="006E1AB3"/>
    <w:rsid w:val="006E1E58"/>
    <w:rsid w:val="006E6F5B"/>
    <w:rsid w:val="006F2898"/>
    <w:rsid w:val="006F3477"/>
    <w:rsid w:val="006F379C"/>
    <w:rsid w:val="00701C63"/>
    <w:rsid w:val="00706C79"/>
    <w:rsid w:val="007131E2"/>
    <w:rsid w:val="00717A85"/>
    <w:rsid w:val="00721C46"/>
    <w:rsid w:val="00724B90"/>
    <w:rsid w:val="007265E9"/>
    <w:rsid w:val="00727746"/>
    <w:rsid w:val="0073225E"/>
    <w:rsid w:val="0074196F"/>
    <w:rsid w:val="00754E39"/>
    <w:rsid w:val="00760D1B"/>
    <w:rsid w:val="00761717"/>
    <w:rsid w:val="00765AEC"/>
    <w:rsid w:val="00766ED4"/>
    <w:rsid w:val="00767C95"/>
    <w:rsid w:val="007741D6"/>
    <w:rsid w:val="007811C6"/>
    <w:rsid w:val="00781356"/>
    <w:rsid w:val="00786445"/>
    <w:rsid w:val="00797234"/>
    <w:rsid w:val="00797E53"/>
    <w:rsid w:val="007A004C"/>
    <w:rsid w:val="007A4AA3"/>
    <w:rsid w:val="007A523E"/>
    <w:rsid w:val="007B516F"/>
    <w:rsid w:val="007B6BDE"/>
    <w:rsid w:val="007C483F"/>
    <w:rsid w:val="007C7540"/>
    <w:rsid w:val="007D36F9"/>
    <w:rsid w:val="007D74D0"/>
    <w:rsid w:val="007D78B5"/>
    <w:rsid w:val="007E758B"/>
    <w:rsid w:val="007E7B46"/>
    <w:rsid w:val="007F4583"/>
    <w:rsid w:val="007F507B"/>
    <w:rsid w:val="007F62CD"/>
    <w:rsid w:val="007F6B22"/>
    <w:rsid w:val="007F7A3B"/>
    <w:rsid w:val="00803950"/>
    <w:rsid w:val="00810816"/>
    <w:rsid w:val="00813F52"/>
    <w:rsid w:val="00816D87"/>
    <w:rsid w:val="00817E74"/>
    <w:rsid w:val="00820EFA"/>
    <w:rsid w:val="008266AE"/>
    <w:rsid w:val="00832092"/>
    <w:rsid w:val="00836403"/>
    <w:rsid w:val="00840868"/>
    <w:rsid w:val="00840AAB"/>
    <w:rsid w:val="008418E3"/>
    <w:rsid w:val="00851138"/>
    <w:rsid w:val="008535E2"/>
    <w:rsid w:val="00857B72"/>
    <w:rsid w:val="0086273E"/>
    <w:rsid w:val="0086708A"/>
    <w:rsid w:val="00872227"/>
    <w:rsid w:val="008734E9"/>
    <w:rsid w:val="00873504"/>
    <w:rsid w:val="008748B5"/>
    <w:rsid w:val="00881170"/>
    <w:rsid w:val="00883C66"/>
    <w:rsid w:val="0088507D"/>
    <w:rsid w:val="0089540D"/>
    <w:rsid w:val="00895581"/>
    <w:rsid w:val="00896074"/>
    <w:rsid w:val="0089718D"/>
    <w:rsid w:val="008A3DAD"/>
    <w:rsid w:val="008A5EE0"/>
    <w:rsid w:val="008A6E6D"/>
    <w:rsid w:val="008B4794"/>
    <w:rsid w:val="008B4D79"/>
    <w:rsid w:val="008D7E93"/>
    <w:rsid w:val="008E156D"/>
    <w:rsid w:val="008E1817"/>
    <w:rsid w:val="008E6C75"/>
    <w:rsid w:val="008F1A83"/>
    <w:rsid w:val="008F5F97"/>
    <w:rsid w:val="008F6B8C"/>
    <w:rsid w:val="00902803"/>
    <w:rsid w:val="009066D8"/>
    <w:rsid w:val="00907360"/>
    <w:rsid w:val="00913704"/>
    <w:rsid w:val="00921958"/>
    <w:rsid w:val="00936D61"/>
    <w:rsid w:val="00945BDE"/>
    <w:rsid w:val="0095213C"/>
    <w:rsid w:val="00952A7B"/>
    <w:rsid w:val="00963A73"/>
    <w:rsid w:val="00965F06"/>
    <w:rsid w:val="00966ABA"/>
    <w:rsid w:val="009746C7"/>
    <w:rsid w:val="009812C7"/>
    <w:rsid w:val="00982DE1"/>
    <w:rsid w:val="00984E7B"/>
    <w:rsid w:val="009900DB"/>
    <w:rsid w:val="00991E2F"/>
    <w:rsid w:val="009B3B8C"/>
    <w:rsid w:val="009B437A"/>
    <w:rsid w:val="009B7242"/>
    <w:rsid w:val="009C1D1A"/>
    <w:rsid w:val="009C57DB"/>
    <w:rsid w:val="009C59CC"/>
    <w:rsid w:val="009D16C9"/>
    <w:rsid w:val="009D4E53"/>
    <w:rsid w:val="009D62D5"/>
    <w:rsid w:val="009F7FA1"/>
    <w:rsid w:val="00A047A3"/>
    <w:rsid w:val="00A057F2"/>
    <w:rsid w:val="00A10714"/>
    <w:rsid w:val="00A16C44"/>
    <w:rsid w:val="00A37F89"/>
    <w:rsid w:val="00A40665"/>
    <w:rsid w:val="00A45780"/>
    <w:rsid w:val="00A53A99"/>
    <w:rsid w:val="00A53EEB"/>
    <w:rsid w:val="00A56057"/>
    <w:rsid w:val="00A57692"/>
    <w:rsid w:val="00A65AF0"/>
    <w:rsid w:val="00A75F0B"/>
    <w:rsid w:val="00A76440"/>
    <w:rsid w:val="00A769A9"/>
    <w:rsid w:val="00A809DC"/>
    <w:rsid w:val="00A80AAA"/>
    <w:rsid w:val="00A81BD1"/>
    <w:rsid w:val="00A93763"/>
    <w:rsid w:val="00AB1060"/>
    <w:rsid w:val="00AB4608"/>
    <w:rsid w:val="00AB70ED"/>
    <w:rsid w:val="00AC7013"/>
    <w:rsid w:val="00AD4814"/>
    <w:rsid w:val="00AD5F57"/>
    <w:rsid w:val="00AF2263"/>
    <w:rsid w:val="00AF50B7"/>
    <w:rsid w:val="00B06545"/>
    <w:rsid w:val="00B105FF"/>
    <w:rsid w:val="00B10B9A"/>
    <w:rsid w:val="00B11B84"/>
    <w:rsid w:val="00B123FF"/>
    <w:rsid w:val="00B239A3"/>
    <w:rsid w:val="00B27685"/>
    <w:rsid w:val="00B27ACE"/>
    <w:rsid w:val="00B33E1A"/>
    <w:rsid w:val="00B42C3E"/>
    <w:rsid w:val="00B461B9"/>
    <w:rsid w:val="00B476B0"/>
    <w:rsid w:val="00B6708C"/>
    <w:rsid w:val="00B81968"/>
    <w:rsid w:val="00B93086"/>
    <w:rsid w:val="00B93735"/>
    <w:rsid w:val="00B94D01"/>
    <w:rsid w:val="00BA1278"/>
    <w:rsid w:val="00BA262F"/>
    <w:rsid w:val="00BA42B8"/>
    <w:rsid w:val="00BB0A7A"/>
    <w:rsid w:val="00BB2826"/>
    <w:rsid w:val="00BB54F3"/>
    <w:rsid w:val="00BB6903"/>
    <w:rsid w:val="00BC4B06"/>
    <w:rsid w:val="00BD2B8A"/>
    <w:rsid w:val="00BD6E8B"/>
    <w:rsid w:val="00BE044A"/>
    <w:rsid w:val="00BE21D7"/>
    <w:rsid w:val="00BE3BDD"/>
    <w:rsid w:val="00C02568"/>
    <w:rsid w:val="00C0726E"/>
    <w:rsid w:val="00C1125D"/>
    <w:rsid w:val="00C26074"/>
    <w:rsid w:val="00C26425"/>
    <w:rsid w:val="00C33A0D"/>
    <w:rsid w:val="00C34E42"/>
    <w:rsid w:val="00C3699C"/>
    <w:rsid w:val="00C401FD"/>
    <w:rsid w:val="00C44BB1"/>
    <w:rsid w:val="00C503C2"/>
    <w:rsid w:val="00C55486"/>
    <w:rsid w:val="00C568D9"/>
    <w:rsid w:val="00C57218"/>
    <w:rsid w:val="00C60834"/>
    <w:rsid w:val="00C62EEE"/>
    <w:rsid w:val="00C6639E"/>
    <w:rsid w:val="00C71486"/>
    <w:rsid w:val="00C804B0"/>
    <w:rsid w:val="00C8071F"/>
    <w:rsid w:val="00C82BA3"/>
    <w:rsid w:val="00C82D70"/>
    <w:rsid w:val="00C85A7C"/>
    <w:rsid w:val="00CA468C"/>
    <w:rsid w:val="00CA62D9"/>
    <w:rsid w:val="00CB6671"/>
    <w:rsid w:val="00CB6F31"/>
    <w:rsid w:val="00CC3B06"/>
    <w:rsid w:val="00CC6ABA"/>
    <w:rsid w:val="00CD143B"/>
    <w:rsid w:val="00CD2272"/>
    <w:rsid w:val="00CD3485"/>
    <w:rsid w:val="00CD4660"/>
    <w:rsid w:val="00CD58CA"/>
    <w:rsid w:val="00CE0F3E"/>
    <w:rsid w:val="00CE5B08"/>
    <w:rsid w:val="00CF282E"/>
    <w:rsid w:val="00CF427E"/>
    <w:rsid w:val="00CF44C4"/>
    <w:rsid w:val="00CF6DBA"/>
    <w:rsid w:val="00D14272"/>
    <w:rsid w:val="00D14494"/>
    <w:rsid w:val="00D45531"/>
    <w:rsid w:val="00D504A9"/>
    <w:rsid w:val="00D53319"/>
    <w:rsid w:val="00D55E2D"/>
    <w:rsid w:val="00D6251D"/>
    <w:rsid w:val="00D841C8"/>
    <w:rsid w:val="00D8507F"/>
    <w:rsid w:val="00D85E59"/>
    <w:rsid w:val="00D902B3"/>
    <w:rsid w:val="00D945D4"/>
    <w:rsid w:val="00DA5D63"/>
    <w:rsid w:val="00DA794B"/>
    <w:rsid w:val="00DB4D19"/>
    <w:rsid w:val="00DC0610"/>
    <w:rsid w:val="00DC3700"/>
    <w:rsid w:val="00DC7605"/>
    <w:rsid w:val="00DD1146"/>
    <w:rsid w:val="00DE2598"/>
    <w:rsid w:val="00DE376A"/>
    <w:rsid w:val="00DE3D89"/>
    <w:rsid w:val="00DE7AE4"/>
    <w:rsid w:val="00DF4674"/>
    <w:rsid w:val="00E03F36"/>
    <w:rsid w:val="00E0431A"/>
    <w:rsid w:val="00E04C8A"/>
    <w:rsid w:val="00E07158"/>
    <w:rsid w:val="00E10530"/>
    <w:rsid w:val="00E12E86"/>
    <w:rsid w:val="00E13046"/>
    <w:rsid w:val="00E26C15"/>
    <w:rsid w:val="00E4050B"/>
    <w:rsid w:val="00E5320A"/>
    <w:rsid w:val="00E54BB9"/>
    <w:rsid w:val="00E54DCE"/>
    <w:rsid w:val="00E607D5"/>
    <w:rsid w:val="00E66664"/>
    <w:rsid w:val="00E70685"/>
    <w:rsid w:val="00E7071E"/>
    <w:rsid w:val="00E73D74"/>
    <w:rsid w:val="00E846B3"/>
    <w:rsid w:val="00E9267A"/>
    <w:rsid w:val="00E92CA1"/>
    <w:rsid w:val="00E95755"/>
    <w:rsid w:val="00EB1307"/>
    <w:rsid w:val="00EB18BA"/>
    <w:rsid w:val="00EB7ED3"/>
    <w:rsid w:val="00EC5FDC"/>
    <w:rsid w:val="00ED041A"/>
    <w:rsid w:val="00ED2D81"/>
    <w:rsid w:val="00EE6506"/>
    <w:rsid w:val="00EE7540"/>
    <w:rsid w:val="00EE7829"/>
    <w:rsid w:val="00EF24E0"/>
    <w:rsid w:val="00F00F96"/>
    <w:rsid w:val="00F00FF1"/>
    <w:rsid w:val="00F146DB"/>
    <w:rsid w:val="00F174CF"/>
    <w:rsid w:val="00F24139"/>
    <w:rsid w:val="00F36825"/>
    <w:rsid w:val="00F37C85"/>
    <w:rsid w:val="00F40A58"/>
    <w:rsid w:val="00F452E8"/>
    <w:rsid w:val="00F50A7D"/>
    <w:rsid w:val="00F57A11"/>
    <w:rsid w:val="00F601C1"/>
    <w:rsid w:val="00F7790B"/>
    <w:rsid w:val="00F8029A"/>
    <w:rsid w:val="00F80E9E"/>
    <w:rsid w:val="00F90107"/>
    <w:rsid w:val="00F90CAB"/>
    <w:rsid w:val="00F910FC"/>
    <w:rsid w:val="00F94AC9"/>
    <w:rsid w:val="00F95580"/>
    <w:rsid w:val="00F95D6D"/>
    <w:rsid w:val="00F96A45"/>
    <w:rsid w:val="00F9714F"/>
    <w:rsid w:val="00FA4864"/>
    <w:rsid w:val="00FA510F"/>
    <w:rsid w:val="00FA6851"/>
    <w:rsid w:val="00FA7B90"/>
    <w:rsid w:val="00FB7347"/>
    <w:rsid w:val="00FB7B05"/>
    <w:rsid w:val="00FC2FB8"/>
    <w:rsid w:val="00FC3494"/>
    <w:rsid w:val="00FC3B95"/>
    <w:rsid w:val="00FD4084"/>
    <w:rsid w:val="00FE3CB3"/>
    <w:rsid w:val="00FF375E"/>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FC8A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style>
  <w:style w:type="paragraph" w:styleId="1">
    <w:name w:val="heading 1"/>
    <w:basedOn w:val="a"/>
    <w:link w:val="1Char"/>
    <w:uiPriority w:val="1"/>
    <w:qFormat/>
    <w:pPr>
      <w:ind w:left="672"/>
      <w:outlineLvl w:val="0"/>
    </w:pPr>
    <w:rPr>
      <w:rFonts w:ascii="Times New Roman" w:eastAsia="Times New Roman" w:hAnsi="Times New Roman"/>
      <w:b/>
      <w:bCs/>
    </w:rPr>
  </w:style>
  <w:style w:type="paragraph" w:styleId="2">
    <w:name w:val="heading 2"/>
    <w:basedOn w:val="a"/>
    <w:next w:val="a"/>
    <w:link w:val="2Char"/>
    <w:uiPriority w:val="9"/>
    <w:unhideWhenUsed/>
    <w:qFormat/>
    <w:pPr>
      <w:keepNext/>
      <w:ind w:left="224" w:right="1248"/>
      <w:outlineLvl w:val="1"/>
    </w:pPr>
    <w:rPr>
      <w:rFonts w:ascii="Times New Roman" w:eastAsia="Times New Roman" w:hAnsi="Times New Roman" w:cs="Times New Roman"/>
      <w:b/>
      <w:bCs/>
      <w:spacing w:val="-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a3">
    <w:name w:val="Body Text"/>
    <w:basedOn w:val="a"/>
    <w:link w:val="Char"/>
    <w:uiPriority w:val="1"/>
    <w:qFormat/>
    <w:pPr>
      <w:numPr>
        <w:ilvl w:val="12"/>
      </w:numPr>
    </w:pPr>
    <w:rPr>
      <w:rFonts w:ascii="Times New Roman" w:hAnsi="Times New Roman" w:cs="Times New Roman"/>
    </w:rPr>
  </w:style>
  <w:style w:type="paragraph" w:styleId="a4">
    <w:name w:val="List Paragraph"/>
    <w:basedOn w:val="a"/>
    <w:uiPriority w:val="34"/>
    <w:qFormat/>
  </w:style>
  <w:style w:type="paragraph" w:customStyle="1" w:styleId="TableParagraph">
    <w:name w:val="Table Paragraph"/>
    <w:basedOn w:val="a"/>
    <w:uiPriority w:val="1"/>
    <w:qFormat/>
  </w:style>
  <w:style w:type="paragraph" w:styleId="a5">
    <w:name w:val="header"/>
    <w:basedOn w:val="a"/>
    <w:link w:val="Char0"/>
    <w:unhideWhenUsed/>
    <w:pPr>
      <w:tabs>
        <w:tab w:val="center" w:pos="4513"/>
        <w:tab w:val="right" w:pos="9026"/>
      </w:tabs>
      <w:snapToGrid w:val="0"/>
    </w:pPr>
  </w:style>
  <w:style w:type="character" w:customStyle="1" w:styleId="Char0">
    <w:name w:val="머리글 Char"/>
    <w:basedOn w:val="a0"/>
    <w:link w:val="a5"/>
  </w:style>
  <w:style w:type="paragraph" w:styleId="a6">
    <w:name w:val="footer"/>
    <w:basedOn w:val="a"/>
    <w:link w:val="Char1"/>
    <w:uiPriority w:val="99"/>
    <w:unhideWhenUsed/>
    <w:pPr>
      <w:tabs>
        <w:tab w:val="center" w:pos="4513"/>
        <w:tab w:val="right" w:pos="9026"/>
      </w:tabs>
      <w:snapToGrid w:val="0"/>
    </w:pPr>
  </w:style>
  <w:style w:type="character" w:customStyle="1" w:styleId="Char1">
    <w:name w:val="바닥글 Char"/>
    <w:basedOn w:val="a0"/>
    <w:link w:val="a6"/>
    <w:uiPriority w:val="99"/>
  </w:style>
  <w:style w:type="character" w:styleId="a7">
    <w:name w:val="annotation reference"/>
    <w:basedOn w:val="a0"/>
    <w:unhideWhenUsed/>
    <w:rPr>
      <w:sz w:val="18"/>
      <w:szCs w:val="18"/>
    </w:rPr>
  </w:style>
  <w:style w:type="paragraph" w:styleId="a8">
    <w:name w:val="annotation text"/>
    <w:aliases w:val=" Car17, Car17 Car, Char1,- H19,Annotationtext,Cha,Char,Char1,Char2,Comment Text Char Char,Comment Text Char Char Char,Comment Text Char Char1,Comment Text Char Char1 Char,Comment Text Char1,Comment Text Char1 Char"/>
    <w:basedOn w:val="a"/>
    <w:link w:val="Char2"/>
    <w:uiPriority w:val="99"/>
    <w:unhideWhenUsed/>
    <w:qFormat/>
  </w:style>
  <w:style w:type="character" w:customStyle="1" w:styleId="Char2">
    <w:name w:val="메모 텍스트 Char"/>
    <w:aliases w:val=" Car17 Char, Car17 Car Char, Char1 Char,- H19 Char,Annotationtext Char,Cha Char,Char Char,Char1 Char,Char2 Char,Comment Text Char Char Char1,Comment Text Char Char Char Char,Comment Text Char Char1 Char1,Comment Text Char Char1 Char Char"/>
    <w:basedOn w:val="a0"/>
    <w:link w:val="a8"/>
    <w:uiPriority w:val="99"/>
  </w:style>
  <w:style w:type="paragraph" w:styleId="a9">
    <w:name w:val="annotation subject"/>
    <w:basedOn w:val="a8"/>
    <w:next w:val="a8"/>
    <w:link w:val="Char3"/>
    <w:uiPriority w:val="99"/>
    <w:semiHidden/>
    <w:unhideWhenUsed/>
    <w:rPr>
      <w:b/>
      <w:bCs/>
    </w:rPr>
  </w:style>
  <w:style w:type="character" w:customStyle="1" w:styleId="Char3">
    <w:name w:val="메모 주제 Char"/>
    <w:basedOn w:val="Char2"/>
    <w:link w:val="a9"/>
    <w:uiPriority w:val="99"/>
    <w:semiHidden/>
    <w:rPr>
      <w:b/>
      <w:bCs/>
    </w:rPr>
  </w:style>
  <w:style w:type="paragraph" w:styleId="aa">
    <w:name w:val="Balloon Text"/>
    <w:basedOn w:val="a"/>
    <w:link w:val="Char4"/>
    <w:uiPriority w:val="99"/>
    <w:semiHidden/>
    <w:unhideWhenUsed/>
    <w:rPr>
      <w:rFonts w:asciiTheme="majorHAnsi" w:eastAsiaTheme="majorEastAsia" w:hAnsiTheme="majorHAnsi" w:cstheme="majorBidi"/>
      <w:sz w:val="18"/>
      <w:szCs w:val="18"/>
    </w:rPr>
  </w:style>
  <w:style w:type="character" w:customStyle="1" w:styleId="Char4">
    <w:name w:val="풍선 도움말 텍스트 Char"/>
    <w:basedOn w:val="a0"/>
    <w:link w:val="aa"/>
    <w:uiPriority w:val="99"/>
    <w:semiHidden/>
    <w:rPr>
      <w:rFonts w:asciiTheme="majorHAnsi" w:eastAsiaTheme="majorEastAsia" w:hAnsiTheme="majorHAnsi" w:cstheme="majorBidi"/>
      <w:sz w:val="18"/>
      <w:szCs w:val="18"/>
    </w:rPr>
  </w:style>
  <w:style w:type="character" w:customStyle="1" w:styleId="tlid-translation">
    <w:name w:val="tlid-translation"/>
    <w:basedOn w:val="a0"/>
  </w:style>
  <w:style w:type="paragraph" w:styleId="ab">
    <w:name w:val="Revision"/>
    <w:hidden/>
    <w:uiPriority w:val="99"/>
    <w:semiHidden/>
    <w:pPr>
      <w:widowControl/>
    </w:pPr>
  </w:style>
  <w:style w:type="paragraph" w:customStyle="1" w:styleId="Default">
    <w:name w:val="Default"/>
    <w:pPr>
      <w:autoSpaceDE w:val="0"/>
      <w:autoSpaceDN w:val="0"/>
      <w:adjustRightInd w:val="0"/>
    </w:pPr>
    <w:rPr>
      <w:rFonts w:ascii="Arial" w:hAnsi="Arial" w:cs="Arial"/>
      <w:color w:val="000000"/>
      <w:sz w:val="24"/>
      <w:szCs w:val="24"/>
    </w:rPr>
  </w:style>
  <w:style w:type="table" w:styleId="ac">
    <w:name w:val="Table Grid"/>
    <w:basedOn w:val="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0">
    <w:name w:val="A4"/>
    <w:uiPriority w:val="99"/>
    <w:rPr>
      <w:color w:val="211D1E"/>
      <w:sz w:val="11"/>
      <w:szCs w:val="11"/>
    </w:rPr>
  </w:style>
  <w:style w:type="character" w:customStyle="1" w:styleId="Char">
    <w:name w:val="본문 Char"/>
    <w:basedOn w:val="a0"/>
    <w:link w:val="a3"/>
    <w:uiPriority w:val="1"/>
    <w:rPr>
      <w:rFonts w:ascii="Times New Roman" w:hAnsi="Times New Roman" w:cs="Times New Roman"/>
    </w:rPr>
  </w:style>
  <w:style w:type="character" w:styleId="ad">
    <w:name w:val="Hyperlink"/>
    <w:basedOn w:val="a0"/>
    <w:uiPriority w:val="99"/>
    <w:unhideWhenUsed/>
    <w:rPr>
      <w:color w:val="0000FF"/>
      <w:u w:val="single"/>
    </w:rPr>
  </w:style>
  <w:style w:type="character" w:styleId="ae">
    <w:name w:val="FollowedHyperlink"/>
    <w:basedOn w:val="a0"/>
    <w:uiPriority w:val="99"/>
    <w:semiHidden/>
    <w:unhideWhenUsed/>
    <w:rPr>
      <w:color w:val="800080" w:themeColor="followedHyperlink"/>
      <w:u w:val="single"/>
    </w:rPr>
  </w:style>
  <w:style w:type="character" w:customStyle="1" w:styleId="1Char">
    <w:name w:val="제목 1 Char"/>
    <w:basedOn w:val="a0"/>
    <w:link w:val="1"/>
    <w:uiPriority w:val="1"/>
    <w:rPr>
      <w:rFonts w:ascii="Times New Roman" w:eastAsia="Times New Roman" w:hAnsi="Times New Roman"/>
      <w:b/>
      <w:bCs/>
    </w:rPr>
  </w:style>
  <w:style w:type="character" w:styleId="af">
    <w:name w:val="Strong"/>
    <w:basedOn w:val="a0"/>
    <w:uiPriority w:val="22"/>
    <w:qFormat/>
    <w:rPr>
      <w:b/>
      <w:bCs/>
    </w:rPr>
  </w:style>
  <w:style w:type="character" w:customStyle="1" w:styleId="2Char">
    <w:name w:val="제목 2 Char"/>
    <w:basedOn w:val="a0"/>
    <w:link w:val="2"/>
    <w:uiPriority w:val="9"/>
    <w:rPr>
      <w:rFonts w:ascii="Times New Roman" w:eastAsia="Times New Roman" w:hAnsi="Times New Roman" w:cs="Times New Roman"/>
      <w:b/>
      <w:bCs/>
      <w:spacing w:val="-1"/>
    </w:rPr>
  </w:style>
  <w:style w:type="paragraph" w:styleId="af0">
    <w:name w:val="caption"/>
    <w:basedOn w:val="a"/>
    <w:next w:val="a"/>
    <w:uiPriority w:val="35"/>
    <w:unhideWhenUsed/>
    <w:qFormat/>
    <w:rPr>
      <w:b/>
      <w:bCs/>
      <w:sz w:val="20"/>
      <w:szCs w:val="20"/>
    </w:rPr>
  </w:style>
  <w:style w:type="character" w:customStyle="1" w:styleId="BodytextAgencyChar">
    <w:name w:val="Body text (Agency) Char"/>
    <w:basedOn w:val="a0"/>
    <w:link w:val="BodytextAgency"/>
    <w:locked/>
    <w:rPr>
      <w:rFonts w:ascii="Verdana" w:hAnsi="Verdana"/>
    </w:rPr>
  </w:style>
  <w:style w:type="paragraph" w:customStyle="1" w:styleId="BodytextAgency">
    <w:name w:val="Body text (Agency)"/>
    <w:basedOn w:val="a"/>
    <w:link w:val="BodytextAgencyChar"/>
    <w:pPr>
      <w:widowControl/>
      <w:spacing w:after="140" w:line="280" w:lineRule="atLeast"/>
    </w:pPr>
    <w:rPr>
      <w:rFonts w:ascii="Verdana" w:hAnsi="Verdana"/>
    </w:rPr>
  </w:style>
  <w:style w:type="character" w:customStyle="1" w:styleId="UnresolvedMention1">
    <w:name w:val="Unresolved Mention1"/>
    <w:basedOn w:val="a0"/>
    <w:uiPriority w:val="99"/>
    <w:rPr>
      <w:color w:val="605E5C"/>
      <w:shd w:val="clear" w:color="auto" w:fill="E1DFDD"/>
    </w:rPr>
  </w:style>
  <w:style w:type="table" w:customStyle="1" w:styleId="TableNormal2">
    <w:name w:val="Table Normal2"/>
    <w:uiPriority w:val="2"/>
    <w:semiHidden/>
    <w:unhideWhenUsed/>
    <w:qFormat/>
    <w:tblPr>
      <w:tblInd w:w="0" w:type="dxa"/>
      <w:tblCellMar>
        <w:top w:w="0" w:type="dxa"/>
        <w:left w:w="0" w:type="dxa"/>
        <w:bottom w:w="0" w:type="dxa"/>
        <w:right w:w="0" w:type="dxa"/>
      </w:tblCellMar>
    </w:tblPr>
  </w:style>
  <w:style w:type="character" w:customStyle="1" w:styleId="Hiperpovezava1">
    <w:name w:val="Hiperpovezava1"/>
    <w:uiPriority w:val="99"/>
    <w:rPr>
      <w:color w:val="0000FF"/>
      <w:u w:val="single"/>
    </w:rPr>
  </w:style>
  <w:style w:type="character" w:customStyle="1" w:styleId="Nerazreenaomemba1">
    <w:name w:val="Nerazrešena omemba1"/>
    <w:basedOn w:val="a0"/>
    <w:uiPriority w:val="99"/>
    <w:semiHidden/>
    <w:unhideWhenUsed/>
    <w:rsid w:val="008E1817"/>
    <w:rPr>
      <w:color w:val="605E5C"/>
      <w:shd w:val="clear" w:color="auto" w:fill="E1DFDD"/>
    </w:rPr>
  </w:style>
  <w:style w:type="paragraph" w:styleId="HTML">
    <w:name w:val="HTML Preformatted"/>
    <w:basedOn w:val="a"/>
    <w:link w:val="HTMLChar"/>
    <w:uiPriority w:val="99"/>
    <w:unhideWhenUsed/>
    <w:rsid w:val="007F458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굴림체" w:eastAsia="굴림체" w:hAnsi="굴림체" w:cs="굴림체"/>
      <w:sz w:val="24"/>
      <w:szCs w:val="24"/>
      <w:lang w:eastAsia="ko-KR"/>
    </w:rPr>
  </w:style>
  <w:style w:type="character" w:customStyle="1" w:styleId="HTMLChar">
    <w:name w:val="미리 서식이 지정된 HTML Char"/>
    <w:basedOn w:val="a0"/>
    <w:link w:val="HTML"/>
    <w:uiPriority w:val="99"/>
    <w:rsid w:val="007F4583"/>
    <w:rPr>
      <w:rFonts w:ascii="굴림체" w:eastAsia="굴림체" w:hAnsi="굴림체" w:cs="굴림체"/>
      <w:sz w:val="24"/>
      <w:szCs w:val="24"/>
      <w:lang w:eastAsia="ko-KR"/>
    </w:rPr>
  </w:style>
  <w:style w:type="paragraph" w:styleId="af1">
    <w:name w:val="Normal (Web)"/>
    <w:basedOn w:val="a"/>
    <w:uiPriority w:val="99"/>
    <w:semiHidden/>
    <w:unhideWhenUsed/>
    <w:rsid w:val="0002206D"/>
    <w:pPr>
      <w:widowControl/>
      <w:spacing w:before="100" w:beforeAutospacing="1" w:after="100" w:afterAutospacing="1"/>
    </w:pPr>
    <w:rPr>
      <w:rFonts w:ascii="굴림" w:eastAsia="굴림" w:hAnsi="굴림" w:cs="굴림"/>
      <w:sz w:val="24"/>
      <w:szCs w:val="24"/>
      <w:lang w:eastAsia="ko-KR"/>
    </w:rPr>
  </w:style>
  <w:style w:type="paragraph" w:customStyle="1" w:styleId="gtctablespaceafter">
    <w:name w:val="gtctablespaceafter"/>
    <w:basedOn w:val="a"/>
    <w:rsid w:val="00CF282E"/>
    <w:pPr>
      <w:widowControl/>
      <w:spacing w:after="280"/>
    </w:pPr>
    <w:rPr>
      <w:rFonts w:ascii="Times New Roman" w:eastAsia="바탕" w:hAnsi="Times New Roman" w:cs="Times New Roman"/>
      <w:sz w:val="2"/>
      <w:szCs w:val="2"/>
    </w:rPr>
  </w:style>
  <w:style w:type="character" w:customStyle="1" w:styleId="normaltextrun">
    <w:name w:val="normaltextrun"/>
    <w:basedOn w:val="a0"/>
    <w:rsid w:val="00CF282E"/>
  </w:style>
  <w:style w:type="paragraph" w:customStyle="1" w:styleId="gtcbodytext">
    <w:name w:val="gtcbodytext"/>
    <w:basedOn w:val="a"/>
    <w:rsid w:val="006A7666"/>
    <w:pPr>
      <w:widowControl/>
      <w:spacing w:before="240" w:after="240" w:line="300" w:lineRule="auto"/>
    </w:pPr>
    <w:rPr>
      <w:rFonts w:ascii="Times New Roman" w:eastAsia="바탕" w:hAnsi="Times New Roman" w:cs="Times New Roman"/>
      <w:sz w:val="24"/>
      <w:szCs w:val="24"/>
    </w:rPr>
  </w:style>
  <w:style w:type="paragraph" w:customStyle="1" w:styleId="paragraph">
    <w:name w:val="paragraph"/>
    <w:basedOn w:val="a"/>
    <w:rsid w:val="006A7666"/>
    <w:pPr>
      <w:widowControl/>
      <w:spacing w:before="100" w:beforeAutospacing="1" w:after="100" w:afterAutospacing="1"/>
    </w:pPr>
    <w:rPr>
      <w:rFonts w:ascii="Times New Roman" w:eastAsia="바탕" w:hAnsi="Times New Roman" w:cs="Times New Roman"/>
      <w:sz w:val="24"/>
      <w:szCs w:val="24"/>
      <w:lang w:val="sl-SI"/>
    </w:rPr>
  </w:style>
  <w:style w:type="character" w:customStyle="1" w:styleId="spellingerror">
    <w:name w:val="spellingerror"/>
    <w:basedOn w:val="a0"/>
    <w:rsid w:val="006A7666"/>
  </w:style>
  <w:style w:type="character" w:customStyle="1" w:styleId="eop">
    <w:name w:val="eop"/>
    <w:basedOn w:val="a0"/>
    <w:rsid w:val="006A7666"/>
  </w:style>
  <w:style w:type="paragraph" w:styleId="af2">
    <w:name w:val="endnote text"/>
    <w:basedOn w:val="a"/>
    <w:next w:val="a"/>
    <w:link w:val="Char5"/>
    <w:rsid w:val="009D62D5"/>
    <w:pPr>
      <w:widowControl/>
      <w:tabs>
        <w:tab w:val="left" w:pos="567"/>
      </w:tabs>
    </w:pPr>
    <w:rPr>
      <w:rFonts w:ascii="Times New Roman" w:eastAsia="바탕" w:hAnsi="Times New Roman" w:cs="Times New Roman"/>
      <w:szCs w:val="20"/>
      <w:lang w:val="en-GB" w:eastAsia="sl-SI"/>
    </w:rPr>
  </w:style>
  <w:style w:type="character" w:customStyle="1" w:styleId="Char5">
    <w:name w:val="미주 텍스트 Char"/>
    <w:basedOn w:val="a0"/>
    <w:link w:val="af2"/>
    <w:rsid w:val="009D62D5"/>
    <w:rPr>
      <w:rFonts w:ascii="Times New Roman" w:eastAsia="바탕" w:hAnsi="Times New Roman" w:cs="Times New Roman"/>
      <w:szCs w:val="20"/>
      <w:lang w:val="en-GB" w:eastAsia="sl-SI"/>
    </w:rPr>
  </w:style>
  <w:style w:type="paragraph" w:customStyle="1" w:styleId="Style1">
    <w:name w:val="Style1"/>
    <w:basedOn w:val="a"/>
    <w:qFormat/>
    <w:rsid w:val="00631172"/>
    <w:pPr>
      <w:pBdr>
        <w:top w:val="single" w:sz="4" w:space="1" w:color="auto"/>
        <w:left w:val="single" w:sz="4" w:space="4" w:color="auto"/>
        <w:bottom w:val="single" w:sz="4" w:space="1" w:color="auto"/>
        <w:right w:val="single" w:sz="4" w:space="4" w:color="auto"/>
      </w:pBdr>
      <w:suppressAutoHyphens/>
    </w:pPr>
    <w:rPr>
      <w:rFonts w:ascii="Times New Roman" w:eastAsia="Times New Roman" w:hAnsi="Times New Roman" w:cs="Times New Roman"/>
      <w:szCs w:val="24"/>
      <w:lang w:val="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516134">
      <w:bodyDiv w:val="1"/>
      <w:marLeft w:val="0"/>
      <w:marRight w:val="0"/>
      <w:marTop w:val="0"/>
      <w:marBottom w:val="0"/>
      <w:divBdr>
        <w:top w:val="none" w:sz="0" w:space="0" w:color="auto"/>
        <w:left w:val="none" w:sz="0" w:space="0" w:color="auto"/>
        <w:bottom w:val="none" w:sz="0" w:space="0" w:color="auto"/>
        <w:right w:val="none" w:sz="0" w:space="0" w:color="auto"/>
      </w:divBdr>
    </w:div>
    <w:div w:id="209657160">
      <w:bodyDiv w:val="1"/>
      <w:marLeft w:val="0"/>
      <w:marRight w:val="0"/>
      <w:marTop w:val="0"/>
      <w:marBottom w:val="0"/>
      <w:divBdr>
        <w:top w:val="none" w:sz="0" w:space="0" w:color="auto"/>
        <w:left w:val="none" w:sz="0" w:space="0" w:color="auto"/>
        <w:bottom w:val="none" w:sz="0" w:space="0" w:color="auto"/>
        <w:right w:val="none" w:sz="0" w:space="0" w:color="auto"/>
      </w:divBdr>
    </w:div>
    <w:div w:id="618800516">
      <w:bodyDiv w:val="1"/>
      <w:marLeft w:val="0"/>
      <w:marRight w:val="0"/>
      <w:marTop w:val="0"/>
      <w:marBottom w:val="0"/>
      <w:divBdr>
        <w:top w:val="none" w:sz="0" w:space="0" w:color="auto"/>
        <w:left w:val="none" w:sz="0" w:space="0" w:color="auto"/>
        <w:bottom w:val="none" w:sz="0" w:space="0" w:color="auto"/>
        <w:right w:val="none" w:sz="0" w:space="0" w:color="auto"/>
      </w:divBdr>
    </w:div>
    <w:div w:id="956596219">
      <w:bodyDiv w:val="1"/>
      <w:marLeft w:val="0"/>
      <w:marRight w:val="0"/>
      <w:marTop w:val="0"/>
      <w:marBottom w:val="0"/>
      <w:divBdr>
        <w:top w:val="none" w:sz="0" w:space="0" w:color="auto"/>
        <w:left w:val="none" w:sz="0" w:space="0" w:color="auto"/>
        <w:bottom w:val="none" w:sz="0" w:space="0" w:color="auto"/>
        <w:right w:val="none" w:sz="0" w:space="0" w:color="auto"/>
      </w:divBdr>
    </w:div>
    <w:div w:id="1031301990">
      <w:bodyDiv w:val="1"/>
      <w:marLeft w:val="0"/>
      <w:marRight w:val="0"/>
      <w:marTop w:val="0"/>
      <w:marBottom w:val="0"/>
      <w:divBdr>
        <w:top w:val="none" w:sz="0" w:space="0" w:color="auto"/>
        <w:left w:val="none" w:sz="0" w:space="0" w:color="auto"/>
        <w:bottom w:val="none" w:sz="0" w:space="0" w:color="auto"/>
        <w:right w:val="none" w:sz="0" w:space="0" w:color="auto"/>
      </w:divBdr>
    </w:div>
    <w:div w:id="1060054805">
      <w:bodyDiv w:val="1"/>
      <w:marLeft w:val="0"/>
      <w:marRight w:val="0"/>
      <w:marTop w:val="0"/>
      <w:marBottom w:val="0"/>
      <w:divBdr>
        <w:top w:val="none" w:sz="0" w:space="0" w:color="auto"/>
        <w:left w:val="none" w:sz="0" w:space="0" w:color="auto"/>
        <w:bottom w:val="none" w:sz="0" w:space="0" w:color="auto"/>
        <w:right w:val="none" w:sz="0" w:space="0" w:color="auto"/>
      </w:divBdr>
    </w:div>
    <w:div w:id="1079644514">
      <w:bodyDiv w:val="1"/>
      <w:marLeft w:val="0"/>
      <w:marRight w:val="0"/>
      <w:marTop w:val="0"/>
      <w:marBottom w:val="0"/>
      <w:divBdr>
        <w:top w:val="none" w:sz="0" w:space="0" w:color="auto"/>
        <w:left w:val="none" w:sz="0" w:space="0" w:color="auto"/>
        <w:bottom w:val="none" w:sz="0" w:space="0" w:color="auto"/>
        <w:right w:val="none" w:sz="0" w:space="0" w:color="auto"/>
      </w:divBdr>
    </w:div>
    <w:div w:id="1144546678">
      <w:bodyDiv w:val="1"/>
      <w:marLeft w:val="0"/>
      <w:marRight w:val="0"/>
      <w:marTop w:val="0"/>
      <w:marBottom w:val="0"/>
      <w:divBdr>
        <w:top w:val="none" w:sz="0" w:space="0" w:color="auto"/>
        <w:left w:val="none" w:sz="0" w:space="0" w:color="auto"/>
        <w:bottom w:val="none" w:sz="0" w:space="0" w:color="auto"/>
        <w:right w:val="none" w:sz="0" w:space="0" w:color="auto"/>
      </w:divBdr>
    </w:div>
    <w:div w:id="1445928244">
      <w:bodyDiv w:val="1"/>
      <w:marLeft w:val="0"/>
      <w:marRight w:val="0"/>
      <w:marTop w:val="0"/>
      <w:marBottom w:val="0"/>
      <w:divBdr>
        <w:top w:val="none" w:sz="0" w:space="0" w:color="auto"/>
        <w:left w:val="none" w:sz="0" w:space="0" w:color="auto"/>
        <w:bottom w:val="none" w:sz="0" w:space="0" w:color="auto"/>
        <w:right w:val="none" w:sz="0" w:space="0" w:color="auto"/>
      </w:divBdr>
    </w:div>
    <w:div w:id="1566379832">
      <w:bodyDiv w:val="1"/>
      <w:marLeft w:val="0"/>
      <w:marRight w:val="0"/>
      <w:marTop w:val="0"/>
      <w:marBottom w:val="0"/>
      <w:divBdr>
        <w:top w:val="none" w:sz="0" w:space="0" w:color="auto"/>
        <w:left w:val="none" w:sz="0" w:space="0" w:color="auto"/>
        <w:bottom w:val="none" w:sz="0" w:space="0" w:color="auto"/>
        <w:right w:val="none" w:sz="0" w:space="0" w:color="auto"/>
      </w:divBdr>
    </w:div>
    <w:div w:id="1617105155">
      <w:bodyDiv w:val="1"/>
      <w:marLeft w:val="0"/>
      <w:marRight w:val="0"/>
      <w:marTop w:val="0"/>
      <w:marBottom w:val="0"/>
      <w:divBdr>
        <w:top w:val="none" w:sz="0" w:space="0" w:color="auto"/>
        <w:left w:val="none" w:sz="0" w:space="0" w:color="auto"/>
        <w:bottom w:val="none" w:sz="0" w:space="0" w:color="auto"/>
        <w:right w:val="none" w:sz="0" w:space="0" w:color="auto"/>
      </w:divBdr>
    </w:div>
    <w:div w:id="1702320853">
      <w:bodyDiv w:val="1"/>
      <w:marLeft w:val="0"/>
      <w:marRight w:val="0"/>
      <w:marTop w:val="0"/>
      <w:marBottom w:val="0"/>
      <w:divBdr>
        <w:top w:val="none" w:sz="0" w:space="0" w:color="auto"/>
        <w:left w:val="none" w:sz="0" w:space="0" w:color="auto"/>
        <w:bottom w:val="none" w:sz="0" w:space="0" w:color="auto"/>
        <w:right w:val="none" w:sz="0" w:space="0" w:color="auto"/>
      </w:divBdr>
    </w:div>
    <w:div w:id="1745951910">
      <w:bodyDiv w:val="1"/>
      <w:marLeft w:val="0"/>
      <w:marRight w:val="0"/>
      <w:marTop w:val="0"/>
      <w:marBottom w:val="0"/>
      <w:divBdr>
        <w:top w:val="none" w:sz="0" w:space="0" w:color="auto"/>
        <w:left w:val="none" w:sz="0" w:space="0" w:color="auto"/>
        <w:bottom w:val="none" w:sz="0" w:space="0" w:color="auto"/>
        <w:right w:val="none" w:sz="0" w:space="0" w:color="auto"/>
      </w:divBdr>
    </w:div>
    <w:div w:id="20115624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9.png"/><Relationship Id="rId42" Type="http://schemas.openxmlformats.org/officeDocument/2006/relationships/image" Target="media/image19.emf"/><Relationship Id="rId63" Type="http://schemas.openxmlformats.org/officeDocument/2006/relationships/image" Target="media/image40.emf"/><Relationship Id="rId84" Type="http://schemas.openxmlformats.org/officeDocument/2006/relationships/image" Target="media/image55.emf"/><Relationship Id="rId138" Type="http://schemas.openxmlformats.org/officeDocument/2006/relationships/hyperlink" Target="mailto:contact_se@celltrionhc.com" TargetMode="External"/><Relationship Id="rId159" Type="http://schemas.openxmlformats.org/officeDocument/2006/relationships/hyperlink" Target="http://www.ema.europa.eu/docs/en_GB/document_library/Template_or_form/2013/03/WC500139752.doc" TargetMode="External"/><Relationship Id="rId170" Type="http://schemas.openxmlformats.org/officeDocument/2006/relationships/image" Target="media/image128.png"/><Relationship Id="rId107" Type="http://schemas.openxmlformats.org/officeDocument/2006/relationships/image" Target="media/image74.png"/><Relationship Id="rId11" Type="http://schemas.openxmlformats.org/officeDocument/2006/relationships/image" Target="media/image1.png"/><Relationship Id="rId32" Type="http://schemas.openxmlformats.org/officeDocument/2006/relationships/hyperlink" Target="http://www.ema.europa.eu" TargetMode="External"/><Relationship Id="rId53" Type="http://schemas.openxmlformats.org/officeDocument/2006/relationships/image" Target="media/image30.jpeg"/><Relationship Id="rId74" Type="http://schemas.openxmlformats.org/officeDocument/2006/relationships/hyperlink" Target="mailto:Contact_no@celltrionhc.com" TargetMode="External"/><Relationship Id="rId128" Type="http://schemas.openxmlformats.org/officeDocument/2006/relationships/image" Target="media/image95.png"/><Relationship Id="rId149" Type="http://schemas.openxmlformats.org/officeDocument/2006/relationships/image" Target="media/image110.png"/><Relationship Id="rId5" Type="http://schemas.openxmlformats.org/officeDocument/2006/relationships/numbering" Target="numbering.xml"/><Relationship Id="rId95" Type="http://schemas.openxmlformats.org/officeDocument/2006/relationships/image" Target="media/image66.emf"/><Relationship Id="rId160" Type="http://schemas.openxmlformats.org/officeDocument/2006/relationships/hyperlink" Target="mailto:contact_se@celltrionhc.com" TargetMode="External"/><Relationship Id="rId22" Type="http://schemas.openxmlformats.org/officeDocument/2006/relationships/hyperlink" Target="http://www.ema.europa.eu/" TargetMode="External"/><Relationship Id="rId43" Type="http://schemas.openxmlformats.org/officeDocument/2006/relationships/image" Target="media/image20.emf"/><Relationship Id="rId64" Type="http://schemas.openxmlformats.org/officeDocument/2006/relationships/image" Target="media/image41.emf"/><Relationship Id="rId118" Type="http://schemas.openxmlformats.org/officeDocument/2006/relationships/image" Target="media/image85.png"/><Relationship Id="rId139" Type="http://schemas.openxmlformats.org/officeDocument/2006/relationships/hyperlink" Target="http://www.ema.europa.eu" TargetMode="External"/><Relationship Id="rId85" Type="http://schemas.openxmlformats.org/officeDocument/2006/relationships/image" Target="media/image56.emf"/><Relationship Id="rId150" Type="http://schemas.openxmlformats.org/officeDocument/2006/relationships/image" Target="media/image111.png"/><Relationship Id="rId171" Type="http://schemas.openxmlformats.org/officeDocument/2006/relationships/image" Target="media/image129.png"/><Relationship Id="rId12" Type="http://schemas.openxmlformats.org/officeDocument/2006/relationships/hyperlink" Target="http://www.ema.europa.eu/docs/en_GB/document_library/Template_or_form/2013/03/WC500139752.doc" TargetMode="External"/><Relationship Id="rId33" Type="http://schemas.openxmlformats.org/officeDocument/2006/relationships/image" Target="media/image10.emf"/><Relationship Id="rId108" Type="http://schemas.openxmlformats.org/officeDocument/2006/relationships/image" Target="media/image75.png"/><Relationship Id="rId129" Type="http://schemas.openxmlformats.org/officeDocument/2006/relationships/image" Target="media/image96.png"/><Relationship Id="rId54" Type="http://schemas.openxmlformats.org/officeDocument/2006/relationships/image" Target="media/image31.emf"/><Relationship Id="rId75" Type="http://schemas.openxmlformats.org/officeDocument/2006/relationships/hyperlink" Target="mailto:contact_se@celltrionhc.com" TargetMode="External"/><Relationship Id="rId96" Type="http://schemas.openxmlformats.org/officeDocument/2006/relationships/image" Target="media/image67.jpeg"/><Relationship Id="rId140" Type="http://schemas.openxmlformats.org/officeDocument/2006/relationships/image" Target="media/image101.png"/><Relationship Id="rId161" Type="http://schemas.openxmlformats.org/officeDocument/2006/relationships/hyperlink" Target="http://www.ema.europa.eu" TargetMode="External"/><Relationship Id="rId6" Type="http://schemas.openxmlformats.org/officeDocument/2006/relationships/styles" Target="styles.xml"/><Relationship Id="rId23" Type="http://schemas.openxmlformats.org/officeDocument/2006/relationships/hyperlink" Target="http://www.ema.europa.eu/docs/en_GB/document_library/Template_or_form/2013/03/WC500139752.doc" TargetMode="External"/><Relationship Id="rId28" Type="http://schemas.openxmlformats.org/officeDocument/2006/relationships/hyperlink" Target="http://www.ema.europa.eu/" TargetMode="External"/><Relationship Id="rId49" Type="http://schemas.openxmlformats.org/officeDocument/2006/relationships/image" Target="media/image26.emf"/><Relationship Id="rId114" Type="http://schemas.openxmlformats.org/officeDocument/2006/relationships/image" Target="media/image81.png"/><Relationship Id="rId119" Type="http://schemas.openxmlformats.org/officeDocument/2006/relationships/image" Target="media/image86.png"/><Relationship Id="rId44" Type="http://schemas.openxmlformats.org/officeDocument/2006/relationships/image" Target="media/image21.emf"/><Relationship Id="rId60" Type="http://schemas.openxmlformats.org/officeDocument/2006/relationships/image" Target="media/image37.emf"/><Relationship Id="rId65" Type="http://schemas.openxmlformats.org/officeDocument/2006/relationships/image" Target="media/image42.emf"/><Relationship Id="rId81" Type="http://schemas.openxmlformats.org/officeDocument/2006/relationships/image" Target="media/image52.emf"/><Relationship Id="rId86" Type="http://schemas.openxmlformats.org/officeDocument/2006/relationships/image" Target="media/image57.jpeg"/><Relationship Id="rId130" Type="http://schemas.openxmlformats.org/officeDocument/2006/relationships/image" Target="media/image97.png"/><Relationship Id="rId135" Type="http://schemas.openxmlformats.org/officeDocument/2006/relationships/hyperlink" Target="http://www.ema.europa.eu/docs/en_GB/document_library/Template_or_form/2013/03/WC500139752.doc" TargetMode="External"/><Relationship Id="rId151" Type="http://schemas.openxmlformats.org/officeDocument/2006/relationships/image" Target="media/image112.png"/><Relationship Id="rId156" Type="http://schemas.openxmlformats.org/officeDocument/2006/relationships/image" Target="media/image117.png"/><Relationship Id="rId177" Type="http://schemas.openxmlformats.org/officeDocument/2006/relationships/footer" Target="footer1.xml"/><Relationship Id="rId172" Type="http://schemas.openxmlformats.org/officeDocument/2006/relationships/image" Target="media/image130.png"/><Relationship Id="rId13" Type="http://schemas.openxmlformats.org/officeDocument/2006/relationships/hyperlink" Target="http://www.ema.europa.eu" TargetMode="External"/><Relationship Id="rId18" Type="http://schemas.openxmlformats.org/officeDocument/2006/relationships/image" Target="media/image6.png"/><Relationship Id="rId39" Type="http://schemas.openxmlformats.org/officeDocument/2006/relationships/image" Target="media/image16.emf"/><Relationship Id="rId109" Type="http://schemas.openxmlformats.org/officeDocument/2006/relationships/image" Target="media/image76.png"/><Relationship Id="rId34" Type="http://schemas.openxmlformats.org/officeDocument/2006/relationships/image" Target="media/image11.emf"/><Relationship Id="rId50" Type="http://schemas.openxmlformats.org/officeDocument/2006/relationships/image" Target="media/image27.emf"/><Relationship Id="rId55" Type="http://schemas.openxmlformats.org/officeDocument/2006/relationships/image" Target="media/image32.emf"/><Relationship Id="rId76" Type="http://schemas.openxmlformats.org/officeDocument/2006/relationships/hyperlink" Target="http://www.ema.europa.eu" TargetMode="External"/><Relationship Id="rId97" Type="http://schemas.openxmlformats.org/officeDocument/2006/relationships/image" Target="media/image68.jpeg"/><Relationship Id="rId104" Type="http://schemas.openxmlformats.org/officeDocument/2006/relationships/image" Target="media/image71.png"/><Relationship Id="rId120" Type="http://schemas.openxmlformats.org/officeDocument/2006/relationships/image" Target="media/image87.png"/><Relationship Id="rId125" Type="http://schemas.openxmlformats.org/officeDocument/2006/relationships/image" Target="media/image92.png"/><Relationship Id="rId141" Type="http://schemas.openxmlformats.org/officeDocument/2006/relationships/image" Target="media/image102.png"/><Relationship Id="rId146" Type="http://schemas.openxmlformats.org/officeDocument/2006/relationships/image" Target="media/image107.png"/><Relationship Id="rId167" Type="http://schemas.openxmlformats.org/officeDocument/2006/relationships/image" Target="media/image125.png"/><Relationship Id="rId7" Type="http://schemas.openxmlformats.org/officeDocument/2006/relationships/settings" Target="settings.xml"/><Relationship Id="rId71" Type="http://schemas.openxmlformats.org/officeDocument/2006/relationships/hyperlink" Target="http://en.wikipedia.org/wiki/Inframammary_fold" TargetMode="External"/><Relationship Id="rId92" Type="http://schemas.openxmlformats.org/officeDocument/2006/relationships/image" Target="media/image63.emf"/><Relationship Id="rId162" Type="http://schemas.openxmlformats.org/officeDocument/2006/relationships/image" Target="media/image120.png"/><Relationship Id="rId2" Type="http://schemas.openxmlformats.org/officeDocument/2006/relationships/customXml" Target="../customXml/item2.xml"/><Relationship Id="rId29" Type="http://schemas.openxmlformats.org/officeDocument/2006/relationships/hyperlink" Target="http://en.wikipedia.org/wiki/Inframammary_fold" TargetMode="External"/><Relationship Id="rId24" Type="http://schemas.openxmlformats.org/officeDocument/2006/relationships/hyperlink" Target="http://www.ema.europa.eu" TargetMode="External"/><Relationship Id="rId40" Type="http://schemas.openxmlformats.org/officeDocument/2006/relationships/image" Target="media/image17.emf"/><Relationship Id="rId45" Type="http://schemas.openxmlformats.org/officeDocument/2006/relationships/image" Target="media/image22.emf"/><Relationship Id="rId66" Type="http://schemas.openxmlformats.org/officeDocument/2006/relationships/image" Target="media/image43.emf"/><Relationship Id="rId87" Type="http://schemas.openxmlformats.org/officeDocument/2006/relationships/image" Target="media/image58.jpeg"/><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image" Target="media/image98.png"/><Relationship Id="rId136" Type="http://schemas.openxmlformats.org/officeDocument/2006/relationships/hyperlink" Target="mailto:infoDE@celltrionhc.com" TargetMode="External"/><Relationship Id="rId157" Type="http://schemas.openxmlformats.org/officeDocument/2006/relationships/image" Target="media/image118.png"/><Relationship Id="rId178" Type="http://schemas.openxmlformats.org/officeDocument/2006/relationships/fontTable" Target="fontTable.xml"/><Relationship Id="rId61" Type="http://schemas.openxmlformats.org/officeDocument/2006/relationships/image" Target="media/image38.emf"/><Relationship Id="rId82" Type="http://schemas.openxmlformats.org/officeDocument/2006/relationships/image" Target="media/image53.emf"/><Relationship Id="rId152" Type="http://schemas.openxmlformats.org/officeDocument/2006/relationships/image" Target="media/image113.png"/><Relationship Id="rId173" Type="http://schemas.openxmlformats.org/officeDocument/2006/relationships/image" Target="media/image131.png"/><Relationship Id="rId19" Type="http://schemas.openxmlformats.org/officeDocument/2006/relationships/image" Target="media/image7.png"/><Relationship Id="rId14" Type="http://schemas.openxmlformats.org/officeDocument/2006/relationships/image" Target="media/image2.emf"/><Relationship Id="rId30" Type="http://schemas.openxmlformats.org/officeDocument/2006/relationships/hyperlink" Target="http://www.ema.europa.eu/docs/en_GB/document_library/Template_or_form/2013/03/WC500139752.doc" TargetMode="External"/><Relationship Id="rId35" Type="http://schemas.openxmlformats.org/officeDocument/2006/relationships/image" Target="media/image12.emf"/><Relationship Id="rId56" Type="http://schemas.openxmlformats.org/officeDocument/2006/relationships/image" Target="media/image33.emf"/><Relationship Id="rId77" Type="http://schemas.openxmlformats.org/officeDocument/2006/relationships/image" Target="media/image48.emf"/><Relationship Id="rId100" Type="http://schemas.openxmlformats.org/officeDocument/2006/relationships/hyperlink" Target="mailto:contact_se@celltrionhc.com" TargetMode="External"/><Relationship Id="rId105" Type="http://schemas.openxmlformats.org/officeDocument/2006/relationships/image" Target="media/image72.png"/><Relationship Id="rId126" Type="http://schemas.openxmlformats.org/officeDocument/2006/relationships/image" Target="media/image93.png"/><Relationship Id="rId147" Type="http://schemas.openxmlformats.org/officeDocument/2006/relationships/image" Target="media/image108.png"/><Relationship Id="rId168" Type="http://schemas.openxmlformats.org/officeDocument/2006/relationships/image" Target="media/image126.png"/><Relationship Id="rId8" Type="http://schemas.openxmlformats.org/officeDocument/2006/relationships/webSettings" Target="webSettings.xml"/><Relationship Id="rId51" Type="http://schemas.openxmlformats.org/officeDocument/2006/relationships/image" Target="media/image28.emf"/><Relationship Id="rId72" Type="http://schemas.openxmlformats.org/officeDocument/2006/relationships/hyperlink" Target="http://www.ema.europa.eu/docs/en_GB/document_library/Template_or_form/2013/03/WC500139752.doc" TargetMode="External"/><Relationship Id="rId93" Type="http://schemas.openxmlformats.org/officeDocument/2006/relationships/image" Target="media/image64.emf"/><Relationship Id="rId98" Type="http://schemas.openxmlformats.org/officeDocument/2006/relationships/hyperlink" Target="http://en.wikipedia.org/wiki/Inframammary_fold" TargetMode="External"/><Relationship Id="rId121" Type="http://schemas.openxmlformats.org/officeDocument/2006/relationships/image" Target="media/image88.png"/><Relationship Id="rId142" Type="http://schemas.openxmlformats.org/officeDocument/2006/relationships/image" Target="media/image103.png"/><Relationship Id="rId163" Type="http://schemas.openxmlformats.org/officeDocument/2006/relationships/image" Target="media/image121.png"/><Relationship Id="rId3" Type="http://schemas.openxmlformats.org/officeDocument/2006/relationships/customXml" Target="../customXml/item3.xml"/><Relationship Id="rId25" Type="http://schemas.openxmlformats.org/officeDocument/2006/relationships/hyperlink" Target="http://www.ema.europa.eu/" TargetMode="External"/><Relationship Id="rId46" Type="http://schemas.openxmlformats.org/officeDocument/2006/relationships/image" Target="media/image23.emf"/><Relationship Id="rId67" Type="http://schemas.openxmlformats.org/officeDocument/2006/relationships/image" Target="media/image44.emf"/><Relationship Id="rId116" Type="http://schemas.openxmlformats.org/officeDocument/2006/relationships/image" Target="media/image83.png"/><Relationship Id="rId137" Type="http://schemas.openxmlformats.org/officeDocument/2006/relationships/hyperlink" Target="mailto:Contact_no@celltrionhc.com" TargetMode="External"/><Relationship Id="rId158" Type="http://schemas.openxmlformats.org/officeDocument/2006/relationships/image" Target="media/image119.png"/><Relationship Id="rId20" Type="http://schemas.openxmlformats.org/officeDocument/2006/relationships/image" Target="media/image8.png"/><Relationship Id="rId41" Type="http://schemas.openxmlformats.org/officeDocument/2006/relationships/image" Target="media/image18.emf"/><Relationship Id="rId62" Type="http://schemas.openxmlformats.org/officeDocument/2006/relationships/image" Target="media/image39.emf"/><Relationship Id="rId83" Type="http://schemas.openxmlformats.org/officeDocument/2006/relationships/image" Target="media/image54.emf"/><Relationship Id="rId88" Type="http://schemas.openxmlformats.org/officeDocument/2006/relationships/image" Target="media/image59.emf"/><Relationship Id="rId111" Type="http://schemas.openxmlformats.org/officeDocument/2006/relationships/image" Target="media/image78.png"/><Relationship Id="rId132" Type="http://schemas.openxmlformats.org/officeDocument/2006/relationships/image" Target="media/image99.png"/><Relationship Id="rId153" Type="http://schemas.openxmlformats.org/officeDocument/2006/relationships/image" Target="media/image114.png"/><Relationship Id="rId174" Type="http://schemas.openxmlformats.org/officeDocument/2006/relationships/image" Target="media/image132.png"/><Relationship Id="rId179" Type="http://schemas.openxmlformats.org/officeDocument/2006/relationships/theme" Target="theme/theme1.xml"/><Relationship Id="rId15" Type="http://schemas.openxmlformats.org/officeDocument/2006/relationships/image" Target="media/image3.png"/><Relationship Id="rId36" Type="http://schemas.openxmlformats.org/officeDocument/2006/relationships/image" Target="media/image13.emf"/><Relationship Id="rId57" Type="http://schemas.openxmlformats.org/officeDocument/2006/relationships/image" Target="media/image34.emf"/><Relationship Id="rId106" Type="http://schemas.openxmlformats.org/officeDocument/2006/relationships/image" Target="media/image73.png"/><Relationship Id="rId127" Type="http://schemas.openxmlformats.org/officeDocument/2006/relationships/image" Target="media/image94.png"/><Relationship Id="rId10" Type="http://schemas.openxmlformats.org/officeDocument/2006/relationships/endnotes" Target="endnotes.xml"/><Relationship Id="rId31" Type="http://schemas.openxmlformats.org/officeDocument/2006/relationships/hyperlink" Target="mailto:contact_se@celltrionhc.com" TargetMode="External"/><Relationship Id="rId52" Type="http://schemas.openxmlformats.org/officeDocument/2006/relationships/image" Target="media/image29.jpeg"/><Relationship Id="rId73" Type="http://schemas.openxmlformats.org/officeDocument/2006/relationships/hyperlink" Target="mailto:infoDE@celltrionhc.com" TargetMode="External"/><Relationship Id="rId78" Type="http://schemas.openxmlformats.org/officeDocument/2006/relationships/image" Target="media/image49.emf"/><Relationship Id="rId94" Type="http://schemas.openxmlformats.org/officeDocument/2006/relationships/image" Target="media/image65.emf"/><Relationship Id="rId99" Type="http://schemas.openxmlformats.org/officeDocument/2006/relationships/hyperlink" Target="http://www.ema.europa.eu/docs/en_GB/document_library/Template_or_form/2013/03/WC500139752.doc" TargetMode="External"/><Relationship Id="rId101" Type="http://schemas.openxmlformats.org/officeDocument/2006/relationships/hyperlink" Target="http://www.ema.europa.eu" TargetMode="External"/><Relationship Id="rId122" Type="http://schemas.openxmlformats.org/officeDocument/2006/relationships/image" Target="media/image89.png"/><Relationship Id="rId143" Type="http://schemas.openxmlformats.org/officeDocument/2006/relationships/image" Target="media/image104.png"/><Relationship Id="rId148" Type="http://schemas.openxmlformats.org/officeDocument/2006/relationships/image" Target="media/image109.png"/><Relationship Id="rId164" Type="http://schemas.openxmlformats.org/officeDocument/2006/relationships/image" Target="media/image122.png"/><Relationship Id="rId169" Type="http://schemas.openxmlformats.org/officeDocument/2006/relationships/image" Target="media/image127.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customXml" Target="../customXml/item5.xml"/><Relationship Id="rId26" Type="http://schemas.openxmlformats.org/officeDocument/2006/relationships/hyperlink" Target="http://www.ema.europa.eu/docs/en_GB/document_library/Template_or_form/2013/03/WC500139752.doc" TargetMode="External"/><Relationship Id="rId47" Type="http://schemas.openxmlformats.org/officeDocument/2006/relationships/image" Target="media/image24.emf"/><Relationship Id="rId68" Type="http://schemas.openxmlformats.org/officeDocument/2006/relationships/image" Target="media/image45.emf"/><Relationship Id="rId89" Type="http://schemas.openxmlformats.org/officeDocument/2006/relationships/image" Target="media/image60.emf"/><Relationship Id="rId112" Type="http://schemas.openxmlformats.org/officeDocument/2006/relationships/image" Target="media/image79.png"/><Relationship Id="rId133" Type="http://schemas.openxmlformats.org/officeDocument/2006/relationships/image" Target="media/image100.png"/><Relationship Id="rId154" Type="http://schemas.openxmlformats.org/officeDocument/2006/relationships/image" Target="media/image115.png"/><Relationship Id="rId175" Type="http://schemas.openxmlformats.org/officeDocument/2006/relationships/image" Target="media/image133.png"/><Relationship Id="rId16" Type="http://schemas.openxmlformats.org/officeDocument/2006/relationships/image" Target="media/image4.png"/><Relationship Id="rId37" Type="http://schemas.openxmlformats.org/officeDocument/2006/relationships/image" Target="media/image14.emf"/><Relationship Id="rId58" Type="http://schemas.openxmlformats.org/officeDocument/2006/relationships/image" Target="media/image35.emf"/><Relationship Id="rId79" Type="http://schemas.openxmlformats.org/officeDocument/2006/relationships/image" Target="media/image50.emf"/><Relationship Id="rId102" Type="http://schemas.openxmlformats.org/officeDocument/2006/relationships/image" Target="media/image69.png"/><Relationship Id="rId123" Type="http://schemas.openxmlformats.org/officeDocument/2006/relationships/image" Target="media/image90.png"/><Relationship Id="rId144" Type="http://schemas.openxmlformats.org/officeDocument/2006/relationships/image" Target="media/image105.png"/><Relationship Id="rId90" Type="http://schemas.openxmlformats.org/officeDocument/2006/relationships/image" Target="media/image61.emf"/><Relationship Id="rId165" Type="http://schemas.openxmlformats.org/officeDocument/2006/relationships/image" Target="media/image123.png"/><Relationship Id="rId27" Type="http://schemas.openxmlformats.org/officeDocument/2006/relationships/hyperlink" Target="http://www.ema.europa.eu" TargetMode="External"/><Relationship Id="rId48" Type="http://schemas.openxmlformats.org/officeDocument/2006/relationships/image" Target="media/image25.emf"/><Relationship Id="rId69" Type="http://schemas.openxmlformats.org/officeDocument/2006/relationships/image" Target="media/image46.emf"/><Relationship Id="rId113" Type="http://schemas.openxmlformats.org/officeDocument/2006/relationships/image" Target="media/image80.png"/><Relationship Id="rId134" Type="http://schemas.openxmlformats.org/officeDocument/2006/relationships/hyperlink" Target="http://en.wikipedia.org/wiki/Inframammary_fold" TargetMode="External"/><Relationship Id="rId80" Type="http://schemas.openxmlformats.org/officeDocument/2006/relationships/image" Target="media/image51.emf"/><Relationship Id="rId155" Type="http://schemas.openxmlformats.org/officeDocument/2006/relationships/image" Target="media/image116.png"/><Relationship Id="rId176" Type="http://schemas.openxmlformats.org/officeDocument/2006/relationships/image" Target="media/image134.png"/><Relationship Id="rId17" Type="http://schemas.openxmlformats.org/officeDocument/2006/relationships/image" Target="media/image5.png"/><Relationship Id="rId38" Type="http://schemas.openxmlformats.org/officeDocument/2006/relationships/image" Target="media/image15.emf"/><Relationship Id="rId59" Type="http://schemas.openxmlformats.org/officeDocument/2006/relationships/image" Target="media/image36.emf"/><Relationship Id="rId103" Type="http://schemas.openxmlformats.org/officeDocument/2006/relationships/image" Target="media/image70.png"/><Relationship Id="rId124" Type="http://schemas.openxmlformats.org/officeDocument/2006/relationships/image" Target="media/image91.png"/><Relationship Id="rId70" Type="http://schemas.openxmlformats.org/officeDocument/2006/relationships/image" Target="media/image47.emf"/><Relationship Id="rId91" Type="http://schemas.openxmlformats.org/officeDocument/2006/relationships/image" Target="media/image62.emf"/><Relationship Id="rId145" Type="http://schemas.openxmlformats.org/officeDocument/2006/relationships/image" Target="media/image106.png"/><Relationship Id="rId166" Type="http://schemas.openxmlformats.org/officeDocument/2006/relationships/image" Target="media/image124.png"/><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a034c160-bfb7-45f5-8632-2eb7e0508071" xsi:nil="true"/>
    <lcf76f155ced4ddcb4097134ff3c332f xmlns="62874b74-7561-4a92-a6e7-f8370cb4455a" xsi:nil="true"/>
    <Sign_x002d_off xmlns="62874b74-7561-4a92-a6e7-f8370cb4455a" xsi:nil="true"/>
    <_Flow_SignoffStatus xmlns="62874b74-7561-4a92-a6e7-f8370cb4455a" xsi:nil="true"/>
    <Application_x0020_Status xmlns="62874b74-7561-4a92-a6e7-f8370cb4455a" xsi:nil="true"/>
    <_vti_ItemDeclaredRecord xmlns="62874b74-7561-4a92-a6e7-f8370cb4455a" xsi:nil="true"/>
    <Information xmlns="62874b74-7561-4a92-a6e7-f8370cb4455a" xsi:nil="true"/>
    <_dlc_DocId xmlns="a034c160-bfb7-45f5-8632-2eb7e0508071">EMADOC-1700519818-2474355</_dlc_DocId>
    <_dlc_DocIdUrl xmlns="a034c160-bfb7-45f5-8632-2eb7e0508071">
      <Url>https://euema.sharepoint.com/sites/CRM/_layouts/15/DocIdRedir.aspx?ID=EMADOC-1700519818-2474355</Url>
      <Description>EMADOC-1700519818-2474355</Description>
    </_dlc_DocIdUrl>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C7044A7FB2EB2F4D8B1CA47F982F77DB" ma:contentTypeVersion="7" ma:contentTypeDescription="Create a new document." ma:contentTypeScope="" ma:versionID="f1ce4c1f591fb321d969808d94fb6d4e">
  <xsd:schema xmlns:xsd="http://www.w3.org/2001/XMLSchema" xmlns:xs="http://www.w3.org/2001/XMLSchema" xmlns:p="http://schemas.microsoft.com/office/2006/metadata/properties" xmlns:ns2="a034c160-bfb7-45f5-8632-2eb7e0508071" xmlns:ns3="62874b74-7561-4a92-a6e7-f8370cb4455a" targetNamespace="http://schemas.microsoft.com/office/2006/metadata/properties" ma:root="true" ma:fieldsID="444cf7a999204886a927b198466410c1" ns2:_="" ns3:_="">
    <xsd:import namespace="a034c160-bfb7-45f5-8632-2eb7e0508071"/>
    <xsd:import namespace="62874b74-7561-4a92-a6e7-f8370cb4455a"/>
    <xsd:element name="properties">
      <xsd:complexType>
        <xsd:sequence>
          <xsd:element name="documentManagement">
            <xsd:complexType>
              <xsd:all>
                <xsd:element ref="ns2:_dlc_DocId" minOccurs="0"/>
                <xsd:element ref="ns2:_dlc_DocIdUrl" minOccurs="0"/>
                <xsd:element ref="ns2:_dlc_DocIdPersistId" minOccurs="0"/>
                <xsd:element ref="ns3:_Flow_SignoffStatus" minOccurs="0"/>
                <xsd:element ref="ns3:_vti_ItemDeclaredRecord" minOccurs="0"/>
                <xsd:element ref="ns3:Application_x0020_Status" minOccurs="0"/>
                <xsd:element ref="ns3:Information" minOccurs="0"/>
                <xsd:element ref="ns3:lcf76f155ced4ddcb4097134ff3c332f" minOccurs="0"/>
                <xsd:element ref="ns2:TaxCatchAll" minOccurs="0"/>
                <xsd:element ref="ns3:Sign_x002d_of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6"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_Flow_SignoffStatus" ma:index="11" nillable="true" ma:displayName="Sign-off status" ma:internalName="Sign_x002d_off_x0020_status">
      <xsd:simpleType>
        <xsd:restriction base="dms:Text"/>
      </xsd:simpleType>
    </xsd:element>
    <xsd:element name="_vti_ItemDeclaredRecord" ma:index="12" nillable="true" ma:displayName="_vti_ItemDeclaredRecord" ma:format="DateOnly" ma:internalName="_vti_ItemDeclaredRecord">
      <xsd:simpleType>
        <xsd:restriction base="dms:DateTime"/>
      </xsd:simpleType>
    </xsd:element>
    <xsd:element name="Application_x0020_Status" ma:index="13" nillable="true" ma:displayName="Application Status" ma:internalName="Application_x0020_Status">
      <xsd:simpleType>
        <xsd:restriction base="dms:Text">
          <xsd:maxLength value="255"/>
        </xsd:restriction>
      </xsd:simpleType>
    </xsd:element>
    <xsd:element name="Information" ma:index="14" nillable="true" ma:displayName="Information" ma:indexed="true" ma:internalName="Information">
      <xsd:simpleType>
        <xsd:restriction base="dms:Text">
          <xsd:maxLength value="80"/>
        </xsd:restriction>
      </xsd:simpleType>
    </xsd:element>
    <xsd:element name="lcf76f155ced4ddcb4097134ff3c332f" ma:index="15" nillable="true" ma:displayName="Image Tags_0" ma:hidden="true" ma:internalName="lcf76f155ced4ddcb4097134ff3c332f">
      <xsd:simpleType>
        <xsd:restriction base="dms:Note"/>
      </xsd:simpleType>
    </xsd:element>
    <xsd:element name="Sign_x002d_off" ma:index="17" nillable="true" ma:displayName="Sign-off" ma:format="Dropdown" ma:internalName="Sign_x002d_off">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C747237E-F52C-4594-9E3C-59FAF2E2A9B1}">
  <ds:schemaRefs>
    <ds:schemaRef ds:uri="http://schemas.microsoft.com/office/2006/metadata/properties"/>
    <ds:schemaRef ds:uri="http://schemas.microsoft.com/office/infopath/2007/PartnerControls"/>
    <ds:schemaRef ds:uri="83901066-ea94-4f10-a339-f99c2cb3eec1"/>
    <ds:schemaRef ds:uri="c0c1dc18-1381-4757-a3ef-160d068908e0"/>
  </ds:schemaRefs>
</ds:datastoreItem>
</file>

<file path=customXml/itemProps2.xml><?xml version="1.0" encoding="utf-8"?>
<ds:datastoreItem xmlns:ds="http://schemas.openxmlformats.org/officeDocument/2006/customXml" ds:itemID="{92286F57-9DC7-4E07-95AF-9E15E2347CD4}">
  <ds:schemaRefs>
    <ds:schemaRef ds:uri="http://schemas.openxmlformats.org/officeDocument/2006/bibliography"/>
  </ds:schemaRefs>
</ds:datastoreItem>
</file>

<file path=customXml/itemProps3.xml><?xml version="1.0" encoding="utf-8"?>
<ds:datastoreItem xmlns:ds="http://schemas.openxmlformats.org/officeDocument/2006/customXml" ds:itemID="{83905A7A-9293-4A48-B6FB-77C23C7FA38E}"/>
</file>

<file path=customXml/itemProps4.xml><?xml version="1.0" encoding="utf-8"?>
<ds:datastoreItem xmlns:ds="http://schemas.openxmlformats.org/officeDocument/2006/customXml" ds:itemID="{69A7247A-4F6B-413B-AB81-013FA4F50EEC}">
  <ds:schemaRefs>
    <ds:schemaRef ds:uri="http://schemas.microsoft.com/sharepoint/v3/contenttype/forms"/>
  </ds:schemaRefs>
</ds:datastoreItem>
</file>

<file path=customXml/itemProps5.xml><?xml version="1.0" encoding="utf-8"?>
<ds:datastoreItem xmlns:ds="http://schemas.openxmlformats.org/officeDocument/2006/customXml" ds:itemID="{91E76B1A-50F2-4C8A-9691-4E05693B9A5E}"/>
</file>

<file path=docProps/app.xml><?xml version="1.0" encoding="utf-8"?>
<Properties xmlns="http://schemas.openxmlformats.org/officeDocument/2006/extended-properties" xmlns:vt="http://schemas.openxmlformats.org/officeDocument/2006/docPropsVTypes">
  <Template>Normal</Template>
  <TotalTime>0</TotalTime>
  <Pages>297</Pages>
  <Words>96562</Words>
  <Characters>550405</Characters>
  <Application>Microsoft Office Word</Application>
  <DocSecurity>0</DocSecurity>
  <Lines>4586</Lines>
  <Paragraphs>1291</Paragraphs>
  <ScaleCrop>false</ScaleCrop>
  <HeadingPairs>
    <vt:vector size="2" baseType="variant">
      <vt:variant>
        <vt:lpstr>제목</vt:lpstr>
      </vt:variant>
      <vt:variant>
        <vt:i4>1</vt:i4>
      </vt:variant>
    </vt:vector>
  </HeadingPairs>
  <TitlesOfParts>
    <vt:vector size="1" baseType="lpstr">
      <vt:lpstr>Yuflyma: EPAR - Product information - tracked changes</vt:lpstr>
    </vt:vector>
  </TitlesOfParts>
  <Company/>
  <LinksUpToDate>false</LinksUpToDate>
  <CharactersWithSpaces>645676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Yuflyma: EPAR - Product information - tracked changes</dc:title>
  <dc:subject/>
  <dc:creator/>
  <cp:keywords/>
  <cp:lastModifiedBy/>
  <cp:revision>1</cp:revision>
  <dcterms:created xsi:type="dcterms:W3CDTF">2025-03-10T03:18:00Z</dcterms:created>
  <dcterms:modified xsi:type="dcterms:W3CDTF">2025-09-10T03:53:00Z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0x010100C7044A7FB2EB2F4D8B1CA47F982F77DB</vt:lpwstr>
  </property>
  <property fmtid="{D5CDD505-2E9C-101B-9397-08002B2CF9AE}" pid="3" name="MediaServiceImageTags">
    <vt:lpwstr/>
  </property>
  <property fmtid="{D5CDD505-2E9C-101B-9397-08002B2CF9AE}" pid="4" name="_dlc_DocIdItemGuid">
    <vt:lpwstr>91b35a2f-872b-48ea-bfae-46e5c382371e</vt:lpwstr>
  </property>
</Properties>
</file>