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EB6C43" w:rsidP="00B66B04" w14:paraId="548BB9D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B6C43" w:rsidP="00B66B04" w14:paraId="0F6479C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B6C43" w:rsidP="00B66B04" w14:paraId="1CA125A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B6C43" w:rsidP="00B66B04" w14:paraId="6D2F623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B6C43" w:rsidP="00B66B04" w14:paraId="4DD8E32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B6C43" w:rsidP="00B66B04" w14:paraId="148F281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B6C43" w:rsidP="00B66B04" w14:paraId="530284F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B6C43" w:rsidP="00B66B04" w14:paraId="22B342C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5214D63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046A7E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04934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2030A7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059A0D7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0204791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00A6F4F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200FD69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1AA80DD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3C2766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4E9FB4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5FD9BBF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B6C43" w:rsidP="00B66B04" w14:paraId="3F0D1B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EB6C43" w:rsidP="00B66B04" w14:paraId="74E0C6A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EB6C43" w:rsidP="00B66B04" w14:paraId="6E321A7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B6C43" w:rsidP="00B66B04" w14:paraId="132EDFD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EB6C43">
        <w:rPr>
          <w:rFonts w:ascii="Times New Roman" w:hAnsi="Times New Roman"/>
        </w:rPr>
        <w:t>PRILOGA IV</w:t>
      </w:r>
    </w:p>
    <w:p w:rsidR="00B66B04" w:rsidRPr="00F52DF0" w:rsidP="00B66B04" w14:paraId="084DF80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B66B04" w:rsidRPr="00EB6C43" w:rsidP="00B66B04" w14:paraId="3230CB82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EB6C43">
        <w:rPr>
          <w:rFonts w:ascii="Times New Roman" w:hAnsi="Times New Roman"/>
        </w:rPr>
        <w:t xml:space="preserve">ZNANSTVENI ZAKLJUČKI IN </w:t>
      </w:r>
      <w:bookmarkStart w:id="0" w:name="_Hlk154563429"/>
      <w:r w:rsidRPr="00EB6C43">
        <w:rPr>
          <w:rFonts w:ascii="Times New Roman" w:hAnsi="Times New Roman"/>
        </w:rPr>
        <w:t>PODLAGA ZA SPREMEMBO</w:t>
      </w:r>
    </w:p>
    <w:p w:rsidR="008E146B" w:rsidRPr="00EB6C43" w:rsidP="00B66B04" w14:paraId="14FBFF17" w14:textId="36F5D4EA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EB6C43">
        <w:rPr>
          <w:rFonts w:ascii="Times New Roman" w:hAnsi="Times New Roman"/>
        </w:rPr>
        <w:t>DOVOLJENJA (DOVOLJENJ) ZA PROMET</w:t>
      </w:r>
      <w:bookmarkEnd w:id="0"/>
      <w:r w:rsidRPr="00EB6C43">
        <w:rPr>
          <w:rFonts w:ascii="Times New Roman" w:hAnsi="Times New Roman"/>
        </w:rPr>
        <w:t xml:space="preserve"> Z ZDRAVILOM</w:t>
      </w:r>
    </w:p>
    <w:p w:rsidR="00B66B04" w:rsidRPr="00F52DF0" w:rsidP="00B66B04" w14:paraId="2275C610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</w:rPr>
      </w:pPr>
    </w:p>
    <w:p w:rsidR="00A11F98" w:rsidRPr="00EB6C43" w:rsidP="00B66B04" w14:paraId="1B3C09D7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</w:rPr>
      </w:pPr>
      <w:r w:rsidRPr="00EB6C43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9D60A3" w:rsidRPr="00EB6C43" w:rsidP="00B66B04" w14:paraId="69522F28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:rsidR="009D60A3" w:rsidRPr="00EB6C43" w:rsidP="00B66B04" w14:paraId="10E7F84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B6C43" w:rsidP="00B66B04" w14:paraId="2E2BD6F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B6C43" w:rsidP="00B66B04" w14:paraId="62E1A2A8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B6C43" w:rsidP="00B66B04" w14:paraId="0529EF5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B6C43" w:rsidP="00B66B04" w14:paraId="34CF63B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B6C43" w:rsidP="00B66B04" w14:paraId="133193D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B6C43" w:rsidP="00B66B04" w14:paraId="70024F1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B6C43" w:rsidP="00B66B04" w14:paraId="23A0FB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EB6C43" w:rsidP="00E7370A" w14:paraId="0FB3576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EB6C43">
        <w:br w:type="page"/>
      </w:r>
      <w:r w:rsidRPr="00EB6C43">
        <w:rPr>
          <w:rFonts w:ascii="Times New Roman" w:hAnsi="Times New Roman"/>
          <w:b/>
          <w:i w:val="0"/>
          <w:color w:val="auto"/>
        </w:rPr>
        <w:t>Znanstveni zaključki</w:t>
      </w:r>
    </w:p>
    <w:p w:rsidR="009B5CE6" w:rsidRPr="00EB6C43" w:rsidP="00E7370A" w14:paraId="6E2C853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9B5CE6" w:rsidRPr="00EB6C43" w:rsidP="00E7370A" w14:paraId="3D00ADA2" w14:textId="11864C7A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EB6C43">
        <w:rPr>
          <w:rFonts w:ascii="Times New Roman" w:hAnsi="Times New Roman"/>
          <w:i w:val="0"/>
          <w:color w:val="auto"/>
        </w:rPr>
        <w:t>Upoštevajoč poročilo Odbora za oceno tveganja na področju farmakovigilance (PRAC) o oceni redno posodobljenega poročila o varnosti zdravila (PSUR) za {ime učinkovine(učinkovin)} so bili sprejeti naslednji znanstveni zaključki:</w:t>
      </w:r>
    </w:p>
    <w:p w:rsidR="008E146B" w:rsidRPr="00EB6C43" w:rsidP="00E7370A" w14:paraId="5E12017B" w14:textId="58AB23D9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</w:pPr>
    </w:p>
    <w:p w:rsidR="008E146B" w:rsidRPr="00EB6C43" w:rsidP="00E7370A" w14:paraId="73CFBF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B6C43">
        <w:rPr>
          <w:rFonts w:ascii="Times New Roman" w:hAnsi="Times New Roman"/>
          <w:i w:val="0"/>
          <w:lang w:val="en-GB"/>
        </w:rPr>
        <w:t>[Copy-paste from the</w:t>
      </w:r>
      <w:r w:rsidRPr="00EB6C43">
        <w:rPr>
          <w:rFonts w:ascii="Times New Roman" w:hAnsi="Times New Roman"/>
          <w:i w:val="0"/>
        </w:rPr>
        <w:t xml:space="preserve"> </w:t>
      </w:r>
      <w:r w:rsidRPr="00EB6C43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EB6C43">
        <w:rPr>
          <w:rFonts w:ascii="Times New Roman" w:hAnsi="Times New Roman"/>
          <w:i w:val="0"/>
        </w:rPr>
        <w:t>PSUR PRAC AR</w:t>
      </w:r>
      <w:r w:rsidRPr="00EB6C43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EB6C43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EB6C43" w:rsidP="0008204E" w14:paraId="03F34A7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EB6C43" w:rsidP="0008204E" w14:paraId="05727A5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B6C43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EB6C43" w:rsidP="0008204E" w14:paraId="13CC638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EB6C43" w:rsidP="0008204E" w14:paraId="2312F88D" w14:textId="0FCBEE3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B6C43">
        <w:rPr>
          <w:rFonts w:ascii="Times New Roman" w:hAnsi="Times New Roman"/>
          <w:i w:val="0"/>
          <w:lang w:val="en-GB"/>
        </w:rPr>
        <w:t>[OPTION 1: CHMP agrees]</w:t>
      </w:r>
    </w:p>
    <w:p w:rsidR="0072084C" w:rsidRPr="00EB6C43" w:rsidP="00E7370A" w14:paraId="29D61024" w14:textId="2DBBC82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sz w:val="22"/>
        </w:rPr>
        <w:t xml:space="preserve">Po pregledu priporočila odbora PRAC se odbor CHMP strinja z </w:t>
      </w:r>
      <w:r w:rsidRPr="00577B21" w:rsidR="00633F81">
        <w:rPr>
          <w:rFonts w:ascii="Times New Roman" w:hAnsi="Times New Roman"/>
          <w:sz w:val="22"/>
        </w:rPr>
        <w:t>splošnimi</w:t>
      </w:r>
      <w:r w:rsidRPr="00577B21">
        <w:rPr>
          <w:rFonts w:ascii="Times New Roman" w:hAnsi="Times New Roman"/>
          <w:sz w:val="22"/>
        </w:rPr>
        <w:t xml:space="preserve"> zaključki</w:t>
      </w:r>
      <w:r w:rsidR="00202A7D">
        <w:rPr>
          <w:rFonts w:ascii="Times New Roman" w:hAnsi="Times New Roman"/>
          <w:sz w:val="22"/>
        </w:rPr>
        <w:t xml:space="preserve"> odbora PRAC</w:t>
      </w:r>
      <w:r w:rsidRPr="00EB6C43">
        <w:rPr>
          <w:rFonts w:ascii="Times New Roman" w:hAnsi="Times New Roman"/>
          <w:sz w:val="22"/>
        </w:rPr>
        <w:t xml:space="preserve"> in </w:t>
      </w:r>
      <w:r w:rsidR="00202A7D">
        <w:rPr>
          <w:rFonts w:ascii="Times New Roman" w:hAnsi="Times New Roman"/>
          <w:sz w:val="22"/>
        </w:rPr>
        <w:t xml:space="preserve">njegovo </w:t>
      </w:r>
      <w:r w:rsidRPr="00EB6C43">
        <w:rPr>
          <w:rFonts w:ascii="Times New Roman" w:hAnsi="Times New Roman"/>
          <w:sz w:val="22"/>
        </w:rPr>
        <w:t>podlago za priporočilo.</w:t>
      </w:r>
    </w:p>
    <w:p w:rsidR="0072084C" w:rsidRPr="00EB6C43" w:rsidP="00E7370A" w14:paraId="465D8CFA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EB6C43" w:rsidP="00E7370A" w14:paraId="267DB208" w14:textId="6AE88259">
      <w:pPr>
        <w:pStyle w:val="No-numheading3Agency"/>
        <w:spacing w:before="0" w:after="0"/>
        <w:rPr>
          <w:rFonts w:ascii="Times New Roman" w:hAnsi="Times New Roman"/>
        </w:rPr>
      </w:pPr>
      <w:r w:rsidRPr="00EB6C43">
        <w:rPr>
          <w:rFonts w:ascii="Times New Roman" w:hAnsi="Times New Roman"/>
        </w:rPr>
        <w:t>Podlaga za spremembo dovoljenja (dovoljenj) za promet z zdravilom</w:t>
      </w:r>
    </w:p>
    <w:p w:rsidR="009B5CE6" w:rsidRPr="00F52DF0" w:rsidP="00E7370A" w14:paraId="3F239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8E146B" w:rsidRPr="00EB6C43" w:rsidP="00E7370A" w14:paraId="53F66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sz w:val="22"/>
        </w:rPr>
        <w:t>Na podlagi znanstvenih zaključkov za {ime(-na) učinkovine(učinkovin)} odbor CHMP meni, da je razmerje med koristmi in tveganji zdravil(-a), ki vsebuje(-jo) {ime(-na) učinkovine(učinkovin)} nespremenjeno ob upoštevanju predlaganih sprememb v informacijah o zdravilu.</w:t>
      </w:r>
    </w:p>
    <w:p w:rsidR="009B5CE6" w:rsidRPr="00F52DF0" w:rsidP="00E7370A" w14:paraId="2F6BFEC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pl-PL"/>
        </w:rPr>
      </w:pPr>
    </w:p>
    <w:p w:rsidR="00D220ED" w:rsidRPr="00EB6C43" w:rsidP="00E7370A" w14:paraId="5D1B17D9" w14:textId="74DD88E4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5D4878">
        <w:rPr>
          <w:rFonts w:ascii="Times New Roman" w:hAnsi="Times New Roman"/>
          <w:snapToGrid w:val="0"/>
          <w:sz w:val="22"/>
        </w:rPr>
        <w:t xml:space="preserve">Odbor CHMP zato priporoča </w:t>
      </w:r>
      <w:r w:rsidRPr="00D4572E">
        <w:rPr>
          <w:rFonts w:ascii="Times New Roman" w:hAnsi="Times New Roman"/>
          <w:snapToGrid w:val="0"/>
          <w:sz w:val="22"/>
        </w:rPr>
        <w:t>spremembo dovoljenja (dovoljenj)</w:t>
      </w:r>
      <w:r w:rsidRPr="00EB6C43">
        <w:rPr>
          <w:rFonts w:ascii="Times New Roman" w:hAnsi="Times New Roman"/>
          <w:snapToGrid w:val="0"/>
          <w:sz w:val="22"/>
        </w:rPr>
        <w:t xml:space="preserve"> za promet z zdravilom.</w:t>
      </w:r>
    </w:p>
    <w:p w:rsidR="0072084C" w:rsidRPr="00EB6C43" w:rsidP="00E7370A" w14:paraId="2F1C179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EB6C43" w:rsidP="0008204E" w14:paraId="0F1D67B0" w14:textId="204497AD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B6C43">
        <w:rPr>
          <w:rFonts w:ascii="Times New Roman" w:hAnsi="Times New Roman"/>
          <w:i w:val="0"/>
          <w:lang w:val="en-GB"/>
        </w:rPr>
        <w:t>[OPTION 2: CHMP disagrees]</w:t>
      </w:r>
    </w:p>
    <w:p w:rsidR="0072084C" w:rsidRPr="00EB6C43" w:rsidP="00E7370A" w14:paraId="761F8CA6" w14:textId="3EABDC8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sz w:val="22"/>
        </w:rPr>
        <w:t xml:space="preserve">Po pregledu priporočila odbora PRAC se odbor CHMP ne strinja </w:t>
      </w:r>
      <w:r w:rsidRPr="00577B21" w:rsidR="00633F81">
        <w:rPr>
          <w:rFonts w:ascii="Times New Roman" w:hAnsi="Times New Roman"/>
          <w:sz w:val="22"/>
        </w:rPr>
        <w:t>splošnimi</w:t>
      </w:r>
      <w:r w:rsidRPr="00577B21">
        <w:rPr>
          <w:rFonts w:ascii="Times New Roman" w:hAnsi="Times New Roman"/>
          <w:sz w:val="22"/>
        </w:rPr>
        <w:t xml:space="preserve"> zaključki</w:t>
      </w:r>
      <w:r w:rsidR="00202A7D">
        <w:rPr>
          <w:rFonts w:ascii="Times New Roman" w:hAnsi="Times New Roman"/>
          <w:sz w:val="22"/>
        </w:rPr>
        <w:t xml:space="preserve"> odbora PRAC</w:t>
      </w:r>
      <w:r w:rsidRPr="00EB6C43">
        <w:rPr>
          <w:rFonts w:ascii="Times New Roman" w:hAnsi="Times New Roman"/>
          <w:sz w:val="22"/>
        </w:rPr>
        <w:t xml:space="preserve"> in </w:t>
      </w:r>
      <w:r w:rsidR="00202A7D">
        <w:rPr>
          <w:rFonts w:ascii="Times New Roman" w:hAnsi="Times New Roman"/>
          <w:sz w:val="22"/>
        </w:rPr>
        <w:t xml:space="preserve">njegovo </w:t>
      </w:r>
      <w:r w:rsidRPr="00EB6C43">
        <w:rPr>
          <w:rFonts w:ascii="Times New Roman" w:hAnsi="Times New Roman"/>
          <w:sz w:val="22"/>
        </w:rPr>
        <w:t>podlago za priporočilo.</w:t>
      </w:r>
    </w:p>
    <w:p w:rsidR="0072084C" w:rsidRPr="00EB6C43" w:rsidP="004873DF" w14:paraId="3363A19C" w14:textId="77777777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:rsidR="0072084C" w:rsidRPr="00EB6C43" w:rsidP="004873DF" w14:paraId="103BA754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EB6C43">
        <w:rPr>
          <w:rFonts w:ascii="Times New Roman" w:hAnsi="Times New Roman"/>
          <w:sz w:val="22"/>
          <w:u w:val="single"/>
        </w:rPr>
        <w:t>Podrobna obrazložitev znanstvene podlage za odstopanja od priporočila odbora PRAC</w:t>
      </w:r>
    </w:p>
    <w:p w:rsidR="0072084C" w:rsidRPr="00EB6C43" w:rsidP="0008204E" w14:paraId="5B8F0A3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B6C43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EB6C43" w:rsidP="0008204E" w14:paraId="19870159" w14:textId="5138EAA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B6C43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EB6C43" w:rsidP="004873DF" w14:paraId="3BD9F988" w14:textId="77777777">
      <w:pPr>
        <w:pStyle w:val="BodytextAgency"/>
        <w:spacing w:after="0" w:line="240" w:lineRule="auto"/>
      </w:pPr>
    </w:p>
    <w:p w:rsidR="0072084C" w:rsidRPr="00EB6C43" w:rsidP="004873DF" w14:paraId="4A151DF2" w14:textId="4B1E956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sz w:val="22"/>
        </w:rPr>
        <w:t>Ob upoštevanju priporočila odbora PRAC &lt; in razprave v odboru CHMP&gt; odbor CHMP meni,</w:t>
      </w:r>
    </w:p>
    <w:p w:rsidR="004873DF" w:rsidRPr="00EB6C43" w:rsidP="004873DF" w14:paraId="5750BB67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EB6C43" w:rsidP="004873DF" w14:paraId="2852228C" w14:textId="21190139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EB6C43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EB6C43" w:rsidP="004873DF" w14:paraId="72042AA6" w14:textId="7424C85F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EB6C43">
        <w:rPr>
          <w:rFonts w:ascii="Times New Roman" w:hAnsi="Times New Roman"/>
          <w:snapToGrid w:val="0"/>
          <w:sz w:val="22"/>
        </w:rPr>
        <w:t>&lt;da razmerje med koristmi in tveganji zdravil, ki vsebujejo {ime(-na) učinkovine(učinkovin)}, ostaja nespremenjeno, in &lt;soglasno&gt;&lt;z večino glasove&gt; priporoča ohranitev dovoljenja (dovoljenj) za promet z zdravilom.&gt;</w:t>
      </w:r>
    </w:p>
    <w:p w:rsidR="004873DF" w:rsidRPr="00EB6C43" w:rsidP="004873DF" w14:paraId="71F86C3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EB6C43" w:rsidP="00CF3502" w14:paraId="24E521AF" w14:textId="3F24630B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EB6C43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EB6C43" w:rsidP="004873DF" w14:paraId="054A0853" w14:textId="297E37E0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EB6C43">
        <w:rPr>
          <w:rFonts w:ascii="Times New Roman" w:hAnsi="Times New Roman"/>
          <w:snapToGrid w:val="0"/>
          <w:sz w:val="22"/>
        </w:rPr>
        <w:t xml:space="preserve">&lt;da razmerje med koristmi in tveganji zdravil, ki vsebujejo {ime(-na) učinkovine(učinkovin)}, ostaja nespremenjeno, vendar &lt;soglasno&gt;&lt;z večino glasov&gt; priporoča, da se </w:t>
      </w:r>
      <w:r w:rsidRPr="00EB0275">
        <w:rPr>
          <w:rFonts w:ascii="Times New Roman" w:hAnsi="Times New Roman"/>
          <w:snapToGrid w:val="0"/>
          <w:sz w:val="22"/>
        </w:rPr>
        <w:t>dovoljenj</w:t>
      </w:r>
      <w:r w:rsidRPr="00EB0275" w:rsidR="009432DD">
        <w:rPr>
          <w:rFonts w:ascii="Times New Roman" w:hAnsi="Times New Roman"/>
          <w:snapToGrid w:val="0"/>
          <w:sz w:val="22"/>
        </w:rPr>
        <w:t>e</w:t>
      </w:r>
      <w:r w:rsidRPr="00EB0275">
        <w:rPr>
          <w:rFonts w:ascii="Times New Roman" w:hAnsi="Times New Roman"/>
          <w:snapToGrid w:val="0"/>
          <w:sz w:val="22"/>
        </w:rPr>
        <w:t xml:space="preserve"> (dovoljenj</w:t>
      </w:r>
      <w:r w:rsidRPr="00EB0275" w:rsidR="009432DD">
        <w:rPr>
          <w:rFonts w:ascii="Times New Roman" w:hAnsi="Times New Roman"/>
          <w:snapToGrid w:val="0"/>
          <w:sz w:val="22"/>
        </w:rPr>
        <w:t>a</w:t>
      </w:r>
      <w:r w:rsidRPr="00EB0275">
        <w:rPr>
          <w:rFonts w:ascii="Times New Roman" w:hAnsi="Times New Roman"/>
          <w:snapToGrid w:val="0"/>
          <w:sz w:val="22"/>
        </w:rPr>
        <w:t>) za promet z zdravilom spremeni</w:t>
      </w:r>
      <w:r w:rsidRPr="00EB0275" w:rsidR="009432DD">
        <w:rPr>
          <w:rFonts w:ascii="Times New Roman" w:hAnsi="Times New Roman"/>
          <w:snapToGrid w:val="0"/>
          <w:sz w:val="22"/>
        </w:rPr>
        <w:t>(-</w:t>
      </w:r>
      <w:r w:rsidRPr="00EB0275">
        <w:rPr>
          <w:rFonts w:ascii="Times New Roman" w:hAnsi="Times New Roman"/>
          <w:snapToGrid w:val="0"/>
          <w:sz w:val="22"/>
        </w:rPr>
        <w:t>jo</w:t>
      </w:r>
      <w:r w:rsidRPr="00EB0275" w:rsidR="009432DD">
        <w:rPr>
          <w:rFonts w:ascii="Times New Roman" w:hAnsi="Times New Roman"/>
          <w:snapToGrid w:val="0"/>
          <w:sz w:val="22"/>
        </w:rPr>
        <w:t>)</w:t>
      </w:r>
      <w:r w:rsidRPr="00EB6C43">
        <w:rPr>
          <w:rFonts w:ascii="Times New Roman" w:hAnsi="Times New Roman"/>
          <w:snapToGrid w:val="0"/>
          <w:sz w:val="22"/>
        </w:rPr>
        <w:t xml:space="preserve"> na naslednji način:</w:t>
      </w:r>
    </w:p>
    <w:p w:rsidR="0072084C" w:rsidRPr="00EB6C43" w:rsidP="004873DF" w14:paraId="042E1227" w14:textId="3140E84B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B6C43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EB6C43" w:rsidP="004873DF" w14:paraId="3FFF52E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2084C" w:rsidRPr="00EB6C43" w:rsidP="004873DF" w14:paraId="767B05E8" w14:textId="1F12716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sz w:val="22"/>
        </w:rPr>
        <w:t>&lt;Posodobitev poglavja {n} &lt;in {n}&gt; povzetka glavnih značilnosti zdravila, da se doda &lt;neželeni učinek {x} s pogostnostjo {y}&gt; &lt;opozorilo o {z}&gt;&lt;…&gt;. &lt;Navodilo za uporabo se posodobi skladno s tem.&gt;&gt;</w:t>
      </w:r>
    </w:p>
    <w:p w:rsidR="00CF3502" w:rsidRPr="00EB6C43" w:rsidP="004873DF" w14:paraId="74931E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EB6C43" w:rsidP="004873DF" w14:paraId="689E87C5" w14:textId="1679D0D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B6C43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EB6C43" w:rsidP="004873DF" w14:paraId="24CB7F63" w14:textId="18227ECE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sz w:val="22"/>
        </w:rPr>
        <w:t>&lt;</w:t>
      </w:r>
      <w:r w:rsidR="00EB0275">
        <w:rPr>
          <w:rFonts w:ascii="Times New Roman" w:hAnsi="Times New Roman"/>
          <w:sz w:val="22"/>
        </w:rPr>
        <w:t xml:space="preserve">Naloženi </w:t>
      </w:r>
      <w:r w:rsidRPr="00EB0275" w:rsidR="00EB0275">
        <w:rPr>
          <w:rFonts w:ascii="Times New Roman" w:hAnsi="Times New Roman"/>
          <w:sz w:val="22"/>
        </w:rPr>
        <w:t>p</w:t>
      </w:r>
      <w:r w:rsidRPr="00EB0275">
        <w:rPr>
          <w:rFonts w:ascii="Times New Roman" w:hAnsi="Times New Roman"/>
          <w:sz w:val="22"/>
        </w:rPr>
        <w:t>ogoji</w:t>
      </w:r>
      <w:r w:rsidRPr="00EB6C43">
        <w:rPr>
          <w:rFonts w:ascii="Times New Roman" w:hAnsi="Times New Roman"/>
          <w:sz w:val="22"/>
        </w:rPr>
        <w:t xml:space="preserve"> dovoljenj</w:t>
      </w:r>
      <w:r w:rsidR="00EB0275">
        <w:rPr>
          <w:rFonts w:ascii="Times New Roman" w:hAnsi="Times New Roman"/>
          <w:sz w:val="22"/>
        </w:rPr>
        <w:t>a</w:t>
      </w:r>
      <w:r w:rsidRPr="00EB6C43">
        <w:rPr>
          <w:rFonts w:ascii="Times New Roman" w:hAnsi="Times New Roman"/>
          <w:sz w:val="22"/>
        </w:rPr>
        <w:t xml:space="preserve"> za promet z zdravilom so:&gt;</w:t>
      </w:r>
    </w:p>
    <w:p w:rsidR="0072084C" w:rsidRPr="00EB6C43" w:rsidP="004873DF" w14:paraId="2DE2C53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EB6C43" w:rsidP="004873DF" w14:paraId="6FB5B1E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B6C43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EB6C43" w:rsidP="004873DF" w14:paraId="28774868" w14:textId="1DAD867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sz w:val="22"/>
        </w:rPr>
        <w:t>&lt;Poleg tega mora(-jo) imetnik(-i) dovoljenja za promet z zdravilom v naslednjem redno posodobljenem poročilu o varnosti zdravila obravnavati tudi naslednja vprašanja:</w:t>
      </w:r>
    </w:p>
    <w:p w:rsidR="0072084C" w:rsidRPr="00EB6C43" w:rsidP="004873DF" w14:paraId="032194ED" w14:textId="3930BC1D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color w:val="339966"/>
          <w:sz w:val="22"/>
          <w:lang w:val="en-GB"/>
        </w:rPr>
        <w:t>[list]</w:t>
      </w:r>
      <w:r w:rsidRPr="00EB6C43">
        <w:rPr>
          <w:rFonts w:ascii="Times New Roman" w:hAnsi="Times New Roman"/>
          <w:sz w:val="22"/>
          <w:lang w:val="en-GB"/>
        </w:rPr>
        <w:t>&gt;</w:t>
      </w:r>
    </w:p>
    <w:p w:rsidR="00F304FB" w:rsidRPr="00EB6C43" w:rsidP="00F304FB" w14:paraId="59AE0BC3" w14:textId="7D150AA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sz w:val="22"/>
        </w:rPr>
        <w:t xml:space="preserve">&lt;Poleg tega mora(-jo) imetnik(-i) dovoljenja za promet z zdravilom v </w:t>
      </w:r>
      <w:r w:rsidRPr="00EB6C43" w:rsidR="00F52DF0">
        <w:rPr>
          <w:rFonts w:ascii="Times New Roman" w:hAnsi="Times New Roman"/>
          <w:sz w:val="22"/>
        </w:rPr>
        <w:t>{x}</w:t>
      </w:r>
      <w:r w:rsidRPr="00EB6C43">
        <w:rPr>
          <w:rFonts w:ascii="Times New Roman" w:hAnsi="Times New Roman"/>
          <w:sz w:val="22"/>
        </w:rPr>
        <w:t xml:space="preserve"> mesecih predložiti posodobljen načrt za obvladovanje tveganj, da se obravnavajo naslednja vprašanja:</w:t>
      </w:r>
    </w:p>
    <w:p w:rsidR="00F304FB" w:rsidRPr="00EB6C43" w:rsidP="00F304FB" w14:paraId="0506155B" w14:textId="0920DDF0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EB6C43">
        <w:rPr>
          <w:rFonts w:ascii="Times New Roman" w:hAnsi="Times New Roman"/>
          <w:color w:val="339966"/>
          <w:sz w:val="22"/>
          <w:lang w:val="en-GB"/>
        </w:rPr>
        <w:t>[list]</w:t>
      </w:r>
      <w:r w:rsidRPr="00EB6C43">
        <w:rPr>
          <w:rFonts w:ascii="Times New Roman" w:hAnsi="Times New Roman"/>
          <w:sz w:val="22"/>
          <w:lang w:val="en-GB"/>
        </w:rPr>
        <w:t>&gt;</w:t>
      </w:r>
    </w:p>
    <w:p w:rsidR="0072084C" w:rsidRPr="00EB6C43" w:rsidP="004873DF" w14:paraId="22DEC885" w14:textId="556DEB8B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EB6C43" w14:paraId="2DFB0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EB6C43" w14:paraId="23A559AB" w14:textId="77777777">
    <w:pPr>
      <w:pStyle w:val="Footer"/>
      <w:jc w:val="center"/>
    </w:pPr>
    <w:r w:rsidRPr="00EB6C43">
      <w:fldChar w:fldCharType="begin"/>
    </w:r>
    <w:r w:rsidRPr="00EB6C43">
      <w:instrText xml:space="preserve"> PAGE   \* MERGEFORMAT </w:instrText>
    </w:r>
    <w:r w:rsidRPr="00EB6C43">
      <w:fldChar w:fldCharType="separate"/>
    </w:r>
    <w:r w:rsidRPr="00EB6C43" w:rsidR="003E591C">
      <w:t>3</w:t>
    </w:r>
    <w:r w:rsidRPr="00EB6C43">
      <w:fldChar w:fldCharType="end"/>
    </w:r>
  </w:p>
  <w:p w:rsidR="0008729F" w:rsidRPr="00EB6C43" w14:paraId="196DB1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EB6C43" w14:paraId="480D2F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EB6C43" w14:paraId="276C7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EB6C43" w14:paraId="7BD0DAE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75D9ABBB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EB6C43" w14:paraId="61EF9655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EB6C43" w14:paraId="3F6737EF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EB6C43" w14:paraId="3A9E11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10E79"/>
    <w:rsid w:val="000134EA"/>
    <w:rsid w:val="000155A6"/>
    <w:rsid w:val="00016D7A"/>
    <w:rsid w:val="00020FD6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0F6168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086D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2A7D"/>
    <w:rsid w:val="0020317F"/>
    <w:rsid w:val="00204FE2"/>
    <w:rsid w:val="00205960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6C8D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02E8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0DB1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36311"/>
    <w:rsid w:val="00545E3E"/>
    <w:rsid w:val="005500CC"/>
    <w:rsid w:val="00551349"/>
    <w:rsid w:val="00560B5C"/>
    <w:rsid w:val="00567455"/>
    <w:rsid w:val="005743DB"/>
    <w:rsid w:val="00576E89"/>
    <w:rsid w:val="00577B21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4878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14451"/>
    <w:rsid w:val="00623094"/>
    <w:rsid w:val="0062342D"/>
    <w:rsid w:val="00633F81"/>
    <w:rsid w:val="00644B7F"/>
    <w:rsid w:val="00646B44"/>
    <w:rsid w:val="006509DA"/>
    <w:rsid w:val="00654CCC"/>
    <w:rsid w:val="00663002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64CE3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4F37"/>
    <w:rsid w:val="00896003"/>
    <w:rsid w:val="008A083D"/>
    <w:rsid w:val="008A4A7F"/>
    <w:rsid w:val="008B53AB"/>
    <w:rsid w:val="008C2828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06050"/>
    <w:rsid w:val="00913879"/>
    <w:rsid w:val="00916BFC"/>
    <w:rsid w:val="0092120C"/>
    <w:rsid w:val="0092275A"/>
    <w:rsid w:val="009316E2"/>
    <w:rsid w:val="0093724C"/>
    <w:rsid w:val="009378BC"/>
    <w:rsid w:val="00940D21"/>
    <w:rsid w:val="009432DD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3935"/>
    <w:rsid w:val="00976C90"/>
    <w:rsid w:val="009814CF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4552"/>
    <w:rsid w:val="00C055F9"/>
    <w:rsid w:val="00C06269"/>
    <w:rsid w:val="00C13CAE"/>
    <w:rsid w:val="00C145DF"/>
    <w:rsid w:val="00C17D89"/>
    <w:rsid w:val="00C17D9C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5A54"/>
    <w:rsid w:val="00CA5A04"/>
    <w:rsid w:val="00CB33DF"/>
    <w:rsid w:val="00CB378A"/>
    <w:rsid w:val="00CB4C36"/>
    <w:rsid w:val="00CB4F84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CF381B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72E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86AC3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10828"/>
    <w:rsid w:val="00E11811"/>
    <w:rsid w:val="00E1234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275"/>
    <w:rsid w:val="00EB0727"/>
    <w:rsid w:val="00EB239D"/>
    <w:rsid w:val="00EB6C43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2DF0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9578E"/>
    <w:rsid w:val="00FA7389"/>
    <w:rsid w:val="00FB0595"/>
    <w:rsid w:val="00FB7E9D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l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sl-SI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HannexIVpsur_en</vt:lpstr>
      <vt:lpstr>HannexIVpsur_en</vt:lpstr>
    </vt:vector>
  </TitlesOfParts>
  <Company>CDT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HannexIVpsur_SL</dc:title>
  <dc:creator>CDT</dc:creator>
  <cp:lastModifiedBy>Akhtar Tia</cp:lastModifiedBy>
  <cp:revision>4</cp:revision>
  <cp:lastPrinted>2014-01-22T14:19:00Z</cp:lastPrinted>
  <dcterms:created xsi:type="dcterms:W3CDTF">2024-01-09T10:14:00Z</dcterms:created>
  <dcterms:modified xsi:type="dcterms:W3CDTF">2024-01-16T08:52:00Z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09:52:44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EMA/6587/2024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EMA/6587/2024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12:51:47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12:51:47</vt:lpwstr>
  </property>
  <property fmtid="{D5CDD505-2E9C-101B-9397-08002B2CF9AE}" pid="36" name="DM_Name">
    <vt:lpwstr>HannexIVpsur_SL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f1358057-1a25-4654-915e-71b99840e1c6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2024-01-16T08:52:36Z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